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36" w:lineRule="exact"/>
        <w:jc w:val="center"/>
        <w:textAlignment w:val="auto"/>
        <w:rPr>
          <w:rFonts w:ascii="方正小标宋简体" w:eastAsia="方正小标宋简体" w:cs="方正小标宋简体" w:hint="eastAsia"/>
          <w:sz w:val="44"/>
          <w:szCs w:val="44"/>
          <w:lang w:val="en-US" w:eastAsia="zh-CN"/>
        </w:rPr>
      </w:pPr>
      <w:r>
        <w:rPr>
          <w:rFonts w:ascii="方正小标宋简体" w:eastAsia="方正小标宋简体" w:cs="方正小标宋简体" w:hint="eastAsia"/>
          <w:sz w:val="44"/>
          <w:szCs w:val="44"/>
          <w:lang w:eastAsia="zh-CN"/>
        </w:rPr>
        <w:t>金川县</w:t>
      </w:r>
      <w:r>
        <w:rPr>
          <w:rFonts w:ascii="方正小标宋简体" w:eastAsia="方正小标宋简体" w:cs="方正小标宋简体" w:hint="eastAsia"/>
          <w:sz w:val="44"/>
          <w:szCs w:val="44"/>
          <w:lang w:val="en-US" w:eastAsia="zh-CN"/>
        </w:rPr>
        <w:t>2024年畜牧兽医服务中心</w:t>
      </w:r>
    </w:p>
    <w:p>
      <w:pPr>
        <w:keepNext w:val="0"/>
        <w:keepLines w:val="0"/>
        <w:pageBreakBefore w:val="0"/>
        <w:widowControl w:val="0"/>
        <w:kinsoku/>
        <w:wordWrap/>
        <w:overflowPunct/>
        <w:topLinePunct w:val="0"/>
        <w:autoSpaceDE/>
        <w:autoSpaceDN/>
        <w:bidi w:val="0"/>
        <w:adjustRightInd/>
        <w:snapToGrid/>
        <w:spacing w:line="536" w:lineRule="exact"/>
        <w:jc w:val="center"/>
        <w:textAlignment w:val="auto"/>
        <w:rPr>
          <w:rFonts w:ascii="方正小标宋简体" w:eastAsia="方正小标宋简体" w:cs="方正小标宋简体" w:hint="eastAsia"/>
          <w:sz w:val="44"/>
          <w:szCs w:val="44"/>
          <w:lang w:eastAsia="zh-CN"/>
        </w:rPr>
      </w:pPr>
      <w:r>
        <w:rPr>
          <w:rFonts w:ascii="方正小标宋简体" w:eastAsia="方正小标宋简体" w:cs="方正小标宋简体" w:hint="eastAsia"/>
          <w:sz w:val="44"/>
          <w:szCs w:val="44"/>
        </w:rPr>
        <w:t>预算绩效目标情况说明</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2024年，我单位部门预算690.35万元 ，均严格按绩效管理要求实现项目绩效目标管理，其中重点项目预算1个，现将情况说明如下：</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黑体" w:eastAsia="黑体" w:cs="黑体" w:hint="eastAsia"/>
          <w:sz w:val="32"/>
          <w:szCs w:val="32"/>
          <w:lang w:val="en-US" w:eastAsia="zh-CN"/>
        </w:rPr>
      </w:pPr>
      <w:r>
        <w:rPr>
          <w:rFonts w:ascii="黑体" w:eastAsia="黑体" w:cs="黑体" w:hint="eastAsia"/>
          <w:sz w:val="32"/>
          <w:szCs w:val="32"/>
          <w:lang w:val="en-US" w:eastAsia="zh-CN"/>
        </w:rPr>
        <w:t>一、单位预算绩效管理工作开展情况。</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完成了2024年本级部门预算整体绩效目标申报和1个重点项目预算绩效目标申报，并编报1个重点项目预算事前绩效评估报告。</w:t>
      </w:r>
    </w:p>
    <w:p>
      <w:pPr>
        <w:keepNext w:val="0"/>
        <w:keepLines w:val="0"/>
        <w:pageBreakBefore w:val="0"/>
        <w:widowControl w:val="0"/>
        <w:numPr>
          <w:ilvl w:val="0"/>
          <w:numId w:val="1"/>
        </w:numPr>
        <w:kinsoku/>
        <w:wordWrap/>
        <w:overflowPunct/>
        <w:topLinePunct w:val="0"/>
        <w:autoSpaceDE/>
        <w:autoSpaceDN/>
        <w:bidi w:val="0"/>
        <w:adjustRightInd/>
        <w:spacing w:line="520" w:lineRule="exact"/>
        <w:ind w:left="0" w:firstLineChars="200" w:firstLine="640"/>
        <w:textAlignment w:val="auto"/>
        <w:rPr>
          <w:rFonts w:ascii="黑体" w:eastAsia="黑体" w:cs="黑体" w:hint="eastAsia"/>
          <w:sz w:val="32"/>
          <w:szCs w:val="32"/>
          <w:lang w:val="en-US" w:eastAsia="zh-CN"/>
        </w:rPr>
      </w:pPr>
      <w:r>
        <w:rPr>
          <w:rFonts w:ascii="黑体" w:eastAsia="黑体" w:cs="黑体" w:hint="eastAsia"/>
          <w:sz w:val="32"/>
          <w:szCs w:val="32"/>
          <w:lang w:val="en-US" w:eastAsia="zh-CN"/>
        </w:rPr>
        <w:t>单位整体绩效目标。</w:t>
      </w:r>
    </w:p>
    <w:p>
      <w:pPr>
        <w:keepNext w:val="0"/>
        <w:keepLines w:val="0"/>
        <w:pageBreakBefore w:val="0"/>
        <w:widowControl w:val="0"/>
        <w:kinsoku/>
        <w:wordWrap/>
        <w:overflowPunct/>
        <w:topLinePunct w:val="0"/>
        <w:autoSpaceDE/>
        <w:autoSpaceDN/>
        <w:bidi w:val="0"/>
        <w:adjustRightInd/>
        <w:snapToGrid/>
        <w:spacing w:line="520" w:lineRule="exact"/>
        <w:ind w:left="0" w:firstLineChars="200" w:firstLine="640"/>
        <w:jc w:val="both"/>
        <w:textAlignment w:val="auto"/>
        <w:rPr>
          <w:rFonts w:ascii="黑体" w:eastAsia="黑体" w:cs="黑体" w:hint="eastAsia"/>
          <w:sz w:val="32"/>
          <w:szCs w:val="32"/>
          <w:lang w:val="en-US" w:eastAsia="zh-CN"/>
        </w:rPr>
      </w:pPr>
      <w:r>
        <w:rPr>
          <w:rFonts w:ascii="仿宋_GB2312" w:eastAsia="仿宋_GB2312" w:cs="仿宋_GB2312" w:hint="eastAsia"/>
          <w:color w:val="000000"/>
          <w:kern w:val="0"/>
          <w:sz w:val="32"/>
          <w:szCs w:val="32"/>
          <w:lang w:val="en-US" w:eastAsia="zh-CN"/>
        </w:rPr>
        <w:t>县畜牧兽医服务中心属独立编制机构和独立核算的事业单位。人员机构编制情况：编制数34人，实有在职数31人。独立核算机构2个，独立编制机构数4个。</w:t>
      </w:r>
    </w:p>
    <w:p>
      <w:pPr>
        <w:pStyle w:val="16"/>
        <w:tabs>
          <w:tab w:val="center" w:pos="4153"/>
          <w:tab w:val="right" w:pos="8306"/>
        </w:tabs>
        <w:rPr>
          <w:rFonts w:ascii="黑体" w:eastAsia="黑体" w:cs="黑体" w:hint="eastAsia"/>
          <w:sz w:val="32"/>
          <w:szCs w:val="32"/>
          <w:lang w:val="en-US" w:eastAsia="zh-CN"/>
        </w:rPr>
      </w:pPr>
    </w:p>
    <w:tbl>
      <w:tblPr>
        <w:jc w:val="center"/>
        <w:tblW w:w="9043"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027"/>
        <w:gridCol w:w="1101"/>
        <w:gridCol w:w="2496"/>
        <w:gridCol w:w="1692"/>
        <w:gridCol w:w="1764"/>
        <w:gridCol w:w="963"/>
      </w:tblGrid>
      <w:tr>
        <w:trPr>
          <w:trHeight w:val="432"/>
        </w:trPr>
        <w:tc>
          <w:tcPr>
            <w:tcW w:w="9043"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简体" w:eastAsia="方正小标宋简体" w:cs="方正小标宋简体"/>
                <w:i w:val="0"/>
                <w:iCs w:val="0"/>
                <w:color w:val="000000"/>
                <w:sz w:val="32"/>
                <w:szCs w:val="32"/>
                <w:u w:val="none"/>
              </w:rPr>
            </w:pPr>
            <w:r>
              <w:rPr>
                <w:rFonts w:ascii="方正小标宋简体" w:eastAsia="方正小标宋简体" w:cs="方正小标宋简体" w:hint="eastAsia"/>
                <w:i w:val="0"/>
                <w:iCs w:val="0"/>
                <w:color w:val="000000"/>
                <w:kern w:val="0"/>
                <w:sz w:val="32"/>
                <w:szCs w:val="32"/>
                <w:u w:val="none"/>
                <w:lang w:val="en-US" w:eastAsia="zh-CN"/>
              </w:rPr>
              <w:t>县级部门整体绩效目标表</w:t>
            </w:r>
          </w:p>
        </w:tc>
      </w:tr>
      <w:tr>
        <w:trPr>
          <w:trHeight w:val="288"/>
        </w:trPr>
        <w:tc>
          <w:tcPr>
            <w:tcW w:w="9043"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（2024年度）</w:t>
            </w:r>
          </w:p>
        </w:tc>
      </w:tr>
      <w:tr>
        <w:trPr>
          <w:trHeight w:val="510"/>
        </w:trPr>
        <w:tc>
          <w:tcPr>
            <w:tcW w:w="102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年度主要任务</w:t>
            </w:r>
          </w:p>
        </w:tc>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任务名称</w:t>
            </w:r>
          </w:p>
        </w:tc>
        <w:tc>
          <w:tcPr>
            <w:tcW w:w="249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主要任务</w:t>
            </w:r>
          </w:p>
        </w:tc>
        <w:tc>
          <w:tcPr>
            <w:tcW w:w="441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预算金额（万元）</w:t>
            </w:r>
          </w:p>
        </w:tc>
      </w:tr>
      <w:tr>
        <w:trPr>
          <w:trHeight w:val="51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0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9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总额</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财政拨款</w:t>
            </w:r>
          </w:p>
        </w:tc>
        <w:tc>
          <w:tcPr>
            <w:tcW w:w="9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其他资金</w:t>
            </w:r>
          </w:p>
        </w:tc>
      </w:tr>
      <w:tr>
        <w:trPr>
          <w:trHeight w:val="51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任务1</w:t>
            </w:r>
          </w:p>
        </w:tc>
        <w:tc>
          <w:tcPr>
            <w:tcW w:w="24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完成2024年财务预决算编报工作</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130.38</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sz w:val="22"/>
                <w:szCs w:val="22"/>
                <w:u w:val="none"/>
                <w:lang w:val="en-US" w:eastAsia="zh-CN"/>
              </w:rPr>
              <w:t>130.38</w:t>
            </w:r>
          </w:p>
        </w:tc>
        <w:tc>
          <w:tcPr>
            <w:tcW w:w="9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r>
      <w:tr>
        <w:trPr>
          <w:trHeight w:val="51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任务2</w:t>
            </w:r>
          </w:p>
        </w:tc>
        <w:tc>
          <w:tcPr>
            <w:tcW w:w="24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畜牧建设、实施、发展</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195.57</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sz w:val="22"/>
                <w:szCs w:val="22"/>
                <w:u w:val="none"/>
                <w:lang w:val="en-US" w:eastAsia="zh-CN"/>
              </w:rPr>
              <w:t>195.57</w:t>
            </w:r>
          </w:p>
        </w:tc>
        <w:tc>
          <w:tcPr>
            <w:tcW w:w="9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r>
      <w:tr>
        <w:trPr>
          <w:trHeight w:val="51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任务3</w:t>
            </w:r>
          </w:p>
        </w:tc>
        <w:tc>
          <w:tcPr>
            <w:tcW w:w="24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动物疫病防控</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108.65</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sz w:val="22"/>
                <w:szCs w:val="22"/>
                <w:u w:val="none"/>
                <w:lang w:val="en-US" w:eastAsia="zh-CN"/>
              </w:rPr>
              <w:t>108.65</w:t>
            </w:r>
          </w:p>
        </w:tc>
        <w:tc>
          <w:tcPr>
            <w:tcW w:w="9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r>
      <w:tr>
        <w:trPr>
          <w:trHeight w:val="51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任务4</w:t>
            </w:r>
          </w:p>
        </w:tc>
        <w:tc>
          <w:tcPr>
            <w:tcW w:w="24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动物检测、监督</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86.92</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sz w:val="22"/>
                <w:szCs w:val="22"/>
                <w:u w:val="none"/>
                <w:lang w:val="en-US" w:eastAsia="zh-CN"/>
              </w:rPr>
              <w:t>86.92</w:t>
            </w:r>
          </w:p>
        </w:tc>
        <w:tc>
          <w:tcPr>
            <w:tcW w:w="9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r>
      <w:tr>
        <w:trPr>
          <w:trHeight w:val="51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任务5</w:t>
            </w:r>
          </w:p>
        </w:tc>
        <w:tc>
          <w:tcPr>
            <w:tcW w:w="24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对全县草业规划、建设、</w:t>
              <w:br/>
              <w:t>生产、草场使用实施监督管理</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59.03</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2"/>
                <w:sz w:val="22"/>
                <w:szCs w:val="22"/>
                <w:u w:val="none"/>
                <w:lang w:val="en-US" w:eastAsia="zh-CN" w:bidi="ar-SA"/>
              </w:rPr>
            </w:pPr>
            <w:r>
              <w:rPr>
                <w:rFonts w:ascii="宋体" w:eastAsia="宋体" w:cs="宋体" w:hint="eastAsia"/>
                <w:i w:val="0"/>
                <w:iCs w:val="0"/>
                <w:color w:val="000000"/>
                <w:sz w:val="22"/>
                <w:szCs w:val="22"/>
                <w:u w:val="none"/>
                <w:lang w:val="en-US" w:eastAsia="zh-CN"/>
              </w:rPr>
              <w:t>59.63</w:t>
            </w:r>
          </w:p>
        </w:tc>
        <w:tc>
          <w:tcPr>
            <w:tcW w:w="9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r>
      <w:tr>
        <w:trPr>
          <w:trHeight w:val="51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任务6</w:t>
            </w:r>
          </w:p>
        </w:tc>
        <w:tc>
          <w:tcPr>
            <w:tcW w:w="24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良种改良、金川牦牛监测推广</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109.8</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r>
              <w:rPr>
                <w:rFonts w:ascii="宋体" w:eastAsia="宋体" w:cs="宋体" w:hint="eastAsia"/>
                <w:i w:val="0"/>
                <w:iCs w:val="0"/>
                <w:color w:val="000000"/>
                <w:sz w:val="22"/>
                <w:szCs w:val="22"/>
                <w:u w:val="none"/>
                <w:lang w:val="en-US" w:eastAsia="zh-CN"/>
              </w:rPr>
              <w:t>109.8</w:t>
            </w:r>
          </w:p>
        </w:tc>
        <w:tc>
          <w:tcPr>
            <w:tcW w:w="9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2"/>
                <w:szCs w:val="22"/>
                <w:u w:val="none"/>
              </w:rPr>
            </w:pPr>
          </w:p>
        </w:tc>
      </w:tr>
      <w:tr>
        <w:trPr>
          <w:trHeight w:val="51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9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金额总计</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690.35</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22"/>
                <w:szCs w:val="22"/>
                <w:u w:val="none"/>
                <w:lang w:val="en-US"/>
              </w:rPr>
            </w:pPr>
            <w:r>
              <w:rPr>
                <w:rFonts w:ascii="宋体" w:eastAsia="宋体" w:cs="宋体" w:hint="eastAsia"/>
                <w:i w:val="0"/>
                <w:iCs w:val="0"/>
                <w:color w:val="000000"/>
                <w:sz w:val="22"/>
                <w:szCs w:val="22"/>
                <w:u w:val="none"/>
                <w:lang w:val="en-US" w:eastAsia="zh-CN"/>
              </w:rPr>
              <w:t>690.35</w:t>
            </w:r>
          </w:p>
        </w:tc>
        <w:tc>
          <w:tcPr>
            <w:tcW w:w="9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kern w:val="2"/>
                <w:sz w:val="22"/>
                <w:szCs w:val="22"/>
                <w:u w:val="none"/>
                <w:lang w:val="en-US" w:eastAsia="zh-CN" w:bidi="ar-SA"/>
              </w:rPr>
            </w:pPr>
          </w:p>
        </w:tc>
      </w:tr>
      <w:tr>
        <w:trPr>
          <w:trHeight w:val="510"/>
        </w:trPr>
        <w:tc>
          <w:tcPr>
            <w:tcW w:w="102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年度总体目标</w:t>
            </w:r>
          </w:p>
        </w:tc>
        <w:tc>
          <w:tcPr>
            <w:tcW w:w="359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预期目标</w:t>
            </w:r>
          </w:p>
        </w:tc>
        <w:tc>
          <w:tcPr>
            <w:tcW w:w="441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完成目标</w:t>
            </w:r>
          </w:p>
        </w:tc>
      </w:tr>
      <w:tr>
        <w:trPr>
          <w:trHeight w:val="51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9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目标1：完成2024年财务预决算编报工作</w:t>
            </w:r>
          </w:p>
        </w:tc>
        <w:tc>
          <w:tcPr>
            <w:tcW w:w="441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完成2024年财务预算编报工作</w:t>
            </w:r>
          </w:p>
        </w:tc>
      </w:tr>
      <w:tr>
        <w:trPr>
          <w:trHeight w:val="66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9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目标2：畜牧建设、实施、发展</w:t>
            </w:r>
          </w:p>
        </w:tc>
        <w:tc>
          <w:tcPr>
            <w:tcW w:w="441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人事、科教管理，组织科技人员的培训和畜牧兽医科技、法律法规宣传，负责畜牧业生产项目编审、申报和档案管理，畜牧业生产数据的收集和编报。拟定编制畜牧业建设计划，协调争取畜牧业建设项目、监督管理项目实施。</w:t>
            </w:r>
          </w:p>
        </w:tc>
      </w:tr>
      <w:tr>
        <w:trPr>
          <w:trHeight w:val="126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9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目标3：动物疫病防控</w:t>
            </w:r>
          </w:p>
        </w:tc>
        <w:tc>
          <w:tcPr>
            <w:tcW w:w="441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本县动物防疫、检疫、动物产品安全监管和畜产品加工企业驻厂检疫等行政执法工作；负责兽医医政和兽药药政管理；承担动物疫病监测、诊断、流行病学调查研究等技术研究和推广工作，负责乡畜牧兽医站的管理和指导；动物防疫和强制免疫的组织与实施；动物和动物产品检疫；动物疫情调查、监测与报告。</w:t>
            </w:r>
          </w:p>
        </w:tc>
      </w:tr>
      <w:tr>
        <w:trPr>
          <w:trHeight w:val="114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9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目标4：动物检测、监督</w:t>
            </w:r>
          </w:p>
        </w:tc>
        <w:tc>
          <w:tcPr>
            <w:tcW w:w="441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对全县种畜禽生产、经营和全县畜牧业生产实施监督管理。县畜牧业建设项目资金、事业经费的申报和管理；兽药和饲料等养殖投入品的监督管理。</w:t>
            </w:r>
          </w:p>
        </w:tc>
      </w:tr>
      <w:tr>
        <w:trPr>
          <w:trHeight w:val="66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9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目标5：对全县草业规划、建设、生产、草场使用实施监督管理</w:t>
            </w:r>
          </w:p>
        </w:tc>
        <w:tc>
          <w:tcPr>
            <w:tcW w:w="441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负责依法对全县草业规划、建设、生产、草场使用实施监督管理。对全县草场建设、饲草、饲料生产进行技术指导</w:t>
            </w:r>
          </w:p>
        </w:tc>
      </w:tr>
      <w:tr>
        <w:trPr>
          <w:trHeight w:val="288"/>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9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目标6：畜禽良种改良、金川牦牛监测推广</w:t>
            </w:r>
          </w:p>
        </w:tc>
        <w:tc>
          <w:tcPr>
            <w:tcW w:w="441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对全县畜、禽品种改良、优良畜、禽品种引进和繁育实施技术指导，畜牧业实用技术的推广和畜禽品种的引进、试验、示范；草原管理、生产统计等公益性职能，金川牦牛监测推广工作</w:t>
            </w:r>
          </w:p>
        </w:tc>
      </w:tr>
      <w:tr>
        <w:trPr>
          <w:trHeight w:val="440"/>
        </w:trPr>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97"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419"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bl>
    <w:p>
      <w:pPr>
        <w:pStyle w:val="16"/>
        <w:keepNext w:val="0"/>
        <w:keepLines w:val="0"/>
        <w:pageBreakBefore w:val="0"/>
        <w:widowControl w:val="0"/>
        <w:tabs>
          <w:tab w:val="center" w:pos="4153"/>
          <w:tab w:val="right" w:pos="8306"/>
        </w:tabs>
        <w:kinsoku/>
        <w:wordWrap/>
        <w:overflowPunct/>
        <w:topLinePunct w:val="0"/>
        <w:autoSpaceDE/>
        <w:autoSpaceDN/>
        <w:bidi w:val="0"/>
        <w:adjustRightInd/>
        <w:snapToGrid w:val="0"/>
        <w:spacing w:line="520" w:lineRule="exact"/>
        <w:ind w:left="0" w:firstLineChars="200" w:firstLine="640"/>
        <w:textAlignment w:val="auto"/>
        <w:rPr>
          <w:rFonts w:ascii="仿宋_GB2312" w:eastAsia="仿宋_GB2312" w:cs="仿宋_GB2312" w:hint="eastAsia"/>
          <w:sz w:val="32"/>
          <w:szCs w:val="32"/>
          <w:lang w:val="en-US" w:eastAsia="zh-CN"/>
        </w:rPr>
      </w:pP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黑体" w:eastAsia="黑体" w:cs="黑体" w:hint="eastAsia"/>
          <w:sz w:val="32"/>
          <w:szCs w:val="32"/>
          <w:lang w:val="en-US" w:eastAsia="zh-CN"/>
        </w:rPr>
      </w:pPr>
      <w:r>
        <w:rPr>
          <w:rFonts w:ascii="黑体" w:eastAsia="黑体" w:cs="黑体" w:hint="eastAsia"/>
          <w:sz w:val="32"/>
          <w:szCs w:val="32"/>
          <w:lang w:val="en-US" w:eastAsia="zh-CN"/>
        </w:rPr>
        <w:t>三、重点项目绩效目标。</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sz w:val="32"/>
          <w:szCs w:val="32"/>
          <w:lang w:val="en-US" w:eastAsia="zh-CN"/>
        </w:rPr>
        <w:t>重点项目：2024年</w:t>
      </w:r>
      <w:r>
        <w:rPr>
          <w:rFonts w:ascii="仿宋_GB2312" w:eastAsia="仿宋_GB2312" w:cs="仿宋_GB2312" w:hint="eastAsia"/>
          <w:kern w:val="2"/>
          <w:sz w:val="32"/>
          <w:szCs w:val="32"/>
          <w:lang w:val="zh-TW" w:eastAsia="zh-TW" w:bidi="ar-SA"/>
        </w:rPr>
        <w:t>村级动物防疫员补助经费项目</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sz w:val="32"/>
          <w:szCs w:val="32"/>
          <w:lang w:val="en-US" w:eastAsia="zh-CN"/>
        </w:rPr>
        <w:t>项目年度绩效目标：</w:t>
      </w:r>
      <w:r>
        <w:rPr>
          <w:rFonts w:ascii="仿宋_GB2312" w:eastAsia="仿宋_GB2312" w:cs="仿宋_GB2312" w:hint="eastAsia"/>
          <w:kern w:val="2"/>
          <w:sz w:val="32"/>
          <w:szCs w:val="32"/>
          <w:lang w:val="zh-TW" w:eastAsia="zh-TW" w:bidi="ar-SA"/>
        </w:rPr>
        <w:t>认真贯彻落实农业农村部和省、州重大动物疫病防控指挥部有关文件精神，紧紧围绕高致病性禽流感、口蹄疫、小反刍兽疫、布病、</w:t>
      </w:r>
      <w:r>
        <w:rPr>
          <w:rFonts w:ascii="仿宋_GB2312" w:eastAsia="仿宋_GB2312" w:cs="仿宋_GB2312" w:hint="eastAsia"/>
          <w:kern w:val="2"/>
          <w:sz w:val="32"/>
          <w:szCs w:val="32"/>
          <w:lang w:val="zh-TW" w:eastAsia="zh-CN" w:bidi="ar-SA"/>
        </w:rPr>
        <w:t>棘球蚴病</w:t>
      </w:r>
      <w:r>
        <w:rPr>
          <w:rFonts w:ascii="仿宋_GB2312" w:eastAsia="仿宋_GB2312" w:cs="仿宋_GB2312" w:hint="eastAsia"/>
          <w:kern w:val="2"/>
          <w:sz w:val="32"/>
          <w:szCs w:val="32"/>
          <w:lang w:val="zh-TW" w:eastAsia="zh-TW" w:bidi="ar-SA"/>
        </w:rPr>
        <w:t>等防控工作重点，狠抓强制免疫、疫情监测、检疫监管等工作环节，落实强制免疫村级防疫保障，确保我县无重大动物疫情发生，促进养殖业健康稳定高质量发展和人民群众身体健康。</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仿宋_GB2312" w:hint="eastAsia"/>
          <w:kern w:val="2"/>
          <w:sz w:val="32"/>
          <w:szCs w:val="32"/>
          <w:lang w:val="zh-TW" w:eastAsia="zh-TW" w:bidi="ar-SA"/>
        </w:rPr>
      </w:pPr>
      <w:r>
        <w:rPr>
          <w:rFonts w:ascii="仿宋_GB2312" w:eastAsia="仿宋_GB2312" w:cs="仿宋_GB2312" w:hint="eastAsia"/>
          <w:kern w:val="2"/>
          <w:sz w:val="32"/>
          <w:szCs w:val="32"/>
          <w:lang w:val="zh-TW" w:eastAsia="zh-TW" w:bidi="ar-SA"/>
        </w:rPr>
        <w:t>项目绩效目标情况具体如下：</w:t>
      </w:r>
      <w:r>
        <w:rPr>
          <w:rFonts w:ascii="仿宋_GB2312" w:eastAsia="仿宋_GB2312" w:cs="仿宋_GB2312" w:hint="eastAsia"/>
          <w:kern w:val="2"/>
          <w:sz w:val="32"/>
          <w:szCs w:val="32"/>
          <w:lang w:val="en-US" w:eastAsia="zh-TW" w:bidi="ar-SA"/>
        </w:rPr>
        <w:t>1</w:t>
      </w:r>
      <w:r>
        <w:rPr>
          <w:rFonts w:ascii="仿宋_GB2312" w:eastAsia="仿宋_GB2312" w:cs="仿宋_GB2312" w:hint="eastAsia"/>
          <w:kern w:val="2"/>
          <w:sz w:val="32"/>
          <w:szCs w:val="32"/>
          <w:lang w:val="zh-TW" w:eastAsia="zh-TW" w:bidi="ar-SA"/>
        </w:rPr>
        <w:t>、时效目标：所有项目在</w:t>
      </w:r>
      <w:r>
        <w:rPr>
          <w:rFonts w:ascii="仿宋_GB2312" w:eastAsia="仿宋_GB2312" w:cs="仿宋_GB2312" w:hint="eastAsia"/>
          <w:kern w:val="2"/>
          <w:sz w:val="32"/>
          <w:szCs w:val="32"/>
          <w:lang w:val="en-US" w:eastAsia="zh-CN" w:bidi="ar-SA"/>
        </w:rPr>
        <w:t>2024</w:t>
      </w:r>
      <w:r>
        <w:rPr>
          <w:rFonts w:ascii="仿宋_GB2312" w:eastAsia="仿宋_GB2312" w:cs="仿宋_GB2312" w:hint="eastAsia"/>
          <w:kern w:val="2"/>
          <w:sz w:val="32"/>
          <w:szCs w:val="32"/>
          <w:lang w:val="zh-TW" w:eastAsia="zh-TW" w:bidi="ar-SA"/>
        </w:rPr>
        <w:t>年底前完成。</w:t>
      </w:r>
      <w:r>
        <w:rPr>
          <w:rFonts w:ascii="仿宋_GB2312" w:eastAsia="仿宋_GB2312" w:cs="仿宋_GB2312" w:hint="eastAsia"/>
          <w:kern w:val="2"/>
          <w:sz w:val="32"/>
          <w:szCs w:val="32"/>
          <w:lang w:val="en-US" w:eastAsia="zh-TW" w:bidi="ar-SA"/>
        </w:rPr>
        <w:t>2</w:t>
      </w:r>
      <w:r>
        <w:rPr>
          <w:rFonts w:ascii="仿宋_GB2312" w:eastAsia="仿宋_GB2312" w:cs="仿宋_GB2312" w:hint="eastAsia"/>
          <w:kern w:val="2"/>
          <w:sz w:val="32"/>
          <w:szCs w:val="32"/>
          <w:lang w:val="zh-TW" w:eastAsia="zh-TW" w:bidi="ar-SA"/>
        </w:rPr>
        <w:t>、成本目标：</w:t>
      </w:r>
      <w:r>
        <w:rPr>
          <w:rFonts w:ascii="仿宋_GB2312" w:eastAsia="仿宋_GB2312" w:cs="仿宋_GB2312" w:hint="eastAsia"/>
          <w:kern w:val="2"/>
          <w:sz w:val="32"/>
          <w:szCs w:val="32"/>
          <w:lang w:val="en-US" w:eastAsia="zh-CN" w:bidi="ar-SA"/>
        </w:rPr>
        <w:t>2024</w:t>
      </w:r>
      <w:r>
        <w:rPr>
          <w:rFonts w:ascii="仿宋_GB2312" w:eastAsia="仿宋_GB2312" w:cs="仿宋_GB2312"/>
          <w:kern w:val="2"/>
          <w:sz w:val="32"/>
          <w:szCs w:val="32"/>
          <w:lang w:val="en-US" w:eastAsia="zh-CN" w:bidi="ar-SA"/>
        </w:rPr>
        <w:t>年</w:t>
      </w:r>
      <w:bookmarkStart w:id="0" w:name="_GoBack"/>
      <w:bookmarkEnd w:id="0"/>
      <w:r>
        <w:rPr>
          <w:rFonts w:ascii="仿宋_GB2312" w:eastAsia="仿宋_GB2312" w:cs="仿宋_GB2312" w:hint="eastAsia"/>
          <w:kern w:val="2"/>
          <w:sz w:val="32"/>
          <w:szCs w:val="32"/>
          <w:lang w:val="zh-TW" w:eastAsia="zh-TW" w:bidi="ar-SA"/>
        </w:rPr>
        <w:t>县级财政资金</w:t>
      </w:r>
      <w:r>
        <w:rPr>
          <w:rFonts w:ascii="仿宋_GB2312" w:eastAsia="仿宋_GB2312" w:cs="仿宋_GB2312" w:hint="eastAsia"/>
          <w:kern w:val="2"/>
          <w:sz w:val="32"/>
          <w:szCs w:val="32"/>
          <w:lang w:val="en-US" w:eastAsia="zh-TW" w:bidi="ar-SA"/>
        </w:rPr>
        <w:t>10.464</w:t>
      </w:r>
      <w:r>
        <w:rPr>
          <w:rFonts w:ascii="仿宋_GB2312" w:eastAsia="仿宋_GB2312" w:cs="仿宋_GB2312" w:hint="eastAsia"/>
          <w:kern w:val="2"/>
          <w:sz w:val="32"/>
          <w:szCs w:val="32"/>
          <w:lang w:val="zh-TW" w:eastAsia="zh-TW" w:bidi="ar-SA"/>
        </w:rPr>
        <w:t>万元。经费用于</w:t>
      </w:r>
      <w:r>
        <w:rPr>
          <w:rFonts w:ascii="仿宋_GB2312" w:eastAsia="仿宋_GB2312" w:cs="仿宋_GB2312" w:hint="eastAsia"/>
          <w:kern w:val="2"/>
          <w:sz w:val="32"/>
          <w:szCs w:val="32"/>
          <w:lang w:val="en-US" w:eastAsia="zh-CN" w:bidi="ar-SA"/>
        </w:rPr>
        <w:t>2024</w:t>
      </w:r>
      <w:r>
        <w:rPr>
          <w:rFonts w:ascii="仿宋_GB2312" w:eastAsia="仿宋_GB2312" w:cs="仿宋_GB2312" w:hint="eastAsia"/>
          <w:kern w:val="2"/>
          <w:sz w:val="32"/>
          <w:szCs w:val="32"/>
          <w:lang w:val="zh-TW" w:eastAsia="zh-TW" w:bidi="ar-SA"/>
        </w:rPr>
        <w:t>年动物疫病防控村防疫员生活补助费。</w:t>
      </w:r>
      <w:r>
        <w:rPr>
          <w:rFonts w:ascii="仿宋_GB2312" w:eastAsia="仿宋_GB2312" w:cs="仿宋_GB2312" w:hint="eastAsia"/>
          <w:kern w:val="2"/>
          <w:sz w:val="32"/>
          <w:szCs w:val="32"/>
          <w:lang w:val="en-US" w:eastAsia="zh-TW" w:bidi="ar-SA"/>
        </w:rPr>
        <w:t>3</w:t>
      </w:r>
      <w:r>
        <w:rPr>
          <w:rFonts w:ascii="仿宋_GB2312" w:eastAsia="仿宋_GB2312" w:cs="仿宋_GB2312" w:hint="eastAsia"/>
          <w:kern w:val="2"/>
          <w:sz w:val="32"/>
          <w:szCs w:val="32"/>
          <w:lang w:val="zh-TW" w:eastAsia="zh-TW" w:bidi="ar-SA"/>
        </w:rPr>
        <w:t>、数量目标：完成全县</w:t>
      </w:r>
      <w:r>
        <w:rPr>
          <w:rFonts w:ascii="仿宋_GB2312" w:eastAsia="仿宋_GB2312" w:cs="仿宋_GB2312" w:hint="eastAsia"/>
          <w:kern w:val="2"/>
          <w:sz w:val="32"/>
          <w:szCs w:val="32"/>
          <w:lang w:val="en-US" w:eastAsia="zh-TW" w:bidi="ar-SA"/>
        </w:rPr>
        <w:t>85</w:t>
      </w:r>
      <w:r>
        <w:rPr>
          <w:rFonts w:ascii="仿宋_GB2312" w:eastAsia="仿宋_GB2312" w:cs="仿宋_GB2312" w:hint="eastAsia"/>
          <w:kern w:val="2"/>
          <w:sz w:val="32"/>
          <w:szCs w:val="32"/>
          <w:lang w:val="zh-TW" w:eastAsia="zh-TW" w:bidi="ar-SA"/>
        </w:rPr>
        <w:t>个村（</w:t>
      </w:r>
      <w:r>
        <w:rPr>
          <w:rFonts w:ascii="仿宋_GB2312" w:eastAsia="仿宋_GB2312" w:cs="仿宋_GB2312" w:hint="eastAsia"/>
          <w:kern w:val="2"/>
          <w:sz w:val="32"/>
          <w:szCs w:val="32"/>
          <w:lang w:val="en-US" w:eastAsia="zh-TW" w:bidi="ar-SA"/>
        </w:rPr>
        <w:t>109</w:t>
      </w:r>
      <w:r>
        <w:rPr>
          <w:rFonts w:ascii="仿宋_GB2312" w:eastAsia="仿宋_GB2312" w:cs="仿宋_GB2312" w:hint="eastAsia"/>
          <w:kern w:val="2"/>
          <w:sz w:val="32"/>
          <w:szCs w:val="32"/>
          <w:lang w:val="zh-TW" w:eastAsia="zh-TW" w:bidi="ar-SA"/>
        </w:rPr>
        <w:t>个点）重大动物疫病防疫工作。</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zh-TW" w:eastAsia="zh-TW" w:bidi="ar-SA"/>
        </w:rPr>
        <w:t>项目绩效目标全面完整，契合习近平总书记关于加强国家生物安全风险防控和治理体系建设指示精神，坚持人病兽防、关口前移，从源头前端阻断人畜共患病的传播路径的防控理念，预计区域内农牧民满意度达</w:t>
      </w:r>
      <w:r>
        <w:rPr>
          <w:rFonts w:ascii="仿宋_GB2312" w:eastAsia="仿宋_GB2312" w:cs="仿宋_GB2312" w:hint="eastAsia"/>
          <w:kern w:val="2"/>
          <w:sz w:val="32"/>
          <w:szCs w:val="32"/>
          <w:lang w:val="en-US" w:eastAsia="zh-TW" w:bidi="ar-SA"/>
        </w:rPr>
        <w:t>9</w:t>
      </w:r>
      <w:r>
        <w:rPr>
          <w:rFonts w:ascii="仿宋_GB2312" w:eastAsia="仿宋_GB2312" w:cs="仿宋_GB2312" w:hint="eastAsia"/>
          <w:kern w:val="2"/>
          <w:sz w:val="32"/>
          <w:szCs w:val="32"/>
          <w:lang w:val="en-US" w:eastAsia="zh-CN" w:bidi="ar-SA"/>
        </w:rPr>
        <w:t>5</w:t>
      </w:r>
      <w:r>
        <w:rPr>
          <w:rFonts w:ascii="仿宋_GB2312" w:eastAsia="仿宋_GB2312" w:cs="仿宋_GB2312" w:hint="eastAsia"/>
          <w:kern w:val="2"/>
          <w:sz w:val="32"/>
          <w:szCs w:val="32"/>
          <w:lang w:val="en-US" w:eastAsia="zh-TW" w:bidi="ar-SA"/>
        </w:rPr>
        <w:t>%</w:t>
      </w:r>
      <w:r>
        <w:rPr>
          <w:rFonts w:ascii="仿宋_GB2312" w:eastAsia="仿宋_GB2312" w:cs="仿宋_GB2312" w:hint="eastAsia"/>
          <w:kern w:val="2"/>
          <w:sz w:val="32"/>
          <w:szCs w:val="32"/>
          <w:lang w:val="zh-TW" w:eastAsia="zh-TW" w:bidi="ar-SA"/>
        </w:rPr>
        <w:t>以上。</w:t>
      </w:r>
    </w:p>
    <w:tbl>
      <w:tblPr>
        <w:tblpPr w:leftFromText="180" w:rightFromText="180" w:vertAnchor="page" w:horzAnchor="page" w:tblpXSpec="center" w:tblpY="7630"/>
        <w:tblOverlap w:val="never"/>
        <w:tblW w:w="8971"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267"/>
        <w:gridCol w:w="2424"/>
        <w:gridCol w:w="3948"/>
        <w:gridCol w:w="1332"/>
      </w:tblGrid>
      <w:tr>
        <w:trPr>
          <w:trHeight w:val="285"/>
        </w:trPr>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一级指标</w:t>
            </w:r>
          </w:p>
        </w:tc>
        <w:tc>
          <w:tcPr>
            <w:tcW w:w="24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二级指标</w:t>
            </w: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三级指标</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0"/>
                <w:szCs w:val="20"/>
                <w:u w:val="none"/>
              </w:rPr>
            </w:pPr>
            <w:r>
              <w:rPr>
                <w:rFonts w:ascii="宋体" w:eastAsia="宋体" w:cs="宋体" w:hint="eastAsia"/>
                <w:b/>
                <w:bCs/>
                <w:i w:val="0"/>
                <w:iCs w:val="0"/>
                <w:color w:val="000000"/>
                <w:kern w:val="0"/>
                <w:sz w:val="20"/>
                <w:szCs w:val="20"/>
                <w:u w:val="none"/>
                <w:lang w:val="en-US" w:eastAsia="zh-CN"/>
              </w:rPr>
              <w:t>指标值</w:t>
            </w:r>
          </w:p>
        </w:tc>
      </w:tr>
      <w:tr>
        <w:trPr>
          <w:trHeight w:val="720"/>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产出指标</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数量指标</w:t>
            </w: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完成全县猪3.57万头、羊1.24万只、牛9.52万头、禽15.96万羽的重大动物疫病免疫工作</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48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完成棘球蚴病犬只3551只驱虫工作、羊棘球蚴病免疫工作</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20"/>
                <w:szCs w:val="20"/>
                <w:u w:val="none"/>
                <w:lang w:val="en-US"/>
              </w:rPr>
            </w:pPr>
            <w:r>
              <w:rPr>
                <w:rFonts w:ascii="宋体" w:eastAsia="宋体" w:cs="宋体" w:hint="eastAsia"/>
                <w:i w:val="0"/>
                <w:iCs w:val="0"/>
                <w:color w:val="000000"/>
                <w:kern w:val="0"/>
                <w:sz w:val="20"/>
                <w:szCs w:val="20"/>
                <w:u w:val="none"/>
                <w:lang w:val="en-US" w:eastAsia="zh-CN"/>
              </w:rPr>
              <w:t>3551</w:t>
            </w:r>
          </w:p>
        </w:tc>
      </w:tr>
      <w:tr>
        <w:trPr>
          <w:trHeight w:val="27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r>
      <w:tr>
        <w:trPr>
          <w:trHeight w:val="27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质量指标</w:t>
            </w: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重点动物疫病免疫抗体合格率</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70</w:t>
            </w:r>
          </w:p>
        </w:tc>
      </w:tr>
      <w:tr>
        <w:trPr>
          <w:trHeight w:val="27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病死牲畜无害化处理率</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85"/>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时效指标</w:t>
            </w: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2024年12月前</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70"/>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成本指标</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经济成本指标</w:t>
            </w: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村级防疫员每人每年生活补助</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960</w:t>
            </w:r>
          </w:p>
        </w:tc>
      </w:tr>
      <w:tr>
        <w:trPr>
          <w:trHeight w:val="27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70</w:t>
            </w:r>
          </w:p>
        </w:tc>
      </w:tr>
      <w:tr>
        <w:trPr>
          <w:trHeight w:val="285"/>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效益指标</w:t>
            </w:r>
          </w:p>
        </w:tc>
        <w:tc>
          <w:tcPr>
            <w:tcW w:w="24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经济效益指标</w:t>
            </w: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提高村防疫员收入</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10.464</w:t>
            </w:r>
          </w:p>
        </w:tc>
      </w:tr>
      <w:tr>
        <w:trPr>
          <w:trHeight w:val="27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社会效益指标</w:t>
            </w: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覆盖全县19个乡</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19</w:t>
            </w:r>
          </w:p>
        </w:tc>
      </w:tr>
      <w:tr>
        <w:trPr>
          <w:trHeight w:val="27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农牧民对政策知晓率</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r>
      <w:tr>
        <w:trPr>
          <w:trHeight w:val="27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r>
      <w:tr>
        <w:trPr>
          <w:trHeight w:val="27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生态效益指标</w:t>
            </w: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22"/>
                <w:szCs w:val="22"/>
                <w:u w:val="none"/>
              </w:rPr>
            </w:pP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r>
      <w:tr>
        <w:trPr>
          <w:trHeight w:val="27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22"/>
                <w:szCs w:val="22"/>
                <w:u w:val="none"/>
              </w:rPr>
            </w:pP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r>
      <w:tr>
        <w:trPr>
          <w:trHeight w:val="27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22"/>
                <w:szCs w:val="22"/>
                <w:u w:val="none"/>
              </w:rPr>
            </w:pP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r>
      <w:tr>
        <w:trPr>
          <w:trHeight w:val="27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可持续影响指标</w:t>
            </w:r>
          </w:p>
        </w:tc>
        <w:tc>
          <w:tcPr>
            <w:tcW w:w="394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20"/>
                <w:szCs w:val="20"/>
                <w:u w:val="none"/>
                <w:lang w:val="en-US" w:eastAsia="zh-CN"/>
              </w:rPr>
              <w:t>科学防治，有效预防和控制重大动物疫情发生，确保不发生区域性重大动物疫病。</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有效</w:t>
            </w:r>
          </w:p>
        </w:tc>
      </w:tr>
      <w:tr>
        <w:trPr>
          <w:trHeight w:val="270"/>
        </w:trPr>
        <w:tc>
          <w:tcPr>
            <w:tcW w:w="12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4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0"/>
                <w:szCs w:val="20"/>
                <w:u w:val="none"/>
              </w:rPr>
            </w:pPr>
          </w:p>
        </w:tc>
      </w:tr>
      <w:tr>
        <w:trPr>
          <w:trHeight w:val="285"/>
        </w:trPr>
        <w:tc>
          <w:tcPr>
            <w:tcW w:w="12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满意度指标</w:t>
            </w:r>
          </w:p>
        </w:tc>
        <w:tc>
          <w:tcPr>
            <w:tcW w:w="24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服务对象满意度指标</w:t>
            </w:r>
          </w:p>
        </w:tc>
        <w:tc>
          <w:tcPr>
            <w:tcW w:w="39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20"/>
                <w:szCs w:val="20"/>
                <w:u w:val="none"/>
                <w:lang w:val="en-US" w:eastAsia="zh-CN"/>
              </w:rPr>
              <w:t>区域内新型主体和农牧民满意度</w:t>
            </w:r>
          </w:p>
        </w:tc>
        <w:tc>
          <w:tcPr>
            <w:tcW w:w="1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20"/>
                <w:szCs w:val="20"/>
                <w:u w:val="none"/>
                <w:lang w:val="en-US" w:eastAsia="zh-CN"/>
              </w:rPr>
              <w:t>95</w:t>
            </w:r>
          </w:p>
        </w:tc>
      </w:tr>
    </w:tbl>
    <w:p>
      <w:pPr>
        <w:pStyle w:val="19"/>
        <w:spacing w:line="560" w:lineRule="exact"/>
        <w:ind w:left="0" w:firstLineChars="200" w:firstLine="640"/>
        <w:jc w:val="center"/>
        <w:rPr>
          <w:rFonts w:ascii="仿宋_GB2312" w:eastAsia="仿宋_GB2312" w:cs="仿宋_GB2312" w:hint="eastAsia"/>
          <w:sz w:val="32"/>
          <w:szCs w:val="32"/>
          <w:lang w:val="en-US" w:eastAsia="zh-CN"/>
        </w:rPr>
      </w:pPr>
      <w:r>
        <w:rPr>
          <w:rFonts w:ascii="仿宋" w:eastAsia="仿宋" w:cs="仿宋"/>
          <w:lang w:val="zh-TW" w:eastAsia="zh-TW"/>
        </w:rPr>
        <w:t>村级动物防疫员补助经费</w:t>
      </w:r>
      <w:r>
        <w:rPr>
          <w:rFonts w:ascii="仿宋_GB2312" w:eastAsia="仿宋_GB2312" w:hint="eastAsia"/>
        </w:rPr>
        <w:t>项目绩效目标表</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仿宋_GB2312">
    <w:altName w:val="仿宋"/>
    <w:panose1 w:val="02010609030101010101"/>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AFF" w:usb1="C0007841" w:usb2="00000009" w:usb3="00000000" w:csb0="400001FF" w:csb1="FFFF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5"/>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mU1MDk4MWIzNDEyODQ2ODg3Y2MxMGQ4ZGYxY2QxN2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16">
    <w:name w:val="footer"/>
    <w:basedOn w:val="0"/>
    <w:pPr>
      <w:tabs>
        <w:tab w:val="center" w:pos="4153"/>
        <w:tab w:val="right" w:pos="8306"/>
      </w:tabs>
      <w:snapToGrid w:val="0"/>
      <w:jc w:val="left"/>
    </w:pPr>
    <w:rPr>
      <w:sz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spacing w:before="0" w:beforeAutospacing="1" w:after="0" w:afterAutospacing="1"/>
      <w:ind w:left="0" w:right="0"/>
      <w:jc w:val="left"/>
    </w:pPr>
    <w:rPr>
      <w:kern w:val="0"/>
      <w:sz w:val="24"/>
      <w:lang w:val="en-US" w:eastAsia="zh-CN"/>
    </w:rPr>
  </w:style>
  <w:style w:type="paragraph" w:customStyle="1" w:styleId="19">
    <w:name w:val="NormalIndent"/>
    <w:next w:val="17"/>
    <w:pPr>
      <w:widowControl w:val="0"/>
      <w:ind w:firstLineChars="200" w:firstLine="200"/>
      <w:jc w:val="both"/>
    </w:pPr>
    <w:rPr>
      <w:rFonts w:ascii="Times New Roman" w:eastAsia="仿宋_GB2312" w:cs="Times New Roman" w:hAnsi="Times New Roman"/>
      <w:kern w:val="2"/>
      <w:sz w:val="32"/>
      <w:szCs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15</TotalTime>
  <Application>Yozo_Office27021597764231179</Application>
  <Pages>3</Pages>
  <Words>1614</Words>
  <Characters>1770</Characters>
  <Lines>179</Lines>
  <Paragraphs>104</Paragraphs>
  <CharactersWithSpaces>1772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1</cp:revision>
  <dcterms:created xsi:type="dcterms:W3CDTF">2023-02-06T06:46:00Z</dcterms:created>
  <dcterms:modified xsi:type="dcterms:W3CDTF">2024-03-01T01:20:26Z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2052-12.1.0.16388</vt:lpwstr>
  </property>
  <property fmtid="{D5CDD505-2E9C-101B-9397-08002B2CF9AE}" pid="3" name="ICV">
    <vt:lpwstr>B013A2EA00DB4085B33A2CE7C5C012B3_13</vt:lpwstr>
  </property>
</Properties>
</file>