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settings.xml" ContentType="application/vnd.openxmlformats-officedocument.wordprocessingml.settings+xml"/>
  <Override PartName="/word/header1.xml" ContentType="application/vnd.openxmlformats-officedocument.wordprocessingml.header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="http://schemas.openxmlformats.org/wordprocessingml/2006/main" xmlns:o="urn:schemas-microsoft-com:office:office" xmlns:r="http://schemas.openxmlformats.org/officeDocument/2006/relationships" xmlns:m="http://schemas.openxmlformats.org/officeDocument/2006/math" xmlns:v="urn:schemas-microsoft-com:vml" xmlns:a="http://schemas.openxmlformats.org/drawingml/2006/main" xmlns:wps="http://schemas.microsoft.com/office/word/2010/wordprocessingShape" xmlns:wp="http://schemas.openxmlformats.org/drawingml/2006/wordprocessingDrawing" xmlns:pic="http://schemas.openxmlformats.org/drawingml/2006/picture" xmlns:mc="http://schemas.openxmlformats.org/markup-compatibility/2006" xmlns:wpg="http://schemas.microsoft.com/office/word/2010/wordprocessingGroup" xmlns:wpc="http://schemas.microsoft.com/office/word/2010/wordprocessingCanvas" xmlns:w10="urn:schemas-microsoft-com:office:word" xmlns:w14="http://schemas.microsoft.com/office/word/2010/wordml" xmlns:w15="http://schemas.microsoft.com/office/word/2012/wordml" xmlns:a14="http://schemas.microsoft.com/office/drawing/2010/main" mc:Ignorable="w14 w15">
  <w:body>
    <w:p>
      <w:pPr>
        <w:widowControl/>
        <w:spacing w:line="480" w:lineRule="atLeast"/>
        <w:ind w:firstLine="60"/>
        <w:jc w:val="center"/>
        <w:rPr>
          <w:rFonts w:ascii="方正小标宋简体" w:eastAsia="方正小标宋简体" w:cs="方正小标宋简体"/>
          <w:b/>
          <w:color w:val="333333"/>
          <w:kern w:val="0"/>
          <w:sz w:val="36"/>
          <w:szCs w:val="36"/>
        </w:rPr>
      </w:pPr>
      <w:r>
        <w:rPr>
          <w:rFonts w:ascii="方正小标宋简体" w:eastAsia="方正小标宋简体" w:cs="方正小标宋简体" w:hint="eastAsia"/>
          <w:b/>
          <w:color w:val="333333"/>
          <w:kern w:val="0"/>
          <w:sz w:val="36"/>
          <w:szCs w:val="36"/>
        </w:rPr>
        <w:t>金川县畜牧兽医服务中心</w:t>
      </w:r>
    </w:p>
    <w:p>
      <w:pPr>
        <w:widowControl/>
        <w:spacing w:line="480" w:lineRule="atLeast"/>
        <w:ind w:firstLine="60"/>
        <w:jc w:val="center"/>
        <w:rPr>
          <w:rFonts w:ascii="方正小标宋简体" w:eastAsia="方正小标宋简体" w:cs="方正小标宋简体"/>
          <w:b/>
          <w:kern w:val="0"/>
          <w:sz w:val="36"/>
          <w:szCs w:val="36"/>
        </w:rPr>
      </w:pPr>
      <w:r>
        <w:rPr>
          <w:rFonts w:ascii="方正小标宋简体" w:eastAsia="方正小标宋简体" w:cs="方正小标宋简体" w:hint="eastAsia"/>
          <w:b/>
          <w:kern w:val="0"/>
          <w:sz w:val="36"/>
          <w:szCs w:val="36"/>
          <w:lang w:eastAsia="zh-CN"/>
        </w:rPr>
        <w:t>2024</w:t>
      </w:r>
      <w:r>
        <w:rPr>
          <w:rFonts w:ascii="方正小标宋简体" w:eastAsia="方正小标宋简体" w:cs="方正小标宋简体" w:hint="eastAsia"/>
          <w:b/>
          <w:kern w:val="0"/>
          <w:sz w:val="36"/>
          <w:szCs w:val="36"/>
        </w:rPr>
        <w:t>年“三公”经费预算情况说明</w:t>
      </w:r>
    </w:p>
    <w:p>
      <w:pPr>
        <w:widowControl/>
        <w:spacing w:line="480" w:lineRule="atLeast"/>
        <w:ind w:firstLine="60"/>
        <w:jc w:val="center"/>
        <w:rPr>
          <w:rFonts w:ascii="方正小标宋简体" w:eastAsia="方正小标宋简体" w:cs="方正小标宋简体"/>
          <w:b/>
          <w:color w:val="333333"/>
          <w:kern w:val="0"/>
          <w:sz w:val="36"/>
          <w:szCs w:val="36"/>
        </w:rPr>
      </w:pPr>
    </w:p>
    <w:p>
      <w:pPr>
        <w:widowControl/>
        <w:spacing w:line="480" w:lineRule="atLeast"/>
        <w:ind w:firstLineChars="128" w:firstLine="410"/>
        <w:rPr>
          <w:rFonts w:ascii="Times New Roman" w:eastAsia="方正仿宋_GBK" w:cs="Times New Roman" w:hAnsi="Times New Roman"/>
          <w:color w:val="333333"/>
          <w:kern w:val="0"/>
          <w:sz w:val="32"/>
          <w:szCs w:val="32"/>
        </w:rPr>
      </w:pPr>
      <w:r>
        <w:rPr>
          <w:rFonts w:ascii="仿宋_GB2312" w:eastAsia="仿宋_GB2312" w:cs="仿宋_GB2312" w:hint="eastAsia"/>
          <w:color w:val="333333"/>
          <w:kern w:val="0"/>
          <w:sz w:val="32"/>
          <w:szCs w:val="32"/>
        </w:rPr>
        <w:t>我中心财政拨款“三公”经费</w:t>
      </w:r>
      <w:r>
        <w:rPr>
          <w:rFonts w:ascii="仿宋_GB2312" w:eastAsia="仿宋_GB2312" w:cs="仿宋_GB2312" w:hint="eastAsia"/>
          <w:color w:val="333333"/>
          <w:kern w:val="0"/>
          <w:sz w:val="32"/>
          <w:szCs w:val="32"/>
          <w:lang w:eastAsia="zh-CN"/>
        </w:rPr>
        <w:t>2024</w:t>
      </w:r>
      <w:r>
        <w:rPr>
          <w:rFonts w:ascii="仿宋_GB2312" w:eastAsia="仿宋_GB2312" w:cs="仿宋_GB2312" w:hint="eastAsia"/>
          <w:color w:val="333333"/>
          <w:kern w:val="0"/>
          <w:sz w:val="32"/>
          <w:szCs w:val="32"/>
        </w:rPr>
        <w:t>年预算情况如下：</w:t>
      </w:r>
      <w:r>
        <w:rPr>
          <w:rFonts w:ascii="仿宋_GB2312" w:eastAsia="仿宋_GB2312" w:cs="仿宋_GB2312"/>
          <w:color w:val="333333"/>
          <w:kern w:val="0"/>
          <w:sz w:val="32"/>
          <w:szCs w:val="32"/>
        </w:rPr>
        <w:br/>
      </w:r>
      <w:r>
        <w:rPr>
          <w:rFonts w:ascii="仿宋_GB2312" w:eastAsia="仿宋_GB2312" w:cs="仿宋_GB2312" w:hint="eastAsia"/>
          <w:color w:val="333333"/>
          <w:kern w:val="0"/>
          <w:sz w:val="32"/>
          <w:szCs w:val="32"/>
        </w:rPr>
        <w:t>　　一、因公出国（境）经费</w:t>
      </w:r>
      <w:r>
        <w:rPr>
          <w:rFonts w:ascii="仿宋_GB2312" w:eastAsia="仿宋_GB2312" w:cs="仿宋_GB2312"/>
          <w:color w:val="333333"/>
          <w:kern w:val="0"/>
          <w:sz w:val="32"/>
          <w:szCs w:val="32"/>
        </w:rPr>
        <w:br/>
      </w:r>
      <w:r>
        <w:rPr>
          <w:rFonts w:ascii="仿宋_GB2312" w:eastAsia="仿宋_GB2312" w:cs="仿宋_GB2312" w:hint="eastAsia"/>
          <w:color w:val="333333"/>
          <w:kern w:val="0"/>
          <w:sz w:val="32"/>
          <w:szCs w:val="32"/>
        </w:rPr>
        <w:t>　　</w:t>
      </w:r>
      <w:r>
        <w:rPr>
          <w:rFonts w:ascii="仿宋_GB2312" w:eastAsia="仿宋_GB2312" w:cs="仿宋_GB2312" w:hint="eastAsia"/>
          <w:color w:val="333333"/>
          <w:kern w:val="0"/>
          <w:sz w:val="32"/>
          <w:szCs w:val="32"/>
          <w:lang w:eastAsia="zh-CN"/>
        </w:rPr>
        <w:t>2024</w:t>
      </w:r>
      <w:r>
        <w:rPr>
          <w:rFonts w:ascii="仿宋_GB2312" w:eastAsia="仿宋_GB2312" w:cs="仿宋_GB2312" w:hint="eastAsia"/>
          <w:color w:val="333333"/>
          <w:kern w:val="0"/>
          <w:sz w:val="32"/>
          <w:szCs w:val="32"/>
        </w:rPr>
        <w:t>年预算安排出国出境安排</w:t>
      </w:r>
      <w:r>
        <w:rPr>
          <w:rFonts w:ascii="仿宋_GB2312" w:eastAsia="仿宋_GB2312" w:cs="仿宋_GB2312"/>
          <w:color w:val="333333"/>
          <w:kern w:val="0"/>
          <w:sz w:val="32"/>
          <w:szCs w:val="32"/>
        </w:rPr>
        <w:t>0</w:t>
      </w:r>
      <w:r>
        <w:rPr>
          <w:rFonts w:ascii="仿宋_GB2312" w:eastAsia="仿宋_GB2312" w:cs="仿宋_GB2312" w:hint="eastAsia"/>
          <w:color w:val="333333"/>
          <w:kern w:val="0"/>
          <w:sz w:val="32"/>
          <w:szCs w:val="32"/>
        </w:rPr>
        <w:t>万元。</w:t>
      </w:r>
      <w:r>
        <w:rPr>
          <w:rFonts w:ascii="仿宋_GB2312" w:eastAsia="仿宋_GB2312" w:cs="仿宋_GB2312"/>
          <w:color w:val="333333"/>
          <w:kern w:val="0"/>
          <w:sz w:val="32"/>
          <w:szCs w:val="32"/>
        </w:rPr>
        <w:br/>
      </w:r>
      <w:r>
        <w:rPr>
          <w:rFonts w:ascii="仿宋_GB2312" w:eastAsia="仿宋_GB2312" w:cs="仿宋_GB2312" w:hint="eastAsia"/>
          <w:color w:val="333333"/>
          <w:kern w:val="0"/>
          <w:sz w:val="32"/>
          <w:szCs w:val="32"/>
        </w:rPr>
        <w:t>　　二、公务接待费</w:t>
      </w:r>
      <w:r>
        <w:rPr>
          <w:rFonts w:ascii="仿宋_GB2312" w:eastAsia="仿宋_GB2312" w:cs="仿宋_GB2312"/>
          <w:color w:val="333333"/>
          <w:kern w:val="0"/>
          <w:sz w:val="32"/>
          <w:szCs w:val="32"/>
        </w:rPr>
        <w:br/>
      </w:r>
      <w:r>
        <w:rPr>
          <w:rFonts w:ascii="仿宋_GB2312" w:eastAsia="仿宋_GB2312" w:cs="仿宋_GB2312" w:hint="eastAsia"/>
          <w:color w:val="333333"/>
          <w:kern w:val="0"/>
          <w:sz w:val="32"/>
          <w:szCs w:val="32"/>
        </w:rPr>
        <w:t>　</w:t>
      </w:r>
      <w:r>
        <w:rPr>
          <w:rFonts w:ascii="仿宋_GB2312" w:eastAsia="仿宋_GB2312" w:cs="仿宋_GB2312"/>
          <w:color w:val="333333"/>
          <w:kern w:val="0"/>
          <w:sz w:val="32"/>
          <w:szCs w:val="32"/>
        </w:rPr>
        <w:t xml:space="preserve">  </w:t>
      </w:r>
      <w:r>
        <w:rPr>
          <w:rFonts w:ascii="仿宋_GB2312" w:eastAsia="仿宋_GB2312" w:cs="仿宋_GB2312" w:hint="eastAsia"/>
          <w:color w:val="333333"/>
          <w:kern w:val="0"/>
          <w:sz w:val="32"/>
          <w:szCs w:val="32"/>
          <w:lang w:eastAsia="zh-CN"/>
        </w:rPr>
        <w:t>2024</w:t>
      </w:r>
      <w:r>
        <w:rPr>
          <w:rFonts w:ascii="仿宋_GB2312" w:eastAsia="仿宋_GB2312" w:cs="仿宋_GB2312" w:hint="eastAsia"/>
          <w:color w:val="333333"/>
          <w:kern w:val="0"/>
          <w:sz w:val="32"/>
          <w:szCs w:val="32"/>
        </w:rPr>
        <w:t>年预算公务接待费</w:t>
      </w:r>
      <w:r>
        <w:rPr>
          <w:rFonts w:ascii="仿宋_GB2312" w:eastAsia="仿宋_GB2312" w:cs="仿宋_GB2312"/>
          <w:color w:val="333333"/>
          <w:kern w:val="0"/>
          <w:sz w:val="32"/>
          <w:szCs w:val="32"/>
        </w:rPr>
        <w:t>0</w:t>
      </w:r>
      <w:r>
        <w:rPr>
          <w:rFonts w:ascii="仿宋_GB2312" w:eastAsia="仿宋_GB2312" w:cs="仿宋_GB2312" w:hint="eastAsia"/>
          <w:color w:val="333333"/>
          <w:kern w:val="0"/>
          <w:sz w:val="32"/>
          <w:szCs w:val="32"/>
        </w:rPr>
        <w:t>万元，较上年预算下降</w:t>
      </w:r>
      <w:r>
        <w:rPr>
          <w:rFonts w:ascii="仿宋_GB2312" w:eastAsia="仿宋_GB2312" w:cs="仿宋_GB2312" w:hint="eastAsia"/>
          <w:color w:val="333333"/>
          <w:kern w:val="0"/>
          <w:sz w:val="32"/>
          <w:szCs w:val="32"/>
          <w:lang w:val="en-US" w:eastAsia="zh-CN"/>
        </w:rPr>
        <w:t>0</w:t>
      </w:r>
      <w:r>
        <w:rPr>
          <w:rFonts w:ascii="仿宋_GB2312" w:eastAsia="仿宋_GB2312" w:cs="仿宋_GB2312" w:hint="eastAsia"/>
          <w:color w:val="333333"/>
          <w:kern w:val="0"/>
          <w:sz w:val="32"/>
          <w:szCs w:val="32"/>
        </w:rPr>
        <w:t>万元，原因为：根据中央八项规定，严控经费开支，对于可报销差旅费的单位和个人不再提供接待。</w:t>
      </w:r>
      <w:r>
        <w:rPr>
          <w:rFonts w:ascii="仿宋_GB2312" w:eastAsia="仿宋_GB2312" w:cs="仿宋_GB2312"/>
          <w:color w:val="333333"/>
          <w:kern w:val="0"/>
          <w:sz w:val="32"/>
          <w:szCs w:val="32"/>
        </w:rPr>
        <w:br/>
      </w:r>
      <w:r>
        <w:rPr>
          <w:rFonts w:ascii="仿宋_GB2312" w:eastAsia="仿宋_GB2312" w:cs="仿宋_GB2312" w:hint="eastAsia"/>
          <w:color w:val="333333"/>
          <w:kern w:val="0"/>
          <w:sz w:val="32"/>
          <w:szCs w:val="32"/>
        </w:rPr>
        <w:t>　　三、公务用车购置及运行维护费</w:t>
      </w:r>
      <w:r>
        <w:rPr>
          <w:rFonts w:ascii="仿宋_GB2312" w:eastAsia="仿宋_GB2312" w:cs="仿宋_GB2312"/>
          <w:color w:val="333333"/>
          <w:kern w:val="0"/>
          <w:sz w:val="32"/>
          <w:szCs w:val="32"/>
        </w:rPr>
        <w:br/>
      </w:r>
      <w:r>
        <w:rPr>
          <w:rFonts w:ascii="仿宋_GB2312" w:eastAsia="仿宋_GB2312" w:cs="仿宋_GB2312" w:hint="eastAsia"/>
          <w:color w:val="333333"/>
          <w:kern w:val="0"/>
          <w:sz w:val="32"/>
          <w:szCs w:val="32"/>
        </w:rPr>
        <w:t>　　</w:t>
      </w:r>
      <w:r>
        <w:rPr>
          <w:rFonts w:ascii="Times New Roman" w:eastAsia="方正仿宋_GBK" w:cs="Times New Roman" w:hAnsi="Times New Roman"/>
          <w:color w:val="333333"/>
          <w:kern w:val="0"/>
          <w:sz w:val="32"/>
          <w:szCs w:val="32"/>
          <w:lang w:eastAsia="zh-CN"/>
        </w:rPr>
        <w:t>2024</w:t>
      </w:r>
      <w:r>
        <w:rPr>
          <w:rFonts w:ascii="Times New Roman" w:eastAsia="方正仿宋_GBK" w:cs="Times New Roman" w:hAnsi="Times New Roman"/>
          <w:color w:val="333333"/>
          <w:kern w:val="0"/>
          <w:sz w:val="32"/>
          <w:szCs w:val="32"/>
        </w:rPr>
        <w:t>年预算安排</w:t>
      </w:r>
      <w:r>
        <w:rPr>
          <w:rFonts w:ascii="Times New Roman" w:eastAsia="方正仿宋_GBK" w:cs="Times New Roman" w:hAnsi="Times New Roman"/>
          <w:kern w:val="0"/>
          <w:sz w:val="32"/>
          <w:szCs w:val="32"/>
          <w:lang w:val="en-US" w:eastAsia="zh-CN"/>
        </w:rPr>
        <w:t>1.8</w:t>
      </w:r>
      <w:r>
        <w:rPr>
          <w:rFonts w:ascii="Times New Roman" w:eastAsia="方正仿宋_GBK" w:cs="Times New Roman" w:hAnsi="Times New Roman"/>
          <w:color w:val="333333"/>
          <w:kern w:val="0"/>
          <w:sz w:val="32"/>
          <w:szCs w:val="32"/>
        </w:rPr>
        <w:t>万元，较上年预算</w:t>
      </w:r>
      <w:r>
        <w:rPr>
          <w:rFonts w:ascii="Times New Roman" w:eastAsia="方正仿宋_GBK" w:cs="Times New Roman" w:hAnsi="Times New Roman"/>
          <w:color w:val="333333"/>
          <w:kern w:val="0"/>
          <w:sz w:val="32"/>
          <w:szCs w:val="32"/>
          <w:lang w:eastAsia="zh-CN"/>
        </w:rPr>
        <w:t>减少</w:t>
      </w:r>
      <w:r>
        <w:rPr>
          <w:rFonts w:ascii="Times New Roman" w:eastAsia="方正仿宋_GBK" w:cs="Times New Roman" w:hAnsi="Times New Roman"/>
          <w:color w:val="333333"/>
          <w:kern w:val="0"/>
          <w:sz w:val="32"/>
          <w:szCs w:val="32"/>
          <w:lang w:val="en-US" w:eastAsia="zh-CN"/>
        </w:rPr>
        <w:t>0.1</w:t>
      </w:r>
      <w:r>
        <w:rPr>
          <w:rFonts w:ascii="Times New Roman" w:eastAsia="方正仿宋_GBK" w:cs="Times New Roman" w:hAnsi="Times New Roman"/>
          <w:color w:val="333333"/>
          <w:kern w:val="0"/>
          <w:sz w:val="32"/>
          <w:szCs w:val="32"/>
        </w:rPr>
        <w:t>万元，</w:t>
      </w:r>
      <w:r>
        <w:rPr>
          <w:rFonts w:ascii="Times New Roman" w:eastAsia="方正仿宋_GBK" w:cs="Times New Roman" w:hAnsi="Times New Roman"/>
          <w:color w:val="333333"/>
          <w:kern w:val="0"/>
          <w:sz w:val="32"/>
          <w:szCs w:val="32"/>
          <w:lang w:eastAsia="zh-CN"/>
        </w:rPr>
        <w:t>下降</w:t>
      </w:r>
      <w:r>
        <w:rPr>
          <w:rFonts w:ascii="Times New Roman" w:eastAsia="方正仿宋_GBK" w:cs="Times New Roman" w:hAnsi="Times New Roman"/>
          <w:color w:val="333333"/>
          <w:kern w:val="0"/>
          <w:sz w:val="32"/>
          <w:szCs w:val="32"/>
          <w:lang w:val="en-US" w:eastAsia="zh-CN"/>
        </w:rPr>
        <w:t>5.56</w:t>
      </w:r>
      <w:r>
        <w:rPr>
          <w:rFonts w:ascii="Times New Roman" w:eastAsia="方正仿宋_GBK" w:cs="Times New Roman" w:hAnsi="Times New Roman"/>
          <w:color w:val="333333"/>
          <w:kern w:val="0"/>
          <w:sz w:val="32"/>
          <w:szCs w:val="32"/>
        </w:rPr>
        <w:t>%，原因为：根据中央八项规定，严控经费开支</w:t>
      </w:r>
      <w:r>
        <w:rPr>
          <w:rFonts w:ascii="Times New Roman" w:eastAsia="方正仿宋_GBK" w:cs="Times New Roman" w:hAnsi="Times New Roman"/>
          <w:color w:val="333333"/>
          <w:kern w:val="0"/>
          <w:sz w:val="32"/>
          <w:szCs w:val="32"/>
          <w:lang w:val="en-US" w:eastAsia="zh-CN"/>
        </w:rPr>
        <w:t>。</w:t>
      </w:r>
      <w:r>
        <w:rPr>
          <w:rFonts w:ascii="Times New Roman" w:eastAsia="方正仿宋_GBK" w:cs="Times New Roman" w:hAnsi="Times New Roman"/>
          <w:color w:val="333333"/>
          <w:kern w:val="0"/>
          <w:sz w:val="32"/>
          <w:szCs w:val="32"/>
        </w:rPr>
        <w:t>单位共有公务用车</w:t>
      </w:r>
      <w:r>
        <w:rPr>
          <w:rFonts w:ascii="Times New Roman" w:eastAsia="方正仿宋_GBK" w:cs="Times New Roman" w:hAnsi="Times New Roman"/>
          <w:kern w:val="0"/>
          <w:sz w:val="32"/>
          <w:szCs w:val="32"/>
        </w:rPr>
        <w:t>2</w:t>
      </w:r>
      <w:r>
        <w:rPr>
          <w:rFonts w:ascii="Times New Roman" w:eastAsia="方正仿宋_GBK" w:cs="Times New Roman" w:hAnsi="Times New Roman"/>
          <w:color w:val="333333"/>
          <w:kern w:val="0"/>
          <w:sz w:val="32"/>
          <w:szCs w:val="32"/>
        </w:rPr>
        <w:t>辆（其中：越野车</w:t>
      </w:r>
      <w:bookmarkStart w:id="0" w:name="_GoBack"/>
      <w:bookmarkEnd w:id="0"/>
      <w:r>
        <w:rPr>
          <w:rFonts w:ascii="Times New Roman" w:eastAsia="方正仿宋_GBK" w:cs="Times New Roman" w:hAnsi="Times New Roman"/>
          <w:kern w:val="0"/>
          <w:sz w:val="32"/>
          <w:szCs w:val="32"/>
          <w:lang w:val="en-US" w:eastAsia="zh-CN"/>
        </w:rPr>
        <w:t>1</w:t>
      </w:r>
      <w:r>
        <w:rPr>
          <w:rFonts w:ascii="Times New Roman" w:eastAsia="方正仿宋_GBK" w:cs="Times New Roman" w:hAnsi="Times New Roman"/>
          <w:color w:val="333333"/>
          <w:kern w:val="0"/>
          <w:sz w:val="32"/>
          <w:szCs w:val="32"/>
        </w:rPr>
        <w:t>辆）。　　</w:t>
      </w:r>
    </w:p>
    <w:p>
      <w:pPr>
        <w:widowControl/>
        <w:spacing w:line="480" w:lineRule="atLeast"/>
        <w:ind w:firstLineChars="128" w:firstLine="410"/>
        <w:rPr>
          <w:rFonts w:ascii="Times New Roman" w:eastAsia="方正仿宋_GBK" w:cs="Times New Roman" w:hAnsi="Times New Roman"/>
          <w:color w:val="333333"/>
          <w:kern w:val="0"/>
          <w:sz w:val="32"/>
          <w:szCs w:val="32"/>
        </w:rPr>
      </w:pPr>
      <w:r>
        <w:rPr>
          <w:rFonts w:ascii="Times New Roman" w:eastAsia="方正仿宋_GBK" w:cs="Times New Roman" w:hAnsi="Times New Roman"/>
          <w:color w:val="333333"/>
          <w:kern w:val="0"/>
          <w:sz w:val="32"/>
          <w:szCs w:val="32"/>
        </w:rPr>
        <w:t>　</w:t>
      </w:r>
      <w:r>
        <w:rPr>
          <w:rFonts w:ascii="Times New Roman" w:eastAsia="方正仿宋_GBK" w:cs="Times New Roman" w:hAnsi="Times New Roman"/>
          <w:color w:val="333333"/>
          <w:kern w:val="0"/>
          <w:sz w:val="32"/>
          <w:szCs w:val="32"/>
          <w:lang w:eastAsia="zh-CN"/>
        </w:rPr>
        <w:t>2024</w:t>
      </w:r>
      <w:r>
        <w:rPr>
          <w:rFonts w:ascii="Times New Roman" w:eastAsia="方正仿宋_GBK" w:cs="Times New Roman" w:hAnsi="Times New Roman"/>
          <w:color w:val="333333"/>
          <w:kern w:val="0"/>
          <w:sz w:val="32"/>
          <w:szCs w:val="32"/>
        </w:rPr>
        <w:t>年安排公务用车运行维护费</w:t>
      </w:r>
      <w:r>
        <w:rPr>
          <w:rFonts w:ascii="Times New Roman" w:eastAsia="方正仿宋_GBK" w:cs="Times New Roman" w:hAnsi="Times New Roman"/>
          <w:color w:val="333333"/>
          <w:kern w:val="0"/>
          <w:sz w:val="32"/>
          <w:szCs w:val="32"/>
          <w:lang w:val="en-US" w:eastAsia="zh-CN"/>
        </w:rPr>
        <w:t>1.8</w:t>
      </w:r>
      <w:r>
        <w:rPr>
          <w:rFonts w:ascii="Times New Roman" w:eastAsia="方正仿宋_GBK" w:cs="Times New Roman" w:hAnsi="Times New Roman"/>
          <w:color w:val="333333"/>
          <w:kern w:val="0"/>
          <w:sz w:val="32"/>
          <w:szCs w:val="32"/>
        </w:rPr>
        <w:t>万元，用于</w:t>
      </w:r>
      <w:r>
        <w:rPr>
          <w:rFonts w:ascii="Times New Roman" w:eastAsia="方正仿宋_GBK" w:cs="Times New Roman" w:hAnsi="Times New Roman"/>
          <w:kern w:val="0"/>
          <w:sz w:val="32"/>
          <w:szCs w:val="32"/>
        </w:rPr>
        <w:t>2</w:t>
      </w:r>
      <w:r>
        <w:rPr>
          <w:rFonts w:ascii="Times New Roman" w:eastAsia="方正仿宋_GBK" w:cs="Times New Roman" w:hAnsi="Times New Roman"/>
          <w:color w:val="333333"/>
          <w:kern w:val="0"/>
          <w:sz w:val="32"/>
          <w:szCs w:val="32"/>
        </w:rPr>
        <w:t>辆公务用车燃油，较上年预算</w:t>
      </w:r>
      <w:r>
        <w:rPr>
          <w:rFonts w:ascii="Times New Roman" w:eastAsia="方正仿宋_GBK" w:cs="Times New Roman" w:hAnsi="Times New Roman"/>
          <w:color w:val="333333"/>
          <w:kern w:val="0"/>
          <w:sz w:val="32"/>
          <w:szCs w:val="32"/>
          <w:lang w:eastAsia="zh-CN"/>
        </w:rPr>
        <w:t>减少</w:t>
      </w:r>
      <w:r>
        <w:rPr>
          <w:rFonts w:ascii="Times New Roman" w:eastAsia="方正仿宋_GBK" w:cs="Times New Roman" w:hAnsi="Times New Roman"/>
          <w:color w:val="333333"/>
          <w:kern w:val="0"/>
          <w:sz w:val="32"/>
          <w:szCs w:val="32"/>
          <w:lang w:val="en-US" w:eastAsia="zh-CN"/>
        </w:rPr>
        <w:t>0.1</w:t>
      </w:r>
      <w:r>
        <w:rPr>
          <w:rFonts w:ascii="Times New Roman" w:eastAsia="方正仿宋_GBK" w:cs="Times New Roman" w:hAnsi="Times New Roman"/>
          <w:color w:val="333333"/>
          <w:kern w:val="0"/>
          <w:sz w:val="32"/>
          <w:szCs w:val="32"/>
        </w:rPr>
        <w:t>万元，</w:t>
      </w:r>
      <w:r>
        <w:rPr>
          <w:rFonts w:ascii="Times New Roman" w:eastAsia="方正仿宋_GBK" w:cs="Times New Roman" w:hAnsi="Times New Roman"/>
          <w:color w:val="333333"/>
          <w:kern w:val="0"/>
          <w:sz w:val="32"/>
          <w:szCs w:val="32"/>
          <w:lang w:eastAsia="zh-CN"/>
        </w:rPr>
        <w:t>下降</w:t>
      </w:r>
      <w:r>
        <w:rPr>
          <w:rFonts w:ascii="Times New Roman" w:eastAsia="方正仿宋_GBK" w:cs="Times New Roman" w:hAnsi="Times New Roman"/>
          <w:color w:val="333333"/>
          <w:kern w:val="0"/>
          <w:sz w:val="32"/>
          <w:szCs w:val="32"/>
          <w:lang w:val="en-US" w:eastAsia="zh-CN"/>
        </w:rPr>
        <w:t>5.56</w:t>
      </w:r>
      <w:r>
        <w:rPr>
          <w:rFonts w:ascii="Times New Roman" w:eastAsia="方正仿宋_GBK" w:cs="Times New Roman" w:hAnsi="Times New Roman"/>
          <w:color w:val="333333"/>
          <w:kern w:val="0"/>
          <w:sz w:val="32"/>
          <w:szCs w:val="32"/>
        </w:rPr>
        <w:t>%，原因为：根据中央八项规定，严控经费开支</w:t>
      </w:r>
      <w:r>
        <w:rPr>
          <w:rFonts w:ascii="Times New Roman" w:eastAsia="方正仿宋_GBK" w:cs="Times New Roman" w:hAnsi="Times New Roman"/>
          <w:color w:val="333333"/>
          <w:kern w:val="0"/>
          <w:sz w:val="32"/>
          <w:szCs w:val="32"/>
          <w:lang w:val="en-US" w:eastAsia="zh-CN"/>
        </w:rPr>
        <w:t>。</w:t>
      </w:r>
      <w:r>
        <w:rPr>
          <w:rFonts w:ascii="Times New Roman" w:eastAsia="方正仿宋_GBK" w:cs="Times New Roman" w:hAnsi="Times New Roman"/>
          <w:color w:val="333333"/>
          <w:kern w:val="0"/>
          <w:sz w:val="32"/>
          <w:szCs w:val="32"/>
        </w:rPr>
        <w:br/>
        <w:t xml:space="preserve">     </w:t>
      </w:r>
      <w:r>
        <w:rPr>
          <w:rFonts w:ascii="Times New Roman" w:eastAsia="方正仿宋_GBK" w:cs="Times New Roman" w:hAnsi="Times New Roman"/>
          <w:color w:val="333333"/>
          <w:kern w:val="0"/>
          <w:sz w:val="32"/>
          <w:szCs w:val="32"/>
          <w:lang w:eastAsia="zh-CN"/>
        </w:rPr>
        <w:t>2024</w:t>
      </w:r>
      <w:r>
        <w:rPr>
          <w:rFonts w:ascii="Times New Roman" w:eastAsia="方正仿宋_GBK" w:cs="Times New Roman" w:hAnsi="Times New Roman"/>
          <w:color w:val="333333"/>
          <w:kern w:val="0"/>
          <w:sz w:val="32"/>
          <w:szCs w:val="32"/>
        </w:rPr>
        <w:t>年安排公务用车购置费0万元。</w:t>
      </w:r>
    </w:p>
    <w:p>
      <w:pPr>
        <w:widowControl/>
        <w:spacing w:line="240" w:lineRule="atLeast"/>
        <w:ind w:firstLine="60"/>
        <w:rPr>
          <w:rFonts w:ascii="仿宋_GB2312" w:eastAsia="仿宋_GB2312" w:cs="仿宋_GB2312"/>
          <w:color w:val="333333"/>
          <w:kern w:val="0"/>
          <w:sz w:val="32"/>
          <w:szCs w:val="32"/>
        </w:rPr>
      </w:pPr>
    </w:p>
    <w:p>
      <w:pPr>
        <w:widowControl/>
        <w:spacing w:line="240" w:lineRule="atLeast"/>
        <w:ind w:firstLine="60"/>
        <w:jc w:val="center"/>
        <w:rPr>
          <w:rFonts w:ascii="仿宋_GB2312" w:eastAsia="仿宋_GB2312" w:cs="仿宋_GB2312"/>
          <w:color w:val="333333"/>
          <w:kern w:val="0"/>
          <w:sz w:val="32"/>
          <w:szCs w:val="32"/>
        </w:rPr>
      </w:pPr>
    </w:p>
    <w:p>
      <w:pPr>
        <w:widowControl/>
        <w:spacing w:line="240" w:lineRule="atLeast"/>
        <w:ind w:firstLine="60"/>
        <w:jc w:val="center"/>
        <w:rPr>
          <w:rFonts w:ascii="仿宋_GB2312" w:eastAsia="仿宋_GB2312" w:cs="仿宋_GB2312"/>
          <w:color w:val="333333"/>
          <w:kern w:val="0"/>
          <w:sz w:val="32"/>
          <w:szCs w:val="32"/>
        </w:rPr>
      </w:pPr>
    </w:p>
    <w:p>
      <w:pPr>
        <w:widowControl/>
        <w:spacing w:line="240" w:lineRule="atLeast"/>
        <w:ind w:firstLine="60"/>
        <w:jc w:val="center"/>
        <w:rPr>
          <w:rFonts w:ascii="仿宋_GB2312" w:eastAsia="仿宋_GB2312" w:cs="仿宋_GB2312"/>
          <w:kern w:val="0"/>
          <w:sz w:val="32"/>
          <w:szCs w:val="32"/>
        </w:rPr>
      </w:pPr>
    </w:p>
    <w:p>
      <w:pPr>
        <w:widowControl/>
        <w:spacing w:line="240" w:lineRule="atLeast"/>
        <w:ind w:firstLine="60"/>
        <w:jc w:val="center"/>
        <w:rPr>
          <w:rFonts w:ascii="方正小标宋简体" w:eastAsia="方正小标宋简体" w:cs="方正小标宋简体"/>
          <w:color w:val="333333"/>
          <w:kern w:val="0"/>
          <w:sz w:val="36"/>
          <w:szCs w:val="36"/>
        </w:rPr>
      </w:pPr>
      <w:r>
        <w:rPr>
          <w:rFonts w:ascii="方正小标宋简体" w:eastAsia="方正小标宋简体" w:cs="方正小标宋简体" w:hint="eastAsia"/>
          <w:color w:val="333333"/>
          <w:kern w:val="0"/>
          <w:sz w:val="36"/>
          <w:szCs w:val="36"/>
        </w:rPr>
        <w:t>金川县畜牧兽医服务中心</w:t>
      </w:r>
    </w:p>
    <w:p>
      <w:pPr>
        <w:widowControl/>
        <w:spacing w:line="240" w:lineRule="atLeast"/>
        <w:ind w:firstLine="60"/>
        <w:jc w:val="center"/>
        <w:rPr>
          <w:rFonts w:ascii="方正小标宋简体" w:eastAsia="方正小标宋简体" w:cs="方正小标宋简体"/>
          <w:color w:val="333333"/>
          <w:kern w:val="0"/>
          <w:sz w:val="36"/>
          <w:szCs w:val="36"/>
        </w:rPr>
      </w:pPr>
      <w:r>
        <w:rPr>
          <w:rFonts w:ascii="方正小标宋简体" w:eastAsia="方正小标宋简体" w:cs="方正小标宋简体" w:hint="eastAsia"/>
          <w:color w:val="333333"/>
          <w:kern w:val="0"/>
          <w:sz w:val="36"/>
          <w:szCs w:val="36"/>
          <w:lang w:eastAsia="zh-CN"/>
        </w:rPr>
        <w:t>2024</w:t>
      </w:r>
      <w:r>
        <w:rPr>
          <w:rFonts w:ascii="方正小标宋简体" w:eastAsia="方正小标宋简体" w:cs="方正小标宋简体" w:hint="eastAsia"/>
          <w:color w:val="333333"/>
          <w:kern w:val="0"/>
          <w:sz w:val="36"/>
          <w:szCs w:val="36"/>
        </w:rPr>
        <w:t>年“三公”经费预算情况表</w:t>
      </w:r>
    </w:p>
    <w:p>
      <w:pPr>
        <w:widowControl/>
        <w:spacing w:line="240" w:lineRule="atLeast"/>
        <w:ind w:firstLine="60"/>
        <w:jc w:val="center"/>
        <w:rPr>
          <w:rFonts w:ascii="仿宋_GB2312" w:eastAsia="仿宋_GB2312" w:cs="仿宋_GB2312"/>
          <w:color w:val="333333"/>
          <w:kern w:val="0"/>
          <w:sz w:val="32"/>
          <w:szCs w:val="32"/>
        </w:rPr>
      </w:pPr>
      <w:r>
        <w:rPr>
          <w:rFonts w:ascii="仿宋_GB2312" w:eastAsia="仿宋_GB2312" w:cs="仿宋_GB2312"/>
          <w:color w:val="333333"/>
          <w:kern w:val="0"/>
          <w:sz w:val="32"/>
          <w:szCs w:val="32"/>
        </w:rPr>
        <w:t xml:space="preserve">                                         </w:t>
      </w:r>
      <w:r>
        <w:rPr>
          <w:rFonts w:ascii="仿宋_GB2312" w:eastAsia="仿宋_GB2312" w:cs="仿宋_GB2312" w:hint="eastAsia"/>
          <w:color w:val="333333"/>
          <w:kern w:val="0"/>
          <w:sz w:val="32"/>
          <w:szCs w:val="32"/>
        </w:rPr>
        <w:t>单位：万元</w:t>
      </w:r>
    </w:p>
    <w:p>
      <w:pPr>
        <w:widowControl/>
        <w:spacing w:line="240" w:lineRule="atLeast"/>
        <w:ind w:firstLine="60"/>
        <w:jc w:val="center"/>
        <w:rPr>
          <w:rFonts w:ascii="仿宋_GB2312" w:eastAsia="仿宋_GB2312" w:cs="仿宋_GB2312"/>
          <w:color w:val="333333"/>
          <w:kern w:val="0"/>
          <w:sz w:val="32"/>
          <w:szCs w:val="32"/>
        </w:rPr>
      </w:pPr>
    </w:p>
    <w:tbl>
      <w:tblPr>
        <w:jc w:val="left"/>
        <w:tblInd w:w="0" w:type="dxa"/>
        <w:tblCellSpacing w:w="7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ayout w:type="fixed"/>
        <w:tblCellMar>
          <w:top w:w="30" w:type="dxa"/>
          <w:left w:w="30" w:type="dxa"/>
          <w:bottom w:w="30" w:type="dxa"/>
          <w:right w:w="30" w:type="dxa"/>
        </w:tblCellMar>
      </w:tblPr>
      <w:tblGrid>
        <w:gridCol w:w="4576"/>
        <w:gridCol w:w="3836"/>
      </w:tblGrid>
      <w:tr>
        <w:trPr>
          <w:trHeight w:hRule="exact" w:val="697"/>
        </w:trPr>
        <w:tc>
          <w:tcPr>
            <w:tcW w:w="4561" w:type="dxa"/>
            <w:tcBorders>
              <w:top w:val="outset" w:sz="6" w:space="0" w:color="auto"/>
              <w:left w:val="nil"/>
              <w:bottom w:val="outset" w:sz="6" w:space="0" w:color="auto"/>
              <w:right w:val="outset" w:sz="6" w:space="0" w:color="auto"/>
            </w:tcBorders>
            <w:noWrap/>
            <w:vAlign w:val="center"/>
          </w:tcPr>
          <w:p>
            <w:pPr>
              <w:widowControl/>
              <w:spacing w:line="240" w:lineRule="atLeast"/>
              <w:jc w:val="left"/>
              <w:rPr>
                <w:rFonts w:ascii="仿宋_GB2312" w:eastAsia="仿宋_GB2312" w:cs="仿宋_GB2312"/>
                <w:kern w:val="0"/>
                <w:sz w:val="32"/>
                <w:szCs w:val="32"/>
              </w:rPr>
            </w:pPr>
            <w:r>
              <w:rPr>
                <w:rFonts w:ascii="仿宋_GB2312" w:eastAsia="仿宋_GB2312" w:cs="仿宋_GB2312" w:hint="eastAsia"/>
                <w:kern w:val="0"/>
                <w:sz w:val="32"/>
                <w:szCs w:val="32"/>
              </w:rPr>
              <w:t>　　　　　项</w:t>
            </w:r>
            <w:r>
              <w:rPr>
                <w:rFonts w:ascii="仿宋_GB2312" w:eastAsia="仿宋_GB2312" w:cs="仿宋_GB2312"/>
                <w:kern w:val="0"/>
                <w:sz w:val="32"/>
                <w:szCs w:val="32"/>
              </w:rPr>
              <w:t xml:space="preserve">       </w:t>
            </w:r>
            <w:r>
              <w:rPr>
                <w:rFonts w:ascii="仿宋_GB2312" w:eastAsia="仿宋_GB2312" w:cs="仿宋_GB2312" w:hint="eastAsia"/>
                <w:kern w:val="0"/>
                <w:sz w:val="32"/>
                <w:szCs w:val="32"/>
              </w:rPr>
              <w:t>目</w:t>
            </w:r>
          </w:p>
        </w:tc>
        <w:tc>
          <w:tcPr>
            <w:tcW w:w="38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nil"/>
            </w:tcBorders>
            <w:noWrap/>
            <w:vAlign w:val="center"/>
          </w:tcPr>
          <w:p>
            <w:pPr>
              <w:widowControl/>
              <w:spacing w:line="240" w:lineRule="atLeast"/>
              <w:jc w:val="center"/>
              <w:rPr>
                <w:rFonts w:ascii="仿宋_GB2312" w:eastAsia="仿宋_GB2312" w:cs="仿宋_GB2312"/>
                <w:kern w:val="0"/>
                <w:sz w:val="32"/>
                <w:szCs w:val="32"/>
              </w:rPr>
            </w:pPr>
            <w:r>
              <w:rPr>
                <w:rFonts w:ascii="仿宋_GB2312" w:eastAsia="仿宋_GB2312" w:cs="仿宋_GB2312" w:hint="eastAsia"/>
                <w:kern w:val="0"/>
                <w:sz w:val="32"/>
                <w:szCs w:val="32"/>
                <w:lang w:eastAsia="zh-CN"/>
              </w:rPr>
              <w:t>2024</w:t>
            </w:r>
            <w:r>
              <w:rPr>
                <w:rFonts w:ascii="仿宋_GB2312" w:eastAsia="仿宋_GB2312" w:cs="仿宋_GB2312" w:hint="eastAsia"/>
                <w:kern w:val="0"/>
                <w:sz w:val="32"/>
                <w:szCs w:val="32"/>
              </w:rPr>
              <w:t>年预算</w:t>
            </w:r>
            <w:r>
              <w:rPr>
                <w:rFonts w:ascii="仿宋_GB2312" w:eastAsia="仿宋_GB2312" w:cs="仿宋_GB2312"/>
                <w:kern w:val="0"/>
                <w:sz w:val="32"/>
                <w:szCs w:val="32"/>
              </w:rPr>
              <w:br/>
            </w:r>
            <w:r>
              <w:rPr>
                <w:rFonts w:ascii="仿宋_GB2312" w:eastAsia="仿宋_GB2312" w:cs="仿宋_GB2312" w:hint="eastAsia"/>
                <w:kern w:val="0"/>
                <w:sz w:val="32"/>
                <w:szCs w:val="32"/>
              </w:rPr>
              <w:t>　　　　　　（万元）</w:t>
            </w:r>
          </w:p>
        </w:tc>
      </w:tr>
      <w:tr>
        <w:tc>
          <w:tcPr>
            <w:tcW w:w="4561" w:type="dxa"/>
            <w:tcBorders>
              <w:top w:val="outset" w:sz="6" w:space="0" w:color="auto"/>
              <w:left w:val="nil"/>
              <w:bottom w:val="outset" w:sz="6" w:space="0" w:color="auto"/>
              <w:right w:val="outset" w:sz="6" w:space="0" w:color="auto"/>
            </w:tcBorders>
            <w:noWrap/>
            <w:vAlign w:val="center"/>
          </w:tcPr>
          <w:p>
            <w:pPr>
              <w:widowControl/>
              <w:spacing w:line="240" w:lineRule="atLeast"/>
              <w:jc w:val="left"/>
              <w:rPr>
                <w:rFonts w:ascii="仿宋_GB2312" w:eastAsia="仿宋_GB2312" w:cs="仿宋_GB2312"/>
                <w:kern w:val="0"/>
                <w:sz w:val="32"/>
                <w:szCs w:val="32"/>
              </w:rPr>
            </w:pPr>
            <w:r>
              <w:rPr>
                <w:rFonts w:ascii="仿宋_GB2312" w:eastAsia="仿宋_GB2312" w:cs="仿宋_GB2312" w:hint="eastAsia"/>
                <w:kern w:val="0"/>
                <w:sz w:val="32"/>
                <w:szCs w:val="32"/>
              </w:rPr>
              <w:t>因公出国（境）经费</w:t>
            </w:r>
          </w:p>
        </w:tc>
        <w:tc>
          <w:tcPr>
            <w:tcW w:w="38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nil"/>
            </w:tcBorders>
            <w:noWrap/>
            <w:vAlign w:val="center"/>
          </w:tcPr>
          <w:p>
            <w:pPr>
              <w:widowControl/>
              <w:spacing w:line="240" w:lineRule="atLeast"/>
              <w:jc w:val="center"/>
              <w:rPr>
                <w:rFonts w:ascii="仿宋_GB2312" w:eastAsia="仿宋_GB2312" w:cs="仿宋_GB2312"/>
                <w:kern w:val="0"/>
                <w:sz w:val="32"/>
                <w:szCs w:val="32"/>
              </w:rPr>
            </w:pPr>
            <w:r>
              <w:rPr>
                <w:rFonts w:ascii="仿宋_GB2312" w:eastAsia="仿宋_GB2312" w:cs="仿宋_GB2312"/>
                <w:kern w:val="0"/>
                <w:sz w:val="32"/>
                <w:szCs w:val="32"/>
              </w:rPr>
              <w:t>0</w:t>
            </w:r>
          </w:p>
        </w:tc>
      </w:tr>
      <w:tr>
        <w:tc>
          <w:tcPr>
            <w:tcW w:w="4561" w:type="dxa"/>
            <w:tcBorders>
              <w:top w:val="outset" w:sz="6" w:space="0" w:color="auto"/>
              <w:left w:val="nil"/>
              <w:bottom w:val="outset" w:sz="6" w:space="0" w:color="auto"/>
              <w:right w:val="outset" w:sz="6" w:space="0" w:color="auto"/>
            </w:tcBorders>
            <w:noWrap/>
            <w:vAlign w:val="center"/>
          </w:tcPr>
          <w:p>
            <w:pPr>
              <w:widowControl/>
              <w:spacing w:line="240" w:lineRule="atLeast"/>
              <w:jc w:val="left"/>
              <w:rPr>
                <w:rFonts w:ascii="仿宋_GB2312" w:eastAsia="仿宋_GB2312" w:cs="仿宋_GB2312"/>
                <w:kern w:val="0"/>
                <w:sz w:val="32"/>
                <w:szCs w:val="32"/>
              </w:rPr>
            </w:pPr>
            <w:r>
              <w:rPr>
                <w:rFonts w:ascii="仿宋_GB2312" w:eastAsia="仿宋_GB2312" w:cs="仿宋_GB2312" w:hint="eastAsia"/>
                <w:kern w:val="0"/>
                <w:sz w:val="32"/>
                <w:szCs w:val="32"/>
              </w:rPr>
              <w:t>公务接待费</w:t>
            </w:r>
          </w:p>
        </w:tc>
        <w:tc>
          <w:tcPr>
            <w:tcW w:w="38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nil"/>
            </w:tcBorders>
            <w:noWrap/>
            <w:vAlign w:val="center"/>
          </w:tcPr>
          <w:p>
            <w:pPr>
              <w:widowControl/>
              <w:spacing w:line="240" w:lineRule="atLeast"/>
              <w:jc w:val="center"/>
              <w:rPr>
                <w:rFonts w:ascii="仿宋_GB2312" w:eastAsia="仿宋_GB2312" w:cs="仿宋_GB2312"/>
                <w:kern w:val="0"/>
                <w:sz w:val="32"/>
                <w:szCs w:val="32"/>
              </w:rPr>
            </w:pPr>
            <w:r>
              <w:rPr>
                <w:rFonts w:ascii="仿宋_GB2312" w:eastAsia="仿宋_GB2312" w:cs="仿宋_GB2312"/>
                <w:kern w:val="0"/>
                <w:sz w:val="32"/>
                <w:szCs w:val="32"/>
              </w:rPr>
              <w:t>0</w:t>
            </w:r>
          </w:p>
        </w:tc>
      </w:tr>
      <w:tr>
        <w:tc>
          <w:tcPr>
            <w:tcW w:w="4561" w:type="dxa"/>
            <w:tcBorders>
              <w:top w:val="outset" w:sz="6" w:space="0" w:color="auto"/>
              <w:left w:val="nil"/>
              <w:bottom w:val="outset" w:sz="6" w:space="0" w:color="auto"/>
              <w:right w:val="outset" w:sz="6" w:space="0" w:color="auto"/>
            </w:tcBorders>
            <w:noWrap/>
            <w:vAlign w:val="center"/>
          </w:tcPr>
          <w:p>
            <w:pPr>
              <w:widowControl/>
              <w:spacing w:line="240" w:lineRule="atLeast"/>
              <w:jc w:val="left"/>
              <w:rPr>
                <w:rFonts w:ascii="仿宋_GB2312" w:eastAsia="仿宋_GB2312" w:cs="仿宋_GB2312"/>
                <w:kern w:val="0"/>
                <w:sz w:val="32"/>
                <w:szCs w:val="32"/>
              </w:rPr>
            </w:pPr>
            <w:r>
              <w:rPr>
                <w:rFonts w:ascii="仿宋_GB2312" w:eastAsia="仿宋_GB2312" w:cs="仿宋_GB2312" w:hint="eastAsia"/>
                <w:kern w:val="0"/>
                <w:sz w:val="32"/>
                <w:szCs w:val="32"/>
              </w:rPr>
              <w:t>公务用车购置及运行维护费</w:t>
            </w:r>
          </w:p>
        </w:tc>
        <w:tc>
          <w:tcPr>
            <w:tcW w:w="38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nil"/>
            </w:tcBorders>
            <w:noWrap/>
            <w:vAlign w:val="center"/>
          </w:tcPr>
          <w:p>
            <w:pPr>
              <w:widowControl/>
              <w:spacing w:line="240" w:lineRule="atLeast"/>
              <w:jc w:val="center"/>
              <w:rPr>
                <w:rFonts w:ascii="仿宋_GB2312" w:eastAsia="仿宋_GB2312" w:cs="仿宋_GB2312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ascii="仿宋_GB2312" w:eastAsia="仿宋_GB2312" w:cs="仿宋_GB2312" w:hint="eastAsia"/>
                <w:kern w:val="0"/>
                <w:sz w:val="32"/>
                <w:szCs w:val="32"/>
                <w:lang w:val="en-US" w:eastAsia="zh-CN"/>
              </w:rPr>
              <w:t>1.8</w:t>
            </w:r>
          </w:p>
        </w:tc>
      </w:tr>
      <w:tr>
        <w:tc>
          <w:tcPr>
            <w:tcW w:w="4561" w:type="dxa"/>
            <w:tcBorders>
              <w:top w:val="outset" w:sz="6" w:space="0" w:color="auto"/>
              <w:left w:val="nil"/>
              <w:bottom w:val="outset" w:sz="6" w:space="0" w:color="auto"/>
              <w:right w:val="outset" w:sz="6" w:space="0" w:color="auto"/>
            </w:tcBorders>
            <w:noWrap/>
            <w:vAlign w:val="center"/>
          </w:tcPr>
          <w:p>
            <w:pPr>
              <w:widowControl/>
              <w:spacing w:line="240" w:lineRule="atLeast"/>
              <w:jc w:val="left"/>
              <w:rPr>
                <w:rFonts w:ascii="仿宋_GB2312" w:eastAsia="仿宋_GB2312" w:cs="仿宋_GB2312"/>
                <w:kern w:val="0"/>
                <w:sz w:val="32"/>
                <w:szCs w:val="32"/>
              </w:rPr>
            </w:pPr>
            <w:r>
              <w:rPr>
                <w:rFonts w:ascii="仿宋_GB2312" w:eastAsia="仿宋_GB2312" w:cs="仿宋_GB2312" w:hint="eastAsia"/>
                <w:kern w:val="0"/>
                <w:sz w:val="32"/>
                <w:szCs w:val="32"/>
              </w:rPr>
              <w:t>　　其中：购置经费</w:t>
            </w:r>
          </w:p>
        </w:tc>
        <w:tc>
          <w:tcPr>
            <w:tcW w:w="38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nil"/>
            </w:tcBorders>
            <w:noWrap/>
            <w:vAlign w:val="center"/>
          </w:tcPr>
          <w:p>
            <w:pPr>
              <w:widowControl/>
              <w:spacing w:line="240" w:lineRule="atLeast"/>
              <w:jc w:val="center"/>
              <w:rPr>
                <w:rFonts w:ascii="仿宋_GB2312" w:eastAsia="仿宋_GB2312" w:cs="仿宋_GB2312"/>
                <w:kern w:val="0"/>
                <w:sz w:val="32"/>
                <w:szCs w:val="32"/>
              </w:rPr>
            </w:pPr>
            <w:r>
              <w:rPr>
                <w:rFonts w:ascii="仿宋_GB2312" w:eastAsia="仿宋_GB2312" w:cs="仿宋_GB2312"/>
                <w:kern w:val="0"/>
                <w:sz w:val="32"/>
                <w:szCs w:val="32"/>
              </w:rPr>
              <w:t>0</w:t>
            </w:r>
          </w:p>
        </w:tc>
      </w:tr>
      <w:tr>
        <w:tc>
          <w:tcPr>
            <w:tcW w:w="4561" w:type="dxa"/>
            <w:tcBorders>
              <w:top w:val="outset" w:sz="6" w:space="0" w:color="auto"/>
              <w:left w:val="nil"/>
              <w:bottom w:val="outset" w:sz="6" w:space="0" w:color="auto"/>
              <w:right w:val="outset" w:sz="6" w:space="0" w:color="auto"/>
            </w:tcBorders>
            <w:noWrap/>
            <w:vAlign w:val="center"/>
          </w:tcPr>
          <w:p>
            <w:pPr>
              <w:widowControl/>
              <w:spacing w:line="240" w:lineRule="atLeast"/>
              <w:jc w:val="left"/>
              <w:rPr>
                <w:rFonts w:ascii="仿宋_GB2312" w:eastAsia="仿宋_GB2312" w:cs="仿宋_GB2312"/>
                <w:kern w:val="0"/>
                <w:sz w:val="32"/>
                <w:szCs w:val="32"/>
              </w:rPr>
            </w:pPr>
            <w:r>
              <w:rPr>
                <w:rFonts w:ascii="仿宋_GB2312" w:eastAsia="仿宋_GB2312" w:cs="仿宋_GB2312" w:hint="eastAsia"/>
                <w:kern w:val="0"/>
                <w:sz w:val="32"/>
                <w:szCs w:val="32"/>
              </w:rPr>
              <w:t>　　　　　运行维护费</w:t>
            </w:r>
          </w:p>
        </w:tc>
        <w:tc>
          <w:tcPr>
            <w:tcW w:w="38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nil"/>
            </w:tcBorders>
            <w:noWrap/>
            <w:vAlign w:val="center"/>
          </w:tcPr>
          <w:p>
            <w:pPr>
              <w:widowControl/>
              <w:spacing w:line="240" w:lineRule="atLeast"/>
              <w:jc w:val="center"/>
              <w:rPr>
                <w:rFonts w:ascii="仿宋_GB2312" w:eastAsia="仿宋_GB2312" w:cs="仿宋_GB2312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ascii="仿宋_GB2312" w:eastAsia="仿宋_GB2312" w:cs="仿宋_GB2312" w:hint="eastAsia"/>
                <w:kern w:val="0"/>
                <w:sz w:val="32"/>
                <w:szCs w:val="32"/>
                <w:lang w:val="en-US" w:eastAsia="zh-CN"/>
              </w:rPr>
              <w:t>1.8</w:t>
            </w:r>
          </w:p>
        </w:tc>
      </w:tr>
    </w:tbl>
    <w:p>
      <w:pPr>
        <w:spacing w:line="240" w:lineRule="atLeast"/>
        <w:rPr>
          <w:rFonts w:ascii="仿宋_GB2312" w:eastAsia="仿宋_GB2312" w:cs="仿宋_GB2312"/>
          <w:sz w:val="32"/>
          <w:szCs w:val="32"/>
        </w:rPr>
      </w:pPr>
    </w:p>
    <w:p>
      <w:pPr>
        <w:spacing w:line="240" w:lineRule="atLeast"/>
        <w:rPr>
          <w:rFonts w:ascii="仿宋_GB2312" w:eastAsia="仿宋_GB2312" w:cs="仿宋_GB2312"/>
          <w:sz w:val="32"/>
          <w:szCs w:val="32"/>
        </w:rPr>
      </w:pPr>
    </w:p>
    <w:p>
      <w:pPr>
        <w:spacing w:line="240" w:lineRule="atLeast"/>
        <w:rPr>
          <w:rFonts w:ascii="仿宋_GB2312" w:eastAsia="仿宋_GB2312" w:cs="仿宋_GB2312"/>
          <w:sz w:val="32"/>
          <w:szCs w:val="32"/>
        </w:rPr>
      </w:pPr>
    </w:p>
    <w:p>
      <w:pPr>
        <w:spacing w:line="240" w:lineRule="atLeast"/>
        <w:rPr>
          <w:rFonts w:ascii="仿宋_GB2312" w:eastAsia="仿宋_GB2312" w:cs="仿宋_GB2312"/>
          <w:sz w:val="32"/>
          <w:szCs w:val="32"/>
        </w:rPr>
      </w:pPr>
    </w:p>
    <w:p>
      <w:pPr>
        <w:spacing w:line="240" w:lineRule="atLeast"/>
        <w:rPr>
          <w:rFonts w:ascii="仿宋_GB2312" w:eastAsia="仿宋_GB2312" w:cs="仿宋_GB2312"/>
          <w:sz w:val="32"/>
          <w:szCs w:val="32"/>
        </w:rPr>
      </w:pPr>
    </w:p>
    <w:p/>
    <w:sectPr>
      <w:headerReference w:type="default" r:id="rId2"/>
      <w:pgSz w:w="11906" w:h="16838"/>
      <w:pgMar w:top="1440" w:right="1800" w:bottom="1440" w:left="1800" w:header="851" w:footer="992" w:gutter="0"/>
      <w:docGrid w:type="lines" w:linePitch="312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方正小标宋简体">
    <w:panose1 w:val="02010601030101010101"/>
    <w:charset w:val="86"/>
    <w:family w:val="script"/>
    <w:pitch w:val="variable"/>
    <w:sig w:usb0="00000001" w:usb1="080E0000" w:usb2="00000000" w:usb3="00000000" w:csb0="00040000" w:csb1="00000000"/>
  </w:font>
  <w:font w:name="仿宋_GB2312">
    <w:altName w:val="仿宋"/>
    <w:panose1 w:val="02010609030101010101"/>
    <w:charset w:val="86"/>
    <w:family w:val="modern"/>
    <w:pitch w:val="variable"/>
    <w:sig w:usb0="00000000" w:usb1="00000000" w:usb2="00000010" w:usb3="00000000" w:csb0="00040000" w:csb1="00000000"/>
  </w:font>
  <w:font w:name="Times New Roman">
    <w:panose1 w:val="02020603050405020304"/>
    <w:charset w:val="00"/>
    <w:family w:val="auto"/>
    <w:pitch w:val="variable"/>
    <w:sig w:usb0="00000A87" w:usb1="00000000" w:usb2="00000000" w:usb3="00000000" w:csb0="400001BF" w:csb1="DFF70000"/>
  </w:font>
  <w:font w:name="方正仿宋_GBK">
    <w:panose1 w:val="03000509000000000000"/>
    <w:charset w:val="86"/>
    <w:family w:val="script"/>
    <w:pitch w:val="variable"/>
    <w:sig w:usb0="00000001" w:usb1="080E0000" w:usb2="00000000" w:usb3="00000000" w:csb0="00040000" w:csb1="00000000"/>
  </w:font>
  <w:font w:name="宋体">
    <w:panose1 w:val="02010600030101010101"/>
    <w:charset w:val="86"/>
    <w:family w:val="auto"/>
    <w:pitch w:val="variable"/>
    <w:sig w:usb0="00000003" w:usb1="288F0000" w:usb2="00000006" w:usb3="00000000" w:csb0="00040001" w:csb1="00000000"/>
  </w:font>
  <w:font w:name="MT Extra">
    <w:altName w:val="Symbol"/>
    <w:panose1 w:val="05050102010205020202"/>
    <w:charset w:val="02"/>
    <w:family w:val="roman"/>
    <w:pitch w:val="variable"/>
    <w:sig w:usb0="00000000" w:usb1="00000000" w:usb2="00000000" w:usb3="00000000" w:csb0="80000000" w:csb1="00000000"/>
  </w:font>
  <w:font w:name="Luxi Sans">
    <w:altName w:val="DejaVu Sans"/>
    <w:panose1 w:val="00000000000000000000"/>
    <w:charset w:val="00"/>
    <w:family w:val="auto"/>
    <w:pitch w:val="variable"/>
    <w:sig w:usb0="00000000" w:usb1="00000000" w:usb2="00000000" w:usb3="00000000" w:csb0="00000000" w:csb1="00000000"/>
  </w:font>
  <w:font w:name="黑体">
    <w:panose1 w:val="02010609060101010101"/>
    <w:charset w:val="86"/>
    <w:family w:val="auto"/>
    <w:pitch w:val="variable"/>
    <w:sig w:usb0="800002BF" w:usb1="38CF7CFA" w:usb2="00000016" w:usb3="00000000" w:csb0="00040001" w:csb1="00000000"/>
  </w:font>
</w:fonts>
</file>

<file path=word/header1.xml><?xml version="1.0" encoding="utf-8"?>
<w:hdr xmlns:w="http://schemas.openxmlformats.org/wordprocessingml/2006/main" xmlns:o="urn:schemas-microsoft-com:office:office" xmlns:r="http://schemas.openxmlformats.org/officeDocument/2006/relationships" xmlns:m="http://schemas.openxmlformats.org/officeDocument/2006/math" xmlns:v="urn:schemas-microsoft-com:vml" xmlns:a="http://schemas.openxmlformats.org/drawingml/2006/main" xmlns:wps="http://schemas.microsoft.com/office/word/2010/wordprocessingShape" xmlns:wp="http://schemas.openxmlformats.org/drawingml/2006/wordprocessingDrawing" xmlns:pic="http://schemas.openxmlformats.org/drawingml/2006/picture" xmlns:mc="http://schemas.openxmlformats.org/markup-compatibility/2006" xmlns:wpg="http://schemas.microsoft.com/office/word/2010/wordprocessingGroup" xmlns:wpc="http://schemas.microsoft.com/office/word/2010/wordprocessingCanvas" xmlns:w10="urn:schemas-microsoft-com:office:word" xmlns:w14="http://schemas.microsoft.com/office/word/2010/wordml" xmlns:w15="http://schemas.microsoft.com/office/word/2012/wordml" xmlns:a14="http://schemas.microsoft.com/office/drawing/2010/main" mc:Ignorable="w14 w15">
  <w:p>
    <w:pPr>
      <w:pStyle w:val="16"/>
      <w:pBdr>
        <w:bottom w:val="none" w:sz="0" w:space="0" w:color="auto"/>
      </w:pBdr>
      <w:tabs>
        <w:tab w:val="center" w:pos="4153"/>
        <w:tab w:val="right" w:pos="8306"/>
      </w:tabs>
    </w:pPr>
  </w:p>
</w:hdr>
</file>

<file path=word/settings.xml><?xml version="1.0" encoding="utf-8"?>
<w:settings xmlns:w="http://schemas.openxmlformats.org/wordprocessingml/2006/main" xmlns:o="urn:schemas-microsoft-com:office:office" xmlns:r="http://schemas.openxmlformats.org/officeDocument/2006/relationships" xmlns:m="http://schemas.openxmlformats.org/officeDocument/2006/math" xmlns:v="urn:schemas-microsoft-com:vml">
  <w:zoom w:percent="95"/>
  <w:bordersDoNotSurroundHeader/>
  <w:bordersDoNotSurroundFooter/>
  <w:documentProtection w:edit="readOnly"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compat>
    <w:spaceForUL/>
    <w:balanceSingleByteDoubleByteWidth/>
    <w:ulTrailSpace/>
    <w:doNotExpandShiftReturn/>
    <w:adjustLineHeightInTable/>
    <w:compatSetting w:name="compatibilityMode" w:uri="http://schemas.microsoft.com/office/word" w:val="14"/>
  </w:compat>
  <w:docVars>
    <w:docVar w:name="commondata" w:val="eyJoZGlkIjoiMmU1MDk4MWIzNDEyODQ2ODg3Y2MxMGQ4ZGYxY2QxN2EifQ=="/>
  </w:docVars>
</w:settings>
</file>

<file path=word/styles.xml><?xml version="1.0" encoding="utf-8"?>
<w:styles xmlns:w="http://schemas.openxmlformats.org/wordprocessingml/2006/main" xmlns:r="http://schemas.openxmlformats.org/officeDocument/2006/relationships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style w:type="paragraph" w:default="1" w:styleId="0">
    <w:name w:val="Normal"/>
    <w:pPr>
      <w:widowControl w:val="0"/>
      <w:jc w:val="both"/>
    </w:pPr>
    <w:rPr>
      <w:rFonts w:ascii="MT Extra" w:eastAsia="宋体" w:cs="MT Extra" w:hAnsi="MT Extra"/>
      <w:kern w:val="2"/>
      <w:sz w:val="21"/>
      <w:szCs w:val="24"/>
      <w:lang w:val="en-US" w:eastAsia="zh-CN" w:bidi="ar-SA"/>
    </w:rPr>
  </w:style>
  <w:style w:type="paragraph" w:styleId="1">
    <w:name w:val="heading 1"/>
    <w:basedOn w:val="0"/>
    <w:next w:val="0"/>
    <w:pPr>
      <w:keepNext/>
      <w:keepLines/>
      <w:widowControl w:val="0"/>
      <w:spacing w:before="340" w:after="330" w:line="578" w:lineRule="auto"/>
      <w:outlineLvl w:val="0"/>
    </w:pPr>
    <w:rPr>
      <w:b/>
      <w:bCs/>
      <w:kern w:val="44"/>
      <w:sz w:val="44"/>
    </w:rPr>
  </w:style>
  <w:style w:type="paragraph" w:styleId="2">
    <w:name w:val="heading 2"/>
    <w:basedOn w:val="0"/>
    <w:next w:val="0"/>
    <w:pPr>
      <w:keepNext/>
      <w:keepLines/>
      <w:widowControl w:val="0"/>
      <w:spacing w:before="260" w:after="260" w:line="415" w:lineRule="auto"/>
      <w:outlineLvl w:val="1"/>
    </w:pPr>
    <w:rPr>
      <w:rFonts w:ascii="Luxi Sans" w:eastAsia="黑体" w:hAnsi="Luxi Sans"/>
      <w:b/>
      <w:sz w:val="32"/>
    </w:rPr>
  </w:style>
  <w:style w:type="paragraph" w:styleId="3">
    <w:name w:val="heading 3"/>
    <w:basedOn w:val="0"/>
    <w:next w:val="0"/>
    <w:pPr>
      <w:keepNext/>
      <w:keepLines/>
      <w:widowControl w:val="0"/>
      <w:spacing w:before="260" w:after="260" w:line="415" w:lineRule="auto"/>
      <w:outlineLvl w:val="2"/>
    </w:pPr>
    <w:rPr>
      <w:b/>
      <w:sz w:val="32"/>
    </w:rPr>
  </w:style>
  <w:style w:type="character" w:default="1" w:styleId="10">
    <w:name w:val="Default Paragraph Font"/>
    <w:autoRedefine/>
  </w:style>
  <w:style w:type="paragraph" w:styleId="15">
    <w:name w:val="footer"/>
    <w:basedOn w:val="0"/>
    <w:autoRedefine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16">
    <w:name w:val="header"/>
    <w:basedOn w:val="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header" Target="header1.xml"/><Relationship Id="rId3" Type="http://schemas.openxmlformats.org/officeDocument/2006/relationships/styles" Target="styles.xml"/><Relationship Id="rId4" Type="http://schemas.openxmlformats.org/officeDocument/2006/relationships/fontTable" Target="fontTable.xml"/></Relationships>
</file>

<file path=docProps/app.xml><?xml version="1.0" encoding="utf-8"?>
<Properties xmlns="http://schemas.openxmlformats.org/officeDocument/2006/extended-properties">
  <Template>Normal.eit</Template>
  <TotalTime>8</TotalTime>
  <Application>Yozo_Office27021597764231179</Application>
  <Pages>2</Pages>
  <Words>386</Words>
  <Characters>433</Characters>
  <Lines>44</Lines>
  <Paragraphs>19</Paragraphs>
  <CharactersWithSpaces>528</CharactersWithSpac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:title>附件1:</dc:title>
  <dc:creator>ws飞扬</dc:creator>
  <cp:lastModifiedBy>Administrator</cp:lastModifiedBy>
  <cp:revision>4</cp:revision>
  <dcterms:created xsi:type="dcterms:W3CDTF">2022-11-01T07:30:00Z</dcterms:created>
  <dcterms:modified xsi:type="dcterms:W3CDTF">2024-03-01T01:19:23Z</dcterms:modified>
</cp:coreProperties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KSOProductBuildVer">
    <vt:lpwstr>2052-12.1.0.16388</vt:lpwstr>
  </property>
  <property fmtid="{D5CDD505-2E9C-101B-9397-08002B2CF9AE}" pid="3" name="ICV">
    <vt:lpwstr>DD72177B9CAD49CC84F4509AADA74D83_13</vt:lpwstr>
  </property>
</Properties>
</file>