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Override PartName="/word/theme/themeOverride3.xml" ContentType="application/vnd.openxmlformats-officedocument.themeOverride+xml"/>
  <Override PartName="/word/theme/themeOverride4.xml" ContentType="application/vnd.openxmlformats-officedocument.themeOverride+xml"/>
  <Override PartName="/word/theme/themeOverride5.xml" ContentType="application/vnd.openxmlformats-officedocument.themeOverride+xml"/>
  <Override PartName="/word/theme/themeOverride6.xml" ContentType="application/vnd.openxmlformats-officedocument.themeOverride+xml"/>
  <Override PartName="/word/theme/themeOverride7.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77425"/>
      <w:bookmarkStart w:id="2" w:name="_Toc15396597"/>
      <w:bookmarkStart w:id="3" w:name="_Toc3443"/>
      <w:bookmarkStart w:id="4" w:name="_Toc15378441"/>
      <w:bookmarkStart w:id="5" w:name="_Toc15377193"/>
      <w:bookmarkStart w:id="6" w:name="_Toc15396475"/>
      <w:r>
        <w:rPr>
          <w:rFonts w:hint="eastAsia" w:ascii="黑体" w:eastAsia="黑体"/>
          <w:color w:val="000000"/>
          <w:sz w:val="72"/>
          <w:szCs w:val="72"/>
          <w:lang w:eastAsia="zh-CN"/>
        </w:rPr>
        <w:t>2022</w:t>
      </w:r>
      <w:r>
        <w:rPr>
          <w:rFonts w:hint="eastAsia" w:ascii="方正小标宋简体" w:eastAsia="方正小标宋简体"/>
          <w:color w:val="000000"/>
          <w:sz w:val="72"/>
          <w:szCs w:val="72"/>
        </w:rPr>
        <w:t>年度</w:t>
      </w:r>
      <w:bookmarkEnd w:id="1"/>
      <w:bookmarkEnd w:id="2"/>
      <w:bookmarkEnd w:id="3"/>
      <w:bookmarkEnd w:id="4"/>
      <w:bookmarkEnd w:id="5"/>
      <w:bookmarkEnd w:id="6"/>
    </w:p>
    <w:bookmarkEnd w:id="0"/>
    <w:p>
      <w:pPr>
        <w:adjustRightInd w:val="0"/>
        <w:snapToGrid w:val="0"/>
        <w:spacing w:line="360" w:lineRule="auto"/>
        <w:jc w:val="center"/>
        <w:outlineLvl w:val="0"/>
        <w:rPr>
          <w:rFonts w:ascii="方正小标宋简体" w:eastAsia="方正小标宋简体"/>
          <w:color w:val="000000"/>
          <w:sz w:val="72"/>
          <w:szCs w:val="72"/>
        </w:rPr>
      </w:pPr>
      <w:bookmarkStart w:id="7" w:name="_Toc15377426"/>
      <w:bookmarkStart w:id="8" w:name="_Toc15378442"/>
      <w:bookmarkStart w:id="9" w:name="_Toc15396598"/>
      <w:bookmarkStart w:id="10" w:name="_Toc15306268"/>
      <w:bookmarkStart w:id="11" w:name="_Toc15377194"/>
      <w:bookmarkStart w:id="12" w:name="_Toc15396476"/>
      <w:bookmarkStart w:id="13" w:name="_Toc11098"/>
      <w:r>
        <w:rPr>
          <w:rFonts w:hint="eastAsia" w:ascii="方正小标宋简体" w:eastAsia="方正小标宋简体"/>
          <w:color w:val="000000"/>
          <w:sz w:val="72"/>
          <w:szCs w:val="72"/>
        </w:rPr>
        <w:t>金川县畜牧兽医服务中心部门决算</w:t>
      </w:r>
      <w:bookmarkEnd w:id="7"/>
      <w:bookmarkEnd w:id="8"/>
      <w:bookmarkEnd w:id="9"/>
      <w:bookmarkEnd w:id="10"/>
      <w:bookmarkEnd w:id="11"/>
      <w:bookmarkEnd w:id="12"/>
      <w:bookmarkEnd w:id="13"/>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hint="eastAsia" w:ascii="黑体" w:eastAsia="黑体"/>
          <w:color w:val="000000"/>
          <w:sz w:val="48"/>
          <w:szCs w:val="48"/>
        </w:rPr>
        <w:t>目录</w:t>
      </w:r>
    </w:p>
    <w:p>
      <w:pPr>
        <w:widowControl/>
        <w:jc w:val="center"/>
        <w:rPr>
          <w:rFonts w:ascii="黑体" w:eastAsia="黑体" w:cs="Arial"/>
          <w:sz w:val="28"/>
          <w:szCs w:val="28"/>
        </w:rP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10"/>
      </w:pPr>
      <w:r>
        <w:rPr>
          <w:rFonts w:hint="eastAsia"/>
        </w:rPr>
        <w:t>公开时间：</w:t>
      </w:r>
      <w:r>
        <w:t>202</w:t>
      </w:r>
      <w:r>
        <w:rPr>
          <w:rFonts w:hint="eastAsia"/>
          <w:lang w:val="en-US" w:eastAsia="zh-CN"/>
        </w:rPr>
        <w:t>3</w:t>
      </w:r>
      <w:r>
        <w:rPr>
          <w:rFonts w:hint="eastAsia"/>
        </w:rPr>
        <w:t>年</w:t>
      </w:r>
      <w:r>
        <w:rPr>
          <w:rFonts w:hint="eastAsia"/>
          <w:lang w:val="en-US" w:eastAsia="zh-CN"/>
        </w:rPr>
        <w:t>8</w:t>
      </w:r>
      <w:r>
        <w:rPr>
          <w:rFonts w:hint="eastAsia"/>
        </w:rPr>
        <w:t>月</w:t>
      </w:r>
      <w:r>
        <w:rPr>
          <w:rFonts w:hint="eastAsia"/>
          <w:lang w:val="en-US" w:eastAsia="zh-CN"/>
        </w:rPr>
        <w:t>24</w:t>
      </w:r>
      <w:r>
        <w:rPr>
          <w:rFonts w:hint="eastAsia"/>
        </w:rPr>
        <w:t>日</w:t>
      </w:r>
    </w:p>
    <w:p>
      <w:pPr>
        <w:pStyle w:val="10"/>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lang w:val="en-US" w:eastAsia="zh-CN"/>
        </w:rPr>
        <w:t>4</w:t>
      </w:r>
      <w:r>
        <w:fldChar w:fldCharType="end"/>
      </w:r>
    </w:p>
    <w:p>
      <w:pPr>
        <w:pStyle w:val="11"/>
        <w:ind w:left="420"/>
        <w:rPr>
          <w:rFonts w:ascii="仿宋" w:eastAsia="仿宋" w:cs="Arial"/>
          <w:sz w:val="28"/>
          <w:szCs w:val="28"/>
        </w:rPr>
      </w:pPr>
      <w:r>
        <w:fldChar w:fldCharType="begin"/>
      </w:r>
      <w:r>
        <w:instrText xml:space="preserve"> HYPERLINK \l "_Toc15396600" </w:instrText>
      </w:r>
      <w:r>
        <w:fldChar w:fldCharType="separate"/>
      </w:r>
      <w:r>
        <w:rPr>
          <w:rFonts w:hint="eastAsia" w:ascii="仿宋" w:eastAsia="仿宋"/>
          <w:sz w:val="28"/>
          <w:szCs w:val="28"/>
        </w:rPr>
        <w:t>一、基本职能及主要工作</w:t>
      </w:r>
      <w:r>
        <w:rPr>
          <w:rFonts w:ascii="仿宋" w:eastAsia="仿宋"/>
          <w:sz w:val="28"/>
          <w:szCs w:val="28"/>
        </w:rPr>
        <w:tab/>
      </w:r>
      <w:r>
        <w:rPr>
          <w:rFonts w:hint="eastAsia" w:ascii="仿宋" w:eastAsia="仿宋"/>
          <w:sz w:val="28"/>
          <w:szCs w:val="28"/>
          <w:lang w:val="en-US" w:eastAsia="zh-CN"/>
        </w:rPr>
        <w:t>4</w:t>
      </w:r>
      <w:r>
        <w:rPr>
          <w:rFonts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"_Toc15396601" </w:instrText>
      </w:r>
      <w:r>
        <w:fldChar w:fldCharType="separate"/>
      </w:r>
      <w:r>
        <w:rPr>
          <w:rFonts w:hint="eastAsia" w:ascii="仿宋" w:eastAsia="仿宋"/>
          <w:sz w:val="28"/>
          <w:szCs w:val="28"/>
        </w:rPr>
        <w:t>二、机构设置</w:t>
      </w:r>
      <w:r>
        <w:rPr>
          <w:rFonts w:ascii="仿宋" w:eastAsia="仿宋"/>
          <w:sz w:val="28"/>
          <w:szCs w:val="28"/>
        </w:rPr>
        <w:tab/>
      </w:r>
      <w:r>
        <w:rPr>
          <w:rFonts w:hint="eastAsia" w:ascii="仿宋" w:eastAsia="仿宋"/>
          <w:sz w:val="28"/>
          <w:szCs w:val="28"/>
          <w:lang w:val="en-US" w:eastAsia="zh-CN"/>
        </w:rPr>
        <w:t>5</w:t>
      </w:r>
      <w:r>
        <w:rPr>
          <w:rFonts w:ascii="仿宋" w:eastAsia="仿宋"/>
          <w:sz w:val="28"/>
          <w:szCs w:val="28"/>
        </w:rPr>
        <w:fldChar w:fldCharType="end"/>
      </w:r>
    </w:p>
    <w:p>
      <w:pPr>
        <w:pStyle w:val="10"/>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rPr>
          <w:rFonts w:hint="eastAsia"/>
          <w:lang w:val="en-US" w:eastAsia="zh-CN"/>
        </w:rPr>
        <w:t>5</w:t>
      </w:r>
      <w:r>
        <w:fldChar w:fldCharType="end"/>
      </w:r>
    </w:p>
    <w:p>
      <w:pPr>
        <w:pStyle w:val="11"/>
        <w:ind w:left="420"/>
        <w:rPr>
          <w:rFonts w:ascii="仿宋" w:eastAsia="仿宋" w:cs="Arial"/>
          <w:sz w:val="28"/>
          <w:szCs w:val="28"/>
        </w:rPr>
      </w:pPr>
      <w:r>
        <w:fldChar w:fldCharType="begin"/>
      </w:r>
      <w:r>
        <w:instrText xml:space="preserve"> HYPERLINK \l "_Toc15396603" </w:instrText>
      </w:r>
      <w:r>
        <w:fldChar w:fldCharType="separate"/>
      </w:r>
      <w:r>
        <w:rPr>
          <w:rFonts w:hint="eastAsia" w:ascii="仿宋" w:eastAsia="仿宋"/>
          <w:bCs/>
          <w:sz w:val="28"/>
          <w:szCs w:val="28"/>
        </w:rPr>
        <w:t>一、</w:t>
      </w:r>
      <w:r>
        <w:rPr>
          <w:rFonts w:hint="eastAsia" w:ascii="仿宋" w:eastAsia="仿宋"/>
          <w:sz w:val="28"/>
          <w:szCs w:val="28"/>
        </w:rPr>
        <w:t>收</w:t>
      </w:r>
      <w:r>
        <w:rPr>
          <w:rFonts w:hint="eastAsia" w:ascii="仿宋" w:eastAsia="仿宋"/>
          <w:bCs/>
          <w:sz w:val="28"/>
          <w:szCs w:val="28"/>
        </w:rPr>
        <w:t>入支出决算总体情况说明</w:t>
      </w:r>
      <w:r>
        <w:rPr>
          <w:rFonts w:ascii="仿宋" w:eastAsia="仿宋"/>
          <w:sz w:val="28"/>
          <w:szCs w:val="28"/>
        </w:rPr>
        <w:tab/>
      </w:r>
      <w:r>
        <w:rPr>
          <w:rFonts w:hint="eastAsia" w:ascii="仿宋" w:eastAsia="仿宋"/>
          <w:sz w:val="28"/>
          <w:szCs w:val="28"/>
          <w:lang w:val="en-US" w:eastAsia="zh-CN"/>
        </w:rPr>
        <w:t>5</w:t>
      </w:r>
      <w:r>
        <w:rPr>
          <w:rFonts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"_Toc15396604" </w:instrText>
      </w:r>
      <w:r>
        <w:fldChar w:fldCharType="separate"/>
      </w:r>
      <w:r>
        <w:rPr>
          <w:rFonts w:hint="eastAsia" w:ascii="仿宋" w:eastAsia="仿宋"/>
          <w:bCs/>
          <w:sz w:val="28"/>
          <w:szCs w:val="28"/>
        </w:rPr>
        <w:t>二、</w:t>
      </w:r>
      <w:r>
        <w:rPr>
          <w:rFonts w:hint="eastAsia" w:ascii="仿宋" w:eastAsia="仿宋"/>
          <w:sz w:val="28"/>
          <w:szCs w:val="28"/>
        </w:rPr>
        <w:t>收</w:t>
      </w:r>
      <w:r>
        <w:rPr>
          <w:rFonts w:hint="eastAsia" w:ascii="仿宋" w:eastAsia="仿宋"/>
          <w:bCs/>
          <w:sz w:val="28"/>
          <w:szCs w:val="28"/>
        </w:rPr>
        <w:t>入决算情况说明</w:t>
      </w:r>
      <w:r>
        <w:rPr>
          <w:rFonts w:ascii="仿宋" w:eastAsia="仿宋"/>
          <w:sz w:val="28"/>
          <w:szCs w:val="28"/>
        </w:rPr>
        <w:tab/>
      </w:r>
      <w:r>
        <w:rPr>
          <w:rFonts w:hint="eastAsia" w:ascii="仿宋" w:eastAsia="仿宋"/>
          <w:sz w:val="28"/>
          <w:szCs w:val="28"/>
          <w:lang w:val="en-US" w:eastAsia="zh-CN"/>
        </w:rPr>
        <w:t>6</w:t>
      </w:r>
      <w:r>
        <w:rPr>
          <w:rFonts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"_Toc15396605" </w:instrText>
      </w:r>
      <w:r>
        <w:fldChar w:fldCharType="separate"/>
      </w:r>
      <w:r>
        <w:rPr>
          <w:rFonts w:hint="eastAsia" w:ascii="仿宋" w:eastAsia="仿宋"/>
          <w:bCs/>
          <w:sz w:val="28"/>
          <w:szCs w:val="28"/>
        </w:rPr>
        <w:t>三、</w:t>
      </w:r>
      <w:r>
        <w:rPr>
          <w:rFonts w:hint="eastAsia" w:ascii="仿宋" w:eastAsia="仿宋"/>
          <w:sz w:val="28"/>
          <w:szCs w:val="28"/>
        </w:rPr>
        <w:t>支</w:t>
      </w:r>
      <w:r>
        <w:rPr>
          <w:rFonts w:hint="eastAsia" w:ascii="仿宋" w:eastAsia="仿宋"/>
          <w:bCs/>
          <w:sz w:val="28"/>
          <w:szCs w:val="28"/>
        </w:rPr>
        <w:t>出决算情况说明</w:t>
      </w:r>
      <w:r>
        <w:rPr>
          <w:rFonts w:ascii="仿宋" w:eastAsia="仿宋"/>
          <w:sz w:val="28"/>
          <w:szCs w:val="28"/>
        </w:rPr>
        <w:tab/>
      </w:r>
      <w:r>
        <w:rPr>
          <w:rFonts w:hint="eastAsia" w:ascii="仿宋" w:eastAsia="仿宋"/>
          <w:sz w:val="28"/>
          <w:szCs w:val="28"/>
          <w:lang w:val="en-US" w:eastAsia="zh-CN"/>
        </w:rPr>
        <w:t>6</w:t>
      </w:r>
      <w:r>
        <w:rPr>
          <w:rFonts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"_Toc15396606" </w:instrText>
      </w:r>
      <w:r>
        <w:fldChar w:fldCharType="separate"/>
      </w:r>
      <w:r>
        <w:rPr>
          <w:rFonts w:hint="eastAsia" w:ascii="仿宋" w:eastAsia="仿宋"/>
          <w:sz w:val="28"/>
          <w:szCs w:val="28"/>
        </w:rPr>
        <w:t>四、财</w:t>
      </w:r>
      <w:r>
        <w:rPr>
          <w:rFonts w:hint="eastAsia" w:ascii="仿宋" w:eastAsia="仿宋"/>
          <w:bCs/>
          <w:sz w:val="28"/>
          <w:szCs w:val="28"/>
        </w:rPr>
        <w:t>政拨款收入支出决算总体情况说明</w:t>
      </w:r>
      <w:r>
        <w:rPr>
          <w:rFonts w:ascii="仿宋" w:eastAsia="仿宋"/>
          <w:sz w:val="28"/>
          <w:szCs w:val="28"/>
        </w:rPr>
        <w:tab/>
      </w:r>
      <w:r>
        <w:rPr>
          <w:rFonts w:hint="eastAsia" w:ascii="仿宋" w:eastAsia="仿宋"/>
          <w:sz w:val="28"/>
          <w:szCs w:val="28"/>
          <w:lang w:val="en-US" w:eastAsia="zh-CN"/>
        </w:rPr>
        <w:t>7</w:t>
      </w:r>
      <w:r>
        <w:rPr>
          <w:rFonts w:ascii="仿宋" w:eastAsia="仿宋"/>
          <w:sz w:val="28"/>
          <w:szCs w:val="28"/>
        </w:rPr>
        <w:fldChar w:fldCharType="end"/>
      </w:r>
    </w:p>
    <w:p>
      <w:pPr>
        <w:pStyle w:val="11"/>
        <w:ind w:left="420"/>
        <w:rPr>
          <w:rFonts w:ascii="仿宋" w:eastAsia="仿宋"/>
          <w:sz w:val="28"/>
          <w:szCs w:val="28"/>
        </w:rPr>
      </w:pPr>
      <w:r>
        <w:fldChar w:fldCharType="begin"/>
      </w:r>
      <w:r>
        <w:instrText xml:space="preserve"> HYPERLINK \l "_Toc15396607" </w:instrText>
      </w:r>
      <w:r>
        <w:fldChar w:fldCharType="separate"/>
      </w:r>
      <w:r>
        <w:rPr>
          <w:rFonts w:hint="eastAsia" w:ascii="仿宋" w:eastAsia="仿宋"/>
          <w:sz w:val="28"/>
          <w:szCs w:val="28"/>
        </w:rPr>
        <w:t>五、一</w:t>
      </w:r>
      <w:r>
        <w:rPr>
          <w:rFonts w:hint="eastAsia" w:ascii="仿宋" w:eastAsia="仿宋"/>
          <w:bCs/>
          <w:sz w:val="28"/>
          <w:szCs w:val="28"/>
        </w:rPr>
        <w:t>般公共预算财政拨款支出决算情况说明</w:t>
      </w:r>
      <w:r>
        <w:rPr>
          <w:rFonts w:ascii="仿宋" w:eastAsia="仿宋"/>
          <w:sz w:val="28"/>
          <w:szCs w:val="28"/>
        </w:rPr>
        <w:tab/>
      </w:r>
      <w:r>
        <w:rPr>
          <w:rFonts w:hint="eastAsia" w:ascii="仿宋" w:eastAsia="仿宋"/>
          <w:sz w:val="28"/>
          <w:szCs w:val="28"/>
          <w:lang w:val="en-US" w:eastAsia="zh-CN"/>
        </w:rPr>
        <w:t>8</w:t>
      </w:r>
      <w:r>
        <w:rPr>
          <w:rFonts w:ascii="仿宋" w:eastAsia="仿宋"/>
          <w:sz w:val="28"/>
          <w:szCs w:val="28"/>
        </w:rPr>
        <w:fldChar w:fldCharType="end"/>
      </w:r>
    </w:p>
    <w:p>
      <w:pPr>
        <w:ind w:firstLine="840" w:firstLineChars="300"/>
        <w:rPr>
          <w:rFonts w:hint="default" w:ascii="仿宋" w:hAnsi="Times New Roman" w:eastAsia="仿宋" w:cs="Times New Roman"/>
          <w:bCs/>
          <w:kern w:val="2"/>
          <w:sz w:val="28"/>
          <w:szCs w:val="28"/>
          <w:lang w:val="en-US" w:eastAsia="zh-CN" w:bidi="ar-SA"/>
        </w:rPr>
      </w:pPr>
      <w:r>
        <w:rPr>
          <w:rFonts w:hint="eastAsia" w:ascii="仿宋" w:eastAsia="仿宋" w:cs="Times New Roman"/>
          <w:bCs/>
          <w:kern w:val="2"/>
          <w:sz w:val="28"/>
          <w:szCs w:val="28"/>
          <w:lang w:val="en-US" w:eastAsia="zh-CN" w:bidi="ar-SA"/>
        </w:rPr>
        <w:t>（一）</w:t>
      </w:r>
      <w:r>
        <w:rPr>
          <w:rFonts w:hint="eastAsia" w:ascii="仿宋" w:hAnsi="Times New Roman" w:eastAsia="仿宋" w:cs="Times New Roman"/>
          <w:bCs/>
          <w:kern w:val="2"/>
          <w:sz w:val="28"/>
          <w:szCs w:val="28"/>
          <w:lang w:val="en-US" w:eastAsia="zh-CN" w:bidi="ar-SA"/>
        </w:rPr>
        <w:t>一般公共预算财政拨款支出决算总体情况</w:t>
      </w:r>
      <w:r>
        <w:rPr>
          <w:rFonts w:hint="eastAsia" w:ascii="仿宋" w:eastAsia="仿宋" w:cs="Times New Roman"/>
          <w:bCs/>
          <w:kern w:val="2"/>
          <w:sz w:val="28"/>
          <w:szCs w:val="28"/>
          <w:lang w:val="en-US" w:eastAsia="zh-CN" w:bidi="ar-SA"/>
        </w:rPr>
        <w:t>..........8</w:t>
      </w:r>
    </w:p>
    <w:p>
      <w:pPr>
        <w:ind w:firstLine="840" w:firstLineChars="300"/>
        <w:rPr>
          <w:rFonts w:hint="default" w:ascii="仿宋" w:hAnsi="Times New Roman" w:eastAsia="仿宋" w:cs="Times New Roman"/>
          <w:bCs/>
          <w:kern w:val="2"/>
          <w:sz w:val="28"/>
          <w:szCs w:val="28"/>
          <w:lang w:val="en-US" w:eastAsia="zh-CN" w:bidi="ar-SA"/>
        </w:rPr>
      </w:pPr>
      <w:r>
        <w:rPr>
          <w:rFonts w:hint="eastAsia" w:ascii="仿宋" w:hAnsi="Times New Roman" w:eastAsia="仿宋" w:cs="Times New Roman"/>
          <w:bCs/>
          <w:kern w:val="2"/>
          <w:sz w:val="28"/>
          <w:szCs w:val="28"/>
          <w:lang w:val="en-US" w:eastAsia="zh-CN" w:bidi="ar-SA"/>
        </w:rPr>
        <w:t>（二）一般公共预算财政拨款支出决算结构情况</w:t>
      </w:r>
      <w:r>
        <w:rPr>
          <w:rFonts w:hint="eastAsia" w:ascii="仿宋" w:eastAsia="仿宋" w:cs="Times New Roman"/>
          <w:bCs/>
          <w:kern w:val="2"/>
          <w:sz w:val="28"/>
          <w:szCs w:val="28"/>
          <w:lang w:val="en-US" w:eastAsia="zh-CN" w:bidi="ar-SA"/>
        </w:rPr>
        <w:t>..........9</w:t>
      </w:r>
    </w:p>
    <w:p>
      <w:pPr>
        <w:ind w:firstLine="840" w:firstLineChars="300"/>
        <w:rPr>
          <w:rFonts w:hint="default" w:ascii="仿宋" w:hAnsi="Times New Roman" w:eastAsia="仿宋" w:cs="Times New Roman"/>
          <w:bCs/>
          <w:kern w:val="2"/>
          <w:sz w:val="28"/>
          <w:szCs w:val="28"/>
          <w:lang w:val="en-US" w:eastAsia="zh-CN" w:bidi="ar-SA"/>
        </w:rPr>
      </w:pPr>
      <w:r>
        <w:rPr>
          <w:rFonts w:hint="eastAsia" w:ascii="仿宋" w:hAnsi="Times New Roman" w:eastAsia="仿宋" w:cs="Times New Roman"/>
          <w:bCs/>
          <w:kern w:val="2"/>
          <w:sz w:val="28"/>
          <w:szCs w:val="28"/>
          <w:lang w:val="en-US" w:eastAsia="zh-CN" w:bidi="ar-SA"/>
        </w:rPr>
        <w:t>（三）一般公共预算财政拨款支出决算具体情况</w:t>
      </w:r>
      <w:r>
        <w:rPr>
          <w:rFonts w:hint="eastAsia" w:ascii="仿宋" w:eastAsia="仿宋" w:cs="Times New Roman"/>
          <w:bCs/>
          <w:kern w:val="2"/>
          <w:sz w:val="28"/>
          <w:szCs w:val="28"/>
          <w:lang w:val="en-US" w:eastAsia="zh-CN" w:bidi="ar-SA"/>
        </w:rPr>
        <w:t>..........10</w:t>
      </w:r>
    </w:p>
    <w:p>
      <w:pPr>
        <w:pStyle w:val="11"/>
        <w:ind w:left="420"/>
        <w:rPr>
          <w:rFonts w:hint="eastAsia" w:ascii="仿宋" w:eastAsia="仿宋" w:cs="Arial"/>
          <w:sz w:val="28"/>
          <w:szCs w:val="28"/>
          <w:lang w:val="en-US" w:eastAsia="zh-CN"/>
        </w:rPr>
      </w:pPr>
      <w:r>
        <w:fldChar w:fldCharType="begin"/>
      </w:r>
      <w:r>
        <w:instrText xml:space="preserve"> HYPERLINK \l "_Toc15396608" </w:instrText>
      </w:r>
      <w:r>
        <w:fldChar w:fldCharType="separate"/>
      </w:r>
      <w:r>
        <w:rPr>
          <w:rFonts w:hint="eastAsia" w:ascii="仿宋" w:eastAsia="仿宋"/>
          <w:sz w:val="28"/>
          <w:szCs w:val="28"/>
        </w:rPr>
        <w:t>六、一</w:t>
      </w:r>
      <w:r>
        <w:rPr>
          <w:rFonts w:hint="eastAsia" w:ascii="仿宋" w:eastAsia="仿宋"/>
          <w:bCs/>
          <w:sz w:val="28"/>
          <w:szCs w:val="28"/>
        </w:rPr>
        <w:t>般公共预算财政拨款基本支出决算情况说明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1</w:t>
      </w:r>
    </w:p>
    <w:p>
      <w:pPr>
        <w:pStyle w:val="11"/>
        <w:ind w:left="420"/>
        <w:rPr>
          <w:rFonts w:hint="eastAsia" w:ascii="仿宋" w:eastAsia="仿宋"/>
          <w:sz w:val="28"/>
          <w:szCs w:val="28"/>
          <w:lang w:val="en-US" w:eastAsia="zh-CN"/>
        </w:rPr>
      </w:pPr>
      <w:r>
        <w:fldChar w:fldCharType="begin"/>
      </w:r>
      <w:r>
        <w:instrText xml:space="preserve"> HYPERLINK \l "_Toc15396609" </w:instrText>
      </w:r>
      <w:r>
        <w:fldChar w:fldCharType="separate"/>
      </w:r>
      <w:r>
        <w:rPr>
          <w:rFonts w:hint="eastAsia" w:ascii="仿宋" w:eastAsia="仿宋"/>
          <w:sz w:val="28"/>
          <w:szCs w:val="28"/>
        </w:rPr>
        <w:t>七、</w:t>
      </w:r>
      <w:r>
        <w:rPr>
          <w:rFonts w:ascii="仿宋" w:eastAsia="仿宋"/>
          <w:sz w:val="28"/>
          <w:szCs w:val="28"/>
        </w:rPr>
        <w:t>“</w:t>
      </w:r>
      <w:r>
        <w:rPr>
          <w:rFonts w:hint="eastAsia" w:ascii="仿宋" w:eastAsia="仿宋"/>
          <w:bCs/>
          <w:sz w:val="28"/>
          <w:szCs w:val="28"/>
        </w:rPr>
        <w:t>三公”经费财政拨款支出决算情况说明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1</w:t>
      </w:r>
    </w:p>
    <w:p>
      <w:pPr>
        <w:pStyle w:val="6"/>
        <w:rPr>
          <w:rFonts w:hint="default" w:ascii="仿宋" w:hAnsi="Times New Roman" w:eastAsia="仿宋" w:cs="Times New Roman"/>
          <w:bCs/>
          <w:kern w:val="2"/>
          <w:sz w:val="28"/>
          <w:szCs w:val="28"/>
          <w:lang w:val="en-US" w:eastAsia="zh-CN" w:bidi="ar-SA"/>
        </w:rPr>
      </w:pPr>
      <w:r>
        <w:rPr>
          <w:rFonts w:hint="eastAsia" w:ascii="仿宋" w:hAnsi="Times New Roman" w:eastAsia="仿宋" w:cs="Times New Roman"/>
          <w:bCs/>
          <w:kern w:val="2"/>
          <w:sz w:val="28"/>
          <w:szCs w:val="28"/>
          <w:lang w:val="en-US" w:eastAsia="zh-CN" w:bidi="ar-SA"/>
        </w:rPr>
        <w:t>（一）“三公”经费财政拨款支出决算总体情况说明</w:t>
      </w:r>
      <w:r>
        <w:rPr>
          <w:rFonts w:hint="eastAsia" w:ascii="仿宋" w:eastAsia="仿宋" w:cs="Times New Roman"/>
          <w:bCs/>
          <w:kern w:val="2"/>
          <w:sz w:val="28"/>
          <w:szCs w:val="28"/>
          <w:lang w:val="en-US" w:eastAsia="zh-CN" w:bidi="ar-SA"/>
        </w:rPr>
        <w:t>......11</w:t>
      </w:r>
    </w:p>
    <w:p>
      <w:pPr>
        <w:ind w:firstLine="840" w:firstLineChars="300"/>
        <w:rPr>
          <w:rFonts w:hint="default" w:ascii="仿宋" w:hAnsi="Times New Roman" w:eastAsia="仿宋" w:cs="Times New Roman"/>
          <w:bCs/>
          <w:kern w:val="2"/>
          <w:sz w:val="28"/>
          <w:szCs w:val="28"/>
          <w:lang w:val="en-US" w:eastAsia="zh-CN" w:bidi="ar-SA"/>
        </w:rPr>
      </w:pPr>
      <w:r>
        <w:rPr>
          <w:rFonts w:hint="eastAsia" w:ascii="仿宋" w:hAnsi="Times New Roman" w:eastAsia="仿宋" w:cs="Times New Roman"/>
          <w:bCs/>
          <w:kern w:val="2"/>
          <w:sz w:val="28"/>
          <w:szCs w:val="28"/>
          <w:lang w:val="en-US" w:eastAsia="zh-CN" w:bidi="ar-SA"/>
        </w:rPr>
        <w:t>（二）“三公”经费财政拨款支出决算具体情况说明</w:t>
      </w:r>
      <w:r>
        <w:rPr>
          <w:rFonts w:hint="eastAsia" w:ascii="仿宋" w:eastAsia="仿宋" w:cs="Times New Roman"/>
          <w:bCs/>
          <w:kern w:val="2"/>
          <w:sz w:val="28"/>
          <w:szCs w:val="28"/>
          <w:lang w:val="en-US" w:eastAsia="zh-CN" w:bidi="ar-SA"/>
        </w:rPr>
        <w:t>......12</w:t>
      </w:r>
    </w:p>
    <w:p>
      <w:pPr>
        <w:pStyle w:val="11"/>
        <w:ind w:left="420"/>
        <w:rPr>
          <w:rFonts w:hint="eastAsia" w:ascii="仿宋" w:eastAsia="仿宋" w:cs="Arial"/>
          <w:sz w:val="28"/>
          <w:szCs w:val="28"/>
          <w:lang w:eastAsia="zh-CN"/>
        </w:rPr>
      </w:pPr>
      <w:r>
        <w:fldChar w:fldCharType="begin"/>
      </w:r>
      <w:r>
        <w:instrText xml:space="preserve"> HYPERLINK \l "_Toc15396610" </w:instrText>
      </w:r>
      <w:r>
        <w:fldChar w:fldCharType="separate"/>
      </w:r>
      <w:r>
        <w:rPr>
          <w:rFonts w:hint="eastAsia" w:ascii="仿宋" w:eastAsia="仿宋"/>
          <w:sz w:val="28"/>
          <w:szCs w:val="28"/>
        </w:rPr>
        <w:t>八、</w:t>
      </w:r>
      <w:r>
        <w:rPr>
          <w:rFonts w:hint="eastAsia" w:ascii="仿宋" w:eastAsia="仿宋"/>
          <w:bCs/>
          <w:sz w:val="28"/>
          <w:szCs w:val="28"/>
        </w:rPr>
        <w:t>政府性基金预算支出决算情况说明</w:t>
      </w:r>
      <w:r>
        <w:rPr>
          <w:rFonts w:ascii="仿宋" w:eastAsia="仿宋"/>
          <w:sz w:val="28"/>
          <w:szCs w:val="28"/>
        </w:rPr>
        <w:tab/>
      </w:r>
      <w:r>
        <w:rPr>
          <w:rFonts w:ascii="仿宋" w:eastAsia="仿宋"/>
          <w:sz w:val="28"/>
          <w:szCs w:val="28"/>
        </w:rPr>
        <w:t>1</w:t>
      </w:r>
      <w:r>
        <w:rPr>
          <w:rFonts w:ascii="仿宋" w:eastAsia="仿宋"/>
          <w:sz w:val="28"/>
          <w:szCs w:val="28"/>
        </w:rPr>
        <w:fldChar w:fldCharType="end"/>
      </w:r>
      <w:r>
        <w:rPr>
          <w:rFonts w:hint="eastAsia" w:ascii="仿宋" w:eastAsia="仿宋"/>
          <w:sz w:val="28"/>
          <w:szCs w:val="28"/>
          <w:lang w:val="en-US" w:eastAsia="zh-CN"/>
        </w:rPr>
        <w:t>3</w:t>
      </w:r>
    </w:p>
    <w:p>
      <w:pPr>
        <w:pStyle w:val="11"/>
        <w:ind w:left="420"/>
        <w:rPr>
          <w:rFonts w:hint="eastAsia" w:ascii="仿宋" w:eastAsia="仿宋"/>
          <w:sz w:val="28"/>
          <w:szCs w:val="28"/>
          <w:lang w:eastAsia="zh-CN"/>
        </w:rPr>
      </w:pPr>
      <w:r>
        <w:fldChar w:fldCharType="begin"/>
      </w:r>
      <w:r>
        <w:instrText xml:space="preserve"> HYPERLINK \l "_Toc15396611" </w:instrText>
      </w:r>
      <w:r>
        <w:fldChar w:fldCharType="separate"/>
      </w:r>
      <w:r>
        <w:rPr>
          <w:rFonts w:hint="eastAsia" w:ascii="仿宋" w:eastAsia="仿宋"/>
          <w:bCs/>
          <w:sz w:val="28"/>
          <w:szCs w:val="28"/>
        </w:rPr>
        <w:t>九、</w:t>
      </w:r>
      <w:r>
        <w:rPr>
          <w:rFonts w:ascii="仿宋" w:eastAsia="仿宋"/>
          <w:sz w:val="28"/>
          <w:szCs w:val="28"/>
        </w:rPr>
        <w:t xml:space="preserve"> </w:t>
      </w:r>
      <w:r>
        <w:rPr>
          <w:rFonts w:hint="eastAsia" w:ascii="仿宋" w:eastAsia="仿宋"/>
          <w:sz w:val="28"/>
          <w:szCs w:val="28"/>
        </w:rPr>
        <w:t>国</w:t>
      </w:r>
      <w:r>
        <w:rPr>
          <w:rFonts w:hint="eastAsia" w:ascii="仿宋" w:eastAsia="仿宋"/>
          <w:bCs/>
          <w:sz w:val="28"/>
          <w:szCs w:val="28"/>
        </w:rPr>
        <w:t>有资本经营预算支出决算情况说明</w:t>
      </w:r>
      <w:r>
        <w:rPr>
          <w:rFonts w:ascii="仿宋" w:eastAsia="仿宋"/>
          <w:sz w:val="28"/>
          <w:szCs w:val="28"/>
        </w:rPr>
        <w:tab/>
      </w:r>
      <w:r>
        <w:rPr>
          <w:rFonts w:ascii="仿宋" w:eastAsia="仿宋"/>
          <w:sz w:val="28"/>
          <w:szCs w:val="28"/>
        </w:rPr>
        <w:t>1</w:t>
      </w:r>
      <w:r>
        <w:rPr>
          <w:rFonts w:ascii="仿宋" w:eastAsia="仿宋"/>
          <w:sz w:val="28"/>
          <w:szCs w:val="28"/>
        </w:rPr>
        <w:fldChar w:fldCharType="end"/>
      </w:r>
      <w:r>
        <w:rPr>
          <w:rFonts w:hint="eastAsia" w:ascii="仿宋" w:eastAsia="仿宋"/>
          <w:sz w:val="28"/>
          <w:szCs w:val="28"/>
          <w:lang w:val="en-US" w:eastAsia="zh-CN"/>
        </w:rPr>
        <w:t>3</w:t>
      </w:r>
    </w:p>
    <w:p>
      <w:pPr>
        <w:pStyle w:val="11"/>
        <w:ind w:left="420"/>
        <w:rPr>
          <w:rFonts w:hint="eastAsia" w:ascii="仿宋" w:eastAsia="仿宋"/>
          <w:sz w:val="28"/>
          <w:szCs w:val="28"/>
          <w:lang w:val="en-US" w:eastAsia="zh-CN"/>
        </w:rPr>
      </w:pPr>
      <w:r>
        <w:fldChar w:fldCharType="begin"/>
      </w:r>
      <w:r>
        <w:instrText xml:space="preserve"> HYPERLINK \l "_Toc15396612" </w:instrText>
      </w:r>
      <w:r>
        <w:fldChar w:fldCharType="separate"/>
      </w:r>
      <w:r>
        <w:rPr>
          <w:rFonts w:hint="eastAsia" w:ascii="仿宋" w:eastAsia="仿宋"/>
          <w:sz w:val="28"/>
          <w:szCs w:val="28"/>
        </w:rPr>
        <w:t>十</w:t>
      </w:r>
      <w:r>
        <w:rPr>
          <w:rFonts w:hint="eastAsia" w:ascii="仿宋" w:eastAsia="仿宋"/>
          <w:bCs/>
          <w:sz w:val="28"/>
          <w:szCs w:val="28"/>
        </w:rPr>
        <w:t>、其他重要事项的情况说明</w:t>
      </w:r>
      <w:r>
        <w:rPr>
          <w:rFonts w:ascii="仿宋" w:eastAsia="仿宋"/>
          <w:sz w:val="28"/>
          <w:szCs w:val="28"/>
        </w:rPr>
        <w:tab/>
      </w:r>
      <w:r>
        <w:rPr>
          <w:rFonts w:ascii="仿宋" w:eastAsia="仿宋"/>
          <w:sz w:val="28"/>
          <w:szCs w:val="28"/>
        </w:rPr>
        <w:t>1</w:t>
      </w:r>
      <w:r>
        <w:rPr>
          <w:rFonts w:ascii="仿宋" w:eastAsia="仿宋"/>
          <w:sz w:val="28"/>
          <w:szCs w:val="28"/>
        </w:rPr>
        <w:fldChar w:fldCharType="end"/>
      </w:r>
      <w:r>
        <w:rPr>
          <w:rFonts w:hint="eastAsia" w:ascii="仿宋" w:eastAsia="仿宋"/>
          <w:sz w:val="28"/>
          <w:szCs w:val="28"/>
          <w:lang w:val="en-US" w:eastAsia="zh-CN"/>
        </w:rPr>
        <w:t>3</w:t>
      </w:r>
    </w:p>
    <w:p>
      <w:pPr>
        <w:pStyle w:val="6"/>
        <w:jc w:val="both"/>
        <w:rPr>
          <w:rFonts w:hint="default" w:ascii="仿宋" w:hAnsi="Times New Roman" w:eastAsia="仿宋" w:cs="Times New Roman"/>
          <w:bCs/>
          <w:kern w:val="2"/>
          <w:sz w:val="28"/>
          <w:szCs w:val="28"/>
          <w:lang w:val="en-US" w:eastAsia="zh-CN" w:bidi="ar-SA"/>
        </w:rPr>
      </w:pPr>
      <w:r>
        <w:rPr>
          <w:rFonts w:hint="eastAsia" w:ascii="仿宋" w:hAnsi="Times New Roman" w:eastAsia="仿宋" w:cs="Times New Roman"/>
          <w:bCs/>
          <w:kern w:val="2"/>
          <w:sz w:val="28"/>
          <w:szCs w:val="28"/>
          <w:lang w:val="en-US" w:eastAsia="zh-CN" w:bidi="ar-SA"/>
        </w:rPr>
        <w:t>（一）机关运行经费支出情况</w:t>
      </w:r>
      <w:r>
        <w:rPr>
          <w:rFonts w:hint="eastAsia" w:ascii="仿宋" w:hAnsi="Times New Roman" w:eastAsia="仿宋" w:cs="Times New Roman"/>
          <w:bCs/>
          <w:kern w:val="2"/>
          <w:sz w:val="28"/>
          <w:szCs w:val="28"/>
          <w:lang w:val="en-US" w:eastAsia="zh-CN" w:bidi="ar-SA"/>
        </w:rPr>
        <w:tab/>
      </w:r>
      <w:r>
        <w:rPr>
          <w:rFonts w:hint="eastAsia" w:ascii="仿宋" w:eastAsia="仿宋" w:cs="Times New Roman"/>
          <w:bCs/>
          <w:kern w:val="2"/>
          <w:sz w:val="28"/>
          <w:szCs w:val="28"/>
          <w:lang w:val="en-US" w:eastAsia="zh-CN" w:bidi="ar-SA"/>
        </w:rPr>
        <w:t>13</w:t>
      </w:r>
    </w:p>
    <w:p>
      <w:pPr>
        <w:pStyle w:val="6"/>
        <w:jc w:val="both"/>
        <w:rPr>
          <w:rFonts w:hint="eastAsia" w:ascii="仿宋" w:hAnsi="Times New Roman" w:eastAsia="仿宋" w:cs="Times New Roman"/>
          <w:bCs/>
          <w:kern w:val="2"/>
          <w:sz w:val="28"/>
          <w:szCs w:val="28"/>
          <w:lang w:val="en-US" w:eastAsia="zh-CN" w:bidi="ar-SA"/>
        </w:rPr>
      </w:pPr>
      <w:r>
        <w:rPr>
          <w:rFonts w:hint="eastAsia" w:ascii="仿宋" w:hAnsi="Times New Roman" w:eastAsia="仿宋" w:cs="Times New Roman"/>
          <w:bCs/>
          <w:kern w:val="2"/>
          <w:sz w:val="28"/>
          <w:szCs w:val="28"/>
          <w:lang w:val="en-US" w:eastAsia="zh-CN" w:bidi="ar-SA"/>
        </w:rPr>
        <w:t>（二）政府采购支出情况</w:t>
      </w:r>
      <w:r>
        <w:rPr>
          <w:rFonts w:hint="eastAsia" w:ascii="仿宋" w:eastAsia="仿宋" w:cs="Times New Roman"/>
          <w:bCs/>
          <w:kern w:val="2"/>
          <w:sz w:val="28"/>
          <w:szCs w:val="28"/>
          <w:lang w:val="en-US" w:eastAsia="zh-CN" w:bidi="ar-SA"/>
        </w:rPr>
        <w:t>.............................</w:t>
      </w:r>
      <w:r>
        <w:rPr>
          <w:rFonts w:hint="default" w:ascii="仿宋" w:eastAsia="仿宋" w:cs="Times New Roman"/>
          <w:bCs/>
          <w:kern w:val="2"/>
          <w:sz w:val="28"/>
          <w:szCs w:val="28"/>
          <w:lang w:eastAsia="zh-CN" w:bidi="ar-SA"/>
        </w:rPr>
        <w:t>....................</w:t>
      </w:r>
      <w:r>
        <w:rPr>
          <w:rFonts w:hint="eastAsia" w:ascii="仿宋" w:hAnsi="Times New Roman" w:eastAsia="仿宋" w:cs="Times New Roman"/>
          <w:bCs/>
          <w:kern w:val="2"/>
          <w:sz w:val="28"/>
          <w:szCs w:val="28"/>
          <w:lang w:val="en-US" w:eastAsia="zh-CN" w:bidi="ar-SA"/>
        </w:rPr>
        <w:t>1</w:t>
      </w:r>
      <w:r>
        <w:rPr>
          <w:rFonts w:hint="eastAsia" w:ascii="仿宋" w:eastAsia="仿宋" w:cs="Times New Roman"/>
          <w:bCs/>
          <w:kern w:val="2"/>
          <w:sz w:val="28"/>
          <w:szCs w:val="28"/>
          <w:lang w:val="en-US" w:eastAsia="zh-CN" w:bidi="ar-SA"/>
        </w:rPr>
        <w:t>3</w:t>
      </w:r>
    </w:p>
    <w:p>
      <w:pPr>
        <w:pStyle w:val="6"/>
        <w:jc w:val="both"/>
        <w:rPr>
          <w:rFonts w:hint="default" w:ascii="仿宋" w:hAnsi="Times New Roman" w:eastAsia="仿宋" w:cs="Times New Roman"/>
          <w:bCs/>
          <w:kern w:val="2"/>
          <w:sz w:val="28"/>
          <w:szCs w:val="28"/>
          <w:lang w:val="en-US" w:eastAsia="zh-CN" w:bidi="ar-SA"/>
        </w:rPr>
      </w:pPr>
      <w:r>
        <w:rPr>
          <w:rFonts w:hint="eastAsia" w:ascii="仿宋" w:hAnsi="Times New Roman" w:eastAsia="仿宋" w:cs="Times New Roman"/>
          <w:bCs/>
          <w:kern w:val="2"/>
          <w:sz w:val="28"/>
          <w:szCs w:val="28"/>
          <w:lang w:val="en-US" w:eastAsia="zh-CN" w:bidi="ar-SA"/>
        </w:rPr>
        <w:t>（三）国有资产占有使用情况</w:t>
      </w:r>
      <w:r>
        <w:rPr>
          <w:rFonts w:hint="eastAsia" w:ascii="仿宋" w:hAnsi="Times New Roman" w:eastAsia="仿宋" w:cs="Times New Roman"/>
          <w:bCs/>
          <w:kern w:val="2"/>
          <w:sz w:val="28"/>
          <w:szCs w:val="28"/>
          <w:lang w:val="en-US" w:eastAsia="zh-CN" w:bidi="ar-SA"/>
        </w:rPr>
        <w:tab/>
      </w:r>
      <w:r>
        <w:rPr>
          <w:rFonts w:hint="eastAsia" w:ascii="仿宋" w:eastAsia="仿宋" w:cs="Times New Roman"/>
          <w:bCs/>
          <w:kern w:val="2"/>
          <w:sz w:val="28"/>
          <w:szCs w:val="28"/>
          <w:lang w:val="en-US" w:eastAsia="zh-CN" w:bidi="ar-SA"/>
        </w:rPr>
        <w:t>14</w:t>
      </w:r>
    </w:p>
    <w:p>
      <w:pPr>
        <w:pStyle w:val="6"/>
        <w:jc w:val="both"/>
        <w:rPr>
          <w:rFonts w:hint="default"/>
          <w:lang w:val="en-US" w:eastAsia="zh-CN"/>
        </w:rPr>
      </w:pPr>
      <w:r>
        <w:rPr>
          <w:rFonts w:hint="eastAsia" w:ascii="仿宋" w:hAnsi="Times New Roman" w:eastAsia="仿宋" w:cs="Times New Roman"/>
          <w:bCs/>
          <w:kern w:val="2"/>
          <w:sz w:val="28"/>
          <w:szCs w:val="28"/>
          <w:lang w:val="en-US" w:eastAsia="zh-CN" w:bidi="ar-SA"/>
        </w:rPr>
        <w:t>（四）预算绩效管理情况</w:t>
      </w:r>
      <w:r>
        <w:rPr>
          <w:rFonts w:hint="eastAsia" w:ascii="仿宋" w:hAnsi="Times New Roman" w:eastAsia="仿宋" w:cs="Times New Roman"/>
          <w:bCs/>
          <w:kern w:val="2"/>
          <w:sz w:val="28"/>
          <w:szCs w:val="28"/>
          <w:lang w:val="en-US" w:eastAsia="zh-CN" w:bidi="ar-SA"/>
        </w:rPr>
        <w:tab/>
      </w:r>
      <w:r>
        <w:rPr>
          <w:rFonts w:hint="eastAsia" w:ascii="仿宋" w:eastAsia="仿宋" w:cs="Times New Roman"/>
          <w:bCs/>
          <w:kern w:val="2"/>
          <w:sz w:val="28"/>
          <w:szCs w:val="28"/>
          <w:lang w:val="en-US" w:eastAsia="zh-CN" w:bidi="ar-SA"/>
        </w:rPr>
        <w:t>14</w:t>
      </w:r>
    </w:p>
    <w:p>
      <w:pPr>
        <w:pStyle w:val="10"/>
        <w:rPr>
          <w:rFonts w:hint="eastAsia" w:eastAsia="仿宋" w:cs="Arial"/>
          <w:lang w:eastAsia="zh-CN"/>
        </w:rPr>
      </w:pPr>
      <w:r>
        <w:fldChar w:fldCharType="begin"/>
      </w:r>
      <w:r>
        <w:instrText xml:space="preserve"> HYPERLINK \l "_Toc15396613" </w:instrText>
      </w:r>
      <w:r>
        <w:fldChar w:fldCharType="separate"/>
      </w:r>
      <w:r>
        <w:rPr>
          <w:rFonts w:hint="eastAsia"/>
          <w:bCs/>
          <w:kern w:val="44"/>
        </w:rPr>
        <w:t>第三部分</w:t>
      </w:r>
      <w:r>
        <w:t xml:space="preserve"> </w:t>
      </w:r>
      <w:r>
        <w:rPr>
          <w:rFonts w:hint="eastAsia"/>
        </w:rPr>
        <w:t>名</w:t>
      </w:r>
      <w:r>
        <w:rPr>
          <w:rFonts w:hint="eastAsia"/>
          <w:bCs/>
          <w:kern w:val="44"/>
        </w:rPr>
        <w:t>词解释</w:t>
      </w:r>
      <w:r>
        <w:tab/>
      </w:r>
      <w:r>
        <w:t>1</w:t>
      </w:r>
      <w:r>
        <w:fldChar w:fldCharType="end"/>
      </w:r>
      <w:r>
        <w:rPr>
          <w:rFonts w:hint="eastAsia"/>
          <w:lang w:val="en-US" w:eastAsia="zh-CN"/>
        </w:rPr>
        <w:t>7</w:t>
      </w:r>
    </w:p>
    <w:p>
      <w:pPr>
        <w:pStyle w:val="10"/>
        <w:rPr>
          <w:rFonts w:hint="eastAsia" w:eastAsia="仿宋" w:cs="Arial"/>
          <w:lang w:eastAsia="zh-CN"/>
        </w:rPr>
      </w:pPr>
      <w:r>
        <w:fldChar w:fldCharType="begin"/>
      </w:r>
      <w:r>
        <w:instrText xml:space="preserve"> HYPERLINK \l "_Toc15396614" </w:instrText>
      </w:r>
      <w:r>
        <w:fldChar w:fldCharType="separate"/>
      </w:r>
      <w:r>
        <w:rPr>
          <w:rFonts w:hint="eastAsia"/>
        </w:rPr>
        <w:t>第</w:t>
      </w:r>
      <w:r>
        <w:rPr>
          <w:rFonts w:hint="eastAsia"/>
          <w:bCs/>
          <w:kern w:val="44"/>
        </w:rPr>
        <w:t>四部分</w:t>
      </w:r>
      <w:r>
        <w:rPr>
          <w:bCs/>
          <w:kern w:val="44"/>
        </w:rPr>
        <w:t xml:space="preserve"> </w:t>
      </w:r>
      <w:r>
        <w:rPr>
          <w:rFonts w:hint="eastAsia"/>
          <w:bCs/>
          <w:kern w:val="44"/>
        </w:rPr>
        <w:t>附件</w:t>
      </w:r>
      <w:r>
        <w:tab/>
      </w:r>
      <w:r>
        <w:t>1</w:t>
      </w:r>
      <w:r>
        <w:fldChar w:fldCharType="end"/>
      </w:r>
      <w:r>
        <w:rPr>
          <w:rFonts w:hint="eastAsia"/>
          <w:lang w:val="en-US" w:eastAsia="zh-CN"/>
        </w:rPr>
        <w:t>9</w:t>
      </w:r>
    </w:p>
    <w:p>
      <w:pPr>
        <w:widowControl/>
        <w:spacing w:line="576" w:lineRule="exact"/>
        <w:ind w:firstLine="210" w:firstLineChars="100"/>
        <w:jc w:val="both"/>
        <w:rPr>
          <w:rFonts w:hint="eastAsia" w:ascii="仿宋" w:eastAsia="仿宋"/>
          <w:sz w:val="28"/>
          <w:szCs w:val="28"/>
          <w:lang w:eastAsia="zh-CN"/>
        </w:rPr>
      </w:pPr>
      <w:r>
        <w:fldChar w:fldCharType="begin"/>
      </w:r>
      <w:r>
        <w:instrText xml:space="preserve"> HYPERLINK \l "_Toc15396615" </w:instrText>
      </w:r>
      <w:r>
        <w:fldChar w:fldCharType="separate"/>
      </w:r>
      <w:r>
        <w:rPr>
          <w:rFonts w:hint="eastAsia" w:ascii="仿宋" w:hAnsi="Times New Roman" w:eastAsia="仿宋" w:cs="Times New Roman"/>
          <w:kern w:val="2"/>
          <w:sz w:val="28"/>
          <w:szCs w:val="28"/>
          <w:lang w:val="en-US" w:eastAsia="zh-CN" w:bidi="ar-SA"/>
        </w:rPr>
        <w:t>金川县畜牧兽医服务中心</w:t>
      </w:r>
      <w:r>
        <w:rPr>
          <w:rFonts w:hint="eastAsia" w:ascii="仿宋" w:eastAsia="仿宋" w:cs="Times New Roman"/>
          <w:kern w:val="2"/>
          <w:sz w:val="28"/>
          <w:szCs w:val="28"/>
          <w:lang w:val="en-US" w:eastAsia="zh-CN" w:bidi="ar-SA"/>
        </w:rPr>
        <w:t>2022</w:t>
      </w:r>
      <w:r>
        <w:rPr>
          <w:rFonts w:hint="eastAsia" w:ascii="仿宋" w:hAnsi="Times New Roman" w:eastAsia="仿宋" w:cs="Times New Roman"/>
          <w:kern w:val="2"/>
          <w:sz w:val="28"/>
          <w:szCs w:val="28"/>
          <w:lang w:val="en-US" w:eastAsia="zh-CN" w:bidi="ar-SA"/>
        </w:rPr>
        <w:t>年部门预算整体支出绩效报告</w:t>
      </w:r>
      <w:r>
        <w:rPr>
          <w:rFonts w:hint="eastAsia" w:ascii="仿宋" w:eastAsia="仿宋" w:cs="Times New Roman"/>
          <w:kern w:val="2"/>
          <w:sz w:val="28"/>
          <w:szCs w:val="28"/>
          <w:lang w:val="en-US" w:eastAsia="zh-CN" w:bidi="ar-SA"/>
        </w:rPr>
        <w:t>..</w:t>
      </w:r>
      <w:r>
        <w:rPr>
          <w:rFonts w:ascii="仿宋" w:eastAsia="仿宋"/>
          <w:sz w:val="28"/>
          <w:szCs w:val="28"/>
        </w:rPr>
        <w:tab/>
      </w:r>
      <w:r>
        <w:rPr>
          <w:rFonts w:ascii="仿宋" w:eastAsia="仿宋"/>
          <w:sz w:val="28"/>
          <w:szCs w:val="28"/>
        </w:rPr>
        <w:t>1</w:t>
      </w:r>
      <w:r>
        <w:rPr>
          <w:rFonts w:ascii="仿宋" w:eastAsia="仿宋"/>
          <w:sz w:val="28"/>
          <w:szCs w:val="28"/>
        </w:rPr>
        <w:fldChar w:fldCharType="end"/>
      </w:r>
      <w:r>
        <w:rPr>
          <w:rFonts w:hint="eastAsia" w:ascii="仿宋" w:eastAsia="仿宋"/>
          <w:sz w:val="28"/>
          <w:szCs w:val="28"/>
          <w:lang w:val="en-US" w:eastAsia="zh-CN"/>
        </w:rPr>
        <w:t>9</w:t>
      </w:r>
    </w:p>
    <w:p>
      <w:pPr>
        <w:pStyle w:val="10"/>
        <w:bidi w:val="0"/>
        <w:rPr>
          <w:rFonts w:hint="default"/>
          <w:lang w:val="en-US" w:eastAsia="zh-CN"/>
        </w:rPr>
      </w:pPr>
      <w:r>
        <w:rPr>
          <w:rFonts w:hint="eastAsia"/>
        </w:rPr>
        <w:t>第五部分 附表</w:t>
      </w:r>
      <w:r>
        <w:rPr>
          <w:rFonts w:hint="eastAsia"/>
        </w:rPr>
        <w:tab/>
      </w:r>
      <w:r>
        <w:rPr>
          <w:rFonts w:hint="eastAsia"/>
          <w:lang w:val="en-US" w:eastAsia="zh-CN"/>
        </w:rPr>
        <w:t>32</w:t>
      </w:r>
    </w:p>
    <w:p>
      <w:pPr>
        <w:pStyle w:val="10"/>
        <w:bidi w:val="0"/>
        <w:rPr>
          <w:rFonts w:hint="default"/>
          <w:lang w:val="en-US" w:eastAsia="zh-CN"/>
        </w:rPr>
      </w:pPr>
      <w:r>
        <w:rPr>
          <w:rFonts w:hint="eastAsia"/>
          <w:lang w:val="en-US" w:eastAsia="zh-CN"/>
        </w:rPr>
        <w:t xml:space="preserve">    </w:t>
      </w:r>
      <w:r>
        <w:rPr>
          <w:rFonts w:hint="eastAsia"/>
        </w:rPr>
        <w:t>一、收入支出决算总表</w:t>
      </w:r>
      <w:r>
        <w:rPr>
          <w:rFonts w:hint="eastAsia"/>
        </w:rPr>
        <w:tab/>
      </w:r>
      <w:r>
        <w:rPr>
          <w:rFonts w:hint="eastAsia"/>
          <w:lang w:val="en-US" w:eastAsia="zh-CN"/>
        </w:rPr>
        <w:t>32</w:t>
      </w:r>
    </w:p>
    <w:p>
      <w:pPr>
        <w:pStyle w:val="10"/>
        <w:bidi w:val="0"/>
        <w:rPr>
          <w:rFonts w:hint="default"/>
          <w:lang w:val="en-US" w:eastAsia="zh-CN"/>
        </w:rPr>
      </w:pPr>
      <w:r>
        <w:rPr>
          <w:rFonts w:hint="eastAsia"/>
          <w:lang w:val="en-US" w:eastAsia="zh-CN"/>
        </w:rPr>
        <w:t xml:space="preserve">    </w:t>
      </w:r>
      <w:r>
        <w:rPr>
          <w:rFonts w:hint="eastAsia"/>
        </w:rPr>
        <w:t>二、收入决算表</w:t>
      </w:r>
      <w:r>
        <w:rPr>
          <w:rFonts w:hint="eastAsia"/>
        </w:rPr>
        <w:tab/>
      </w:r>
      <w:r>
        <w:rPr>
          <w:rFonts w:hint="eastAsia"/>
          <w:lang w:val="en-US" w:eastAsia="zh-CN"/>
        </w:rPr>
        <w:t>32</w:t>
      </w:r>
    </w:p>
    <w:p>
      <w:pPr>
        <w:pStyle w:val="10"/>
        <w:bidi w:val="0"/>
        <w:rPr>
          <w:rFonts w:hint="default"/>
          <w:lang w:val="en-US" w:eastAsia="zh-CN"/>
        </w:rPr>
      </w:pPr>
      <w:r>
        <w:rPr>
          <w:rFonts w:hint="eastAsia"/>
          <w:lang w:val="en-US" w:eastAsia="zh-CN"/>
        </w:rPr>
        <w:t xml:space="preserve">    </w:t>
      </w:r>
      <w:r>
        <w:rPr>
          <w:rFonts w:hint="eastAsia"/>
        </w:rPr>
        <w:t>三、支出决算表</w:t>
      </w:r>
      <w:r>
        <w:rPr>
          <w:rFonts w:hint="eastAsia"/>
        </w:rPr>
        <w:tab/>
      </w:r>
      <w:r>
        <w:rPr>
          <w:rFonts w:hint="eastAsia"/>
          <w:lang w:val="en-US" w:eastAsia="zh-CN"/>
        </w:rPr>
        <w:t>32</w:t>
      </w:r>
    </w:p>
    <w:p>
      <w:pPr>
        <w:pStyle w:val="10"/>
        <w:bidi w:val="0"/>
        <w:rPr>
          <w:rFonts w:hint="default"/>
          <w:lang w:val="en-US" w:eastAsia="zh-CN"/>
        </w:rPr>
      </w:pPr>
      <w:r>
        <w:rPr>
          <w:rFonts w:hint="eastAsia"/>
          <w:lang w:val="en-US" w:eastAsia="zh-CN"/>
        </w:rPr>
        <w:t xml:space="preserve">    </w:t>
      </w:r>
      <w:r>
        <w:rPr>
          <w:rFonts w:hint="eastAsia"/>
        </w:rPr>
        <w:t>四、财政拨款收入支出决算总表</w:t>
      </w:r>
      <w:r>
        <w:rPr>
          <w:rFonts w:hint="eastAsia"/>
        </w:rPr>
        <w:tab/>
      </w:r>
      <w:r>
        <w:rPr>
          <w:rFonts w:hint="eastAsia"/>
          <w:lang w:val="en-US" w:eastAsia="zh-CN"/>
        </w:rPr>
        <w:t>32</w:t>
      </w:r>
    </w:p>
    <w:p>
      <w:pPr>
        <w:pStyle w:val="10"/>
        <w:bidi w:val="0"/>
        <w:rPr>
          <w:rFonts w:hint="default"/>
          <w:lang w:val="en-US" w:eastAsia="zh-CN"/>
        </w:rPr>
      </w:pPr>
      <w:r>
        <w:rPr>
          <w:rFonts w:hint="eastAsia"/>
          <w:lang w:val="en-US" w:eastAsia="zh-CN"/>
        </w:rPr>
        <w:t xml:space="preserve">    </w:t>
      </w:r>
      <w:r>
        <w:rPr>
          <w:rFonts w:hint="eastAsia"/>
        </w:rPr>
        <w:t>五、财政拨款支出决算明细表</w:t>
      </w:r>
      <w:r>
        <w:rPr>
          <w:rFonts w:hint="eastAsia"/>
        </w:rPr>
        <w:tab/>
      </w:r>
      <w:r>
        <w:rPr>
          <w:rFonts w:hint="eastAsia"/>
          <w:lang w:val="en-US" w:eastAsia="zh-CN"/>
        </w:rPr>
        <w:t>32</w:t>
      </w:r>
    </w:p>
    <w:p>
      <w:pPr>
        <w:pStyle w:val="10"/>
        <w:bidi w:val="0"/>
        <w:rPr>
          <w:rFonts w:hint="default"/>
          <w:lang w:val="en-US" w:eastAsia="zh-CN"/>
        </w:rPr>
      </w:pPr>
      <w:r>
        <w:rPr>
          <w:rFonts w:hint="eastAsia"/>
          <w:lang w:val="en-US" w:eastAsia="zh-CN"/>
        </w:rPr>
        <w:t xml:space="preserve">    </w:t>
      </w:r>
      <w:r>
        <w:rPr>
          <w:rFonts w:hint="eastAsia"/>
        </w:rPr>
        <w:t>六、一般公共预算财政拨款支出决算表</w:t>
      </w:r>
      <w:r>
        <w:rPr>
          <w:rFonts w:hint="eastAsia"/>
        </w:rPr>
        <w:tab/>
      </w:r>
      <w:r>
        <w:rPr>
          <w:rFonts w:hint="eastAsia"/>
          <w:lang w:val="en-US" w:eastAsia="zh-CN"/>
        </w:rPr>
        <w:t>32</w:t>
      </w:r>
    </w:p>
    <w:p>
      <w:pPr>
        <w:pStyle w:val="10"/>
        <w:bidi w:val="0"/>
        <w:rPr>
          <w:rFonts w:hint="default"/>
          <w:lang w:val="en-US" w:eastAsia="zh-CN"/>
        </w:rPr>
      </w:pPr>
      <w:r>
        <w:rPr>
          <w:rFonts w:hint="eastAsia"/>
          <w:lang w:val="en-US" w:eastAsia="zh-CN"/>
        </w:rPr>
        <w:t xml:space="preserve">    </w:t>
      </w:r>
      <w:r>
        <w:rPr>
          <w:rFonts w:hint="eastAsia"/>
        </w:rPr>
        <w:t>七、一般公共预算财政拨款支出决算明细表</w:t>
      </w:r>
      <w:r>
        <w:rPr>
          <w:rFonts w:hint="eastAsia"/>
        </w:rPr>
        <w:tab/>
      </w:r>
      <w:r>
        <w:rPr>
          <w:rFonts w:hint="eastAsia"/>
          <w:lang w:val="en-US" w:eastAsia="zh-CN"/>
        </w:rPr>
        <w:t>32</w:t>
      </w:r>
    </w:p>
    <w:p>
      <w:pPr>
        <w:pStyle w:val="10"/>
        <w:bidi w:val="0"/>
        <w:rPr>
          <w:rFonts w:hint="default"/>
          <w:lang w:val="en-US" w:eastAsia="zh-CN"/>
        </w:rPr>
      </w:pPr>
      <w:r>
        <w:rPr>
          <w:rFonts w:hint="eastAsia"/>
          <w:lang w:val="en-US" w:eastAsia="zh-CN"/>
        </w:rPr>
        <w:t xml:space="preserve">    </w:t>
      </w:r>
      <w:r>
        <w:rPr>
          <w:rFonts w:hint="eastAsia"/>
        </w:rPr>
        <w:t>八、一般公共预算财政拨款基本支出决算表</w:t>
      </w:r>
      <w:r>
        <w:rPr>
          <w:rFonts w:hint="eastAsia"/>
        </w:rPr>
        <w:tab/>
      </w:r>
      <w:r>
        <w:rPr>
          <w:rFonts w:hint="eastAsia"/>
          <w:lang w:val="en-US" w:eastAsia="zh-CN"/>
        </w:rPr>
        <w:t>32</w:t>
      </w:r>
    </w:p>
    <w:p>
      <w:pPr>
        <w:pStyle w:val="10"/>
        <w:bidi w:val="0"/>
        <w:rPr>
          <w:rFonts w:hint="default"/>
          <w:lang w:val="en-US" w:eastAsia="zh-CN"/>
        </w:rPr>
      </w:pPr>
      <w:r>
        <w:rPr>
          <w:rFonts w:hint="eastAsia"/>
          <w:lang w:val="en-US" w:eastAsia="zh-CN"/>
        </w:rPr>
        <w:t xml:space="preserve">    </w:t>
      </w:r>
      <w:r>
        <w:rPr>
          <w:rFonts w:hint="eastAsia"/>
        </w:rPr>
        <w:t>九、一般公共预算财政拨款项目支出决算表</w:t>
      </w:r>
      <w:r>
        <w:rPr>
          <w:rFonts w:hint="eastAsia"/>
        </w:rPr>
        <w:tab/>
      </w:r>
      <w:r>
        <w:rPr>
          <w:rFonts w:hint="eastAsia"/>
          <w:lang w:val="en-US" w:eastAsia="zh-CN"/>
        </w:rPr>
        <w:t>32</w:t>
      </w:r>
    </w:p>
    <w:p>
      <w:pPr>
        <w:pStyle w:val="10"/>
        <w:bidi w:val="0"/>
        <w:rPr>
          <w:rFonts w:hint="default"/>
          <w:lang w:val="en-US" w:eastAsia="zh-CN"/>
        </w:rPr>
      </w:pPr>
      <w:r>
        <w:rPr>
          <w:rFonts w:hint="eastAsia"/>
          <w:lang w:val="en-US" w:eastAsia="zh-CN"/>
        </w:rPr>
        <w:t xml:space="preserve">    </w:t>
      </w:r>
      <w:r>
        <w:rPr>
          <w:rFonts w:hint="eastAsia"/>
        </w:rPr>
        <w:t>十、一般公共预算财政拨款“三公”经费支出决算表</w:t>
      </w:r>
      <w:r>
        <w:rPr>
          <w:rFonts w:hint="eastAsia"/>
        </w:rPr>
        <w:tab/>
      </w:r>
      <w:r>
        <w:rPr>
          <w:rFonts w:hint="eastAsia"/>
          <w:lang w:val="en-US" w:eastAsia="zh-CN"/>
        </w:rPr>
        <w:t>32</w:t>
      </w:r>
    </w:p>
    <w:p>
      <w:pPr>
        <w:pStyle w:val="10"/>
        <w:bidi w:val="0"/>
        <w:rPr>
          <w:rFonts w:hint="default"/>
          <w:lang w:val="en-US" w:eastAsia="zh-CN"/>
        </w:rPr>
      </w:pPr>
      <w:r>
        <w:rPr>
          <w:rFonts w:hint="eastAsia"/>
          <w:lang w:val="en-US" w:eastAsia="zh-CN"/>
        </w:rPr>
        <w:t xml:space="preserve">    </w:t>
      </w:r>
      <w:r>
        <w:rPr>
          <w:rFonts w:hint="eastAsia"/>
        </w:rPr>
        <w:t>十一、政府性基金预算财政拨款收入支出决算表</w:t>
      </w:r>
      <w:r>
        <w:rPr>
          <w:rFonts w:hint="eastAsia"/>
        </w:rPr>
        <w:tab/>
      </w:r>
      <w:r>
        <w:rPr>
          <w:rFonts w:hint="eastAsia"/>
          <w:lang w:val="en-US" w:eastAsia="zh-CN"/>
        </w:rPr>
        <w:t>32</w:t>
      </w:r>
    </w:p>
    <w:p>
      <w:pPr>
        <w:pStyle w:val="10"/>
        <w:bidi w:val="0"/>
        <w:rPr>
          <w:rFonts w:hint="default"/>
          <w:lang w:val="en-US" w:eastAsia="zh-CN"/>
        </w:rPr>
      </w:pPr>
      <w:r>
        <w:rPr>
          <w:rFonts w:hint="eastAsia"/>
          <w:lang w:val="en-US" w:eastAsia="zh-CN"/>
        </w:rPr>
        <w:t xml:space="preserve">    </w:t>
      </w:r>
      <w:r>
        <w:rPr>
          <w:rFonts w:hint="eastAsia"/>
        </w:rPr>
        <w:t>十</w:t>
      </w:r>
      <w:r>
        <w:rPr>
          <w:rFonts w:hint="eastAsia"/>
          <w:lang w:eastAsia="zh-CN"/>
        </w:rPr>
        <w:t>二</w:t>
      </w:r>
      <w:r>
        <w:rPr>
          <w:rFonts w:hint="eastAsia"/>
        </w:rPr>
        <w:t>、国有资本经营预算财政拨款支出决算表</w:t>
      </w:r>
      <w:r>
        <w:rPr>
          <w:rFonts w:hint="eastAsia"/>
        </w:rPr>
        <w:tab/>
      </w:r>
      <w:r>
        <w:rPr>
          <w:rFonts w:hint="eastAsia"/>
          <w:lang w:val="en-US" w:eastAsia="zh-CN"/>
        </w:rPr>
        <w:t>32</w:t>
      </w:r>
    </w:p>
    <w:p>
      <w:pPr>
        <w:pStyle w:val="10"/>
        <w:bidi w:val="0"/>
        <w:rPr>
          <w:rFonts w:hint="default"/>
          <w:lang w:val="en-US" w:eastAsia="zh-CN"/>
        </w:rPr>
      </w:pPr>
      <w:r>
        <w:rPr>
          <w:rFonts w:hint="eastAsia"/>
          <w:lang w:val="en-US" w:eastAsia="zh-CN"/>
        </w:rPr>
        <w:t xml:space="preserve">    </w:t>
      </w:r>
      <w:r>
        <w:rPr>
          <w:rFonts w:hint="eastAsia"/>
        </w:rPr>
        <w:t>十</w:t>
      </w:r>
      <w:r>
        <w:rPr>
          <w:rFonts w:hint="eastAsia"/>
          <w:lang w:eastAsia="zh-CN"/>
        </w:rPr>
        <w:t>三</w:t>
      </w:r>
      <w:r>
        <w:rPr>
          <w:rFonts w:hint="eastAsia"/>
        </w:rPr>
        <w:t>、国有资本经营预算财政拨款支出决算表</w:t>
      </w:r>
      <w:r>
        <w:rPr>
          <w:rFonts w:hint="eastAsia"/>
        </w:rPr>
        <w:tab/>
      </w:r>
      <w:r>
        <w:rPr>
          <w:rFonts w:hint="eastAsia"/>
          <w:lang w:val="en-US" w:eastAsia="zh-CN"/>
        </w:rPr>
        <w:t>32</w:t>
      </w:r>
    </w:p>
    <w:p>
      <w:pPr>
        <w:pStyle w:val="10"/>
        <w:rPr>
          <w:rFonts w:hint="eastAsia"/>
        </w:rPr>
      </w:pPr>
    </w:p>
    <w:p>
      <w:pPr>
        <w:widowControl/>
        <w:jc w:val="left"/>
        <w:rPr>
          <w:rFonts w:ascii="仿宋" w:eastAsia="仿宋"/>
          <w:color w:val="000000"/>
          <w:sz w:val="24"/>
        </w:rPr>
      </w:pPr>
      <w:r>
        <w:rPr>
          <w:rFonts w:ascii="黑体" w:eastAsia="黑体"/>
          <w:color w:val="000000"/>
          <w:sz w:val="48"/>
          <w:szCs w:val="48"/>
        </w:rPr>
        <w:fldChar w:fldCharType="end"/>
      </w:r>
    </w:p>
    <w:p>
      <w:pPr>
        <w:widowControl/>
        <w:jc w:val="left"/>
        <w:rPr>
          <w:rFonts w:ascii="黑体" w:eastAsia="黑体"/>
          <w:bCs/>
          <w:kern w:val="44"/>
          <w:sz w:val="44"/>
          <w:szCs w:val="44"/>
        </w:rPr>
      </w:pPr>
      <w:bookmarkStart w:id="14" w:name="_Toc15396599"/>
      <w:bookmarkStart w:id="15" w:name="_Toc15377196"/>
      <w:r>
        <w:rPr>
          <w:rFonts w:ascii="黑体" w:eastAsia="黑体"/>
          <w:b/>
        </w:rPr>
        <w:br w:type="page"/>
      </w:r>
    </w:p>
    <w:p>
      <w:pPr>
        <w:pStyle w:val="2"/>
        <w:numPr>
          <w:ilvl w:val="0"/>
          <w:numId w:val="1"/>
        </w:numPr>
        <w:jc w:val="center"/>
        <w:rPr>
          <w:rStyle w:val="18"/>
          <w:rFonts w:hint="eastAsia" w:ascii="黑体" w:eastAsia="黑体"/>
          <w:b w:val="0"/>
          <w:bCs w:val="0"/>
        </w:rPr>
      </w:pPr>
      <w:bookmarkStart w:id="16" w:name="_Toc21035"/>
      <w:r>
        <w:rPr>
          <w:rStyle w:val="18"/>
          <w:rFonts w:hint="eastAsia" w:ascii="黑体" w:eastAsia="黑体"/>
          <w:b w:val="0"/>
          <w:bCs w:val="0"/>
        </w:rPr>
        <w:t>部门概况</w:t>
      </w:r>
      <w:bookmarkEnd w:id="14"/>
      <w:bookmarkEnd w:id="15"/>
      <w:bookmarkEnd w:id="16"/>
    </w:p>
    <w:p>
      <w:pPr>
        <w:widowControl w:val="0"/>
        <w:numPr>
          <w:ilvl w:val="0"/>
          <w:numId w:val="0"/>
        </w:numPr>
        <w:jc w:val="both"/>
      </w:pPr>
    </w:p>
    <w:p>
      <w:pPr>
        <w:pStyle w:val="3"/>
        <w:pageBreakBefore w:val="0"/>
        <w:kinsoku/>
        <w:wordWrap/>
        <w:overflowPunct/>
        <w:topLinePunct w:val="0"/>
        <w:autoSpaceDE/>
        <w:autoSpaceDN/>
        <w:bidi w:val="0"/>
        <w:adjustRightInd/>
        <w:spacing w:before="0" w:after="0" w:line="520" w:lineRule="exact"/>
        <w:ind w:left="638" w:leftChars="304"/>
        <w:textAlignment w:val="auto"/>
        <w:rPr>
          <w:rStyle w:val="19"/>
          <w:rFonts w:ascii="黑体" w:eastAsia="黑体"/>
          <w:b w:val="0"/>
          <w:bCs w:val="0"/>
        </w:rPr>
      </w:pPr>
      <w:bookmarkStart w:id="17" w:name="_Toc17689"/>
      <w:bookmarkStart w:id="18" w:name="_Toc15396600"/>
      <w:bookmarkStart w:id="19" w:name="_Toc15377197"/>
      <w:r>
        <w:rPr>
          <w:rFonts w:hint="eastAsia" w:ascii="黑体" w:eastAsia="黑体"/>
          <w:b w:val="0"/>
          <w:color w:val="000000"/>
        </w:rPr>
        <w:t>一、基</w:t>
      </w:r>
      <w:r>
        <w:rPr>
          <w:rStyle w:val="19"/>
          <w:rFonts w:hint="eastAsia" w:ascii="黑体" w:eastAsia="黑体"/>
          <w:b w:val="0"/>
          <w:bCs w:val="0"/>
        </w:rPr>
        <w:t>本职能及主要工作</w:t>
      </w:r>
      <w:bookmarkEnd w:id="17"/>
      <w:bookmarkEnd w:id="18"/>
      <w:bookmarkEnd w:id="19"/>
      <w:bookmarkStart w:id="20" w:name="_Toc15377198"/>
      <w:bookmarkStart w:id="21" w:name="_Toc15378445"/>
    </w:p>
    <w:p>
      <w:pPr>
        <w:pageBreakBefore w:val="0"/>
        <w:kinsoku/>
        <w:wordWrap/>
        <w:overflowPunct/>
        <w:topLinePunct w:val="0"/>
        <w:autoSpaceDE/>
        <w:autoSpaceDN/>
        <w:bidi w:val="0"/>
        <w:adjustRightInd/>
        <w:spacing w:line="520" w:lineRule="exact"/>
        <w:ind w:firstLine="643" w:firstLineChars="200"/>
        <w:textAlignment w:val="auto"/>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（一）主要职能</w:t>
      </w:r>
      <w:bookmarkEnd w:id="20"/>
      <w:bookmarkEnd w:id="21"/>
      <w:bookmarkStart w:id="22" w:name="_Toc15378446"/>
      <w:bookmarkStart w:id="23" w:name="_Toc15377199"/>
    </w:p>
    <w:p>
      <w:pPr>
        <w:pageBreakBefore w:val="0"/>
        <w:kinsoku/>
        <w:wordWrap/>
        <w:overflowPunct/>
        <w:topLinePunct w:val="0"/>
        <w:autoSpaceDE/>
        <w:autoSpaceDN/>
        <w:bidi w:val="0"/>
        <w:adjustRightInd/>
        <w:spacing w:line="520" w:lineRule="exact"/>
        <w:ind w:firstLine="640" w:firstLineChars="200"/>
        <w:textAlignment w:val="auto"/>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．宣传贯彻执行国家、省、州、县关于畜牧业发展的方针、政策、法律法规。</w:t>
      </w:r>
    </w:p>
    <w:p>
      <w:pPr>
        <w:pageBreakBefore w:val="0"/>
        <w:kinsoku/>
        <w:wordWrap/>
        <w:overflowPunct/>
        <w:topLinePunct w:val="0"/>
        <w:autoSpaceDE/>
        <w:autoSpaceDN/>
        <w:bidi w:val="0"/>
        <w:adjustRightInd/>
        <w:spacing w:line="520" w:lineRule="exact"/>
        <w:ind w:firstLine="640" w:firstLineChars="200"/>
        <w:textAlignment w:val="auto"/>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．对畜牧业生产进行调查研究、统计和分析，并做好发展规划，为县委、县政府决策提供依据。</w:t>
      </w:r>
    </w:p>
    <w:p>
      <w:pPr>
        <w:pageBreakBefore w:val="0"/>
        <w:kinsoku/>
        <w:wordWrap/>
        <w:overflowPunct/>
        <w:topLinePunct w:val="0"/>
        <w:autoSpaceDE/>
        <w:autoSpaceDN/>
        <w:bidi w:val="0"/>
        <w:adjustRightInd/>
        <w:spacing w:line="520" w:lineRule="exact"/>
        <w:ind w:firstLine="640" w:firstLineChars="200"/>
        <w:textAlignment w:val="auto"/>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．依照《中华人民共和国草原法》对全县草业规划、建设、生产使用实施监督管理。</w:t>
      </w:r>
    </w:p>
    <w:p>
      <w:pPr>
        <w:pageBreakBefore w:val="0"/>
        <w:kinsoku/>
        <w:wordWrap/>
        <w:overflowPunct/>
        <w:topLinePunct w:val="0"/>
        <w:autoSpaceDE/>
        <w:autoSpaceDN/>
        <w:bidi w:val="0"/>
        <w:adjustRightInd/>
        <w:spacing w:line="520" w:lineRule="exact"/>
        <w:ind w:firstLine="640" w:firstLineChars="200"/>
        <w:textAlignment w:val="auto"/>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．对全县草场建设、饲草、饲料生产进行技术指导。</w:t>
      </w:r>
    </w:p>
    <w:p>
      <w:pPr>
        <w:pageBreakBefore w:val="0"/>
        <w:kinsoku/>
        <w:wordWrap/>
        <w:overflowPunct/>
        <w:topLinePunct w:val="0"/>
        <w:autoSpaceDE/>
        <w:autoSpaceDN/>
        <w:bidi w:val="0"/>
        <w:adjustRightInd/>
        <w:spacing w:line="520" w:lineRule="exact"/>
        <w:ind w:firstLine="640" w:firstLineChars="200"/>
        <w:textAlignment w:val="auto"/>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．依照《中华人民共和国畜牧法》对全县种畜禽实施监督管理。</w:t>
      </w:r>
    </w:p>
    <w:p>
      <w:pPr>
        <w:pageBreakBefore w:val="0"/>
        <w:kinsoku/>
        <w:wordWrap/>
        <w:overflowPunct/>
        <w:topLinePunct w:val="0"/>
        <w:autoSpaceDE/>
        <w:autoSpaceDN/>
        <w:bidi w:val="0"/>
        <w:adjustRightInd/>
        <w:spacing w:line="520" w:lineRule="exact"/>
        <w:ind w:firstLine="640" w:firstLineChars="200"/>
        <w:textAlignment w:val="auto"/>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．对全县畜、禽品种改良、优良畜、禽品种引进和繁育实施技术指导。</w:t>
      </w:r>
    </w:p>
    <w:p>
      <w:pPr>
        <w:pageBreakBefore w:val="0"/>
        <w:kinsoku/>
        <w:wordWrap/>
        <w:overflowPunct/>
        <w:topLinePunct w:val="0"/>
        <w:autoSpaceDE/>
        <w:autoSpaceDN/>
        <w:bidi w:val="0"/>
        <w:adjustRightInd/>
        <w:spacing w:line="520" w:lineRule="exact"/>
        <w:ind w:firstLine="640" w:firstLineChars="200"/>
        <w:textAlignment w:val="auto"/>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．依照《中华人民共和国动物防疫法》负责本县动物防疫、检疫、动物产品安全监管和畜产品加工企业驻厂检疫等行政执法工作；负责兽医医政和兽药药政管理。</w:t>
      </w:r>
    </w:p>
    <w:p>
      <w:pPr>
        <w:pageBreakBefore w:val="0"/>
        <w:kinsoku/>
        <w:wordWrap/>
        <w:overflowPunct/>
        <w:topLinePunct w:val="0"/>
        <w:autoSpaceDE/>
        <w:autoSpaceDN/>
        <w:bidi w:val="0"/>
        <w:adjustRightInd/>
        <w:spacing w:line="520" w:lineRule="exact"/>
        <w:ind w:firstLine="640" w:firstLineChars="200"/>
        <w:textAlignment w:val="auto"/>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．计划并组织实施全县动物疫病预防工作。</w:t>
      </w:r>
    </w:p>
    <w:p>
      <w:pPr>
        <w:pageBreakBefore w:val="0"/>
        <w:kinsoku/>
        <w:wordWrap/>
        <w:overflowPunct/>
        <w:topLinePunct w:val="0"/>
        <w:autoSpaceDE/>
        <w:autoSpaceDN/>
        <w:bidi w:val="0"/>
        <w:adjustRightInd/>
        <w:spacing w:line="520" w:lineRule="exact"/>
        <w:ind w:firstLine="640" w:firstLineChars="200"/>
        <w:textAlignment w:val="auto"/>
        <w:rPr>
          <w:rFonts w:ascii="仿宋_GB2312" w:hAnsi="宋体" w:eastAsia="仿宋_GB2312" w:cs="宋体"/>
          <w:kern w:val="0"/>
          <w:sz w:val="32"/>
          <w:szCs w:val="32"/>
        </w:rPr>
      </w:pPr>
      <w:r>
        <w:rPr>
          <w:rFonts w:ascii="仿宋_GB2312" w:hAnsi="宋体" w:eastAsia="仿宋_GB2312" w:cs="宋体"/>
          <w:kern w:val="0"/>
          <w:sz w:val="32"/>
          <w:szCs w:val="32"/>
        </w:rPr>
        <w:t>9</w:t>
      </w:r>
      <w:r>
        <w:rPr>
          <w:rFonts w:hint="eastAsia" w:ascii="仿宋_GB2312" w:hAnsi="宋体" w:eastAsia="仿宋_GB2312" w:cs="宋体"/>
          <w:kern w:val="0"/>
          <w:sz w:val="32"/>
          <w:szCs w:val="32"/>
        </w:rPr>
        <w:t>．承担动物疫病监测、诊断、流行病学调查研究、技术推广工作</w:t>
      </w:r>
      <w:r>
        <w:rPr>
          <w:rFonts w:hint="eastAsia" w:ascii="仿宋_GB2312" w:eastAsia="仿宋_GB2312"/>
          <w:sz w:val="32"/>
          <w:szCs w:val="32"/>
        </w:rPr>
        <w:t>，对全县动物疫病防、治进行技术指导和服务</w:t>
      </w:r>
      <w:r>
        <w:rPr>
          <w:rFonts w:hint="eastAsia" w:ascii="仿宋_GB2312" w:hAnsi="宋体" w:eastAsia="仿宋_GB2312" w:cs="宋体"/>
          <w:kern w:val="0"/>
          <w:sz w:val="32"/>
          <w:szCs w:val="32"/>
        </w:rPr>
        <w:t>。</w:t>
      </w:r>
    </w:p>
    <w:p>
      <w:pPr>
        <w:pageBreakBefore w:val="0"/>
        <w:kinsoku/>
        <w:wordWrap/>
        <w:overflowPunct/>
        <w:topLinePunct w:val="0"/>
        <w:autoSpaceDE/>
        <w:autoSpaceDN/>
        <w:bidi w:val="0"/>
        <w:adjustRightInd/>
        <w:spacing w:line="520" w:lineRule="exact"/>
        <w:ind w:firstLine="640" w:firstLineChars="200"/>
        <w:textAlignment w:val="auto"/>
        <w:rPr>
          <w:rFonts w:ascii="仿宋_GB2312" w:eastAsia="仿宋_GB2312"/>
          <w:sz w:val="32"/>
          <w:szCs w:val="32"/>
        </w:rPr>
      </w:pPr>
      <w:r>
        <w:rPr>
          <w:rFonts w:ascii="仿宋_GB2312" w:hAnsi="宋体" w:eastAsia="仿宋_GB2312" w:cs="宋体"/>
          <w:kern w:val="0"/>
          <w:sz w:val="32"/>
          <w:szCs w:val="32"/>
        </w:rPr>
        <w:t>10</w:t>
      </w:r>
      <w:r>
        <w:rPr>
          <w:rFonts w:hint="eastAsia" w:ascii="仿宋_GB2312" w:hAnsi="宋体" w:eastAsia="仿宋_GB2312" w:cs="宋体"/>
          <w:kern w:val="0"/>
          <w:sz w:val="32"/>
          <w:szCs w:val="32"/>
        </w:rPr>
        <w:t>．</w:t>
      </w:r>
      <w:r>
        <w:rPr>
          <w:rFonts w:hint="eastAsia" w:ascii="仿宋_GB2312" w:eastAsia="仿宋_GB2312"/>
          <w:sz w:val="32"/>
          <w:szCs w:val="32"/>
        </w:rPr>
        <w:t>负责乡镇畜牧兽医站的管理和指导。</w:t>
      </w:r>
    </w:p>
    <w:p>
      <w:pPr>
        <w:pageBreakBefore w:val="0"/>
        <w:kinsoku/>
        <w:wordWrap/>
        <w:overflowPunct/>
        <w:topLinePunct w:val="0"/>
        <w:autoSpaceDE/>
        <w:autoSpaceDN/>
        <w:bidi w:val="0"/>
        <w:adjustRightInd/>
        <w:spacing w:line="520" w:lineRule="exact"/>
        <w:ind w:firstLine="643" w:firstLineChars="200"/>
        <w:textAlignment w:val="auto"/>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w:t>
      </w:r>
      <w:r>
        <w:rPr>
          <w:rFonts w:hint="eastAsia" w:ascii="楷体_GB2312" w:hAnsi="楷体_GB2312" w:eastAsia="楷体_GB2312" w:cs="楷体_GB2312"/>
          <w:b/>
          <w:bCs/>
          <w:sz w:val="32"/>
          <w:szCs w:val="32"/>
          <w:lang w:eastAsia="zh-CN"/>
        </w:rPr>
        <w:t>2022</w:t>
      </w:r>
      <w:r>
        <w:rPr>
          <w:rFonts w:hint="eastAsia" w:ascii="楷体_GB2312" w:hAnsi="楷体_GB2312" w:eastAsia="楷体_GB2312" w:cs="楷体_GB2312"/>
          <w:b/>
          <w:bCs/>
          <w:sz w:val="32"/>
          <w:szCs w:val="32"/>
        </w:rPr>
        <w:t>年重点工作完成情况</w:t>
      </w:r>
      <w:bookmarkEnd w:id="22"/>
      <w:bookmarkEnd w:id="23"/>
    </w:p>
    <w:p>
      <w:pPr>
        <w:pageBreakBefore w:val="0"/>
        <w:kinsoku/>
        <w:wordWrap/>
        <w:overflowPunct/>
        <w:topLinePunct w:val="0"/>
        <w:autoSpaceDE/>
        <w:autoSpaceDN/>
        <w:bidi w:val="0"/>
        <w:adjustRightInd/>
        <w:snapToGrid w:val="0"/>
        <w:spacing w:line="520" w:lineRule="exact"/>
        <w:ind w:firstLine="640" w:firstLineChars="200"/>
        <w:textAlignment w:val="auto"/>
        <w:rPr>
          <w:rFonts w:ascii="仿宋_GB2312" w:eastAsia="仿宋_GB2312"/>
          <w:bCs/>
          <w:color w:val="000000"/>
          <w:sz w:val="32"/>
          <w:szCs w:val="32"/>
        </w:rPr>
      </w:pPr>
      <w:bookmarkStart w:id="24" w:name="_Toc15396601"/>
      <w:bookmarkStart w:id="25" w:name="_Toc15377200"/>
      <w:r>
        <w:rPr>
          <w:rFonts w:ascii="仿宋_GB2312" w:eastAsia="仿宋_GB2312"/>
          <w:bCs/>
          <w:color w:val="000000"/>
          <w:sz w:val="32"/>
          <w:szCs w:val="32"/>
        </w:rPr>
        <w:t>1</w:t>
      </w:r>
      <w:r>
        <w:rPr>
          <w:rFonts w:hint="eastAsia" w:ascii="仿宋_GB2312" w:eastAsia="仿宋_GB2312"/>
          <w:bCs/>
          <w:color w:val="000000"/>
          <w:sz w:val="32"/>
          <w:szCs w:val="32"/>
        </w:rPr>
        <w:t>、完成今年农业资源及生态保护相关工作。</w:t>
      </w:r>
    </w:p>
    <w:p>
      <w:pPr>
        <w:pageBreakBefore w:val="0"/>
        <w:kinsoku/>
        <w:wordWrap/>
        <w:overflowPunct/>
        <w:topLinePunct w:val="0"/>
        <w:autoSpaceDE/>
        <w:autoSpaceDN/>
        <w:bidi w:val="0"/>
        <w:adjustRightInd/>
        <w:snapToGrid w:val="0"/>
        <w:spacing w:line="520" w:lineRule="exact"/>
        <w:ind w:firstLine="640" w:firstLineChars="200"/>
        <w:textAlignment w:val="auto"/>
        <w:rPr>
          <w:rFonts w:ascii="仿宋_GB2312" w:eastAsia="仿宋_GB2312"/>
          <w:bCs/>
          <w:color w:val="000000"/>
          <w:sz w:val="32"/>
          <w:szCs w:val="32"/>
        </w:rPr>
      </w:pPr>
      <w:r>
        <w:rPr>
          <w:rFonts w:ascii="仿宋_GB2312" w:eastAsia="仿宋_GB2312"/>
          <w:bCs/>
          <w:color w:val="000000"/>
          <w:sz w:val="32"/>
          <w:szCs w:val="32"/>
        </w:rPr>
        <w:t>2</w:t>
      </w:r>
      <w:r>
        <w:rPr>
          <w:rFonts w:hint="eastAsia" w:ascii="仿宋_GB2312" w:eastAsia="仿宋_GB2312"/>
          <w:bCs/>
          <w:color w:val="000000"/>
          <w:sz w:val="32"/>
          <w:szCs w:val="32"/>
        </w:rPr>
        <w:t>、有效发展现代畜牧业，指导和协调畜牧发展保障和服务体系建设。</w:t>
      </w:r>
    </w:p>
    <w:p>
      <w:pPr>
        <w:pageBreakBefore w:val="0"/>
        <w:kinsoku/>
        <w:wordWrap/>
        <w:overflowPunct/>
        <w:topLinePunct w:val="0"/>
        <w:autoSpaceDE/>
        <w:autoSpaceDN/>
        <w:bidi w:val="0"/>
        <w:adjustRightInd/>
        <w:snapToGrid w:val="0"/>
        <w:spacing w:line="520" w:lineRule="exact"/>
        <w:ind w:firstLine="640" w:firstLineChars="200"/>
        <w:textAlignment w:val="auto"/>
        <w:rPr>
          <w:rFonts w:ascii="仿宋_GB2312" w:eastAsia="仿宋_GB2312"/>
          <w:bCs/>
          <w:color w:val="000000"/>
          <w:sz w:val="32"/>
          <w:szCs w:val="32"/>
        </w:rPr>
      </w:pPr>
      <w:r>
        <w:rPr>
          <w:rFonts w:ascii="仿宋_GB2312" w:eastAsia="仿宋_GB2312"/>
          <w:bCs/>
          <w:color w:val="000000"/>
          <w:sz w:val="32"/>
          <w:szCs w:val="32"/>
        </w:rPr>
        <w:t>3</w:t>
      </w:r>
      <w:r>
        <w:rPr>
          <w:rFonts w:hint="eastAsia" w:ascii="仿宋_GB2312" w:eastAsia="仿宋_GB2312"/>
          <w:bCs/>
          <w:color w:val="000000"/>
          <w:sz w:val="32"/>
          <w:szCs w:val="32"/>
        </w:rPr>
        <w:t>、完成春防工作、寄生虫病的防治，指导和督促全县重大动物疫病防治工作，协调做好疫情监测、控制和组织扑灭疫情。</w:t>
      </w:r>
    </w:p>
    <w:p>
      <w:pPr>
        <w:pageBreakBefore w:val="0"/>
        <w:kinsoku/>
        <w:wordWrap/>
        <w:overflowPunct/>
        <w:topLinePunct w:val="0"/>
        <w:autoSpaceDE/>
        <w:autoSpaceDN/>
        <w:bidi w:val="0"/>
        <w:adjustRightInd/>
        <w:snapToGrid w:val="0"/>
        <w:spacing w:line="520" w:lineRule="exact"/>
        <w:ind w:firstLine="640" w:firstLineChars="200"/>
        <w:textAlignment w:val="auto"/>
        <w:rPr>
          <w:rFonts w:ascii="仿宋_GB2312" w:eastAsia="仿宋_GB2312"/>
          <w:bCs/>
          <w:color w:val="000000"/>
          <w:sz w:val="32"/>
          <w:szCs w:val="32"/>
        </w:rPr>
      </w:pPr>
      <w:r>
        <w:rPr>
          <w:rFonts w:ascii="仿宋_GB2312" w:eastAsia="仿宋_GB2312"/>
          <w:bCs/>
          <w:color w:val="000000"/>
          <w:sz w:val="32"/>
          <w:szCs w:val="32"/>
        </w:rPr>
        <w:t>4</w:t>
      </w:r>
      <w:r>
        <w:rPr>
          <w:rFonts w:hint="eastAsia" w:ascii="仿宋_GB2312" w:eastAsia="仿宋_GB2312"/>
          <w:bCs/>
          <w:color w:val="000000"/>
          <w:sz w:val="32"/>
          <w:szCs w:val="32"/>
        </w:rPr>
        <w:t>、开展新技术、新品种的宣传、试验、示范和推广。</w:t>
      </w:r>
    </w:p>
    <w:p>
      <w:pPr>
        <w:pageBreakBefore w:val="0"/>
        <w:kinsoku/>
        <w:wordWrap/>
        <w:overflowPunct/>
        <w:topLinePunct w:val="0"/>
        <w:autoSpaceDE/>
        <w:autoSpaceDN/>
        <w:bidi w:val="0"/>
        <w:adjustRightInd/>
        <w:spacing w:line="520" w:lineRule="exact"/>
        <w:ind w:firstLine="640" w:firstLineChars="200"/>
        <w:textAlignment w:val="auto"/>
        <w:rPr>
          <w:rStyle w:val="19"/>
          <w:b w:val="0"/>
          <w:bCs w:val="0"/>
        </w:rPr>
      </w:pPr>
      <w:bookmarkStart w:id="26" w:name="_Toc15199"/>
      <w:r>
        <w:rPr>
          <w:rStyle w:val="19"/>
          <w:rFonts w:hint="eastAsia" w:ascii="黑体" w:eastAsia="黑体"/>
          <w:b w:val="0"/>
          <w:bCs w:val="0"/>
        </w:rPr>
        <w:t>二、机构设置</w:t>
      </w:r>
      <w:bookmarkEnd w:id="24"/>
      <w:bookmarkEnd w:id="25"/>
    </w:p>
    <w:bookmarkEnd w:id="26"/>
    <w:p>
      <w:pPr>
        <w:pageBreakBefore w:val="0"/>
        <w:widowControl/>
        <w:kinsoku/>
        <w:wordWrap/>
        <w:overflowPunct/>
        <w:topLinePunct w:val="0"/>
        <w:autoSpaceDE/>
        <w:autoSpaceDN/>
        <w:bidi w:val="0"/>
        <w:adjustRightInd/>
        <w:spacing w:line="520" w:lineRule="exact"/>
        <w:ind w:firstLine="640" w:firstLineChars="200"/>
        <w:jc w:val="left"/>
        <w:textAlignment w:val="auto"/>
        <w:rPr>
          <w:rFonts w:hint="eastAsia" w:ascii="黑体" w:eastAsia="黑体"/>
          <w:b w:val="0"/>
          <w:color w:val="000000"/>
        </w:rPr>
      </w:pPr>
      <w:r>
        <w:rPr>
          <w:rFonts w:hint="eastAsia" w:ascii="仿宋_GB2312" w:eastAsia="仿宋_GB2312"/>
          <w:bCs/>
          <w:color w:val="000000"/>
          <w:sz w:val="32"/>
          <w:szCs w:val="32"/>
        </w:rPr>
        <w:t>金川县畜牧兽医服务中心设</w:t>
      </w:r>
      <w:r>
        <w:rPr>
          <w:rFonts w:hint="eastAsia" w:ascii="仿宋_GB2312" w:eastAsia="仿宋_GB2312"/>
          <w:color w:val="000000"/>
          <w:sz w:val="32"/>
          <w:szCs w:val="32"/>
        </w:rPr>
        <w:t>统一核算机构为</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个，其中：</w:t>
      </w:r>
      <w:r>
        <w:rPr>
          <w:rFonts w:hint="eastAsia" w:ascii="仿宋" w:hAnsi="仿宋" w:eastAsia="仿宋" w:cs="仿宋"/>
          <w:color w:val="000000"/>
          <w:sz w:val="32"/>
          <w:szCs w:val="32"/>
          <w:lang w:eastAsia="zh-CN"/>
        </w:rPr>
        <w:t>参公</w:t>
      </w:r>
      <w:r>
        <w:rPr>
          <w:rFonts w:hint="eastAsia" w:ascii="仿宋" w:hAnsi="仿宋" w:eastAsia="仿宋" w:cs="仿宋"/>
          <w:color w:val="000000"/>
          <w:sz w:val="32"/>
          <w:szCs w:val="32"/>
        </w:rPr>
        <w:t>单位</w:t>
      </w: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rPr>
        <w:t>个，</w:t>
      </w:r>
      <w:r>
        <w:rPr>
          <w:rFonts w:hint="eastAsia" w:ascii="仿宋_GB2312" w:eastAsia="仿宋_GB2312"/>
          <w:color w:val="000000"/>
          <w:sz w:val="32"/>
          <w:szCs w:val="32"/>
        </w:rPr>
        <w:t>事业单位</w:t>
      </w:r>
      <w:r>
        <w:rPr>
          <w:rFonts w:ascii="仿宋_GB2312" w:eastAsia="仿宋_GB2312"/>
          <w:color w:val="000000"/>
          <w:sz w:val="32"/>
          <w:szCs w:val="32"/>
        </w:rPr>
        <w:t>1</w:t>
      </w:r>
      <w:r>
        <w:rPr>
          <w:rFonts w:hint="eastAsia" w:ascii="仿宋_GB2312" w:eastAsia="仿宋_GB2312"/>
          <w:color w:val="000000"/>
          <w:sz w:val="32"/>
          <w:szCs w:val="32"/>
        </w:rPr>
        <w:t>个</w:t>
      </w:r>
      <w:r>
        <w:rPr>
          <w:rFonts w:hint="eastAsia" w:ascii="仿宋_GB2312" w:eastAsia="仿宋_GB2312"/>
          <w:color w:val="000000"/>
          <w:sz w:val="32"/>
          <w:szCs w:val="32"/>
          <w:lang w:eastAsia="zh-CN"/>
        </w:rPr>
        <w:t>；</w:t>
      </w:r>
      <w:r>
        <w:rPr>
          <w:rFonts w:hint="eastAsia" w:ascii="仿宋_GB2312" w:eastAsia="仿宋_GB2312"/>
          <w:color w:val="000000"/>
          <w:sz w:val="32"/>
          <w:szCs w:val="32"/>
        </w:rPr>
        <w:t>独立编制机构数</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个，分别为</w:t>
      </w:r>
      <w:r>
        <w:rPr>
          <w:rFonts w:hint="eastAsia" w:ascii="仿宋_GB2312" w:eastAsia="仿宋_GB2312"/>
          <w:color w:val="000000"/>
          <w:sz w:val="32"/>
          <w:szCs w:val="32"/>
          <w:lang w:val="en-US" w:eastAsia="zh-CN"/>
        </w:rPr>
        <w:t>畜牧中心</w:t>
      </w:r>
      <w:r>
        <w:rPr>
          <w:rFonts w:hint="eastAsia" w:ascii="仿宋_GB2312" w:eastAsia="仿宋_GB2312"/>
          <w:color w:val="000000"/>
          <w:sz w:val="32"/>
          <w:szCs w:val="32"/>
        </w:rPr>
        <w:t>、</w:t>
      </w:r>
      <w:r>
        <w:rPr>
          <w:rFonts w:hint="eastAsia" w:ascii="仿宋_GB2312" w:eastAsia="仿宋_GB2312"/>
          <w:sz w:val="32"/>
          <w:szCs w:val="32"/>
        </w:rPr>
        <w:t>县动物防疫监督站</w:t>
      </w:r>
      <w:r>
        <w:rPr>
          <w:rFonts w:hint="eastAsia" w:ascii="仿宋_GB2312" w:eastAsia="仿宋_GB2312"/>
          <w:sz w:val="32"/>
          <w:szCs w:val="32"/>
          <w:lang w:eastAsia="zh-CN"/>
        </w:rPr>
        <w:t>、</w:t>
      </w:r>
      <w:r>
        <w:rPr>
          <w:rFonts w:hint="eastAsia" w:ascii="仿宋_GB2312" w:eastAsia="仿宋_GB2312"/>
          <w:sz w:val="32"/>
          <w:szCs w:val="32"/>
        </w:rPr>
        <w:t>畜禽繁育改良站，县动物</w:t>
      </w:r>
      <w:r>
        <w:rPr>
          <w:rFonts w:hint="eastAsia" w:ascii="仿宋_GB2312" w:eastAsia="仿宋_GB2312"/>
          <w:sz w:val="32"/>
          <w:szCs w:val="32"/>
          <w:lang w:eastAsia="zh-CN"/>
        </w:rPr>
        <w:t>疫病预防控制中心</w:t>
      </w:r>
      <w:r>
        <w:rPr>
          <w:rFonts w:hint="eastAsia" w:ascii="仿宋_GB2312" w:eastAsia="仿宋_GB2312"/>
          <w:sz w:val="32"/>
          <w:szCs w:val="32"/>
        </w:rPr>
        <w:t>。</w:t>
      </w:r>
      <w:bookmarkStart w:id="27" w:name="_Toc7113"/>
      <w:bookmarkStart w:id="28" w:name="_Toc15377204"/>
      <w:bookmarkStart w:id="29" w:name="_Toc15396602"/>
    </w:p>
    <w:p>
      <w:pPr>
        <w:pStyle w:val="2"/>
        <w:ind w:right="440"/>
        <w:jc w:val="right"/>
      </w:pPr>
      <w:r>
        <w:rPr>
          <w:rFonts w:hint="eastAsia" w:ascii="黑体" w:eastAsia="黑体"/>
          <w:b w:val="0"/>
          <w:color w:val="000000"/>
        </w:rPr>
        <w:t>第二部分</w:t>
      </w:r>
      <w:r>
        <w:rPr>
          <w:rFonts w:ascii="黑体" w:eastAsia="黑体"/>
          <w:color w:val="000000"/>
        </w:rPr>
        <w:t xml:space="preserve"> </w:t>
      </w:r>
      <w:r>
        <w:rPr>
          <w:rStyle w:val="18"/>
          <w:rFonts w:hint="eastAsia" w:ascii="黑体" w:eastAsia="黑体"/>
          <w:b w:val="0"/>
          <w:bCs w:val="0"/>
        </w:rPr>
        <w:t>2022年度部门决算情况说明</w:t>
      </w:r>
      <w:bookmarkEnd w:id="27"/>
      <w:bookmarkEnd w:id="28"/>
      <w:bookmarkEnd w:id="29"/>
    </w:p>
    <w:p>
      <w:pPr>
        <w:pStyle w:val="26"/>
        <w:ind w:firstLine="0" w:firstLineChars="0"/>
        <w:outlineLvl w:val="1"/>
        <w:rPr>
          <w:rStyle w:val="19"/>
          <w:rFonts w:ascii="黑体" w:eastAsia="黑体"/>
          <w:b w:val="0"/>
        </w:rPr>
      </w:pPr>
      <w:bookmarkStart w:id="30" w:name="_Toc15377205"/>
      <w:bookmarkStart w:id="31" w:name="_Toc15396603"/>
      <w:r>
        <w:rPr>
          <w:rFonts w:ascii="黑体" w:eastAsia="黑体"/>
          <w:color w:val="000000"/>
          <w:sz w:val="32"/>
          <w:szCs w:val="32"/>
        </w:rPr>
        <w:t xml:space="preserve">    </w:t>
      </w:r>
      <w:bookmarkStart w:id="32" w:name="_Toc24455"/>
      <w:r>
        <w:rPr>
          <w:rFonts w:hint="eastAsia" w:ascii="黑体" w:eastAsia="黑体"/>
          <w:color w:val="000000"/>
          <w:sz w:val="32"/>
          <w:szCs w:val="32"/>
        </w:rPr>
        <w:t>一、收</w:t>
      </w:r>
      <w:r>
        <w:rPr>
          <w:rStyle w:val="19"/>
          <w:rFonts w:hint="eastAsia" w:ascii="黑体" w:eastAsia="黑体"/>
          <w:b w:val="0"/>
        </w:rPr>
        <w:t>入支出决算总体情况说明</w:t>
      </w:r>
      <w:bookmarkEnd w:id="30"/>
      <w:bookmarkEnd w:id="31"/>
      <w:bookmarkEnd w:id="32"/>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eastAsia="zh-CN"/>
        </w:rPr>
        <w:t>2022</w:t>
      </w:r>
      <w:r>
        <w:rPr>
          <w:rFonts w:hint="eastAsia" w:ascii="仿宋_GB2312" w:eastAsia="仿宋_GB2312"/>
          <w:sz w:val="32"/>
          <w:szCs w:val="32"/>
        </w:rPr>
        <w:t>年收入</w:t>
      </w:r>
      <w:r>
        <w:rPr>
          <w:rFonts w:hint="eastAsia" w:ascii="仿宋_GB2312" w:eastAsia="仿宋_GB2312"/>
          <w:sz w:val="32"/>
          <w:szCs w:val="32"/>
          <w:lang w:val="en-US" w:eastAsia="zh-CN"/>
        </w:rPr>
        <w:t>1934.92</w:t>
      </w:r>
      <w:r>
        <w:rPr>
          <w:rFonts w:hint="eastAsia" w:ascii="仿宋_GB2312" w:eastAsia="仿宋_GB2312"/>
          <w:sz w:val="32"/>
          <w:szCs w:val="32"/>
        </w:rPr>
        <w:t>万元，较上年支出</w:t>
      </w:r>
      <w:r>
        <w:rPr>
          <w:rFonts w:hint="eastAsia" w:ascii="仿宋_GB2312" w:eastAsia="仿宋_GB2312"/>
          <w:sz w:val="32"/>
          <w:szCs w:val="32"/>
          <w:lang w:eastAsia="zh-CN"/>
        </w:rPr>
        <w:t>增加</w:t>
      </w:r>
      <w:r>
        <w:rPr>
          <w:rFonts w:hint="eastAsia" w:ascii="仿宋_GB2312" w:eastAsia="仿宋_GB2312"/>
          <w:sz w:val="32"/>
          <w:szCs w:val="32"/>
          <w:lang w:val="en-US" w:eastAsia="zh-CN"/>
        </w:rPr>
        <w:t>27.34</w:t>
      </w:r>
      <w:r>
        <w:rPr>
          <w:rFonts w:hint="eastAsia" w:ascii="仿宋_GB2312" w:eastAsia="仿宋_GB2312"/>
          <w:sz w:val="32"/>
          <w:szCs w:val="32"/>
        </w:rPr>
        <w:t>万元。主要原因是当年部门预算安排资金较上年有所</w:t>
      </w:r>
      <w:r>
        <w:rPr>
          <w:rFonts w:hint="eastAsia" w:ascii="仿宋_GB2312" w:eastAsia="仿宋_GB2312"/>
          <w:sz w:val="32"/>
          <w:szCs w:val="32"/>
          <w:lang w:eastAsia="zh-CN"/>
        </w:rPr>
        <w:t>增加、</w:t>
      </w:r>
      <w:r>
        <w:rPr>
          <w:rFonts w:hint="eastAsia" w:ascii="仿宋_GB2312" w:eastAsia="仿宋_GB2312"/>
          <w:sz w:val="32"/>
          <w:szCs w:val="32"/>
          <w:lang w:val="en-US" w:eastAsia="zh-CN"/>
        </w:rPr>
        <w:t>新制度下参公独立核算</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eastAsia="zh-CN"/>
        </w:rPr>
        <w:t>2022</w:t>
      </w:r>
      <w:r>
        <w:rPr>
          <w:rFonts w:hint="eastAsia" w:ascii="仿宋_GB2312" w:eastAsia="仿宋_GB2312"/>
          <w:sz w:val="32"/>
          <w:szCs w:val="32"/>
        </w:rPr>
        <w:t>年支出</w:t>
      </w:r>
      <w:r>
        <w:rPr>
          <w:rFonts w:hint="eastAsia" w:ascii="仿宋_GB2312" w:eastAsia="仿宋_GB2312"/>
          <w:sz w:val="32"/>
          <w:szCs w:val="32"/>
          <w:lang w:val="en-US" w:eastAsia="zh-CN"/>
        </w:rPr>
        <w:t>1934.92</w:t>
      </w:r>
      <w:r>
        <w:rPr>
          <w:rFonts w:hint="eastAsia" w:ascii="仿宋_GB2312" w:eastAsia="仿宋_GB2312"/>
          <w:sz w:val="32"/>
          <w:szCs w:val="32"/>
        </w:rPr>
        <w:t>万元，较上年支出减少</w:t>
      </w:r>
      <w:r>
        <w:rPr>
          <w:rFonts w:hint="eastAsia" w:ascii="仿宋_GB2312" w:eastAsia="仿宋_GB2312"/>
          <w:sz w:val="32"/>
          <w:szCs w:val="32"/>
          <w:lang w:val="en-US" w:eastAsia="zh-CN"/>
        </w:rPr>
        <w:t>108.25</w:t>
      </w:r>
      <w:r>
        <w:rPr>
          <w:rFonts w:hint="eastAsia" w:ascii="仿宋_GB2312" w:eastAsia="仿宋_GB2312"/>
          <w:sz w:val="32"/>
          <w:szCs w:val="32"/>
        </w:rPr>
        <w:t>万元。主要原因是</w:t>
      </w:r>
      <w:r>
        <w:rPr>
          <w:rFonts w:hint="eastAsia" w:ascii="仿宋_GB2312" w:eastAsia="仿宋_GB2312"/>
          <w:sz w:val="32"/>
          <w:szCs w:val="32"/>
          <w:lang w:eastAsia="zh-CN"/>
        </w:rPr>
        <w:t>去年支出有财政应返还额度</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ascii="仿宋_GB2312" w:eastAsia="仿宋_GB2312"/>
          <w:sz w:val="32"/>
          <w:szCs w:val="32"/>
        </w:rPr>
      </w:pPr>
      <w:r>
        <w:drawing>
          <wp:anchor distT="0" distB="0" distL="114300" distR="114300" simplePos="0" relativeHeight="251661312" behindDoc="0" locked="0" layoutInCell="1" allowOverlap="1">
            <wp:simplePos x="0" y="0"/>
            <wp:positionH relativeFrom="column">
              <wp:posOffset>368300</wp:posOffset>
            </wp:positionH>
            <wp:positionV relativeFrom="paragraph">
              <wp:posOffset>22225</wp:posOffset>
            </wp:positionV>
            <wp:extent cx="4572000" cy="2197735"/>
            <wp:effectExtent l="0" t="0" r="0" b="12065"/>
            <wp:wrapNone/>
            <wp:docPr id="4" name="图表 3" descr="7b0a202020202263686172745265734964223a20223230343734393833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napToGrid w:val="0"/>
        <w:spacing w:line="520" w:lineRule="exact"/>
        <w:ind w:firstLine="632" w:firstLineChars="200"/>
        <w:rPr>
          <w:rFonts w:ascii="仿宋_GB2312" w:eastAsia="仿宋_GB2312"/>
          <w:spacing w:val="-2"/>
          <w:sz w:val="32"/>
          <w:szCs w:val="32"/>
        </w:rPr>
      </w:pPr>
    </w:p>
    <w:p>
      <w:pPr>
        <w:snapToGrid w:val="0"/>
        <w:spacing w:line="520" w:lineRule="exact"/>
        <w:ind w:firstLine="632" w:firstLineChars="200"/>
        <w:rPr>
          <w:rFonts w:ascii="仿宋_GB2312" w:eastAsia="仿宋_GB2312"/>
          <w:spacing w:val="-2"/>
          <w:sz w:val="32"/>
          <w:szCs w:val="32"/>
        </w:rPr>
      </w:pPr>
    </w:p>
    <w:p>
      <w:pPr>
        <w:spacing w:line="600" w:lineRule="exact"/>
        <w:ind w:firstLine="640" w:firstLineChars="200"/>
        <w:rPr>
          <w:rFonts w:ascii="黑体" w:eastAsia="黑体"/>
          <w:color w:val="000000"/>
          <w:sz w:val="32"/>
          <w:szCs w:val="32"/>
        </w:rPr>
      </w:pPr>
      <w:bookmarkStart w:id="33" w:name="_Toc15396604"/>
      <w:bookmarkStart w:id="34" w:name="_Toc15377206"/>
    </w:p>
    <w:p>
      <w:pPr>
        <w:spacing w:line="600" w:lineRule="exact"/>
        <w:ind w:firstLine="640" w:firstLineChars="200"/>
        <w:rPr>
          <w:rFonts w:ascii="黑体" w:eastAsia="黑体"/>
          <w:color w:val="000000"/>
          <w:sz w:val="32"/>
          <w:szCs w:val="32"/>
        </w:rPr>
      </w:pPr>
    </w:p>
    <w:p>
      <w:pPr>
        <w:spacing w:line="600" w:lineRule="exact"/>
        <w:ind w:firstLine="640" w:firstLineChars="200"/>
        <w:rPr>
          <w:rFonts w:ascii="黑体" w:eastAsia="黑体"/>
          <w:color w:val="000000"/>
          <w:sz w:val="32"/>
          <w:szCs w:val="32"/>
        </w:rPr>
      </w:pPr>
    </w:p>
    <w:p>
      <w:pPr>
        <w:spacing w:line="600" w:lineRule="exact"/>
        <w:ind w:firstLine="640" w:firstLineChars="200"/>
        <w:rPr>
          <w:rFonts w:ascii="黑体" w:eastAsia="黑体"/>
          <w:color w:val="000000"/>
          <w:sz w:val="32"/>
          <w:szCs w:val="32"/>
        </w:rPr>
      </w:pPr>
    </w:p>
    <w:p>
      <w:pPr>
        <w:spacing w:line="600" w:lineRule="exact"/>
        <w:ind w:firstLine="640" w:firstLineChars="200"/>
        <w:rPr>
          <w:rStyle w:val="19"/>
          <w:rFonts w:ascii="黑体" w:eastAsia="黑体"/>
          <w:b w:val="0"/>
        </w:rPr>
      </w:pPr>
      <w:r>
        <w:rPr>
          <w:rFonts w:hint="eastAsia" w:ascii="黑体" w:eastAsia="黑体"/>
          <w:color w:val="000000"/>
          <w:sz w:val="32"/>
          <w:szCs w:val="32"/>
        </w:rPr>
        <w:t>二、收入决</w:t>
      </w:r>
      <w:r>
        <w:rPr>
          <w:rStyle w:val="19"/>
          <w:rFonts w:hint="eastAsia" w:ascii="黑体" w:eastAsia="黑体"/>
          <w:b w:val="0"/>
        </w:rPr>
        <w:t>算情况说明</w:t>
      </w:r>
      <w:bookmarkEnd w:id="33"/>
      <w:bookmarkEnd w:id="34"/>
    </w:p>
    <w:p>
      <w:pPr>
        <w:spacing w:line="620" w:lineRule="exact"/>
        <w:ind w:firstLine="640" w:firstLineChars="200"/>
        <w:rPr>
          <w:rFonts w:ascii="仿宋_GB2312" w:eastAsia="仿宋_GB2312"/>
          <w:sz w:val="32"/>
          <w:szCs w:val="32"/>
        </w:rPr>
      </w:pPr>
      <w:r>
        <w:rPr>
          <w:rFonts w:hint="eastAsia" w:ascii="仿宋_GB2312" w:eastAsia="仿宋_GB2312"/>
          <w:sz w:val="32"/>
          <w:szCs w:val="32"/>
          <w:lang w:eastAsia="zh-CN"/>
        </w:rPr>
        <w:t>2022</w:t>
      </w:r>
      <w:r>
        <w:rPr>
          <w:rFonts w:hint="eastAsia" w:ascii="仿宋_GB2312" w:eastAsia="仿宋_GB2312"/>
          <w:sz w:val="32"/>
          <w:szCs w:val="32"/>
        </w:rPr>
        <w:t>年收入</w:t>
      </w:r>
      <w:r>
        <w:rPr>
          <w:rFonts w:hint="eastAsia" w:ascii="仿宋_GB2312" w:eastAsia="仿宋_GB2312"/>
          <w:sz w:val="32"/>
          <w:szCs w:val="32"/>
          <w:lang w:val="en-US" w:eastAsia="zh-CN"/>
        </w:rPr>
        <w:t>1934.92</w:t>
      </w:r>
      <w:r>
        <w:rPr>
          <w:rFonts w:hint="eastAsia" w:ascii="仿宋_GB2312" w:eastAsia="仿宋_GB2312"/>
          <w:sz w:val="32"/>
          <w:szCs w:val="32"/>
        </w:rPr>
        <w:t>万元，其中：一般公共预算财政拨款收入</w:t>
      </w:r>
      <w:r>
        <w:rPr>
          <w:rFonts w:hint="eastAsia" w:ascii="仿宋_GB2312" w:eastAsia="仿宋_GB2312"/>
          <w:sz w:val="32"/>
          <w:szCs w:val="32"/>
          <w:lang w:val="en-US" w:eastAsia="zh-CN"/>
        </w:rPr>
        <w:t>1934.92</w:t>
      </w:r>
      <w:r>
        <w:rPr>
          <w:rFonts w:hint="eastAsia" w:ascii="仿宋_GB2312" w:eastAsia="仿宋_GB2312"/>
          <w:sz w:val="32"/>
          <w:szCs w:val="32"/>
        </w:rPr>
        <w:t>万元，占</w:t>
      </w:r>
      <w:r>
        <w:rPr>
          <w:rFonts w:ascii="仿宋_GB2312" w:eastAsia="仿宋_GB2312"/>
          <w:sz w:val="32"/>
          <w:szCs w:val="32"/>
        </w:rPr>
        <w:t>100%</w:t>
      </w:r>
      <w:r>
        <w:rPr>
          <w:rFonts w:hint="eastAsia" w:ascii="仿宋_GB2312" w:eastAsia="仿宋_GB2312"/>
          <w:sz w:val="32"/>
          <w:szCs w:val="32"/>
        </w:rPr>
        <w:t>；政府性基金预算财政拨款收入</w:t>
      </w:r>
      <w:r>
        <w:rPr>
          <w:rFonts w:ascii="仿宋_GB2312" w:eastAsia="仿宋_GB2312"/>
          <w:sz w:val="32"/>
          <w:szCs w:val="32"/>
        </w:rPr>
        <w:t>0</w:t>
      </w:r>
      <w:r>
        <w:rPr>
          <w:rFonts w:hint="eastAsia" w:ascii="仿宋_GB2312" w:eastAsia="仿宋_GB2312"/>
          <w:sz w:val="32"/>
          <w:szCs w:val="32"/>
        </w:rPr>
        <w:t>万元，占</w:t>
      </w:r>
      <w:r>
        <w:rPr>
          <w:rFonts w:ascii="仿宋_GB2312" w:eastAsia="仿宋_GB2312"/>
          <w:sz w:val="32"/>
          <w:szCs w:val="32"/>
        </w:rPr>
        <w:t>0%</w:t>
      </w:r>
      <w:r>
        <w:rPr>
          <w:rFonts w:hint="eastAsia" w:ascii="仿宋_GB2312" w:eastAsia="仿宋_GB2312"/>
          <w:sz w:val="32"/>
          <w:szCs w:val="32"/>
        </w:rPr>
        <w:t>；国有资本经营预算财政拨款收入</w:t>
      </w:r>
      <w:r>
        <w:rPr>
          <w:rFonts w:ascii="仿宋_GB2312" w:eastAsia="仿宋_GB2312"/>
          <w:sz w:val="32"/>
          <w:szCs w:val="32"/>
        </w:rPr>
        <w:t>0</w:t>
      </w:r>
      <w:r>
        <w:rPr>
          <w:rFonts w:hint="eastAsia" w:ascii="仿宋_GB2312" w:eastAsia="仿宋_GB2312"/>
          <w:sz w:val="32"/>
          <w:szCs w:val="32"/>
        </w:rPr>
        <w:t>万元，占</w:t>
      </w:r>
      <w:r>
        <w:rPr>
          <w:rFonts w:ascii="仿宋_GB2312" w:eastAsia="仿宋_GB2312"/>
          <w:sz w:val="32"/>
          <w:szCs w:val="32"/>
        </w:rPr>
        <w:t>0%</w:t>
      </w:r>
      <w:r>
        <w:rPr>
          <w:rFonts w:hint="eastAsia" w:ascii="仿宋_GB2312" w:eastAsia="仿宋_GB2312"/>
          <w:sz w:val="32"/>
          <w:szCs w:val="32"/>
        </w:rPr>
        <w:t>；事业收入</w:t>
      </w:r>
      <w:r>
        <w:rPr>
          <w:rFonts w:ascii="仿宋_GB2312" w:eastAsia="仿宋_GB2312"/>
          <w:sz w:val="32"/>
          <w:szCs w:val="32"/>
        </w:rPr>
        <w:t>0</w:t>
      </w:r>
      <w:r>
        <w:rPr>
          <w:rFonts w:hint="eastAsia" w:ascii="仿宋_GB2312" w:eastAsia="仿宋_GB2312"/>
          <w:sz w:val="32"/>
          <w:szCs w:val="32"/>
        </w:rPr>
        <w:t>万元，占</w:t>
      </w:r>
      <w:r>
        <w:rPr>
          <w:rFonts w:ascii="仿宋_GB2312" w:eastAsia="仿宋_GB2312"/>
          <w:sz w:val="32"/>
          <w:szCs w:val="32"/>
        </w:rPr>
        <w:t>0%</w:t>
      </w:r>
      <w:r>
        <w:rPr>
          <w:rFonts w:hint="eastAsia" w:ascii="仿宋_GB2312" w:eastAsia="仿宋_GB2312"/>
          <w:sz w:val="32"/>
          <w:szCs w:val="32"/>
        </w:rPr>
        <w:t>；经营收入</w:t>
      </w:r>
      <w:r>
        <w:rPr>
          <w:rFonts w:ascii="仿宋_GB2312" w:eastAsia="仿宋_GB2312"/>
          <w:sz w:val="32"/>
          <w:szCs w:val="32"/>
        </w:rPr>
        <w:t>0</w:t>
      </w:r>
      <w:r>
        <w:rPr>
          <w:rFonts w:hint="eastAsia" w:ascii="仿宋_GB2312" w:eastAsia="仿宋_GB2312"/>
          <w:sz w:val="32"/>
          <w:szCs w:val="32"/>
        </w:rPr>
        <w:t>万元，占</w:t>
      </w:r>
      <w:r>
        <w:rPr>
          <w:rFonts w:ascii="仿宋_GB2312" w:eastAsia="仿宋_GB2312"/>
          <w:sz w:val="32"/>
          <w:szCs w:val="32"/>
        </w:rPr>
        <w:t>0%</w:t>
      </w:r>
      <w:r>
        <w:rPr>
          <w:rFonts w:hint="eastAsia" w:ascii="仿宋_GB2312" w:eastAsia="仿宋_GB2312"/>
          <w:sz w:val="32"/>
          <w:szCs w:val="32"/>
        </w:rPr>
        <w:t>；附属单位上缴收入</w:t>
      </w:r>
      <w:r>
        <w:rPr>
          <w:rFonts w:ascii="仿宋_GB2312" w:eastAsia="仿宋_GB2312"/>
          <w:sz w:val="32"/>
          <w:szCs w:val="32"/>
        </w:rPr>
        <w:t>0</w:t>
      </w:r>
      <w:r>
        <w:rPr>
          <w:rFonts w:hint="eastAsia" w:ascii="仿宋_GB2312" w:eastAsia="仿宋_GB2312"/>
          <w:sz w:val="32"/>
          <w:szCs w:val="32"/>
        </w:rPr>
        <w:t>万元，占</w:t>
      </w:r>
      <w:r>
        <w:rPr>
          <w:rFonts w:ascii="仿宋_GB2312" w:eastAsia="仿宋_GB2312"/>
          <w:sz w:val="32"/>
          <w:szCs w:val="32"/>
        </w:rPr>
        <w:t>0%</w:t>
      </w:r>
      <w:r>
        <w:rPr>
          <w:rFonts w:hint="eastAsia" w:ascii="仿宋_GB2312" w:eastAsia="仿宋_GB2312"/>
          <w:sz w:val="32"/>
          <w:szCs w:val="32"/>
        </w:rPr>
        <w:t>；其他收入</w:t>
      </w:r>
      <w:r>
        <w:rPr>
          <w:rFonts w:ascii="仿宋_GB2312" w:eastAsia="仿宋_GB2312"/>
          <w:sz w:val="32"/>
          <w:szCs w:val="32"/>
        </w:rPr>
        <w:t>0</w:t>
      </w:r>
      <w:r>
        <w:rPr>
          <w:rFonts w:hint="eastAsia" w:ascii="仿宋_GB2312" w:eastAsia="仿宋_GB2312"/>
          <w:sz w:val="32"/>
          <w:szCs w:val="32"/>
        </w:rPr>
        <w:t>万元，占</w:t>
      </w:r>
      <w:r>
        <w:rPr>
          <w:rFonts w:ascii="仿宋_GB2312" w:eastAsia="仿宋_GB2312"/>
          <w:sz w:val="32"/>
          <w:szCs w:val="32"/>
        </w:rPr>
        <w:t>0%</w:t>
      </w:r>
      <w:r>
        <w:rPr>
          <w:rFonts w:hint="eastAsia" w:ascii="仿宋_GB2312" w:eastAsia="仿宋_GB2312"/>
          <w:sz w:val="32"/>
          <w:szCs w:val="32"/>
        </w:rPr>
        <w:t>。</w:t>
      </w:r>
    </w:p>
    <w:p>
      <w:pPr>
        <w:spacing w:line="600" w:lineRule="exact"/>
        <w:ind w:firstLine="640" w:firstLineChars="200"/>
        <w:outlineLvl w:val="1"/>
        <w:rPr>
          <w:rStyle w:val="19"/>
          <w:rFonts w:ascii="黑体" w:eastAsia="黑体"/>
          <w:b w:val="0"/>
        </w:rPr>
      </w:pPr>
      <w:bookmarkStart w:id="35" w:name="_Toc15396605"/>
      <w:bookmarkStart w:id="36" w:name="_Toc6474"/>
      <w:bookmarkStart w:id="37" w:name="_Toc15377207"/>
      <w:r>
        <w:rPr>
          <w:rFonts w:hint="eastAsia" w:ascii="黑体" w:eastAsia="黑体"/>
          <w:color w:val="000000"/>
          <w:sz w:val="32"/>
          <w:szCs w:val="32"/>
        </w:rPr>
        <w:t>三、支出决</w:t>
      </w:r>
      <w:r>
        <w:rPr>
          <w:rStyle w:val="19"/>
          <w:rFonts w:hint="eastAsia" w:ascii="黑体" w:eastAsia="黑体"/>
          <w:b w:val="0"/>
        </w:rPr>
        <w:t>算情况说明</w:t>
      </w:r>
      <w:bookmarkEnd w:id="35"/>
      <w:bookmarkEnd w:id="36"/>
      <w:bookmarkEnd w:id="37"/>
    </w:p>
    <w:p>
      <w:pPr>
        <w:spacing w:line="620" w:lineRule="exact"/>
        <w:ind w:firstLine="640" w:firstLineChars="200"/>
        <w:rPr>
          <w:rFonts w:ascii="仿宋_GB2312" w:eastAsia="仿宋_GB2312"/>
          <w:sz w:val="32"/>
          <w:szCs w:val="32"/>
        </w:rPr>
      </w:pPr>
      <w:r>
        <w:rPr>
          <w:rFonts w:hint="eastAsia" w:ascii="仿宋_GB2312" w:eastAsia="仿宋_GB2312"/>
          <w:sz w:val="32"/>
          <w:szCs w:val="32"/>
          <w:lang w:eastAsia="zh-CN"/>
        </w:rPr>
        <w:t>2022</w:t>
      </w:r>
      <w:r>
        <w:rPr>
          <w:rFonts w:hint="eastAsia" w:ascii="仿宋_GB2312" w:eastAsia="仿宋_GB2312"/>
          <w:sz w:val="32"/>
          <w:szCs w:val="32"/>
        </w:rPr>
        <w:t>年本年总支出</w:t>
      </w:r>
      <w:r>
        <w:rPr>
          <w:rFonts w:hint="eastAsia" w:ascii="仿宋_GB2312" w:eastAsia="仿宋_GB2312"/>
          <w:sz w:val="32"/>
          <w:szCs w:val="32"/>
          <w:lang w:val="en-US" w:eastAsia="zh-CN"/>
        </w:rPr>
        <w:t>1934.92</w:t>
      </w:r>
      <w:r>
        <w:rPr>
          <w:rFonts w:hint="eastAsia" w:ascii="仿宋_GB2312" w:eastAsia="仿宋_GB2312"/>
          <w:sz w:val="32"/>
          <w:szCs w:val="32"/>
        </w:rPr>
        <w:t>万元，其中：基本支出</w:t>
      </w:r>
      <w:r>
        <w:rPr>
          <w:rFonts w:hint="eastAsia" w:ascii="仿宋_GB2312" w:eastAsia="仿宋_GB2312"/>
          <w:sz w:val="32"/>
          <w:szCs w:val="32"/>
          <w:lang w:val="en-US" w:eastAsia="zh-CN"/>
        </w:rPr>
        <w:t>806.93</w:t>
      </w:r>
      <w:r>
        <w:rPr>
          <w:rFonts w:hint="eastAsia" w:ascii="仿宋_GB2312" w:eastAsia="仿宋_GB2312"/>
          <w:sz w:val="32"/>
          <w:szCs w:val="32"/>
        </w:rPr>
        <w:t>万元，占</w:t>
      </w:r>
      <w:r>
        <w:rPr>
          <w:rFonts w:hint="eastAsia" w:ascii="仿宋_GB2312" w:eastAsia="仿宋_GB2312"/>
          <w:sz w:val="32"/>
          <w:szCs w:val="32"/>
          <w:lang w:val="en-US" w:eastAsia="zh-CN"/>
        </w:rPr>
        <w:t>41</w:t>
      </w:r>
      <w:r>
        <w:rPr>
          <w:rFonts w:ascii="仿宋_GB2312" w:eastAsia="仿宋_GB2312"/>
          <w:sz w:val="32"/>
          <w:szCs w:val="32"/>
        </w:rPr>
        <w:t>%</w:t>
      </w:r>
      <w:r>
        <w:rPr>
          <w:rFonts w:hint="eastAsia" w:ascii="仿宋_GB2312" w:eastAsia="仿宋_GB2312"/>
          <w:sz w:val="32"/>
          <w:szCs w:val="32"/>
        </w:rPr>
        <w:t>；项目支出</w:t>
      </w:r>
      <w:r>
        <w:rPr>
          <w:rFonts w:hint="eastAsia" w:ascii="仿宋_GB2312" w:eastAsia="仿宋_GB2312"/>
          <w:sz w:val="32"/>
          <w:szCs w:val="32"/>
          <w:lang w:val="en-US" w:eastAsia="zh-CN"/>
        </w:rPr>
        <w:t>1127.99</w:t>
      </w:r>
      <w:r>
        <w:rPr>
          <w:rFonts w:hint="eastAsia" w:ascii="仿宋_GB2312" w:eastAsia="仿宋_GB2312"/>
          <w:sz w:val="32"/>
          <w:szCs w:val="32"/>
        </w:rPr>
        <w:t>万元，占</w:t>
      </w:r>
      <w:r>
        <w:rPr>
          <w:rFonts w:hint="eastAsia" w:ascii="仿宋_GB2312" w:eastAsia="仿宋_GB2312"/>
          <w:sz w:val="32"/>
          <w:szCs w:val="32"/>
          <w:lang w:val="en-US" w:eastAsia="zh-CN"/>
        </w:rPr>
        <w:t>58.3</w:t>
      </w:r>
      <w:r>
        <w:rPr>
          <w:rFonts w:ascii="仿宋_GB2312" w:eastAsia="仿宋_GB2312"/>
          <w:sz w:val="32"/>
          <w:szCs w:val="32"/>
        </w:rPr>
        <w:t>%</w:t>
      </w:r>
      <w:r>
        <w:rPr>
          <w:rFonts w:hint="eastAsia" w:ascii="仿宋_GB2312" w:eastAsia="仿宋_GB2312"/>
          <w:sz w:val="32"/>
          <w:szCs w:val="32"/>
        </w:rPr>
        <w:t>；上缴上级支出</w:t>
      </w:r>
      <w:r>
        <w:rPr>
          <w:rFonts w:ascii="仿宋_GB2312" w:eastAsia="仿宋_GB2312"/>
          <w:sz w:val="32"/>
          <w:szCs w:val="32"/>
        </w:rPr>
        <w:t>0</w:t>
      </w:r>
      <w:r>
        <w:rPr>
          <w:rFonts w:hint="eastAsia" w:ascii="仿宋_GB2312" w:eastAsia="仿宋_GB2312"/>
          <w:sz w:val="32"/>
          <w:szCs w:val="32"/>
        </w:rPr>
        <w:t>万元，占</w:t>
      </w:r>
      <w:r>
        <w:rPr>
          <w:rFonts w:ascii="仿宋_GB2312" w:eastAsia="仿宋_GB2312"/>
          <w:sz w:val="32"/>
          <w:szCs w:val="32"/>
        </w:rPr>
        <w:t>0%</w:t>
      </w:r>
      <w:r>
        <w:rPr>
          <w:rFonts w:hint="eastAsia" w:ascii="仿宋_GB2312" w:eastAsia="仿宋_GB2312"/>
          <w:sz w:val="32"/>
          <w:szCs w:val="32"/>
        </w:rPr>
        <w:t>；经营支出</w:t>
      </w:r>
      <w:r>
        <w:rPr>
          <w:rFonts w:ascii="仿宋_GB2312" w:eastAsia="仿宋_GB2312"/>
          <w:sz w:val="32"/>
          <w:szCs w:val="32"/>
        </w:rPr>
        <w:t>0</w:t>
      </w:r>
      <w:r>
        <w:rPr>
          <w:rFonts w:hint="eastAsia" w:ascii="仿宋_GB2312" w:eastAsia="仿宋_GB2312"/>
          <w:sz w:val="32"/>
          <w:szCs w:val="32"/>
        </w:rPr>
        <w:t>万元，占</w:t>
      </w:r>
      <w:r>
        <w:rPr>
          <w:rFonts w:ascii="仿宋_GB2312" w:eastAsia="仿宋_GB2312"/>
          <w:sz w:val="32"/>
          <w:szCs w:val="32"/>
        </w:rPr>
        <w:t>0%</w:t>
      </w:r>
      <w:r>
        <w:rPr>
          <w:rFonts w:hint="eastAsia" w:ascii="仿宋_GB2312" w:eastAsia="仿宋_GB2312"/>
          <w:sz w:val="32"/>
          <w:szCs w:val="32"/>
        </w:rPr>
        <w:t>；对附属单位补助支出</w:t>
      </w:r>
      <w:r>
        <w:rPr>
          <w:rFonts w:ascii="仿宋_GB2312" w:eastAsia="仿宋_GB2312"/>
          <w:sz w:val="32"/>
          <w:szCs w:val="32"/>
        </w:rPr>
        <w:t>0</w:t>
      </w:r>
      <w:r>
        <w:rPr>
          <w:rFonts w:hint="eastAsia" w:ascii="仿宋_GB2312" w:eastAsia="仿宋_GB2312"/>
          <w:sz w:val="32"/>
          <w:szCs w:val="32"/>
        </w:rPr>
        <w:t>万元，占</w:t>
      </w:r>
      <w:r>
        <w:rPr>
          <w:rFonts w:ascii="仿宋_GB2312" w:eastAsia="仿宋_GB2312"/>
          <w:sz w:val="32"/>
          <w:szCs w:val="32"/>
        </w:rPr>
        <w:t>0%</w:t>
      </w:r>
      <w:r>
        <w:rPr>
          <w:rFonts w:hint="eastAsia" w:ascii="仿宋_GB2312" w:eastAsia="仿宋_GB2312"/>
          <w:sz w:val="32"/>
          <w:szCs w:val="32"/>
        </w:rPr>
        <w:t>。</w:t>
      </w:r>
    </w:p>
    <w:p>
      <w:pPr>
        <w:spacing w:line="600" w:lineRule="exact"/>
        <w:ind w:firstLine="420" w:firstLineChars="200"/>
        <w:rPr>
          <w:rFonts w:ascii="仿宋_GB2312" w:eastAsia="仿宋_GB2312"/>
          <w:color w:val="FF0000"/>
          <w:sz w:val="32"/>
          <w:szCs w:val="32"/>
        </w:rPr>
      </w:pPr>
      <w:r>
        <w:drawing>
          <wp:anchor distT="0" distB="0" distL="114300" distR="114300" simplePos="0" relativeHeight="251662336" behindDoc="0" locked="0" layoutInCell="1" allowOverlap="1">
            <wp:simplePos x="0" y="0"/>
            <wp:positionH relativeFrom="column">
              <wp:posOffset>334645</wp:posOffset>
            </wp:positionH>
            <wp:positionV relativeFrom="paragraph">
              <wp:posOffset>245745</wp:posOffset>
            </wp:positionV>
            <wp:extent cx="4572000" cy="1803400"/>
            <wp:effectExtent l="4445" t="4445" r="8255" b="46355"/>
            <wp:wrapNone/>
            <wp:docPr id="5" name="图表 4" descr="7b0a202020202263686172745265734964223a20223230343734393537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outlineLvl w:val="1"/>
        <w:rPr>
          <w:rFonts w:ascii="黑体" w:eastAsia="黑体"/>
          <w:color w:val="000000"/>
          <w:sz w:val="32"/>
          <w:szCs w:val="32"/>
        </w:rPr>
      </w:pPr>
      <w:bookmarkStart w:id="38" w:name="_Toc15377208"/>
      <w:bookmarkStart w:id="39" w:name="_Toc15396606"/>
    </w:p>
    <w:p>
      <w:pPr>
        <w:spacing w:line="600" w:lineRule="exact"/>
        <w:ind w:firstLine="640" w:firstLineChars="200"/>
        <w:outlineLvl w:val="1"/>
        <w:rPr>
          <w:rStyle w:val="19"/>
          <w:rFonts w:ascii="黑体" w:eastAsia="黑体"/>
          <w:b w:val="0"/>
        </w:rPr>
      </w:pPr>
      <w:bookmarkStart w:id="40" w:name="_Toc320"/>
      <w:r>
        <w:rPr>
          <w:rFonts w:hint="eastAsia" w:ascii="黑体" w:eastAsia="黑体"/>
          <w:color w:val="000000"/>
          <w:sz w:val="32"/>
          <w:szCs w:val="32"/>
        </w:rPr>
        <w:t>四、财</w:t>
      </w:r>
      <w:r>
        <w:rPr>
          <w:rStyle w:val="19"/>
          <w:rFonts w:hint="eastAsia" w:ascii="黑体" w:eastAsia="黑体"/>
          <w:b w:val="0"/>
        </w:rPr>
        <w:t>政拨款收入支出决算总体情况说明</w:t>
      </w:r>
      <w:bookmarkEnd w:id="38"/>
      <w:bookmarkEnd w:id="39"/>
      <w:bookmarkEnd w:id="40"/>
    </w:p>
    <w:p>
      <w:pPr>
        <w:spacing w:line="620" w:lineRule="exact"/>
        <w:ind w:firstLine="640" w:firstLineChars="200"/>
        <w:rPr>
          <w:rFonts w:ascii="仿宋_GB2312" w:eastAsia="仿宋_GB2312"/>
          <w:sz w:val="32"/>
          <w:szCs w:val="32"/>
        </w:rPr>
      </w:pPr>
      <w:r>
        <w:rPr>
          <w:rFonts w:hint="eastAsia" w:ascii="仿宋_GB2312" w:eastAsia="仿宋_GB2312"/>
          <w:sz w:val="32"/>
          <w:szCs w:val="32"/>
          <w:lang w:eastAsia="zh-CN"/>
        </w:rPr>
        <w:t>2022</w:t>
      </w:r>
      <w:r>
        <w:rPr>
          <w:rFonts w:hint="eastAsia" w:ascii="仿宋_GB2312" w:eastAsia="仿宋_GB2312"/>
          <w:sz w:val="32"/>
          <w:szCs w:val="32"/>
        </w:rPr>
        <w:t>年财政拨款收入</w:t>
      </w:r>
      <w:r>
        <w:rPr>
          <w:rFonts w:hint="eastAsia" w:ascii="仿宋_GB2312" w:eastAsia="仿宋_GB2312"/>
          <w:sz w:val="32"/>
          <w:szCs w:val="32"/>
          <w:lang w:val="en-US" w:eastAsia="zh-CN"/>
        </w:rPr>
        <w:t>1934.92</w:t>
      </w:r>
      <w:r>
        <w:rPr>
          <w:rFonts w:hint="eastAsia" w:ascii="仿宋_GB2312" w:eastAsia="仿宋_GB2312"/>
          <w:sz w:val="32"/>
          <w:szCs w:val="32"/>
        </w:rPr>
        <w:t>万元。与</w:t>
      </w:r>
      <w:r>
        <w:rPr>
          <w:rFonts w:hint="eastAsia" w:ascii="仿宋_GB2312" w:eastAsia="仿宋_GB2312"/>
          <w:sz w:val="32"/>
          <w:szCs w:val="32"/>
          <w:lang w:eastAsia="zh-CN"/>
        </w:rPr>
        <w:t>2021</w:t>
      </w:r>
      <w:r>
        <w:rPr>
          <w:rFonts w:hint="eastAsia" w:ascii="仿宋_GB2312" w:eastAsia="仿宋_GB2312"/>
          <w:sz w:val="32"/>
          <w:szCs w:val="32"/>
        </w:rPr>
        <w:t>年相比，一般公共预算财政拨款收入较上年</w:t>
      </w:r>
      <w:r>
        <w:rPr>
          <w:rFonts w:hint="eastAsia" w:ascii="仿宋_GB2312" w:eastAsia="仿宋_GB2312"/>
          <w:sz w:val="32"/>
          <w:szCs w:val="32"/>
          <w:lang w:eastAsia="zh-CN"/>
        </w:rPr>
        <w:t>增加</w:t>
      </w:r>
      <w:r>
        <w:rPr>
          <w:rFonts w:hint="eastAsia" w:ascii="仿宋_GB2312" w:eastAsia="仿宋_GB2312"/>
          <w:sz w:val="32"/>
          <w:szCs w:val="32"/>
          <w:lang w:val="en-US" w:eastAsia="zh-CN"/>
        </w:rPr>
        <w:t>27.34</w:t>
      </w:r>
      <w:r>
        <w:rPr>
          <w:rFonts w:hint="eastAsia" w:ascii="仿宋_GB2312" w:eastAsia="仿宋_GB2312"/>
          <w:sz w:val="32"/>
          <w:szCs w:val="32"/>
        </w:rPr>
        <w:t>万元，</w:t>
      </w:r>
      <w:r>
        <w:rPr>
          <w:rFonts w:hint="eastAsia" w:ascii="仿宋_GB2312" w:eastAsia="仿宋_GB2312"/>
          <w:sz w:val="32"/>
          <w:szCs w:val="32"/>
          <w:lang w:eastAsia="zh-CN"/>
        </w:rPr>
        <w:t>增加</w:t>
      </w:r>
      <w:r>
        <w:rPr>
          <w:rFonts w:hint="eastAsia" w:ascii="仿宋_GB2312" w:eastAsia="仿宋_GB2312"/>
          <w:sz w:val="32"/>
          <w:szCs w:val="32"/>
          <w:lang w:val="en-US" w:eastAsia="zh-CN"/>
        </w:rPr>
        <w:t>1.41</w:t>
      </w:r>
      <w:r>
        <w:rPr>
          <w:rFonts w:ascii="仿宋_GB2312" w:eastAsia="仿宋_GB2312"/>
          <w:sz w:val="32"/>
          <w:szCs w:val="32"/>
        </w:rPr>
        <w:t>%</w:t>
      </w:r>
      <w:r>
        <w:rPr>
          <w:rFonts w:hint="eastAsia" w:ascii="仿宋_GB2312" w:eastAsia="仿宋_GB2312"/>
          <w:sz w:val="32"/>
          <w:szCs w:val="32"/>
        </w:rPr>
        <w:t>。主要原因是当年部门预算安排资金较上年有所</w:t>
      </w:r>
      <w:r>
        <w:rPr>
          <w:rFonts w:hint="eastAsia" w:ascii="仿宋_GB2312" w:eastAsia="仿宋_GB2312"/>
          <w:sz w:val="32"/>
          <w:szCs w:val="32"/>
          <w:lang w:eastAsia="zh-CN"/>
        </w:rPr>
        <w:t>增加</w:t>
      </w:r>
      <w:r>
        <w:rPr>
          <w:rFonts w:hint="eastAsia" w:ascii="仿宋_GB2312" w:eastAsia="仿宋_GB2312"/>
          <w:sz w:val="32"/>
          <w:szCs w:val="32"/>
        </w:rPr>
        <w:t>。</w:t>
      </w:r>
      <w:r>
        <w:rPr>
          <w:rFonts w:hint="eastAsia" w:ascii="仿宋_GB2312" w:eastAsia="仿宋_GB2312"/>
          <w:sz w:val="32"/>
          <w:szCs w:val="32"/>
          <w:lang w:eastAsia="zh-CN"/>
        </w:rPr>
        <w:t>2022</w:t>
      </w:r>
      <w:r>
        <w:rPr>
          <w:rFonts w:hint="eastAsia" w:ascii="仿宋_GB2312" w:eastAsia="仿宋_GB2312"/>
          <w:sz w:val="32"/>
          <w:szCs w:val="32"/>
        </w:rPr>
        <w:t>年财政拨款支出</w:t>
      </w:r>
      <w:r>
        <w:rPr>
          <w:rFonts w:hint="eastAsia" w:ascii="仿宋_GB2312" w:eastAsia="仿宋_GB2312"/>
          <w:sz w:val="32"/>
          <w:szCs w:val="32"/>
          <w:lang w:val="en-US" w:eastAsia="zh-CN"/>
        </w:rPr>
        <w:t>1934.92</w:t>
      </w:r>
      <w:r>
        <w:rPr>
          <w:rFonts w:hint="eastAsia" w:ascii="仿宋_GB2312" w:eastAsia="仿宋_GB2312"/>
          <w:sz w:val="32"/>
          <w:szCs w:val="32"/>
        </w:rPr>
        <w:t>万元，较上年支出减少</w:t>
      </w:r>
      <w:r>
        <w:rPr>
          <w:rFonts w:hint="eastAsia" w:ascii="仿宋_GB2312" w:eastAsia="仿宋_GB2312"/>
          <w:sz w:val="32"/>
          <w:szCs w:val="32"/>
          <w:lang w:val="en-US" w:eastAsia="zh-CN"/>
        </w:rPr>
        <w:t>108.25</w:t>
      </w:r>
      <w:r>
        <w:rPr>
          <w:rFonts w:hint="eastAsia" w:ascii="仿宋_GB2312" w:eastAsia="仿宋_GB2312"/>
          <w:sz w:val="32"/>
          <w:szCs w:val="32"/>
        </w:rPr>
        <w:t>万元，减少</w:t>
      </w:r>
      <w:r>
        <w:rPr>
          <w:rFonts w:hint="eastAsia" w:ascii="仿宋_GB2312" w:eastAsia="仿宋_GB2312"/>
          <w:sz w:val="32"/>
          <w:szCs w:val="32"/>
          <w:lang w:val="en-US" w:eastAsia="zh-CN"/>
        </w:rPr>
        <w:t>5.3</w:t>
      </w:r>
      <w:r>
        <w:rPr>
          <w:rFonts w:ascii="仿宋_GB2312" w:eastAsia="仿宋_GB2312"/>
          <w:sz w:val="32"/>
          <w:szCs w:val="32"/>
        </w:rPr>
        <w:t>%</w:t>
      </w:r>
      <w:r>
        <w:rPr>
          <w:rFonts w:hint="eastAsia" w:ascii="仿宋_GB2312" w:eastAsia="仿宋_GB2312"/>
          <w:sz w:val="32"/>
          <w:szCs w:val="32"/>
        </w:rPr>
        <w:t>。减少的主要原因是</w:t>
      </w:r>
      <w:r>
        <w:rPr>
          <w:rFonts w:hint="eastAsia" w:ascii="仿宋_GB2312" w:eastAsia="仿宋_GB2312"/>
          <w:sz w:val="32"/>
          <w:szCs w:val="32"/>
          <w:lang w:eastAsia="zh-CN"/>
        </w:rPr>
        <w:t>去年支出有财政应返还额度</w:t>
      </w:r>
      <w:r>
        <w:rPr>
          <w:rFonts w:hint="eastAsia" w:ascii="仿宋_GB2312" w:eastAsia="仿宋_GB2312"/>
          <w:sz w:val="32"/>
          <w:szCs w:val="32"/>
        </w:rPr>
        <w:t>。</w:t>
      </w:r>
      <w:bookmarkStart w:id="81" w:name="_GoBack"/>
      <w:bookmarkEnd w:id="81"/>
    </w:p>
    <w:p>
      <w:pPr>
        <w:spacing w:line="600" w:lineRule="exact"/>
        <w:ind w:firstLine="420" w:firstLineChars="200"/>
        <w:rPr>
          <w:rFonts w:ascii="黑体" w:eastAsia="黑体"/>
          <w:color w:val="000000"/>
          <w:sz w:val="32"/>
          <w:szCs w:val="32"/>
        </w:rPr>
      </w:pPr>
      <w:bookmarkStart w:id="41" w:name="_Toc15396607"/>
      <w:bookmarkStart w:id="42" w:name="_Toc15377209"/>
      <w:r>
        <w:drawing>
          <wp:anchor distT="0" distB="0" distL="114300" distR="114300" simplePos="0" relativeHeight="251663360" behindDoc="0" locked="0" layoutInCell="1" allowOverlap="1">
            <wp:simplePos x="0" y="0"/>
            <wp:positionH relativeFrom="column">
              <wp:posOffset>235585</wp:posOffset>
            </wp:positionH>
            <wp:positionV relativeFrom="paragraph">
              <wp:posOffset>91440</wp:posOffset>
            </wp:positionV>
            <wp:extent cx="4572000" cy="1830070"/>
            <wp:effectExtent l="0" t="0" r="0" b="11430"/>
            <wp:wrapNone/>
            <wp:docPr id="1" name="图表 3" descr="7b0a202020202263686172745265734964223a20223230343734393833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firstLineChars="200"/>
        <w:rPr>
          <w:rFonts w:ascii="黑体" w:eastAsia="黑体"/>
          <w:color w:val="000000"/>
          <w:sz w:val="32"/>
          <w:szCs w:val="32"/>
        </w:rPr>
      </w:pPr>
    </w:p>
    <w:p>
      <w:pPr>
        <w:spacing w:line="600" w:lineRule="exact"/>
        <w:ind w:firstLine="640" w:firstLineChars="200"/>
        <w:rPr>
          <w:rFonts w:ascii="黑体" w:eastAsia="黑体"/>
          <w:color w:val="000000"/>
          <w:sz w:val="32"/>
          <w:szCs w:val="32"/>
        </w:rPr>
      </w:pPr>
    </w:p>
    <w:p>
      <w:pPr>
        <w:spacing w:line="600" w:lineRule="exact"/>
        <w:ind w:firstLine="640" w:firstLineChars="200"/>
        <w:rPr>
          <w:rFonts w:ascii="黑体" w:eastAsia="黑体"/>
          <w:color w:val="000000"/>
          <w:sz w:val="32"/>
          <w:szCs w:val="32"/>
        </w:rPr>
      </w:pPr>
    </w:p>
    <w:p>
      <w:pPr>
        <w:spacing w:line="600" w:lineRule="exact"/>
        <w:rPr>
          <w:rFonts w:ascii="黑体" w:eastAsia="黑体"/>
          <w:color w:val="000000"/>
          <w:sz w:val="32"/>
          <w:szCs w:val="32"/>
        </w:rPr>
      </w:pPr>
    </w:p>
    <w:p>
      <w:pPr>
        <w:spacing w:line="600" w:lineRule="exact"/>
        <w:ind w:firstLine="640" w:firstLineChars="200"/>
        <w:rPr>
          <w:rStyle w:val="19"/>
          <w:rFonts w:ascii="黑体" w:eastAsia="黑体"/>
          <w:b w:val="0"/>
        </w:rPr>
      </w:pPr>
      <w:r>
        <w:rPr>
          <w:rFonts w:hint="eastAsia" w:ascii="黑体" w:eastAsia="黑体"/>
          <w:color w:val="000000"/>
          <w:sz w:val="32"/>
          <w:szCs w:val="32"/>
        </w:rPr>
        <w:t>五、</w:t>
      </w:r>
      <w:r>
        <w:rPr>
          <w:rFonts w:hint="eastAsia" w:ascii="黑体" w:eastAsia="黑体"/>
          <w:b/>
          <w:color w:val="000000"/>
          <w:sz w:val="32"/>
          <w:szCs w:val="32"/>
        </w:rPr>
        <w:t>一</w:t>
      </w:r>
      <w:r>
        <w:rPr>
          <w:rStyle w:val="19"/>
          <w:rFonts w:hint="eastAsia" w:ascii="黑体" w:eastAsia="黑体"/>
          <w:b w:val="0"/>
        </w:rPr>
        <w:t>般公共预算财政拨款支出决算情况说明</w:t>
      </w:r>
      <w:bookmarkEnd w:id="41"/>
      <w:bookmarkEnd w:id="42"/>
    </w:p>
    <w:p>
      <w:pPr>
        <w:spacing w:line="580" w:lineRule="exact"/>
        <w:ind w:firstLine="643" w:firstLineChars="200"/>
        <w:rPr>
          <w:rFonts w:ascii="楷体_GB2312" w:hAnsi="楷体_GB2312" w:eastAsia="楷体_GB2312" w:cs="楷体_GB2312"/>
          <w:b/>
          <w:bCs/>
          <w:sz w:val="32"/>
          <w:szCs w:val="32"/>
        </w:rPr>
      </w:pPr>
      <w:bookmarkStart w:id="43" w:name="_Toc15377210"/>
      <w:r>
        <w:rPr>
          <w:rFonts w:hint="eastAsia" w:ascii="楷体_GB2312" w:hAnsi="楷体_GB2312" w:eastAsia="楷体_GB2312" w:cs="楷体_GB2312"/>
          <w:b/>
          <w:bCs/>
          <w:sz w:val="32"/>
          <w:szCs w:val="32"/>
        </w:rPr>
        <w:t>（一）一般公共预算财政拨款支出决算总体情况</w:t>
      </w:r>
      <w:bookmarkEnd w:id="43"/>
    </w:p>
    <w:p>
      <w:pPr>
        <w:spacing w:line="620" w:lineRule="exact"/>
        <w:ind w:firstLine="640" w:firstLineChars="200"/>
        <w:rPr>
          <w:rFonts w:ascii="仿宋_GB2312" w:eastAsia="仿宋_GB2312"/>
          <w:sz w:val="32"/>
          <w:szCs w:val="32"/>
        </w:rPr>
      </w:pPr>
      <w:r>
        <w:rPr>
          <w:rFonts w:hint="eastAsia" w:ascii="仿宋_GB2312" w:eastAsia="仿宋_GB2312"/>
          <w:sz w:val="32"/>
          <w:szCs w:val="32"/>
          <w:lang w:eastAsia="zh-CN"/>
        </w:rPr>
        <w:t>2022</w:t>
      </w:r>
      <w:r>
        <w:rPr>
          <w:rFonts w:hint="eastAsia" w:ascii="仿宋_GB2312" w:eastAsia="仿宋_GB2312"/>
          <w:sz w:val="32"/>
          <w:szCs w:val="32"/>
        </w:rPr>
        <w:t>年总支出</w:t>
      </w:r>
      <w:r>
        <w:rPr>
          <w:rFonts w:hint="eastAsia" w:ascii="仿宋_GB2312" w:eastAsia="仿宋_GB2312"/>
          <w:sz w:val="32"/>
          <w:szCs w:val="32"/>
          <w:lang w:val="en-US" w:eastAsia="zh-CN"/>
        </w:rPr>
        <w:t>1934.92</w:t>
      </w:r>
      <w:r>
        <w:rPr>
          <w:rFonts w:hint="eastAsia" w:ascii="仿宋_GB2312" w:eastAsia="仿宋_GB2312"/>
          <w:sz w:val="32"/>
          <w:szCs w:val="32"/>
        </w:rPr>
        <w:t>万元，较上年支出</w:t>
      </w:r>
      <w:r>
        <w:rPr>
          <w:rFonts w:hint="eastAsia" w:ascii="仿宋_GB2312" w:eastAsia="仿宋_GB2312"/>
          <w:sz w:val="32"/>
          <w:szCs w:val="32"/>
          <w:lang w:eastAsia="zh-CN"/>
        </w:rPr>
        <w:t>增加</w:t>
      </w:r>
      <w:r>
        <w:rPr>
          <w:rFonts w:hint="eastAsia" w:ascii="仿宋_GB2312" w:eastAsia="仿宋_GB2312"/>
          <w:sz w:val="32"/>
          <w:szCs w:val="32"/>
          <w:lang w:val="en-US" w:eastAsia="zh-CN"/>
        </w:rPr>
        <w:t>27.34</w:t>
      </w:r>
      <w:r>
        <w:rPr>
          <w:rFonts w:hint="eastAsia" w:ascii="仿宋_GB2312" w:eastAsia="仿宋_GB2312"/>
          <w:sz w:val="32"/>
          <w:szCs w:val="32"/>
        </w:rPr>
        <w:t>万元。主要原因是当年部门预算安排资金较上年有所</w:t>
      </w:r>
      <w:r>
        <w:rPr>
          <w:rFonts w:hint="eastAsia" w:ascii="仿宋_GB2312" w:eastAsia="仿宋_GB2312"/>
          <w:sz w:val="32"/>
          <w:szCs w:val="32"/>
          <w:lang w:eastAsia="zh-CN"/>
        </w:rPr>
        <w:t>增加</w:t>
      </w:r>
      <w:r>
        <w:rPr>
          <w:rFonts w:hint="eastAsia" w:ascii="仿宋_GB2312" w:eastAsia="仿宋_GB2312"/>
          <w:sz w:val="32"/>
          <w:szCs w:val="32"/>
        </w:rPr>
        <w:t>。</w:t>
      </w:r>
    </w:p>
    <w:p>
      <w:pPr>
        <w:spacing w:line="620" w:lineRule="exact"/>
        <w:ind w:firstLine="420" w:firstLineChars="200"/>
        <w:rPr>
          <w:rFonts w:ascii="仿宋_GB2312" w:eastAsia="仿宋_GB2312"/>
          <w:sz w:val="32"/>
          <w:szCs w:val="32"/>
        </w:rPr>
      </w:pPr>
      <w:r>
        <w:drawing>
          <wp:anchor distT="0" distB="0" distL="114300" distR="114300" simplePos="0" relativeHeight="251664384" behindDoc="0" locked="0" layoutInCell="1" allowOverlap="1">
            <wp:simplePos x="0" y="0"/>
            <wp:positionH relativeFrom="column">
              <wp:posOffset>266700</wp:posOffset>
            </wp:positionH>
            <wp:positionV relativeFrom="paragraph">
              <wp:posOffset>124460</wp:posOffset>
            </wp:positionV>
            <wp:extent cx="4572000" cy="1860550"/>
            <wp:effectExtent l="0" t="0" r="0" b="6350"/>
            <wp:wrapNone/>
            <wp:docPr id="3" name="图表 2" descr="7b0a202020202263686172745265734964223a20223230343734373334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spacing w:line="620" w:lineRule="exact"/>
        <w:ind w:firstLine="640" w:firstLineChars="200"/>
        <w:rPr>
          <w:rFonts w:ascii="仿宋_GB2312" w:eastAsia="仿宋_GB2312"/>
          <w:sz w:val="32"/>
          <w:szCs w:val="32"/>
        </w:rPr>
      </w:pPr>
    </w:p>
    <w:p>
      <w:pPr>
        <w:spacing w:line="620" w:lineRule="exact"/>
        <w:ind w:firstLine="640" w:firstLineChars="200"/>
        <w:rPr>
          <w:rFonts w:ascii="仿宋_GB2312" w:eastAsia="仿宋_GB2312"/>
          <w:sz w:val="32"/>
          <w:szCs w:val="32"/>
        </w:rPr>
      </w:pPr>
    </w:p>
    <w:p>
      <w:pPr>
        <w:spacing w:line="620" w:lineRule="exact"/>
        <w:ind w:firstLine="640" w:firstLineChars="200"/>
        <w:rPr>
          <w:rFonts w:ascii="仿宋_GB2312" w:eastAsia="仿宋_GB2312"/>
          <w:sz w:val="32"/>
          <w:szCs w:val="32"/>
        </w:rPr>
      </w:pPr>
    </w:p>
    <w:p>
      <w:pPr>
        <w:spacing w:line="580" w:lineRule="exact"/>
        <w:ind w:firstLine="643" w:firstLineChars="200"/>
        <w:rPr>
          <w:rFonts w:hint="eastAsia" w:ascii="楷体_GB2312" w:hAnsi="楷体_GB2312" w:eastAsia="楷体_GB2312" w:cs="楷体_GB2312"/>
          <w:b/>
          <w:bCs/>
          <w:sz w:val="32"/>
          <w:szCs w:val="32"/>
        </w:rPr>
      </w:pPr>
      <w:bookmarkStart w:id="44" w:name="_Toc15377211"/>
    </w:p>
    <w:p>
      <w:pPr>
        <w:spacing w:line="580" w:lineRule="exact"/>
        <w:ind w:firstLine="643" w:firstLineChars="200"/>
        <w:rPr>
          <w:rFonts w:hint="eastAsia" w:ascii="楷体_GB2312" w:hAnsi="楷体_GB2312" w:eastAsia="楷体_GB2312" w:cs="楷体_GB2312"/>
          <w:b/>
          <w:bCs/>
          <w:sz w:val="32"/>
          <w:szCs w:val="32"/>
        </w:rPr>
      </w:pPr>
    </w:p>
    <w:p>
      <w:pPr>
        <w:spacing w:line="580"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（二）一般公共预算财政拨款支出决算结构情况</w:t>
      </w:r>
      <w:bookmarkEnd w:id="44"/>
    </w:p>
    <w:p>
      <w:pPr>
        <w:spacing w:line="620" w:lineRule="exact"/>
        <w:ind w:firstLine="640" w:firstLineChars="200"/>
        <w:rPr>
          <w:rFonts w:ascii="仿宋_GB2312" w:eastAsia="仿宋_GB2312"/>
          <w:sz w:val="32"/>
          <w:szCs w:val="32"/>
        </w:rPr>
      </w:pPr>
      <w:r>
        <w:rPr>
          <w:rFonts w:hint="eastAsia" w:ascii="仿宋_GB2312" w:eastAsia="仿宋_GB2312"/>
          <w:sz w:val="32"/>
          <w:szCs w:val="32"/>
          <w:lang w:eastAsia="zh-CN"/>
        </w:rPr>
        <w:t>2022</w:t>
      </w:r>
      <w:r>
        <w:rPr>
          <w:rFonts w:hint="eastAsia" w:ascii="仿宋_GB2312" w:eastAsia="仿宋_GB2312"/>
          <w:sz w:val="32"/>
          <w:szCs w:val="32"/>
        </w:rPr>
        <w:t>年一般公共预算财政拨款支出</w:t>
      </w:r>
      <w:r>
        <w:rPr>
          <w:rFonts w:hint="eastAsia" w:ascii="仿宋_GB2312" w:eastAsia="仿宋_GB2312"/>
          <w:sz w:val="32"/>
          <w:szCs w:val="32"/>
          <w:lang w:val="en-US" w:eastAsia="zh-CN"/>
        </w:rPr>
        <w:t>1934.92</w:t>
      </w:r>
      <w:r>
        <w:rPr>
          <w:rFonts w:hint="eastAsia" w:ascii="仿宋_GB2312" w:eastAsia="仿宋_GB2312"/>
          <w:sz w:val="32"/>
          <w:szCs w:val="32"/>
        </w:rPr>
        <w:t>万元，主要用于以下方面：</w:t>
      </w:r>
      <w:r>
        <w:rPr>
          <w:rFonts w:hint="eastAsia" w:ascii="仿宋_GB2312" w:eastAsia="仿宋_GB2312"/>
          <w:b/>
          <w:bCs/>
          <w:sz w:val="32"/>
          <w:szCs w:val="32"/>
        </w:rPr>
        <w:t>教育支出（类）</w:t>
      </w:r>
      <w:r>
        <w:rPr>
          <w:rFonts w:hint="eastAsia" w:ascii="仿宋_GB2312" w:eastAsia="仿宋_GB2312"/>
          <w:sz w:val="32"/>
          <w:szCs w:val="32"/>
        </w:rPr>
        <w:t>支出</w:t>
      </w:r>
      <w:r>
        <w:rPr>
          <w:rFonts w:ascii="仿宋_GB2312" w:eastAsia="仿宋_GB2312"/>
          <w:sz w:val="32"/>
          <w:szCs w:val="32"/>
        </w:rPr>
        <w:t>0.5</w:t>
      </w:r>
      <w:r>
        <w:rPr>
          <w:rFonts w:hint="eastAsia" w:ascii="仿宋_GB2312" w:eastAsia="仿宋_GB2312"/>
          <w:sz w:val="32"/>
          <w:szCs w:val="32"/>
        </w:rPr>
        <w:t>万元，占</w:t>
      </w:r>
      <w:r>
        <w:rPr>
          <w:rFonts w:ascii="仿宋_GB2312" w:eastAsia="仿宋_GB2312"/>
          <w:sz w:val="32"/>
          <w:szCs w:val="32"/>
        </w:rPr>
        <w:t>0.03%</w:t>
      </w:r>
      <w:r>
        <w:rPr>
          <w:rFonts w:hint="eastAsia" w:ascii="仿宋_GB2312" w:eastAsia="仿宋_GB2312"/>
          <w:sz w:val="32"/>
          <w:szCs w:val="32"/>
        </w:rPr>
        <w:t>；</w:t>
      </w:r>
      <w:r>
        <w:rPr>
          <w:rFonts w:hint="eastAsia" w:ascii="仿宋_GB2312" w:eastAsia="仿宋_GB2312"/>
          <w:b/>
          <w:bCs/>
          <w:sz w:val="32"/>
          <w:szCs w:val="32"/>
        </w:rPr>
        <w:t>农林水支出（类）</w:t>
      </w:r>
      <w:r>
        <w:rPr>
          <w:rFonts w:hint="eastAsia" w:ascii="仿宋_GB2312" w:eastAsia="仿宋_GB2312"/>
          <w:sz w:val="32"/>
          <w:szCs w:val="32"/>
        </w:rPr>
        <w:t>支出</w:t>
      </w:r>
      <w:r>
        <w:rPr>
          <w:rFonts w:hint="eastAsia" w:ascii="仿宋_GB2312" w:eastAsia="仿宋_GB2312"/>
          <w:sz w:val="32"/>
          <w:szCs w:val="32"/>
          <w:lang w:val="en-US" w:eastAsia="zh-CN"/>
        </w:rPr>
        <w:t>1742.7</w:t>
      </w:r>
      <w:r>
        <w:rPr>
          <w:rFonts w:hint="eastAsia" w:ascii="仿宋_GB2312" w:eastAsia="仿宋_GB2312"/>
          <w:sz w:val="32"/>
          <w:szCs w:val="32"/>
        </w:rPr>
        <w:t>万元，占</w:t>
      </w:r>
      <w:r>
        <w:rPr>
          <w:rFonts w:hint="eastAsia" w:ascii="仿宋_GB2312" w:eastAsia="仿宋_GB2312"/>
          <w:sz w:val="32"/>
          <w:szCs w:val="32"/>
          <w:lang w:val="en-US" w:eastAsia="zh-CN"/>
        </w:rPr>
        <w:t>90.07</w:t>
      </w:r>
      <w:r>
        <w:rPr>
          <w:rFonts w:ascii="仿宋_GB2312" w:eastAsia="仿宋_GB2312"/>
          <w:sz w:val="32"/>
          <w:szCs w:val="32"/>
        </w:rPr>
        <w:t>%</w:t>
      </w:r>
      <w:r>
        <w:rPr>
          <w:rFonts w:hint="eastAsia" w:ascii="仿宋_GB2312" w:eastAsia="仿宋_GB2312"/>
          <w:sz w:val="32"/>
          <w:szCs w:val="32"/>
        </w:rPr>
        <w:t>；</w:t>
      </w:r>
      <w:r>
        <w:rPr>
          <w:rFonts w:hint="eastAsia" w:ascii="仿宋_GB2312" w:eastAsia="仿宋_GB2312"/>
          <w:b/>
          <w:bCs/>
          <w:sz w:val="32"/>
          <w:szCs w:val="32"/>
        </w:rPr>
        <w:t>社会保障和就业（类）</w:t>
      </w:r>
      <w:r>
        <w:rPr>
          <w:rFonts w:hint="eastAsia" w:ascii="仿宋_GB2312" w:eastAsia="仿宋_GB2312"/>
          <w:sz w:val="32"/>
          <w:szCs w:val="32"/>
        </w:rPr>
        <w:t>支出</w:t>
      </w:r>
      <w:r>
        <w:rPr>
          <w:rFonts w:hint="eastAsia" w:ascii="仿宋_GB2312" w:eastAsia="仿宋_GB2312"/>
          <w:sz w:val="32"/>
          <w:szCs w:val="32"/>
          <w:lang w:val="en-US" w:eastAsia="zh-CN"/>
        </w:rPr>
        <w:t>89.69</w:t>
      </w:r>
      <w:r>
        <w:rPr>
          <w:rFonts w:hint="eastAsia" w:ascii="仿宋_GB2312" w:eastAsia="仿宋_GB2312"/>
          <w:sz w:val="32"/>
          <w:szCs w:val="32"/>
        </w:rPr>
        <w:t>万元，占</w:t>
      </w:r>
      <w:r>
        <w:rPr>
          <w:rFonts w:hint="eastAsia" w:ascii="仿宋_GB2312" w:eastAsia="仿宋_GB2312"/>
          <w:sz w:val="32"/>
          <w:szCs w:val="32"/>
          <w:lang w:val="en-US" w:eastAsia="zh-CN"/>
        </w:rPr>
        <w:t>4.12</w:t>
      </w:r>
      <w:r>
        <w:rPr>
          <w:rFonts w:ascii="仿宋_GB2312" w:eastAsia="仿宋_GB2312"/>
          <w:sz w:val="32"/>
          <w:szCs w:val="32"/>
        </w:rPr>
        <w:t>%</w:t>
      </w:r>
      <w:r>
        <w:rPr>
          <w:rFonts w:hint="eastAsia" w:ascii="仿宋_GB2312" w:eastAsia="仿宋_GB2312"/>
          <w:sz w:val="32"/>
          <w:szCs w:val="32"/>
        </w:rPr>
        <w:t>；</w:t>
      </w:r>
      <w:r>
        <w:rPr>
          <w:rFonts w:hint="eastAsia" w:ascii="仿宋_GB2312" w:eastAsia="仿宋_GB2312"/>
          <w:b/>
          <w:bCs/>
          <w:sz w:val="32"/>
          <w:szCs w:val="32"/>
        </w:rPr>
        <w:t>卫生健康支出</w:t>
      </w:r>
      <w:r>
        <w:rPr>
          <w:rFonts w:hint="eastAsia" w:ascii="仿宋_GB2312" w:eastAsia="仿宋_GB2312"/>
          <w:sz w:val="32"/>
          <w:szCs w:val="32"/>
          <w:lang w:val="en-US" w:eastAsia="zh-CN"/>
        </w:rPr>
        <w:t>51.56</w:t>
      </w:r>
      <w:r>
        <w:rPr>
          <w:rFonts w:hint="eastAsia" w:ascii="仿宋_GB2312" w:eastAsia="仿宋_GB2312"/>
          <w:sz w:val="32"/>
          <w:szCs w:val="32"/>
        </w:rPr>
        <w:t>万元，占</w:t>
      </w:r>
      <w:r>
        <w:rPr>
          <w:rFonts w:hint="eastAsia" w:ascii="仿宋_GB2312" w:eastAsia="仿宋_GB2312"/>
          <w:sz w:val="32"/>
          <w:szCs w:val="32"/>
          <w:lang w:val="en-US" w:eastAsia="zh-CN"/>
        </w:rPr>
        <w:t>2.45</w:t>
      </w:r>
      <w:r>
        <w:rPr>
          <w:rFonts w:ascii="仿宋_GB2312" w:eastAsia="仿宋_GB2312"/>
          <w:sz w:val="32"/>
          <w:szCs w:val="32"/>
        </w:rPr>
        <w:t>%</w:t>
      </w:r>
      <w:r>
        <w:rPr>
          <w:rFonts w:hint="eastAsia" w:ascii="仿宋_GB2312" w:eastAsia="仿宋_GB2312"/>
          <w:sz w:val="32"/>
          <w:szCs w:val="32"/>
        </w:rPr>
        <w:t>；</w:t>
      </w:r>
      <w:r>
        <w:rPr>
          <w:rFonts w:hint="eastAsia" w:ascii="仿宋_GB2312" w:eastAsia="仿宋_GB2312"/>
          <w:b/>
          <w:bCs/>
          <w:sz w:val="32"/>
          <w:szCs w:val="32"/>
        </w:rPr>
        <w:t>住房保障支出</w:t>
      </w:r>
      <w:r>
        <w:rPr>
          <w:rFonts w:hint="eastAsia" w:ascii="仿宋_GB2312" w:eastAsia="仿宋_GB2312"/>
          <w:sz w:val="32"/>
          <w:szCs w:val="32"/>
          <w:lang w:val="en-US" w:eastAsia="zh-CN"/>
        </w:rPr>
        <w:t>50.47</w:t>
      </w:r>
      <w:r>
        <w:rPr>
          <w:rFonts w:hint="eastAsia" w:ascii="仿宋_GB2312" w:eastAsia="仿宋_GB2312"/>
          <w:sz w:val="32"/>
          <w:szCs w:val="32"/>
        </w:rPr>
        <w:t>万元，占</w:t>
      </w:r>
      <w:r>
        <w:rPr>
          <w:rFonts w:ascii="仿宋_GB2312" w:eastAsia="仿宋_GB2312"/>
          <w:sz w:val="32"/>
          <w:szCs w:val="32"/>
        </w:rPr>
        <w:t>2.</w:t>
      </w:r>
      <w:r>
        <w:rPr>
          <w:rFonts w:hint="eastAsia" w:ascii="仿宋_GB2312" w:eastAsia="仿宋_GB2312"/>
          <w:sz w:val="32"/>
          <w:szCs w:val="32"/>
          <w:lang w:val="en-US" w:eastAsia="zh-CN"/>
        </w:rPr>
        <w:t>16</w:t>
      </w:r>
      <w:r>
        <w:rPr>
          <w:rFonts w:ascii="仿宋_GB2312" w:eastAsia="仿宋_GB2312"/>
          <w:sz w:val="32"/>
          <w:szCs w:val="32"/>
        </w:rPr>
        <w:t>%</w:t>
      </w:r>
      <w:r>
        <w:rPr>
          <w:rFonts w:hint="eastAsia" w:ascii="仿宋_GB2312" w:eastAsia="仿宋_GB2312"/>
          <w:sz w:val="32"/>
          <w:szCs w:val="32"/>
        </w:rPr>
        <w:t>。</w:t>
      </w:r>
    </w:p>
    <w:p>
      <w:pPr>
        <w:spacing w:line="600" w:lineRule="exact"/>
        <w:ind w:firstLine="5460" w:firstLineChars="2600"/>
        <w:outlineLvl w:val="2"/>
        <w:rPr>
          <w:rFonts w:ascii="仿宋" w:eastAsia="仿宋"/>
          <w:b/>
          <w:color w:val="000000"/>
          <w:sz w:val="32"/>
          <w:szCs w:val="32"/>
        </w:rPr>
      </w:pPr>
      <w:bookmarkStart w:id="45" w:name="_Toc15377444"/>
      <w:bookmarkStart w:id="46" w:name="_Toc15377213"/>
      <w:bookmarkStart w:id="47" w:name="_Toc15378460"/>
      <w:r>
        <w:drawing>
          <wp:anchor distT="0" distB="0" distL="114300" distR="114300" simplePos="0" relativeHeight="251665408" behindDoc="0" locked="0" layoutInCell="1" allowOverlap="1">
            <wp:simplePos x="0" y="0"/>
            <wp:positionH relativeFrom="column">
              <wp:posOffset>201295</wp:posOffset>
            </wp:positionH>
            <wp:positionV relativeFrom="paragraph">
              <wp:posOffset>213360</wp:posOffset>
            </wp:positionV>
            <wp:extent cx="4572000" cy="1842135"/>
            <wp:effectExtent l="4445" t="4445" r="8255" b="45720"/>
            <wp:wrapNone/>
            <wp:docPr id="9" name="图表 8" descr="7b0a202020202263686172745265734964223a20223230343734393631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pPr>
        <w:tabs>
          <w:tab w:val="left" w:pos="533"/>
        </w:tabs>
        <w:spacing w:line="600" w:lineRule="exact"/>
        <w:outlineLvl w:val="2"/>
        <w:rPr>
          <w:rFonts w:ascii="仿宋" w:eastAsia="仿宋"/>
          <w:b/>
          <w:color w:val="000000"/>
          <w:sz w:val="32"/>
          <w:szCs w:val="32"/>
        </w:rPr>
      </w:pPr>
    </w:p>
    <w:p>
      <w:pPr>
        <w:spacing w:line="600" w:lineRule="exact"/>
        <w:ind w:firstLine="8353" w:firstLineChars="2600"/>
        <w:outlineLvl w:val="2"/>
        <w:rPr>
          <w:rFonts w:ascii="仿宋" w:eastAsia="仿宋"/>
          <w:b/>
          <w:color w:val="000000"/>
          <w:sz w:val="32"/>
          <w:szCs w:val="32"/>
        </w:rPr>
      </w:pPr>
    </w:p>
    <w:p>
      <w:pPr>
        <w:spacing w:line="600" w:lineRule="exact"/>
        <w:ind w:firstLine="8353" w:firstLineChars="2600"/>
        <w:outlineLvl w:val="2"/>
        <w:rPr>
          <w:rFonts w:ascii="仿宋" w:eastAsia="仿宋"/>
          <w:b/>
          <w:color w:val="000000"/>
          <w:sz w:val="32"/>
          <w:szCs w:val="32"/>
        </w:rPr>
      </w:pPr>
    </w:p>
    <w:p>
      <w:pPr>
        <w:spacing w:line="600" w:lineRule="exact"/>
        <w:ind w:firstLine="8353" w:firstLineChars="2600"/>
        <w:outlineLvl w:val="2"/>
        <w:rPr>
          <w:rFonts w:ascii="仿宋" w:eastAsia="仿宋"/>
          <w:b/>
          <w:color w:val="000000"/>
          <w:sz w:val="32"/>
          <w:szCs w:val="32"/>
        </w:rPr>
      </w:pPr>
    </w:p>
    <w:p>
      <w:pPr>
        <w:spacing w:line="600" w:lineRule="exact"/>
        <w:ind w:firstLine="8353" w:firstLineChars="2600"/>
        <w:outlineLvl w:val="2"/>
        <w:rPr>
          <w:rFonts w:ascii="仿宋" w:eastAsia="仿宋"/>
          <w:b/>
          <w:color w:val="000000"/>
          <w:sz w:val="32"/>
          <w:szCs w:val="32"/>
        </w:rPr>
      </w:pPr>
    </w:p>
    <w:p>
      <w:pPr>
        <w:spacing w:line="580" w:lineRule="exact"/>
        <w:ind w:firstLine="643" w:firstLineChars="200"/>
        <w:rPr>
          <w:rFonts w:ascii="楷体_GB2312" w:hAnsi="楷体_GB2312" w:eastAsia="楷体_GB2312" w:cs="楷体_GB2312"/>
          <w:b/>
          <w:bCs/>
          <w:sz w:val="32"/>
          <w:szCs w:val="32"/>
        </w:rPr>
      </w:pPr>
      <w:bookmarkStart w:id="48" w:name="_Toc15377212"/>
      <w:r>
        <w:rPr>
          <w:rFonts w:hint="eastAsia" w:ascii="楷体_GB2312" w:hAnsi="楷体_GB2312" w:eastAsia="楷体_GB2312" w:cs="楷体_GB2312"/>
          <w:b/>
          <w:bCs/>
          <w:sz w:val="32"/>
          <w:szCs w:val="32"/>
        </w:rPr>
        <w:t>（三）一般公共预算财政拨款支出决算具体情况</w:t>
      </w:r>
      <w:bookmarkEnd w:id="48"/>
    </w:p>
    <w:p>
      <w:pPr>
        <w:spacing w:line="600" w:lineRule="exact"/>
        <w:outlineLvl w:val="2"/>
        <w:rPr>
          <w:rFonts w:ascii="仿宋" w:eastAsia="仿宋"/>
          <w:bCs/>
          <w:color w:val="000000"/>
          <w:sz w:val="32"/>
          <w:szCs w:val="32"/>
        </w:rPr>
      </w:pPr>
      <w:r>
        <w:rPr>
          <w:rFonts w:ascii="仿宋" w:eastAsia="仿宋"/>
          <w:bCs/>
          <w:color w:val="000000"/>
          <w:sz w:val="32"/>
          <w:szCs w:val="32"/>
        </w:rPr>
        <w:t xml:space="preserve">    </w:t>
      </w:r>
      <w:bookmarkStart w:id="49" w:name="_Toc21545"/>
      <w:r>
        <w:rPr>
          <w:rFonts w:hint="eastAsia" w:ascii="仿宋" w:eastAsia="仿宋"/>
          <w:bCs/>
          <w:color w:val="000000"/>
          <w:sz w:val="32"/>
          <w:szCs w:val="32"/>
          <w:lang w:eastAsia="zh-CN"/>
        </w:rPr>
        <w:t>2022</w:t>
      </w:r>
      <w:r>
        <w:rPr>
          <w:rFonts w:hint="eastAsia" w:ascii="仿宋" w:eastAsia="仿宋"/>
          <w:bCs/>
          <w:color w:val="000000"/>
          <w:sz w:val="32"/>
          <w:szCs w:val="32"/>
        </w:rPr>
        <w:t>年一般公共预算数为</w:t>
      </w:r>
      <w:r>
        <w:rPr>
          <w:rFonts w:hint="eastAsia" w:ascii="仿宋_GB2312" w:eastAsia="仿宋_GB2312"/>
          <w:color w:val="000000"/>
          <w:sz w:val="32"/>
          <w:szCs w:val="32"/>
          <w:lang w:val="en-US" w:eastAsia="zh-CN"/>
        </w:rPr>
        <w:t>1934.92</w:t>
      </w:r>
      <w:r>
        <w:rPr>
          <w:rFonts w:hint="eastAsia" w:ascii="仿宋" w:eastAsia="仿宋"/>
          <w:bCs/>
          <w:color w:val="000000"/>
          <w:sz w:val="32"/>
          <w:szCs w:val="32"/>
        </w:rPr>
        <w:t>万元，财政应返还额度为</w:t>
      </w:r>
      <w:r>
        <w:rPr>
          <w:rFonts w:hint="eastAsia" w:ascii="仿宋" w:eastAsia="仿宋"/>
          <w:bCs/>
          <w:color w:val="000000"/>
          <w:sz w:val="32"/>
          <w:szCs w:val="32"/>
          <w:lang w:val="en-US" w:eastAsia="zh-CN"/>
        </w:rPr>
        <w:t>0</w:t>
      </w:r>
      <w:r>
        <w:rPr>
          <w:rFonts w:hint="eastAsia" w:ascii="仿宋" w:eastAsia="仿宋"/>
          <w:bCs/>
          <w:color w:val="000000"/>
          <w:sz w:val="32"/>
          <w:szCs w:val="32"/>
        </w:rPr>
        <w:t>万元，支出决算数为</w:t>
      </w:r>
      <w:r>
        <w:rPr>
          <w:rFonts w:hint="eastAsia" w:ascii="仿宋_GB2312" w:eastAsia="仿宋_GB2312"/>
          <w:color w:val="000000"/>
          <w:sz w:val="32"/>
          <w:szCs w:val="32"/>
          <w:lang w:val="en-US" w:eastAsia="zh-CN"/>
        </w:rPr>
        <w:t>1934.92</w:t>
      </w:r>
      <w:r>
        <w:rPr>
          <w:rFonts w:hint="eastAsia" w:ascii="仿宋" w:eastAsia="仿宋"/>
          <w:bCs/>
          <w:color w:val="000000"/>
          <w:sz w:val="32"/>
          <w:szCs w:val="32"/>
        </w:rPr>
        <w:t>万元，完</w:t>
      </w:r>
      <w:r>
        <w:rPr>
          <w:rStyle w:val="15"/>
          <w:rFonts w:hint="eastAsia" w:ascii="仿宋" w:eastAsia="仿宋"/>
          <w:b w:val="0"/>
          <w:bCs/>
          <w:color w:val="000000"/>
          <w:sz w:val="32"/>
          <w:szCs w:val="32"/>
        </w:rPr>
        <w:t>成预算</w:t>
      </w:r>
      <w:r>
        <w:rPr>
          <w:rStyle w:val="15"/>
          <w:rFonts w:ascii="仿宋" w:eastAsia="仿宋"/>
          <w:b w:val="0"/>
          <w:bCs/>
          <w:color w:val="000000"/>
          <w:sz w:val="32"/>
          <w:szCs w:val="32"/>
        </w:rPr>
        <w:t>100%</w:t>
      </w:r>
      <w:r>
        <w:rPr>
          <w:rStyle w:val="15"/>
          <w:rFonts w:hint="eastAsia" w:ascii="仿宋" w:eastAsia="仿宋"/>
          <w:b w:val="0"/>
          <w:bCs/>
          <w:color w:val="000000"/>
          <w:sz w:val="32"/>
          <w:szCs w:val="32"/>
        </w:rPr>
        <w:t>。结转下年</w:t>
      </w:r>
      <w:r>
        <w:rPr>
          <w:rStyle w:val="15"/>
          <w:rFonts w:ascii="仿宋" w:eastAsia="仿宋"/>
          <w:b w:val="0"/>
          <w:bCs/>
          <w:color w:val="000000"/>
          <w:sz w:val="32"/>
          <w:szCs w:val="32"/>
        </w:rPr>
        <w:t>0</w:t>
      </w:r>
      <w:r>
        <w:rPr>
          <w:rStyle w:val="15"/>
          <w:rFonts w:hint="eastAsia" w:ascii="仿宋" w:eastAsia="仿宋"/>
          <w:b w:val="0"/>
          <w:bCs/>
          <w:color w:val="000000"/>
          <w:sz w:val="32"/>
          <w:szCs w:val="32"/>
        </w:rPr>
        <w:t>万元。其中：</w:t>
      </w:r>
      <w:bookmarkEnd w:id="45"/>
      <w:bookmarkEnd w:id="46"/>
      <w:bookmarkEnd w:id="47"/>
      <w:bookmarkEnd w:id="49"/>
    </w:p>
    <w:p>
      <w:pPr>
        <w:spacing w:line="536" w:lineRule="exact"/>
        <w:ind w:firstLine="645"/>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农林水支出（类）农业农村（款）</w:t>
      </w:r>
      <w:r>
        <w:rPr>
          <w:rFonts w:hint="eastAsia" w:ascii="仿宋_GB2312" w:eastAsia="仿宋_GB2312"/>
          <w:color w:val="000000"/>
          <w:sz w:val="32"/>
          <w:szCs w:val="32"/>
          <w:lang w:eastAsia="zh-CN"/>
        </w:rPr>
        <w:t>行政</w:t>
      </w:r>
      <w:r>
        <w:rPr>
          <w:rFonts w:hint="eastAsia" w:ascii="仿宋_GB2312" w:eastAsia="仿宋_GB2312"/>
          <w:color w:val="000000"/>
          <w:sz w:val="32"/>
          <w:szCs w:val="32"/>
        </w:rPr>
        <w:t>运行（项）</w:t>
      </w:r>
      <w:r>
        <w:rPr>
          <w:rFonts w:hint="eastAsia" w:ascii="仿宋_GB2312" w:eastAsia="仿宋_GB2312"/>
          <w:color w:val="000000"/>
          <w:sz w:val="32"/>
          <w:szCs w:val="32"/>
          <w:lang w:eastAsia="zh-CN"/>
        </w:rPr>
        <w:t>：</w:t>
      </w:r>
      <w:r>
        <w:rPr>
          <w:rFonts w:ascii="仿宋_GB2312" w:eastAsia="仿宋_GB2312"/>
          <w:color w:val="000000"/>
          <w:sz w:val="32"/>
          <w:szCs w:val="32"/>
        </w:rPr>
        <w:t xml:space="preserve"> </w:t>
      </w:r>
      <w:r>
        <w:rPr>
          <w:rFonts w:hint="eastAsia" w:ascii="仿宋_GB2312" w:eastAsia="仿宋_GB2312"/>
          <w:color w:val="000000"/>
          <w:sz w:val="32"/>
          <w:szCs w:val="32"/>
        </w:rPr>
        <w:t>支出决算为</w:t>
      </w:r>
      <w:r>
        <w:rPr>
          <w:rFonts w:hint="eastAsia" w:ascii="仿宋_GB2312" w:eastAsia="仿宋_GB2312"/>
          <w:color w:val="000000"/>
          <w:sz w:val="32"/>
          <w:szCs w:val="32"/>
          <w:lang w:val="en-US" w:eastAsia="zh-CN"/>
        </w:rPr>
        <w:t>201.83</w:t>
      </w:r>
      <w:r>
        <w:rPr>
          <w:rFonts w:hint="eastAsia" w:ascii="仿宋_GB2312" w:eastAsia="仿宋_GB2312"/>
          <w:color w:val="000000"/>
          <w:sz w:val="32"/>
          <w:szCs w:val="32"/>
        </w:rPr>
        <w:t>万元，完成预算</w:t>
      </w:r>
      <w:r>
        <w:rPr>
          <w:rFonts w:ascii="仿宋_GB2312" w:eastAsia="仿宋_GB2312"/>
          <w:color w:val="000000"/>
          <w:sz w:val="32"/>
          <w:szCs w:val="32"/>
        </w:rPr>
        <w:t>100%</w:t>
      </w:r>
      <w:r>
        <w:rPr>
          <w:rFonts w:hint="eastAsia" w:ascii="仿宋_GB2312" w:eastAsia="仿宋_GB2312"/>
          <w:color w:val="000000"/>
          <w:sz w:val="32"/>
          <w:szCs w:val="32"/>
        </w:rPr>
        <w:t>，决算数等于预算数。</w:t>
      </w:r>
    </w:p>
    <w:p>
      <w:pPr>
        <w:spacing w:line="536" w:lineRule="exact"/>
        <w:ind w:firstLine="645"/>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rPr>
        <w:t>农林水支出（类）农业农村（款）病虫害控制（项）</w:t>
      </w:r>
      <w:r>
        <w:rPr>
          <w:rFonts w:hint="eastAsia" w:ascii="仿宋_GB2312" w:eastAsia="仿宋_GB2312"/>
          <w:color w:val="000000"/>
          <w:sz w:val="32"/>
          <w:szCs w:val="32"/>
          <w:lang w:eastAsia="zh-CN"/>
        </w:rPr>
        <w:t>：</w:t>
      </w:r>
      <w:r>
        <w:rPr>
          <w:rFonts w:ascii="仿宋_GB2312" w:eastAsia="仿宋_GB2312"/>
          <w:color w:val="000000"/>
          <w:sz w:val="32"/>
          <w:szCs w:val="32"/>
        </w:rPr>
        <w:t xml:space="preserve"> </w:t>
      </w:r>
      <w:r>
        <w:rPr>
          <w:rFonts w:hint="eastAsia" w:ascii="仿宋_GB2312" w:eastAsia="仿宋_GB2312"/>
          <w:color w:val="000000"/>
          <w:sz w:val="32"/>
          <w:szCs w:val="32"/>
        </w:rPr>
        <w:t>支出决算为</w:t>
      </w:r>
      <w:r>
        <w:rPr>
          <w:rFonts w:hint="eastAsia" w:ascii="仿宋_GB2312" w:eastAsia="仿宋_GB2312"/>
          <w:color w:val="000000"/>
          <w:sz w:val="32"/>
          <w:szCs w:val="32"/>
          <w:lang w:val="en-US" w:eastAsia="zh-CN"/>
        </w:rPr>
        <w:t>38.64</w:t>
      </w:r>
      <w:r>
        <w:rPr>
          <w:rFonts w:hint="eastAsia" w:ascii="仿宋_GB2312" w:eastAsia="仿宋_GB2312"/>
          <w:color w:val="000000"/>
          <w:sz w:val="32"/>
          <w:szCs w:val="32"/>
        </w:rPr>
        <w:t>万元，完成预算</w:t>
      </w:r>
      <w:r>
        <w:rPr>
          <w:rFonts w:ascii="仿宋_GB2312" w:eastAsia="仿宋_GB2312"/>
          <w:color w:val="000000"/>
          <w:sz w:val="32"/>
          <w:szCs w:val="32"/>
        </w:rPr>
        <w:t>100%</w:t>
      </w:r>
      <w:r>
        <w:rPr>
          <w:rFonts w:hint="eastAsia" w:ascii="仿宋_GB2312" w:eastAsia="仿宋_GB2312"/>
          <w:color w:val="000000"/>
          <w:sz w:val="32"/>
          <w:szCs w:val="32"/>
        </w:rPr>
        <w:t>，决算数等于预算数。</w:t>
      </w:r>
    </w:p>
    <w:p>
      <w:pPr>
        <w:spacing w:line="536" w:lineRule="exact"/>
        <w:ind w:firstLine="645"/>
        <w:rPr>
          <w:rFonts w:ascii="仿宋_GB2312" w:eastAsia="仿宋_GB2312"/>
          <w:color w:val="000000"/>
          <w:sz w:val="32"/>
          <w:szCs w:val="32"/>
        </w:rPr>
      </w:pPr>
      <w:r>
        <w:rPr>
          <w:rFonts w:ascii="仿宋_GB2312" w:eastAsia="仿宋_GB2312"/>
          <w:color w:val="000000"/>
          <w:sz w:val="32"/>
          <w:szCs w:val="32"/>
        </w:rPr>
        <w:t xml:space="preserve"> 3. </w:t>
      </w:r>
      <w:r>
        <w:rPr>
          <w:rFonts w:hint="eastAsia" w:ascii="仿宋_GB2312" w:eastAsia="仿宋_GB2312"/>
          <w:color w:val="000000"/>
          <w:sz w:val="32"/>
          <w:szCs w:val="32"/>
        </w:rPr>
        <w:t>社会保障和就业（类）行政事业单位离退休（款）机关事业单位基本养老保险缴费支出（项）</w:t>
      </w:r>
      <w:r>
        <w:rPr>
          <w:rFonts w:hint="eastAsia" w:ascii="仿宋_GB2312" w:eastAsia="仿宋_GB2312"/>
          <w:color w:val="000000"/>
          <w:sz w:val="32"/>
          <w:szCs w:val="32"/>
          <w:lang w:eastAsia="zh-CN"/>
        </w:rPr>
        <w:t>：</w:t>
      </w:r>
      <w:r>
        <w:rPr>
          <w:rFonts w:ascii="仿宋_GB2312" w:eastAsia="仿宋_GB2312"/>
          <w:color w:val="000000"/>
          <w:sz w:val="32"/>
          <w:szCs w:val="32"/>
        </w:rPr>
        <w:t xml:space="preserve"> </w:t>
      </w:r>
      <w:r>
        <w:rPr>
          <w:rFonts w:hint="eastAsia" w:ascii="仿宋_GB2312" w:eastAsia="仿宋_GB2312"/>
          <w:color w:val="000000"/>
          <w:sz w:val="32"/>
          <w:szCs w:val="32"/>
        </w:rPr>
        <w:t>支出决算为</w:t>
      </w:r>
      <w:r>
        <w:rPr>
          <w:rFonts w:hint="eastAsia" w:ascii="仿宋_GB2312" w:eastAsia="仿宋_GB2312"/>
          <w:color w:val="000000"/>
          <w:sz w:val="32"/>
          <w:szCs w:val="32"/>
          <w:lang w:val="en-US" w:eastAsia="zh-CN"/>
        </w:rPr>
        <w:t>59.79</w:t>
      </w:r>
      <w:r>
        <w:rPr>
          <w:rFonts w:hint="eastAsia" w:ascii="仿宋_GB2312" w:eastAsia="仿宋_GB2312"/>
          <w:color w:val="000000"/>
          <w:sz w:val="32"/>
          <w:szCs w:val="32"/>
        </w:rPr>
        <w:t>万元，完成预算</w:t>
      </w:r>
      <w:r>
        <w:rPr>
          <w:rFonts w:ascii="仿宋_GB2312" w:eastAsia="仿宋_GB2312"/>
          <w:color w:val="000000"/>
          <w:sz w:val="32"/>
          <w:szCs w:val="32"/>
        </w:rPr>
        <w:t>100%</w:t>
      </w:r>
      <w:r>
        <w:rPr>
          <w:rFonts w:hint="eastAsia" w:ascii="仿宋_GB2312" w:eastAsia="仿宋_GB2312"/>
          <w:color w:val="000000"/>
          <w:sz w:val="32"/>
          <w:szCs w:val="32"/>
        </w:rPr>
        <w:t>，决算数等于预算数。</w:t>
      </w:r>
    </w:p>
    <w:p>
      <w:pPr>
        <w:spacing w:line="536" w:lineRule="exact"/>
        <w:ind w:firstLine="645"/>
        <w:rPr>
          <w:rFonts w:ascii="仿宋_GB2312" w:eastAsia="仿宋_GB2312"/>
          <w:color w:val="000000"/>
          <w:sz w:val="32"/>
          <w:szCs w:val="32"/>
        </w:rPr>
      </w:pPr>
      <w:r>
        <w:rPr>
          <w:rFonts w:ascii="仿宋_GB2312" w:eastAsia="仿宋_GB2312"/>
          <w:color w:val="000000"/>
          <w:sz w:val="32"/>
          <w:szCs w:val="32"/>
        </w:rPr>
        <w:t>4.</w:t>
      </w:r>
      <w:r>
        <w:rPr>
          <w:rFonts w:hint="eastAsia" w:ascii="仿宋_GB2312" w:eastAsia="仿宋_GB2312"/>
          <w:color w:val="000000"/>
          <w:sz w:val="32"/>
          <w:szCs w:val="32"/>
        </w:rPr>
        <w:t>社会保障和就业（类）行政事业单位离退休（款）机关事业单位基本职业年金缴费支出（项）：支出决算为</w:t>
      </w:r>
      <w:r>
        <w:rPr>
          <w:rFonts w:hint="eastAsia" w:ascii="仿宋_GB2312" w:eastAsia="仿宋_GB2312"/>
          <w:color w:val="000000"/>
          <w:sz w:val="32"/>
          <w:szCs w:val="32"/>
          <w:lang w:val="en-US" w:eastAsia="zh-CN"/>
        </w:rPr>
        <w:t>29.89</w:t>
      </w:r>
      <w:r>
        <w:rPr>
          <w:rFonts w:hint="eastAsia" w:ascii="仿宋_GB2312" w:eastAsia="仿宋_GB2312"/>
          <w:color w:val="000000"/>
          <w:sz w:val="32"/>
          <w:szCs w:val="32"/>
        </w:rPr>
        <w:t>万元，完成预算</w:t>
      </w:r>
      <w:r>
        <w:rPr>
          <w:rFonts w:ascii="仿宋_GB2312" w:eastAsia="仿宋_GB2312"/>
          <w:color w:val="000000"/>
          <w:sz w:val="32"/>
          <w:szCs w:val="32"/>
        </w:rPr>
        <w:t>100%</w:t>
      </w:r>
      <w:r>
        <w:rPr>
          <w:rFonts w:hint="eastAsia" w:ascii="仿宋_GB2312" w:eastAsia="仿宋_GB2312"/>
          <w:color w:val="000000"/>
          <w:sz w:val="32"/>
          <w:szCs w:val="32"/>
        </w:rPr>
        <w:t>，决算数等于预算数。</w:t>
      </w:r>
    </w:p>
    <w:p>
      <w:pPr>
        <w:spacing w:line="536" w:lineRule="exact"/>
        <w:ind w:firstLine="645"/>
        <w:rPr>
          <w:rFonts w:ascii="仿宋_GB2312" w:eastAsia="仿宋_GB2312"/>
          <w:color w:val="000000"/>
          <w:sz w:val="32"/>
          <w:szCs w:val="32"/>
        </w:rPr>
      </w:pPr>
      <w:r>
        <w:rPr>
          <w:rFonts w:ascii="仿宋_GB2312" w:eastAsia="仿宋_GB2312"/>
          <w:color w:val="000000"/>
          <w:sz w:val="32"/>
          <w:szCs w:val="32"/>
        </w:rPr>
        <w:t>5.</w:t>
      </w:r>
      <w:r>
        <w:rPr>
          <w:rFonts w:hint="eastAsia" w:ascii="仿宋_GB2312" w:eastAsia="仿宋_GB2312"/>
          <w:color w:val="000000"/>
          <w:sz w:val="32"/>
          <w:szCs w:val="32"/>
        </w:rPr>
        <w:t>卫生健康支出（类）行政事业单位医疗（款）行政单位医疗（项）：支出决算为</w:t>
      </w:r>
      <w:r>
        <w:rPr>
          <w:rFonts w:hint="eastAsia" w:ascii="仿宋_GB2312" w:eastAsia="仿宋_GB2312"/>
          <w:color w:val="000000"/>
          <w:sz w:val="32"/>
          <w:szCs w:val="32"/>
          <w:lang w:val="en-US" w:eastAsia="zh-CN"/>
        </w:rPr>
        <w:t>28.02</w:t>
      </w:r>
      <w:r>
        <w:rPr>
          <w:rFonts w:hint="eastAsia" w:ascii="仿宋_GB2312" w:eastAsia="仿宋_GB2312"/>
          <w:color w:val="000000"/>
          <w:sz w:val="32"/>
          <w:szCs w:val="32"/>
        </w:rPr>
        <w:t>万元，完成预算</w:t>
      </w:r>
      <w:r>
        <w:rPr>
          <w:rFonts w:ascii="仿宋_GB2312" w:eastAsia="仿宋_GB2312"/>
          <w:color w:val="000000"/>
          <w:sz w:val="32"/>
          <w:szCs w:val="32"/>
        </w:rPr>
        <w:t>100%</w:t>
      </w:r>
      <w:r>
        <w:rPr>
          <w:rFonts w:hint="eastAsia" w:ascii="仿宋_GB2312" w:eastAsia="仿宋_GB2312"/>
          <w:color w:val="000000"/>
          <w:sz w:val="32"/>
          <w:szCs w:val="32"/>
        </w:rPr>
        <w:t>，决算数等于预算数。</w:t>
      </w:r>
    </w:p>
    <w:p>
      <w:pPr>
        <w:spacing w:line="536" w:lineRule="exact"/>
        <w:ind w:firstLine="645"/>
        <w:rPr>
          <w:rFonts w:ascii="仿宋_GB2312" w:eastAsia="仿宋_GB2312"/>
          <w:color w:val="000000"/>
          <w:sz w:val="32"/>
          <w:szCs w:val="32"/>
        </w:rPr>
      </w:pPr>
      <w:r>
        <w:rPr>
          <w:rFonts w:ascii="仿宋_GB2312" w:eastAsia="仿宋_GB2312"/>
          <w:color w:val="000000"/>
          <w:sz w:val="32"/>
          <w:szCs w:val="32"/>
        </w:rPr>
        <w:t>6.</w:t>
      </w:r>
      <w:r>
        <w:rPr>
          <w:rFonts w:hint="eastAsia" w:ascii="仿宋_GB2312" w:eastAsia="仿宋_GB2312"/>
          <w:color w:val="000000"/>
          <w:sz w:val="32"/>
          <w:szCs w:val="32"/>
        </w:rPr>
        <w:t>卫生健康支出（类）行政事业单位医疗（款）</w:t>
      </w:r>
      <w:r>
        <w:rPr>
          <w:rFonts w:hint="eastAsia" w:ascii="仿宋_GB2312" w:eastAsia="仿宋_GB2312"/>
          <w:color w:val="000000"/>
          <w:sz w:val="32"/>
          <w:szCs w:val="32"/>
          <w:lang w:eastAsia="zh-CN"/>
        </w:rPr>
        <w:t>公务员医疗</w:t>
      </w:r>
      <w:r>
        <w:rPr>
          <w:rFonts w:hint="eastAsia" w:ascii="仿宋_GB2312" w:eastAsia="仿宋_GB2312"/>
          <w:color w:val="000000"/>
          <w:sz w:val="32"/>
          <w:szCs w:val="32"/>
        </w:rPr>
        <w:t>（项）：支出决算为</w:t>
      </w:r>
      <w:r>
        <w:rPr>
          <w:rFonts w:hint="eastAsia" w:ascii="仿宋_GB2312" w:eastAsia="仿宋_GB2312"/>
          <w:color w:val="000000"/>
          <w:sz w:val="32"/>
          <w:szCs w:val="32"/>
          <w:lang w:val="en-US" w:eastAsia="zh-CN"/>
        </w:rPr>
        <w:t>2.6</w:t>
      </w:r>
      <w:r>
        <w:rPr>
          <w:rFonts w:hint="eastAsia" w:ascii="仿宋_GB2312" w:eastAsia="仿宋_GB2312"/>
          <w:color w:val="000000"/>
          <w:sz w:val="32"/>
          <w:szCs w:val="32"/>
        </w:rPr>
        <w:t>万元，完成预算</w:t>
      </w:r>
      <w:r>
        <w:rPr>
          <w:rFonts w:ascii="仿宋_GB2312" w:eastAsia="仿宋_GB2312"/>
          <w:color w:val="000000"/>
          <w:sz w:val="32"/>
          <w:szCs w:val="32"/>
        </w:rPr>
        <w:t>100%</w:t>
      </w:r>
      <w:r>
        <w:rPr>
          <w:rFonts w:hint="eastAsia" w:ascii="仿宋_GB2312" w:eastAsia="仿宋_GB2312"/>
          <w:color w:val="000000"/>
          <w:sz w:val="32"/>
          <w:szCs w:val="32"/>
        </w:rPr>
        <w:t>，决算数等于预算数。</w:t>
      </w:r>
    </w:p>
    <w:p>
      <w:pPr>
        <w:spacing w:line="536" w:lineRule="exact"/>
        <w:ind w:firstLine="645"/>
        <w:rPr>
          <w:rFonts w:ascii="仿宋_GB2312" w:eastAsia="仿宋_GB2312"/>
          <w:color w:val="000000"/>
          <w:sz w:val="32"/>
          <w:szCs w:val="32"/>
        </w:rPr>
      </w:pPr>
      <w:bookmarkStart w:id="50" w:name="_Toc15396608"/>
      <w:bookmarkStart w:id="51" w:name="_Toc15377214"/>
      <w:r>
        <w:rPr>
          <w:rFonts w:ascii="仿宋_GB2312" w:eastAsia="仿宋_GB2312"/>
          <w:color w:val="000000"/>
          <w:sz w:val="32"/>
          <w:szCs w:val="32"/>
        </w:rPr>
        <w:t>7.</w:t>
      </w:r>
      <w:r>
        <w:rPr>
          <w:rFonts w:hint="eastAsia" w:ascii="仿宋_GB2312" w:eastAsia="仿宋_GB2312"/>
          <w:color w:val="000000"/>
          <w:sz w:val="32"/>
          <w:szCs w:val="32"/>
        </w:rPr>
        <w:t>住房保障（类）住房改革支出（款）住房公积金（项）：支出决算为</w:t>
      </w:r>
      <w:r>
        <w:rPr>
          <w:rFonts w:hint="eastAsia" w:ascii="仿宋_GB2312" w:eastAsia="仿宋_GB2312"/>
          <w:color w:val="000000"/>
          <w:sz w:val="32"/>
          <w:szCs w:val="32"/>
          <w:lang w:val="en-US" w:eastAsia="zh-CN"/>
        </w:rPr>
        <w:t>50.47</w:t>
      </w:r>
      <w:r>
        <w:rPr>
          <w:rFonts w:hint="eastAsia" w:ascii="仿宋_GB2312" w:eastAsia="仿宋_GB2312"/>
          <w:color w:val="000000"/>
          <w:sz w:val="32"/>
          <w:szCs w:val="32"/>
        </w:rPr>
        <w:t>万元，完成预算</w:t>
      </w:r>
      <w:r>
        <w:rPr>
          <w:rFonts w:ascii="仿宋_GB2312" w:eastAsia="仿宋_GB2312"/>
          <w:color w:val="000000"/>
          <w:sz w:val="32"/>
          <w:szCs w:val="32"/>
        </w:rPr>
        <w:t>100%</w:t>
      </w:r>
      <w:r>
        <w:rPr>
          <w:rFonts w:hint="eastAsia" w:ascii="仿宋_GB2312" w:eastAsia="仿宋_GB2312"/>
          <w:color w:val="000000"/>
          <w:sz w:val="32"/>
          <w:szCs w:val="32"/>
        </w:rPr>
        <w:t>，决算数等于预算数。</w:t>
      </w:r>
    </w:p>
    <w:p>
      <w:pPr>
        <w:ind w:firstLine="645"/>
        <w:rPr>
          <w:rFonts w:ascii="仿宋_GB2312" w:eastAsia="仿宋_GB2312"/>
          <w:color w:val="000000"/>
          <w:sz w:val="32"/>
          <w:szCs w:val="32"/>
        </w:rPr>
      </w:pPr>
      <w:r>
        <w:rPr>
          <w:rFonts w:ascii="仿宋_GB2312" w:eastAsia="仿宋_GB2312"/>
          <w:color w:val="000000"/>
          <w:sz w:val="32"/>
          <w:szCs w:val="32"/>
        </w:rPr>
        <w:t>8.</w:t>
      </w:r>
      <w:r>
        <w:rPr>
          <w:rFonts w:hint="eastAsia" w:ascii="仿宋_GB2312" w:eastAsia="仿宋_GB2312"/>
          <w:color w:val="000000"/>
          <w:sz w:val="32"/>
          <w:szCs w:val="32"/>
        </w:rPr>
        <w:t>农林水支出（类）农业农村（款）农业生产发展（项）：支出决算为</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万元，完成预算</w:t>
      </w:r>
      <w:r>
        <w:rPr>
          <w:rFonts w:ascii="仿宋_GB2312" w:eastAsia="仿宋_GB2312"/>
          <w:color w:val="000000"/>
          <w:sz w:val="32"/>
          <w:szCs w:val="32"/>
        </w:rPr>
        <w:t>100%</w:t>
      </w:r>
      <w:r>
        <w:rPr>
          <w:rFonts w:hint="eastAsia" w:ascii="仿宋_GB2312" w:eastAsia="仿宋_GB2312"/>
          <w:color w:val="000000"/>
          <w:sz w:val="32"/>
          <w:szCs w:val="32"/>
        </w:rPr>
        <w:t>，决算数等于预算数。</w:t>
      </w:r>
    </w:p>
    <w:p>
      <w:pPr>
        <w:spacing w:line="536" w:lineRule="exact"/>
        <w:ind w:firstLine="645"/>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农林水支出（类）农业农村（款）农业资源保护修复与利用（项）：支出决算为</w:t>
      </w:r>
      <w:r>
        <w:rPr>
          <w:rFonts w:hint="eastAsia" w:ascii="仿宋_GB2312" w:eastAsia="仿宋_GB2312"/>
          <w:color w:val="000000"/>
          <w:sz w:val="32"/>
          <w:szCs w:val="32"/>
          <w:lang w:val="en-US" w:eastAsia="zh-CN"/>
        </w:rPr>
        <w:t>1023.05</w:t>
      </w:r>
      <w:r>
        <w:rPr>
          <w:rFonts w:hint="eastAsia" w:ascii="仿宋_GB2312" w:eastAsia="仿宋_GB2312"/>
          <w:color w:val="000000"/>
          <w:sz w:val="32"/>
          <w:szCs w:val="32"/>
        </w:rPr>
        <w:t>万元，完成预算</w:t>
      </w:r>
      <w:r>
        <w:rPr>
          <w:rFonts w:ascii="仿宋_GB2312" w:eastAsia="仿宋_GB2312"/>
          <w:color w:val="000000"/>
          <w:sz w:val="32"/>
          <w:szCs w:val="32"/>
        </w:rPr>
        <w:t>100%</w:t>
      </w:r>
      <w:r>
        <w:rPr>
          <w:rFonts w:hint="eastAsia" w:ascii="仿宋_GB2312" w:eastAsia="仿宋_GB2312"/>
          <w:color w:val="000000"/>
          <w:sz w:val="32"/>
          <w:szCs w:val="32"/>
        </w:rPr>
        <w:t>，决算数等于预算数。</w:t>
      </w:r>
    </w:p>
    <w:p>
      <w:pPr>
        <w:spacing w:line="536" w:lineRule="exact"/>
        <w:ind w:firstLine="645"/>
        <w:rPr>
          <w:rFonts w:ascii="仿宋_GB2312" w:eastAsia="仿宋_GB2312"/>
          <w:color w:val="000000"/>
          <w:sz w:val="32"/>
          <w:szCs w:val="32"/>
        </w:rPr>
      </w:pPr>
      <w:r>
        <w:rPr>
          <w:rFonts w:ascii="仿宋_GB2312" w:eastAsia="仿宋_GB2312"/>
          <w:color w:val="000000"/>
          <w:sz w:val="32"/>
          <w:szCs w:val="32"/>
        </w:rPr>
        <w:t>10.</w:t>
      </w:r>
      <w:r>
        <w:rPr>
          <w:rFonts w:hint="eastAsia" w:ascii="仿宋_GB2312" w:eastAsia="仿宋_GB2312"/>
          <w:color w:val="000000"/>
          <w:sz w:val="32"/>
          <w:szCs w:val="32"/>
        </w:rPr>
        <w:t>农林水支出（类）农业农村（款）其他农业农村支出（项）：支出决算为</w:t>
      </w:r>
      <w:r>
        <w:rPr>
          <w:rFonts w:hint="eastAsia" w:ascii="仿宋_GB2312" w:eastAsia="仿宋_GB2312"/>
          <w:color w:val="000000"/>
          <w:sz w:val="32"/>
          <w:szCs w:val="32"/>
          <w:lang w:val="en-US" w:eastAsia="zh-CN"/>
        </w:rPr>
        <w:t>2.59</w:t>
      </w:r>
      <w:r>
        <w:rPr>
          <w:rFonts w:hint="eastAsia" w:ascii="仿宋_GB2312" w:eastAsia="仿宋_GB2312"/>
          <w:color w:val="000000"/>
          <w:sz w:val="32"/>
          <w:szCs w:val="32"/>
        </w:rPr>
        <w:t>万元，完成预算</w:t>
      </w:r>
      <w:r>
        <w:rPr>
          <w:rFonts w:ascii="仿宋_GB2312" w:eastAsia="仿宋_GB2312"/>
          <w:color w:val="000000"/>
          <w:sz w:val="32"/>
          <w:szCs w:val="32"/>
        </w:rPr>
        <w:t>100%</w:t>
      </w:r>
      <w:r>
        <w:rPr>
          <w:rFonts w:hint="eastAsia" w:ascii="仿宋_GB2312" w:eastAsia="仿宋_GB2312"/>
          <w:color w:val="000000"/>
          <w:sz w:val="32"/>
          <w:szCs w:val="32"/>
        </w:rPr>
        <w:t>，决算数等于预算数。</w:t>
      </w:r>
    </w:p>
    <w:p>
      <w:pPr>
        <w:spacing w:line="536" w:lineRule="exact"/>
        <w:ind w:firstLine="645"/>
        <w:rPr>
          <w:rFonts w:ascii="仿宋_GB2312" w:eastAsia="仿宋_GB2312"/>
          <w:color w:val="000000"/>
          <w:sz w:val="32"/>
          <w:szCs w:val="32"/>
        </w:rPr>
      </w:pPr>
      <w:r>
        <w:rPr>
          <w:rFonts w:ascii="仿宋_GB2312" w:eastAsia="仿宋_GB2312"/>
          <w:color w:val="000000"/>
          <w:sz w:val="32"/>
          <w:szCs w:val="32"/>
        </w:rPr>
        <w:t>11.</w:t>
      </w:r>
      <w:r>
        <w:rPr>
          <w:rFonts w:hint="eastAsia" w:ascii="仿宋_GB2312" w:eastAsia="仿宋_GB2312"/>
          <w:color w:val="000000"/>
          <w:sz w:val="32"/>
          <w:szCs w:val="32"/>
        </w:rPr>
        <w:t>农林水支出（类）普惠金融发展支出（款）农业保险保费补贴（项）：支出决算为</w:t>
      </w:r>
      <w:r>
        <w:rPr>
          <w:rFonts w:hint="eastAsia" w:ascii="仿宋_GB2312" w:eastAsia="仿宋_GB2312"/>
          <w:color w:val="000000"/>
          <w:sz w:val="32"/>
          <w:szCs w:val="32"/>
          <w:lang w:val="en-US" w:eastAsia="zh-CN"/>
        </w:rPr>
        <w:t>25.25</w:t>
      </w:r>
      <w:r>
        <w:rPr>
          <w:rFonts w:hint="eastAsia" w:ascii="仿宋_GB2312" w:eastAsia="仿宋_GB2312"/>
          <w:color w:val="000000"/>
          <w:sz w:val="32"/>
          <w:szCs w:val="32"/>
        </w:rPr>
        <w:t>万元，完成预算</w:t>
      </w:r>
      <w:r>
        <w:rPr>
          <w:rFonts w:ascii="仿宋_GB2312" w:eastAsia="仿宋_GB2312"/>
          <w:color w:val="000000"/>
          <w:sz w:val="32"/>
          <w:szCs w:val="32"/>
        </w:rPr>
        <w:t>100%</w:t>
      </w:r>
      <w:r>
        <w:rPr>
          <w:rFonts w:hint="eastAsia" w:ascii="仿宋_GB2312" w:eastAsia="仿宋_GB2312"/>
          <w:color w:val="000000"/>
          <w:sz w:val="32"/>
          <w:szCs w:val="32"/>
        </w:rPr>
        <w:t>，决算数等于预算数。</w:t>
      </w:r>
    </w:p>
    <w:p>
      <w:pPr>
        <w:spacing w:line="536" w:lineRule="exact"/>
        <w:ind w:firstLine="645"/>
        <w:rPr>
          <w:rFonts w:ascii="仿宋_GB2312" w:eastAsia="仿宋_GB2312"/>
          <w:color w:val="000000"/>
          <w:sz w:val="32"/>
          <w:szCs w:val="32"/>
        </w:rPr>
      </w:pPr>
      <w:r>
        <w:rPr>
          <w:rFonts w:ascii="仿宋_GB2312" w:eastAsia="仿宋_GB2312"/>
          <w:color w:val="000000"/>
          <w:sz w:val="32"/>
          <w:szCs w:val="32"/>
        </w:rPr>
        <w:t>12.</w:t>
      </w:r>
      <w:r>
        <w:rPr>
          <w:rFonts w:hint="eastAsia" w:ascii="仿宋_GB2312" w:eastAsia="仿宋_GB2312"/>
          <w:color w:val="000000"/>
          <w:sz w:val="32"/>
          <w:szCs w:val="32"/>
        </w:rPr>
        <w:t>教育支出（类）进修及培训（款）培训支出（项）：支出决算为</w:t>
      </w:r>
      <w:r>
        <w:rPr>
          <w:rFonts w:ascii="仿宋_GB2312" w:eastAsia="仿宋_GB2312"/>
          <w:color w:val="000000"/>
          <w:sz w:val="32"/>
          <w:szCs w:val="32"/>
        </w:rPr>
        <w:t>0.5</w:t>
      </w:r>
      <w:r>
        <w:rPr>
          <w:rFonts w:hint="eastAsia" w:ascii="仿宋_GB2312" w:eastAsia="仿宋_GB2312"/>
          <w:color w:val="000000"/>
          <w:sz w:val="32"/>
          <w:szCs w:val="32"/>
        </w:rPr>
        <w:t>万元，完成预算</w:t>
      </w:r>
      <w:r>
        <w:rPr>
          <w:rFonts w:ascii="仿宋_GB2312" w:eastAsia="仿宋_GB2312"/>
          <w:color w:val="000000"/>
          <w:sz w:val="32"/>
          <w:szCs w:val="32"/>
        </w:rPr>
        <w:t>100%</w:t>
      </w:r>
      <w:r>
        <w:rPr>
          <w:rFonts w:hint="eastAsia" w:ascii="仿宋_GB2312" w:eastAsia="仿宋_GB2312"/>
          <w:color w:val="000000"/>
          <w:sz w:val="32"/>
          <w:szCs w:val="32"/>
        </w:rPr>
        <w:t>，决算数等于预算数。</w:t>
      </w:r>
    </w:p>
    <w:p>
      <w:pPr>
        <w:spacing w:line="536" w:lineRule="exact"/>
        <w:ind w:firstLine="645"/>
        <w:rPr>
          <w:rFonts w:hint="eastAsia" w:ascii="仿宋_GB2312" w:eastAsia="仿宋_GB2312"/>
          <w:color w:val="000000"/>
          <w:sz w:val="32"/>
          <w:szCs w:val="32"/>
        </w:rPr>
      </w:pPr>
      <w:r>
        <w:rPr>
          <w:rFonts w:ascii="仿宋_GB2312" w:eastAsia="仿宋_GB2312"/>
          <w:color w:val="000000"/>
          <w:sz w:val="32"/>
          <w:szCs w:val="32"/>
        </w:rPr>
        <w:t>13.</w:t>
      </w:r>
      <w:r>
        <w:rPr>
          <w:rFonts w:hint="eastAsia" w:ascii="仿宋_GB2312" w:eastAsia="仿宋_GB2312"/>
          <w:color w:val="000000"/>
          <w:sz w:val="32"/>
          <w:szCs w:val="32"/>
        </w:rPr>
        <w:t>卫生健康支出（类）公共卫生（款）重大公共卫生服务（项）：支出决算为</w:t>
      </w:r>
      <w:r>
        <w:rPr>
          <w:rFonts w:hint="eastAsia" w:ascii="仿宋_GB2312" w:eastAsia="仿宋_GB2312"/>
          <w:color w:val="000000"/>
          <w:sz w:val="32"/>
          <w:szCs w:val="32"/>
          <w:lang w:val="en-US" w:eastAsia="zh-CN"/>
        </w:rPr>
        <w:t>11.95</w:t>
      </w:r>
      <w:r>
        <w:rPr>
          <w:rFonts w:hint="eastAsia" w:ascii="仿宋_GB2312" w:eastAsia="仿宋_GB2312"/>
          <w:color w:val="000000"/>
          <w:sz w:val="32"/>
          <w:szCs w:val="32"/>
        </w:rPr>
        <w:t>万元，完成预算</w:t>
      </w:r>
      <w:r>
        <w:rPr>
          <w:rFonts w:ascii="仿宋_GB2312" w:eastAsia="仿宋_GB2312"/>
          <w:color w:val="000000"/>
          <w:sz w:val="32"/>
          <w:szCs w:val="32"/>
        </w:rPr>
        <w:t>100%</w:t>
      </w:r>
      <w:r>
        <w:rPr>
          <w:rFonts w:hint="eastAsia" w:ascii="仿宋_GB2312" w:eastAsia="仿宋_GB2312"/>
          <w:color w:val="000000"/>
          <w:sz w:val="32"/>
          <w:szCs w:val="32"/>
        </w:rPr>
        <w:t>，决算数等于预算数。</w:t>
      </w:r>
    </w:p>
    <w:p>
      <w:pPr>
        <w:spacing w:line="536" w:lineRule="exact"/>
        <w:ind w:firstLine="645"/>
        <w:rPr>
          <w:rFonts w:hint="eastAsia"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lang w:val="en-US" w:eastAsia="zh-CN"/>
        </w:rPr>
        <w:t>4</w:t>
      </w:r>
      <w:r>
        <w:rPr>
          <w:rFonts w:ascii="仿宋_GB2312" w:eastAsia="仿宋_GB2312"/>
          <w:color w:val="000000"/>
          <w:sz w:val="32"/>
          <w:szCs w:val="32"/>
        </w:rPr>
        <w:t>.</w:t>
      </w:r>
      <w:r>
        <w:rPr>
          <w:rFonts w:hint="eastAsia" w:ascii="仿宋_GB2312" w:eastAsia="仿宋_GB2312"/>
          <w:color w:val="000000"/>
          <w:sz w:val="32"/>
          <w:szCs w:val="32"/>
        </w:rPr>
        <w:t>农林水支出（类）农业农村（款）</w:t>
      </w:r>
      <w:r>
        <w:rPr>
          <w:rFonts w:hint="eastAsia" w:ascii="仿宋_GB2312" w:eastAsia="仿宋_GB2312"/>
          <w:color w:val="000000"/>
          <w:sz w:val="32"/>
          <w:szCs w:val="32"/>
          <w:lang w:val="en-US" w:eastAsia="zh-CN"/>
        </w:rPr>
        <w:t>防灾救灾</w:t>
      </w:r>
      <w:r>
        <w:rPr>
          <w:rFonts w:hint="eastAsia" w:ascii="仿宋_GB2312" w:eastAsia="仿宋_GB2312"/>
          <w:color w:val="000000"/>
          <w:sz w:val="32"/>
          <w:szCs w:val="32"/>
        </w:rPr>
        <w:t>（项）：支出决算为</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万元，完成预算</w:t>
      </w:r>
      <w:r>
        <w:rPr>
          <w:rFonts w:ascii="仿宋_GB2312" w:eastAsia="仿宋_GB2312"/>
          <w:color w:val="000000"/>
          <w:sz w:val="32"/>
          <w:szCs w:val="32"/>
        </w:rPr>
        <w:t>100%</w:t>
      </w:r>
      <w:r>
        <w:rPr>
          <w:rFonts w:hint="eastAsia" w:ascii="仿宋_GB2312" w:eastAsia="仿宋_GB2312"/>
          <w:color w:val="000000"/>
          <w:sz w:val="32"/>
          <w:szCs w:val="32"/>
        </w:rPr>
        <w:t>，决算数等于预算数。</w:t>
      </w:r>
    </w:p>
    <w:p>
      <w:pPr>
        <w:spacing w:line="536" w:lineRule="exact"/>
        <w:ind w:firstLine="645"/>
        <w:rPr>
          <w:rFonts w:hint="eastAsia" w:ascii="仿宋_GB2312" w:eastAsia="仿宋_GB2312"/>
          <w:color w:val="000000"/>
          <w:sz w:val="32"/>
          <w:szCs w:val="32"/>
        </w:rPr>
      </w:pPr>
      <w:r>
        <w:rPr>
          <w:rFonts w:hint="eastAsia" w:ascii="仿宋_GB2312" w:eastAsia="仿宋_GB2312"/>
          <w:color w:val="000000"/>
          <w:sz w:val="32"/>
          <w:szCs w:val="32"/>
          <w:lang w:val="en-US" w:eastAsia="zh-CN"/>
        </w:rPr>
        <w:t>15</w:t>
      </w:r>
      <w:r>
        <w:rPr>
          <w:rFonts w:ascii="仿宋_GB2312" w:eastAsia="仿宋_GB2312"/>
          <w:color w:val="000000"/>
          <w:sz w:val="32"/>
          <w:szCs w:val="32"/>
        </w:rPr>
        <w:t>.</w:t>
      </w:r>
      <w:r>
        <w:rPr>
          <w:rFonts w:hint="eastAsia" w:ascii="仿宋_GB2312" w:eastAsia="仿宋_GB2312"/>
          <w:color w:val="000000"/>
          <w:sz w:val="32"/>
          <w:szCs w:val="32"/>
        </w:rPr>
        <w:t>农林水支出（类）农业农村（款）</w:t>
      </w:r>
      <w:r>
        <w:rPr>
          <w:rFonts w:hint="eastAsia" w:ascii="仿宋_GB2312" w:eastAsia="仿宋_GB2312"/>
          <w:color w:val="000000"/>
          <w:sz w:val="32"/>
          <w:szCs w:val="32"/>
          <w:lang w:eastAsia="zh-CN"/>
        </w:rPr>
        <w:t>事业</w:t>
      </w:r>
      <w:r>
        <w:rPr>
          <w:rFonts w:hint="eastAsia" w:ascii="仿宋_GB2312" w:eastAsia="仿宋_GB2312"/>
          <w:color w:val="000000"/>
          <w:sz w:val="32"/>
          <w:szCs w:val="32"/>
        </w:rPr>
        <w:t>运行（项）</w:t>
      </w:r>
      <w:r>
        <w:rPr>
          <w:rFonts w:hint="eastAsia" w:ascii="仿宋_GB2312" w:eastAsia="仿宋_GB2312"/>
          <w:color w:val="000000"/>
          <w:sz w:val="32"/>
          <w:szCs w:val="32"/>
          <w:lang w:eastAsia="zh-CN"/>
        </w:rPr>
        <w:t>：</w:t>
      </w:r>
      <w:r>
        <w:rPr>
          <w:rFonts w:ascii="仿宋_GB2312" w:eastAsia="仿宋_GB2312"/>
          <w:color w:val="000000"/>
          <w:sz w:val="32"/>
          <w:szCs w:val="32"/>
        </w:rPr>
        <w:t xml:space="preserve"> </w:t>
      </w:r>
      <w:r>
        <w:rPr>
          <w:rFonts w:hint="eastAsia" w:ascii="仿宋_GB2312" w:eastAsia="仿宋_GB2312"/>
          <w:color w:val="000000"/>
          <w:sz w:val="32"/>
          <w:szCs w:val="32"/>
        </w:rPr>
        <w:t>支出决算为</w:t>
      </w:r>
      <w:r>
        <w:rPr>
          <w:rFonts w:hint="eastAsia" w:ascii="仿宋_GB2312" w:eastAsia="仿宋_GB2312"/>
          <w:color w:val="000000"/>
          <w:sz w:val="32"/>
          <w:szCs w:val="32"/>
          <w:lang w:val="en-US" w:eastAsia="zh-CN"/>
        </w:rPr>
        <w:t>425.33</w:t>
      </w:r>
      <w:r>
        <w:rPr>
          <w:rFonts w:hint="eastAsia" w:ascii="仿宋_GB2312" w:eastAsia="仿宋_GB2312"/>
          <w:color w:val="000000"/>
          <w:sz w:val="32"/>
          <w:szCs w:val="32"/>
        </w:rPr>
        <w:t>万元，完成预算</w:t>
      </w:r>
      <w:r>
        <w:rPr>
          <w:rFonts w:ascii="仿宋_GB2312" w:eastAsia="仿宋_GB2312"/>
          <w:color w:val="000000"/>
          <w:sz w:val="32"/>
          <w:szCs w:val="32"/>
        </w:rPr>
        <w:t>100%</w:t>
      </w:r>
      <w:r>
        <w:rPr>
          <w:rFonts w:hint="eastAsia" w:ascii="仿宋_GB2312" w:eastAsia="仿宋_GB2312"/>
          <w:color w:val="000000"/>
          <w:sz w:val="32"/>
          <w:szCs w:val="32"/>
        </w:rPr>
        <w:t>，决算数等于预算数。</w:t>
      </w:r>
    </w:p>
    <w:p>
      <w:pPr>
        <w:spacing w:line="536" w:lineRule="exact"/>
        <w:ind w:firstLine="645"/>
        <w:rPr>
          <w:rFonts w:ascii="仿宋_GB2312" w:eastAsia="仿宋_GB2312"/>
          <w:color w:val="000000"/>
          <w:sz w:val="32"/>
          <w:szCs w:val="32"/>
        </w:rPr>
      </w:pPr>
      <w:r>
        <w:rPr>
          <w:rFonts w:hint="eastAsia" w:ascii="仿宋_GB2312" w:eastAsia="仿宋_GB2312"/>
          <w:color w:val="000000"/>
          <w:sz w:val="32"/>
          <w:szCs w:val="32"/>
          <w:lang w:val="en-US" w:eastAsia="zh-CN"/>
        </w:rPr>
        <w:t>1</w:t>
      </w:r>
      <w:r>
        <w:rPr>
          <w:rFonts w:ascii="仿宋_GB2312" w:eastAsia="仿宋_GB2312"/>
          <w:color w:val="000000"/>
          <w:sz w:val="32"/>
          <w:szCs w:val="32"/>
        </w:rPr>
        <w:t>6.</w:t>
      </w:r>
      <w:r>
        <w:rPr>
          <w:rFonts w:hint="eastAsia" w:ascii="仿宋_GB2312" w:eastAsia="仿宋_GB2312"/>
          <w:color w:val="000000"/>
          <w:sz w:val="32"/>
          <w:szCs w:val="32"/>
        </w:rPr>
        <w:t>卫生健康支出（类）事业单位医疗（款）事业单位医疗支出（项）：支出决算为</w:t>
      </w:r>
      <w:r>
        <w:rPr>
          <w:rFonts w:hint="eastAsia" w:ascii="仿宋_GB2312" w:eastAsia="仿宋_GB2312"/>
          <w:color w:val="000000"/>
          <w:sz w:val="32"/>
          <w:szCs w:val="32"/>
          <w:lang w:val="en-US" w:eastAsia="zh-CN"/>
        </w:rPr>
        <w:t>19.21</w:t>
      </w:r>
      <w:r>
        <w:rPr>
          <w:rFonts w:hint="eastAsia" w:ascii="仿宋_GB2312" w:eastAsia="仿宋_GB2312"/>
          <w:color w:val="000000"/>
          <w:sz w:val="32"/>
          <w:szCs w:val="32"/>
        </w:rPr>
        <w:t>万元，完成预算</w:t>
      </w:r>
      <w:r>
        <w:rPr>
          <w:rFonts w:ascii="仿宋_GB2312" w:eastAsia="仿宋_GB2312"/>
          <w:color w:val="000000"/>
          <w:sz w:val="32"/>
          <w:szCs w:val="32"/>
        </w:rPr>
        <w:t>100%</w:t>
      </w:r>
      <w:r>
        <w:rPr>
          <w:rFonts w:hint="eastAsia" w:ascii="仿宋_GB2312" w:eastAsia="仿宋_GB2312"/>
          <w:color w:val="000000"/>
          <w:sz w:val="32"/>
          <w:szCs w:val="32"/>
        </w:rPr>
        <w:t>，决算数等于预算数。</w:t>
      </w:r>
    </w:p>
    <w:p>
      <w:pPr>
        <w:spacing w:line="536" w:lineRule="exact"/>
        <w:ind w:firstLine="645"/>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17</w:t>
      </w:r>
      <w:r>
        <w:rPr>
          <w:rFonts w:ascii="仿宋_GB2312" w:eastAsia="仿宋_GB2312"/>
          <w:color w:val="000000"/>
          <w:sz w:val="32"/>
          <w:szCs w:val="32"/>
        </w:rPr>
        <w:t>.</w:t>
      </w:r>
      <w:r>
        <w:rPr>
          <w:rFonts w:hint="eastAsia" w:ascii="仿宋_GB2312" w:eastAsia="仿宋_GB2312"/>
          <w:color w:val="000000"/>
          <w:sz w:val="32"/>
          <w:szCs w:val="32"/>
        </w:rPr>
        <w:t>卫生健康支出（类）</w:t>
      </w:r>
      <w:r>
        <w:rPr>
          <w:rFonts w:hint="eastAsia" w:ascii="仿宋_GB2312" w:eastAsia="仿宋_GB2312"/>
          <w:color w:val="000000"/>
          <w:sz w:val="32"/>
          <w:szCs w:val="32"/>
          <w:lang w:eastAsia="zh-CN"/>
        </w:rPr>
        <w:t>其他</w:t>
      </w:r>
      <w:r>
        <w:rPr>
          <w:rFonts w:hint="eastAsia" w:ascii="仿宋_GB2312" w:eastAsia="仿宋_GB2312"/>
          <w:color w:val="000000"/>
          <w:sz w:val="32"/>
          <w:szCs w:val="32"/>
        </w:rPr>
        <w:t>事业单位医疗（款）其他行政事业单位医疗支出（项）：支出决算为</w:t>
      </w:r>
      <w:r>
        <w:rPr>
          <w:rFonts w:hint="eastAsia" w:ascii="仿宋_GB2312" w:eastAsia="仿宋_GB2312"/>
          <w:color w:val="000000"/>
          <w:sz w:val="32"/>
          <w:szCs w:val="32"/>
          <w:lang w:val="en-US" w:eastAsia="zh-CN"/>
        </w:rPr>
        <w:t>8.99</w:t>
      </w:r>
      <w:r>
        <w:rPr>
          <w:rFonts w:hint="eastAsia" w:ascii="仿宋_GB2312" w:eastAsia="仿宋_GB2312"/>
          <w:color w:val="000000"/>
          <w:sz w:val="32"/>
          <w:szCs w:val="32"/>
        </w:rPr>
        <w:t>万元，完成预算</w:t>
      </w:r>
      <w:r>
        <w:rPr>
          <w:rFonts w:ascii="仿宋_GB2312" w:eastAsia="仿宋_GB2312"/>
          <w:color w:val="000000"/>
          <w:sz w:val="32"/>
          <w:szCs w:val="32"/>
        </w:rPr>
        <w:t>100%</w:t>
      </w:r>
      <w:r>
        <w:rPr>
          <w:rFonts w:hint="eastAsia" w:ascii="仿宋_GB2312" w:eastAsia="仿宋_GB2312"/>
          <w:color w:val="000000"/>
          <w:sz w:val="32"/>
          <w:szCs w:val="32"/>
        </w:rPr>
        <w:t>，决算数等于预算数。</w:t>
      </w:r>
    </w:p>
    <w:p>
      <w:pPr>
        <w:spacing w:line="600" w:lineRule="exact"/>
        <w:ind w:firstLine="640"/>
        <w:rPr>
          <w:rStyle w:val="19"/>
        </w:rPr>
      </w:pPr>
      <w:r>
        <w:rPr>
          <w:rFonts w:hint="eastAsia" w:ascii="黑体" w:eastAsia="黑体"/>
          <w:color w:val="000000"/>
          <w:sz w:val="32"/>
          <w:szCs w:val="32"/>
        </w:rPr>
        <w:t>六</w:t>
      </w:r>
      <w:r>
        <w:rPr>
          <w:rFonts w:hint="eastAsia" w:ascii="黑体" w:eastAsia="黑体"/>
          <w:b/>
          <w:color w:val="000000"/>
          <w:sz w:val="32"/>
          <w:szCs w:val="32"/>
        </w:rPr>
        <w:t>、一</w:t>
      </w:r>
      <w:r>
        <w:rPr>
          <w:rStyle w:val="19"/>
          <w:rFonts w:hint="eastAsia" w:ascii="黑体" w:eastAsia="黑体"/>
          <w:b w:val="0"/>
        </w:rPr>
        <w:t>般公共预算财政拨款基本支出决算情况说明</w:t>
      </w:r>
      <w:bookmarkEnd w:id="50"/>
      <w:bookmarkEnd w:id="51"/>
      <w:r>
        <w:rPr>
          <w:rStyle w:val="19"/>
          <w:rFonts w:ascii="黑体" w:eastAsia="黑体"/>
          <w:b w:val="0"/>
        </w:rPr>
        <w:tab/>
      </w:r>
    </w:p>
    <w:p>
      <w:pPr>
        <w:spacing w:line="536" w:lineRule="exact"/>
        <w:ind w:firstLine="645"/>
        <w:rPr>
          <w:rFonts w:ascii="仿宋_GB2312" w:eastAsia="仿宋_GB2312"/>
          <w:color w:val="000000"/>
          <w:sz w:val="32"/>
          <w:szCs w:val="32"/>
        </w:rPr>
      </w:pPr>
      <w:bookmarkStart w:id="52" w:name="_Toc15396609"/>
      <w:bookmarkStart w:id="53" w:name="_Toc15377215"/>
      <w:r>
        <w:rPr>
          <w:rFonts w:hint="eastAsia" w:ascii="仿宋_GB2312" w:eastAsia="仿宋_GB2312"/>
          <w:color w:val="000000"/>
          <w:sz w:val="32"/>
          <w:szCs w:val="32"/>
          <w:lang w:eastAsia="zh-CN"/>
        </w:rPr>
        <w:t>2022</w:t>
      </w:r>
      <w:r>
        <w:rPr>
          <w:rFonts w:hint="eastAsia" w:ascii="仿宋_GB2312" w:eastAsia="仿宋_GB2312"/>
          <w:color w:val="000000"/>
          <w:sz w:val="32"/>
          <w:szCs w:val="32"/>
        </w:rPr>
        <w:t>年度一般公共预算财政拨款基本支出</w:t>
      </w:r>
      <w:r>
        <w:rPr>
          <w:rFonts w:hint="eastAsia" w:ascii="仿宋_GB2312" w:eastAsia="仿宋_GB2312"/>
          <w:color w:val="000000"/>
          <w:sz w:val="32"/>
          <w:szCs w:val="32"/>
          <w:lang w:val="en-US" w:eastAsia="zh-CN"/>
        </w:rPr>
        <w:t>806.93</w:t>
      </w:r>
      <w:r>
        <w:rPr>
          <w:rFonts w:hint="eastAsia" w:ascii="仿宋_GB2312" w:eastAsia="仿宋_GB2312"/>
          <w:color w:val="000000"/>
          <w:sz w:val="32"/>
          <w:szCs w:val="32"/>
        </w:rPr>
        <w:t>万元，其中：</w:t>
      </w:r>
    </w:p>
    <w:p>
      <w:pPr>
        <w:spacing w:line="536" w:lineRule="exact"/>
        <w:ind w:firstLine="645"/>
        <w:rPr>
          <w:rFonts w:ascii="仿宋_GB2312" w:eastAsia="仿宋_GB2312"/>
          <w:color w:val="000000"/>
          <w:sz w:val="32"/>
          <w:szCs w:val="32"/>
        </w:rPr>
      </w:pPr>
      <w:r>
        <w:rPr>
          <w:rFonts w:hint="eastAsia" w:ascii="仿宋_GB2312" w:eastAsia="仿宋_GB2312"/>
          <w:color w:val="000000"/>
          <w:sz w:val="32"/>
          <w:szCs w:val="32"/>
        </w:rPr>
        <w:t>人员经费</w:t>
      </w:r>
      <w:r>
        <w:rPr>
          <w:rFonts w:hint="eastAsia" w:ascii="仿宋_GB2312" w:eastAsia="仿宋_GB2312"/>
          <w:color w:val="000000"/>
          <w:sz w:val="32"/>
          <w:szCs w:val="32"/>
          <w:lang w:val="en-US" w:eastAsia="zh-CN"/>
        </w:rPr>
        <w:t>776.32</w:t>
      </w:r>
      <w:r>
        <w:rPr>
          <w:rFonts w:hint="eastAsia" w:ascii="仿宋_GB2312" w:eastAsia="仿宋_GB2312"/>
          <w:color w:val="000000"/>
          <w:sz w:val="32"/>
          <w:szCs w:val="32"/>
        </w:rPr>
        <w:t>元，主要包括：基本工资</w:t>
      </w:r>
      <w:r>
        <w:rPr>
          <w:rFonts w:hint="eastAsia" w:ascii="仿宋_GB2312" w:eastAsia="仿宋_GB2312"/>
          <w:color w:val="000000"/>
          <w:sz w:val="32"/>
          <w:szCs w:val="32"/>
          <w:lang w:val="en-US" w:eastAsia="zh-CN"/>
        </w:rPr>
        <w:t>151.03</w:t>
      </w:r>
      <w:r>
        <w:rPr>
          <w:rFonts w:hint="eastAsia" w:ascii="仿宋_GB2312" w:eastAsia="仿宋_GB2312"/>
          <w:color w:val="000000"/>
          <w:sz w:val="32"/>
          <w:szCs w:val="32"/>
        </w:rPr>
        <w:t>万元、津贴补贴</w:t>
      </w:r>
      <w:r>
        <w:rPr>
          <w:rFonts w:hint="eastAsia" w:ascii="仿宋_GB2312" w:eastAsia="仿宋_GB2312"/>
          <w:color w:val="000000"/>
          <w:sz w:val="32"/>
          <w:szCs w:val="32"/>
          <w:lang w:val="en-US" w:eastAsia="zh-CN"/>
        </w:rPr>
        <w:t>95.65</w:t>
      </w:r>
      <w:r>
        <w:rPr>
          <w:rFonts w:hint="eastAsia" w:ascii="仿宋_GB2312" w:eastAsia="仿宋_GB2312"/>
          <w:color w:val="000000"/>
          <w:sz w:val="32"/>
          <w:szCs w:val="32"/>
        </w:rPr>
        <w:t>万元、奖金</w:t>
      </w:r>
      <w:r>
        <w:rPr>
          <w:rFonts w:hint="eastAsia" w:ascii="仿宋_GB2312" w:eastAsia="仿宋_GB2312"/>
          <w:color w:val="000000"/>
          <w:sz w:val="32"/>
          <w:szCs w:val="32"/>
          <w:lang w:val="en-US" w:eastAsia="zh-CN"/>
        </w:rPr>
        <w:t>141.53</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绩效工资</w:t>
      </w:r>
      <w:r>
        <w:rPr>
          <w:rFonts w:hint="eastAsia" w:ascii="仿宋_GB2312" w:eastAsia="仿宋_GB2312"/>
          <w:color w:val="000000"/>
          <w:sz w:val="32"/>
          <w:szCs w:val="32"/>
          <w:lang w:val="en-US" w:eastAsia="zh-CN"/>
        </w:rPr>
        <w:t>78.76万元、</w:t>
      </w:r>
      <w:r>
        <w:rPr>
          <w:rFonts w:hint="eastAsia" w:ascii="仿宋_GB2312" w:eastAsia="仿宋_GB2312"/>
          <w:color w:val="000000"/>
          <w:sz w:val="32"/>
          <w:szCs w:val="32"/>
        </w:rPr>
        <w:t>机关事业单位基本养老保险缴费</w:t>
      </w:r>
      <w:r>
        <w:rPr>
          <w:rFonts w:hint="eastAsia" w:ascii="仿宋_GB2312" w:eastAsia="仿宋_GB2312"/>
          <w:color w:val="000000"/>
          <w:sz w:val="32"/>
          <w:szCs w:val="32"/>
          <w:lang w:val="en-US" w:eastAsia="zh-CN"/>
        </w:rPr>
        <w:t>59.79</w:t>
      </w:r>
      <w:r>
        <w:rPr>
          <w:rFonts w:hint="eastAsia" w:ascii="仿宋_GB2312" w:eastAsia="仿宋_GB2312"/>
          <w:color w:val="000000"/>
          <w:sz w:val="32"/>
          <w:szCs w:val="32"/>
        </w:rPr>
        <w:t>万元、职业年金缴费</w:t>
      </w:r>
      <w:r>
        <w:rPr>
          <w:rFonts w:hint="eastAsia" w:ascii="仿宋_GB2312" w:eastAsia="仿宋_GB2312"/>
          <w:color w:val="000000"/>
          <w:sz w:val="32"/>
          <w:szCs w:val="32"/>
          <w:lang w:val="en-US" w:eastAsia="zh-CN"/>
        </w:rPr>
        <w:t>29.89</w:t>
      </w:r>
      <w:r>
        <w:rPr>
          <w:rFonts w:hint="eastAsia" w:ascii="仿宋_GB2312" w:eastAsia="仿宋_GB2312"/>
          <w:color w:val="000000"/>
          <w:sz w:val="32"/>
          <w:szCs w:val="32"/>
        </w:rPr>
        <w:t>万元、职工医疗</w:t>
      </w:r>
      <w:r>
        <w:rPr>
          <w:rFonts w:hint="eastAsia" w:ascii="仿宋_GB2312" w:eastAsia="仿宋_GB2312"/>
          <w:color w:val="000000"/>
          <w:sz w:val="32"/>
          <w:szCs w:val="32"/>
          <w:lang w:val="en-US" w:eastAsia="zh-CN"/>
        </w:rPr>
        <w:t>28.02</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公务员医疗补助2.6万元、其他社会保障缴费14.05万元、</w:t>
      </w:r>
      <w:r>
        <w:rPr>
          <w:rFonts w:hint="eastAsia" w:ascii="仿宋_GB2312" w:eastAsia="仿宋_GB2312"/>
          <w:color w:val="000000"/>
          <w:sz w:val="32"/>
          <w:szCs w:val="32"/>
        </w:rPr>
        <w:t>其他工资福利支出</w:t>
      </w:r>
      <w:r>
        <w:rPr>
          <w:rFonts w:ascii="仿宋_GB2312" w:eastAsia="仿宋_GB2312"/>
          <w:color w:val="000000"/>
          <w:sz w:val="32"/>
          <w:szCs w:val="32"/>
        </w:rPr>
        <w:t>0</w:t>
      </w:r>
      <w:r>
        <w:rPr>
          <w:rFonts w:hint="eastAsia" w:ascii="仿宋_GB2312" w:eastAsia="仿宋_GB2312"/>
          <w:color w:val="000000"/>
          <w:sz w:val="32"/>
          <w:szCs w:val="32"/>
        </w:rPr>
        <w:t>万元、离休费</w:t>
      </w:r>
      <w:r>
        <w:rPr>
          <w:rFonts w:ascii="仿宋_GB2312" w:eastAsia="仿宋_GB2312"/>
          <w:color w:val="000000"/>
          <w:sz w:val="32"/>
          <w:szCs w:val="32"/>
        </w:rPr>
        <w:t>0</w:t>
      </w:r>
      <w:r>
        <w:rPr>
          <w:rFonts w:hint="eastAsia" w:ascii="仿宋_GB2312" w:eastAsia="仿宋_GB2312"/>
          <w:color w:val="000000"/>
          <w:sz w:val="32"/>
          <w:szCs w:val="32"/>
        </w:rPr>
        <w:t>万元、退休费</w:t>
      </w:r>
      <w:r>
        <w:rPr>
          <w:rFonts w:ascii="仿宋_GB2312" w:eastAsia="仿宋_GB2312"/>
          <w:color w:val="000000"/>
          <w:sz w:val="32"/>
          <w:szCs w:val="32"/>
        </w:rPr>
        <w:t>0</w:t>
      </w:r>
      <w:r>
        <w:rPr>
          <w:rFonts w:hint="eastAsia" w:ascii="仿宋_GB2312" w:eastAsia="仿宋_GB2312"/>
          <w:color w:val="000000"/>
          <w:sz w:val="32"/>
          <w:szCs w:val="32"/>
        </w:rPr>
        <w:t>万元、抚恤金</w:t>
      </w:r>
      <w:r>
        <w:rPr>
          <w:rFonts w:ascii="仿宋_GB2312" w:eastAsia="仿宋_GB2312"/>
          <w:color w:val="000000"/>
          <w:sz w:val="32"/>
          <w:szCs w:val="32"/>
        </w:rPr>
        <w:t>0</w:t>
      </w:r>
      <w:r>
        <w:rPr>
          <w:rFonts w:hint="eastAsia" w:ascii="仿宋_GB2312" w:eastAsia="仿宋_GB2312"/>
          <w:color w:val="000000"/>
          <w:sz w:val="32"/>
          <w:szCs w:val="32"/>
        </w:rPr>
        <w:t>万元、生活补助</w:t>
      </w:r>
      <w:r>
        <w:rPr>
          <w:rFonts w:hint="eastAsia" w:ascii="仿宋_GB2312" w:eastAsia="仿宋_GB2312"/>
          <w:color w:val="000000"/>
          <w:sz w:val="32"/>
          <w:szCs w:val="32"/>
          <w:lang w:val="en-US" w:eastAsia="zh-CN"/>
        </w:rPr>
        <w:t>36.51</w:t>
      </w:r>
      <w:r>
        <w:rPr>
          <w:rFonts w:hint="eastAsia" w:ascii="仿宋_GB2312" w:eastAsia="仿宋_GB2312"/>
          <w:color w:val="000000"/>
          <w:sz w:val="32"/>
          <w:szCs w:val="32"/>
        </w:rPr>
        <w:t>万元、医疗费</w:t>
      </w:r>
      <w:r>
        <w:rPr>
          <w:rFonts w:ascii="仿宋_GB2312" w:eastAsia="仿宋_GB2312"/>
          <w:color w:val="000000"/>
          <w:sz w:val="32"/>
          <w:szCs w:val="32"/>
        </w:rPr>
        <w:t>0</w:t>
      </w:r>
      <w:r>
        <w:rPr>
          <w:rFonts w:hint="eastAsia" w:ascii="仿宋_GB2312" w:eastAsia="仿宋_GB2312"/>
          <w:color w:val="000000"/>
          <w:sz w:val="32"/>
          <w:szCs w:val="32"/>
        </w:rPr>
        <w:t>万元、奖励金</w:t>
      </w:r>
      <w:r>
        <w:rPr>
          <w:rFonts w:hint="eastAsia" w:ascii="仿宋_GB2312" w:eastAsia="仿宋_GB2312"/>
          <w:color w:val="000000"/>
          <w:sz w:val="32"/>
          <w:szCs w:val="32"/>
          <w:lang w:val="en-US" w:eastAsia="zh-CN"/>
        </w:rPr>
        <w:t>86.82</w:t>
      </w:r>
      <w:r>
        <w:rPr>
          <w:rFonts w:hint="eastAsia" w:ascii="仿宋_GB2312" w:eastAsia="仿宋_GB2312"/>
          <w:color w:val="000000"/>
          <w:sz w:val="32"/>
          <w:szCs w:val="32"/>
        </w:rPr>
        <w:t>万元、住房公积金</w:t>
      </w:r>
      <w:r>
        <w:rPr>
          <w:rFonts w:hint="eastAsia" w:ascii="仿宋_GB2312" w:eastAsia="仿宋_GB2312"/>
          <w:color w:val="000000"/>
          <w:sz w:val="32"/>
          <w:szCs w:val="32"/>
          <w:lang w:val="en-US" w:eastAsia="zh-CN"/>
        </w:rPr>
        <w:t>50.47</w:t>
      </w:r>
      <w:r>
        <w:rPr>
          <w:rFonts w:hint="eastAsia" w:ascii="仿宋_GB2312" w:eastAsia="仿宋_GB2312"/>
          <w:color w:val="000000"/>
          <w:sz w:val="32"/>
          <w:szCs w:val="32"/>
        </w:rPr>
        <w:t>万元、购房补贴</w:t>
      </w:r>
      <w:r>
        <w:rPr>
          <w:rFonts w:ascii="仿宋_GB2312" w:eastAsia="仿宋_GB2312"/>
          <w:color w:val="000000"/>
          <w:sz w:val="32"/>
          <w:szCs w:val="32"/>
        </w:rPr>
        <w:t>0</w:t>
      </w:r>
      <w:r>
        <w:rPr>
          <w:rFonts w:hint="eastAsia" w:ascii="仿宋_GB2312" w:eastAsia="仿宋_GB2312"/>
          <w:color w:val="000000"/>
          <w:sz w:val="32"/>
          <w:szCs w:val="32"/>
        </w:rPr>
        <w:t>万元等。</w:t>
      </w:r>
    </w:p>
    <w:p>
      <w:pPr>
        <w:spacing w:line="536" w:lineRule="exact"/>
        <w:ind w:firstLine="645"/>
        <w:rPr>
          <w:rFonts w:ascii="仿宋_GB2312" w:eastAsia="仿宋_GB2312"/>
          <w:color w:val="000000"/>
          <w:sz w:val="32"/>
          <w:szCs w:val="32"/>
        </w:rPr>
      </w:pPr>
      <w:r>
        <w:rPr>
          <w:rFonts w:hint="eastAsia" w:ascii="仿宋_GB2312" w:eastAsia="仿宋_GB2312"/>
          <w:color w:val="000000"/>
          <w:sz w:val="32"/>
          <w:szCs w:val="32"/>
        </w:rPr>
        <w:t>日常公用经费</w:t>
      </w:r>
      <w:r>
        <w:rPr>
          <w:rFonts w:hint="eastAsia" w:ascii="仿宋_GB2312" w:eastAsia="仿宋_GB2312"/>
          <w:color w:val="000000"/>
          <w:sz w:val="32"/>
          <w:szCs w:val="32"/>
          <w:lang w:val="en-US" w:eastAsia="zh-CN"/>
        </w:rPr>
        <w:t>30.6</w:t>
      </w:r>
      <w:r>
        <w:rPr>
          <w:rFonts w:hint="eastAsia" w:ascii="仿宋_GB2312" w:eastAsia="仿宋_GB2312"/>
          <w:color w:val="000000"/>
          <w:sz w:val="32"/>
          <w:szCs w:val="32"/>
        </w:rPr>
        <w:t>万元，主要包括：办公费</w:t>
      </w:r>
      <w:r>
        <w:rPr>
          <w:rFonts w:hint="eastAsia" w:ascii="仿宋_GB2312" w:eastAsia="仿宋_GB2312"/>
          <w:color w:val="000000"/>
          <w:sz w:val="32"/>
          <w:szCs w:val="32"/>
          <w:lang w:val="en-US" w:eastAsia="zh-CN"/>
        </w:rPr>
        <w:t>4.4</w:t>
      </w:r>
      <w:r>
        <w:rPr>
          <w:rFonts w:hint="eastAsia" w:ascii="仿宋_GB2312" w:eastAsia="仿宋_GB2312"/>
          <w:color w:val="000000"/>
          <w:sz w:val="32"/>
          <w:szCs w:val="32"/>
        </w:rPr>
        <w:t>万元、印刷费</w:t>
      </w:r>
      <w:r>
        <w:rPr>
          <w:rFonts w:ascii="仿宋_GB2312" w:eastAsia="仿宋_GB2312"/>
          <w:color w:val="000000"/>
          <w:sz w:val="32"/>
          <w:szCs w:val="32"/>
        </w:rPr>
        <w:t>0</w:t>
      </w:r>
      <w:r>
        <w:rPr>
          <w:rFonts w:hint="eastAsia" w:ascii="仿宋_GB2312" w:eastAsia="仿宋_GB2312"/>
          <w:color w:val="000000"/>
          <w:sz w:val="32"/>
          <w:szCs w:val="32"/>
        </w:rPr>
        <w:t>万元、咨询费</w:t>
      </w:r>
      <w:r>
        <w:rPr>
          <w:rFonts w:ascii="仿宋_GB2312" w:eastAsia="仿宋_GB2312"/>
          <w:color w:val="000000"/>
          <w:sz w:val="32"/>
          <w:szCs w:val="32"/>
        </w:rPr>
        <w:t>0</w:t>
      </w:r>
      <w:r>
        <w:rPr>
          <w:rFonts w:hint="eastAsia" w:ascii="仿宋_GB2312" w:eastAsia="仿宋_GB2312"/>
          <w:color w:val="000000"/>
          <w:sz w:val="32"/>
          <w:szCs w:val="32"/>
        </w:rPr>
        <w:t>万元、水费</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万元、电费</w:t>
      </w:r>
      <w:r>
        <w:rPr>
          <w:rFonts w:hint="eastAsia" w:ascii="仿宋_GB2312" w:eastAsia="仿宋_GB2312"/>
          <w:color w:val="000000"/>
          <w:sz w:val="32"/>
          <w:szCs w:val="32"/>
          <w:lang w:val="en-US" w:eastAsia="zh-CN"/>
        </w:rPr>
        <w:t>1.9</w:t>
      </w:r>
      <w:r>
        <w:rPr>
          <w:rFonts w:hint="eastAsia" w:ascii="仿宋_GB2312" w:eastAsia="仿宋_GB2312"/>
          <w:color w:val="000000"/>
          <w:sz w:val="32"/>
          <w:szCs w:val="32"/>
        </w:rPr>
        <w:t>万元、邮电费</w:t>
      </w:r>
      <w:r>
        <w:rPr>
          <w:rFonts w:hint="eastAsia" w:ascii="仿宋_GB2312" w:eastAsia="仿宋_GB2312"/>
          <w:color w:val="000000"/>
          <w:sz w:val="32"/>
          <w:szCs w:val="32"/>
          <w:lang w:val="en-US" w:eastAsia="zh-CN"/>
        </w:rPr>
        <w:t>2.8</w:t>
      </w:r>
      <w:r>
        <w:rPr>
          <w:rFonts w:hint="eastAsia" w:ascii="仿宋_GB2312" w:eastAsia="仿宋_GB2312"/>
          <w:color w:val="000000"/>
          <w:sz w:val="32"/>
          <w:szCs w:val="32"/>
        </w:rPr>
        <w:t>万元、取暖费</w:t>
      </w:r>
      <w:r>
        <w:rPr>
          <w:rFonts w:ascii="仿宋_GB2312" w:eastAsia="仿宋_GB2312"/>
          <w:color w:val="000000"/>
          <w:sz w:val="32"/>
          <w:szCs w:val="32"/>
        </w:rPr>
        <w:t>0</w:t>
      </w:r>
      <w:r>
        <w:rPr>
          <w:rFonts w:hint="eastAsia" w:ascii="仿宋_GB2312" w:eastAsia="仿宋_GB2312"/>
          <w:color w:val="000000"/>
          <w:sz w:val="32"/>
          <w:szCs w:val="32"/>
        </w:rPr>
        <w:t>万元、物业管理费</w:t>
      </w:r>
      <w:r>
        <w:rPr>
          <w:rFonts w:ascii="仿宋_GB2312" w:eastAsia="仿宋_GB2312"/>
          <w:color w:val="000000"/>
          <w:sz w:val="32"/>
          <w:szCs w:val="32"/>
        </w:rPr>
        <w:t>0</w:t>
      </w:r>
      <w:r>
        <w:rPr>
          <w:rFonts w:hint="eastAsia" w:ascii="仿宋_GB2312" w:eastAsia="仿宋_GB2312"/>
          <w:color w:val="000000"/>
          <w:sz w:val="32"/>
          <w:szCs w:val="32"/>
        </w:rPr>
        <w:t>万元、差旅费</w:t>
      </w:r>
      <w:r>
        <w:rPr>
          <w:rFonts w:hint="eastAsia" w:ascii="仿宋_GB2312" w:eastAsia="仿宋_GB2312"/>
          <w:color w:val="000000"/>
          <w:sz w:val="32"/>
          <w:szCs w:val="32"/>
          <w:lang w:val="en-US" w:eastAsia="zh-CN"/>
        </w:rPr>
        <w:t>5.71</w:t>
      </w:r>
      <w:r>
        <w:rPr>
          <w:rFonts w:hint="eastAsia" w:ascii="仿宋_GB2312" w:eastAsia="仿宋_GB2312"/>
          <w:color w:val="000000"/>
          <w:sz w:val="32"/>
          <w:szCs w:val="32"/>
        </w:rPr>
        <w:t>万元、因公出国（境）费用</w:t>
      </w:r>
      <w:r>
        <w:rPr>
          <w:rFonts w:ascii="仿宋_GB2312" w:eastAsia="仿宋_GB2312"/>
          <w:color w:val="000000"/>
          <w:sz w:val="32"/>
          <w:szCs w:val="32"/>
        </w:rPr>
        <w:t>0</w:t>
      </w:r>
      <w:r>
        <w:rPr>
          <w:rFonts w:hint="eastAsia" w:ascii="仿宋_GB2312" w:eastAsia="仿宋_GB2312"/>
          <w:color w:val="000000"/>
          <w:sz w:val="32"/>
          <w:szCs w:val="32"/>
        </w:rPr>
        <w:t>万元、维修（护）费</w:t>
      </w:r>
      <w:r>
        <w:rPr>
          <w:rFonts w:ascii="仿宋_GB2312" w:eastAsia="仿宋_GB2312"/>
          <w:color w:val="000000"/>
          <w:sz w:val="32"/>
          <w:szCs w:val="32"/>
        </w:rPr>
        <w:t>0</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万元、会议费</w:t>
      </w:r>
      <w:r>
        <w:rPr>
          <w:rFonts w:ascii="仿宋_GB2312" w:eastAsia="仿宋_GB2312"/>
          <w:color w:val="000000"/>
          <w:sz w:val="32"/>
          <w:szCs w:val="32"/>
        </w:rPr>
        <w:t>0</w:t>
      </w:r>
      <w:r>
        <w:rPr>
          <w:rFonts w:hint="eastAsia" w:ascii="仿宋_GB2312" w:eastAsia="仿宋_GB2312"/>
          <w:color w:val="000000"/>
          <w:sz w:val="32"/>
          <w:szCs w:val="32"/>
        </w:rPr>
        <w:t>万元、培训费</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万元、公务接待费</w:t>
      </w:r>
      <w:r>
        <w:rPr>
          <w:rFonts w:hint="eastAsia" w:ascii="仿宋_GB2312" w:eastAsia="仿宋_GB2312"/>
          <w:color w:val="000000"/>
          <w:sz w:val="32"/>
          <w:szCs w:val="32"/>
          <w:lang w:val="en-US" w:eastAsia="zh-CN"/>
        </w:rPr>
        <w:t>0.4</w:t>
      </w:r>
      <w:r>
        <w:rPr>
          <w:rFonts w:hint="eastAsia" w:ascii="仿宋_GB2312" w:eastAsia="仿宋_GB2312"/>
          <w:color w:val="000000"/>
          <w:sz w:val="32"/>
          <w:szCs w:val="32"/>
        </w:rPr>
        <w:t>万元、劳务费</w:t>
      </w:r>
      <w:r>
        <w:rPr>
          <w:rFonts w:hint="eastAsia" w:ascii="仿宋_GB2312" w:eastAsia="仿宋_GB2312"/>
          <w:color w:val="000000"/>
          <w:sz w:val="32"/>
          <w:szCs w:val="32"/>
          <w:lang w:val="en-US" w:eastAsia="zh-CN"/>
        </w:rPr>
        <w:t>9.1</w:t>
      </w:r>
      <w:r>
        <w:rPr>
          <w:rFonts w:hint="eastAsia" w:ascii="仿宋_GB2312" w:eastAsia="仿宋_GB2312"/>
          <w:color w:val="000000"/>
          <w:sz w:val="32"/>
          <w:szCs w:val="32"/>
        </w:rPr>
        <w:t>万元、委托业务费</w:t>
      </w:r>
      <w:r>
        <w:rPr>
          <w:rFonts w:ascii="仿宋_GB2312" w:eastAsia="仿宋_GB2312"/>
          <w:color w:val="000000"/>
          <w:sz w:val="32"/>
          <w:szCs w:val="32"/>
        </w:rPr>
        <w:t>0</w:t>
      </w:r>
      <w:r>
        <w:rPr>
          <w:rFonts w:hint="eastAsia" w:ascii="仿宋_GB2312" w:eastAsia="仿宋_GB2312"/>
          <w:color w:val="000000"/>
          <w:sz w:val="32"/>
          <w:szCs w:val="32"/>
        </w:rPr>
        <w:t>万元、福利费</w:t>
      </w:r>
      <w:r>
        <w:rPr>
          <w:rFonts w:hint="eastAsia" w:ascii="仿宋_GB2312" w:eastAsia="仿宋_GB2312"/>
          <w:color w:val="000000"/>
          <w:sz w:val="32"/>
          <w:szCs w:val="32"/>
          <w:lang w:val="en-US" w:eastAsia="zh-CN"/>
        </w:rPr>
        <w:t>0.47</w:t>
      </w:r>
      <w:r>
        <w:rPr>
          <w:rFonts w:hint="eastAsia" w:ascii="仿宋_GB2312" w:eastAsia="仿宋_GB2312"/>
          <w:color w:val="000000"/>
          <w:sz w:val="32"/>
          <w:szCs w:val="32"/>
        </w:rPr>
        <w:t>万元、公务用车运行维护费</w:t>
      </w:r>
      <w:r>
        <w:rPr>
          <w:rFonts w:hint="eastAsia" w:ascii="仿宋_GB2312" w:eastAsia="仿宋_GB2312"/>
          <w:color w:val="000000"/>
          <w:sz w:val="32"/>
          <w:szCs w:val="32"/>
          <w:lang w:val="en-US" w:eastAsia="zh-CN"/>
        </w:rPr>
        <w:t>1.99</w:t>
      </w:r>
      <w:r>
        <w:rPr>
          <w:rFonts w:hint="eastAsia" w:ascii="仿宋_GB2312" w:eastAsia="仿宋_GB2312"/>
          <w:color w:val="000000"/>
          <w:sz w:val="32"/>
          <w:szCs w:val="32"/>
        </w:rPr>
        <w:t>万元、其他交通费</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万元、税金及附加费用</w:t>
      </w:r>
      <w:r>
        <w:rPr>
          <w:rFonts w:ascii="仿宋_GB2312" w:eastAsia="仿宋_GB2312"/>
          <w:color w:val="000000"/>
          <w:sz w:val="32"/>
          <w:szCs w:val="32"/>
        </w:rPr>
        <w:t>0</w:t>
      </w:r>
      <w:r>
        <w:rPr>
          <w:rFonts w:hint="eastAsia" w:ascii="仿宋_GB2312" w:eastAsia="仿宋_GB2312"/>
          <w:color w:val="000000"/>
          <w:sz w:val="32"/>
          <w:szCs w:val="32"/>
        </w:rPr>
        <w:t>万元、其他商品和服务支出</w:t>
      </w:r>
      <w:r>
        <w:rPr>
          <w:rFonts w:ascii="仿宋_GB2312" w:eastAsia="仿宋_GB2312"/>
          <w:color w:val="000000"/>
          <w:sz w:val="32"/>
          <w:szCs w:val="32"/>
        </w:rPr>
        <w:t>0</w:t>
      </w:r>
      <w:r>
        <w:rPr>
          <w:rFonts w:hint="eastAsia" w:ascii="仿宋_GB2312" w:eastAsia="仿宋_GB2312"/>
          <w:color w:val="000000"/>
          <w:sz w:val="32"/>
          <w:szCs w:val="32"/>
        </w:rPr>
        <w:t>万元、办公设备购置</w:t>
      </w:r>
      <w:r>
        <w:rPr>
          <w:rFonts w:ascii="仿宋_GB2312" w:eastAsia="仿宋_GB2312"/>
          <w:color w:val="000000"/>
          <w:sz w:val="32"/>
          <w:szCs w:val="32"/>
        </w:rPr>
        <w:t>0</w:t>
      </w:r>
      <w:r>
        <w:rPr>
          <w:rFonts w:hint="eastAsia" w:ascii="仿宋_GB2312" w:eastAsia="仿宋_GB2312"/>
          <w:color w:val="000000"/>
          <w:sz w:val="32"/>
          <w:szCs w:val="32"/>
        </w:rPr>
        <w:t>万元、专用设备购置</w:t>
      </w:r>
      <w:r>
        <w:rPr>
          <w:rFonts w:ascii="仿宋_GB2312" w:eastAsia="仿宋_GB2312"/>
          <w:color w:val="000000"/>
          <w:sz w:val="32"/>
          <w:szCs w:val="32"/>
        </w:rPr>
        <w:t>0</w:t>
      </w:r>
      <w:r>
        <w:rPr>
          <w:rFonts w:hint="eastAsia" w:ascii="仿宋_GB2312" w:eastAsia="仿宋_GB2312"/>
          <w:color w:val="000000"/>
          <w:sz w:val="32"/>
          <w:szCs w:val="32"/>
        </w:rPr>
        <w:t>万元、信息网络及软件购置更新</w:t>
      </w:r>
      <w:r>
        <w:rPr>
          <w:rFonts w:ascii="仿宋_GB2312" w:eastAsia="仿宋_GB2312"/>
          <w:color w:val="000000"/>
          <w:sz w:val="32"/>
          <w:szCs w:val="32"/>
        </w:rPr>
        <w:t>0</w:t>
      </w:r>
      <w:r>
        <w:rPr>
          <w:rFonts w:hint="eastAsia" w:ascii="仿宋_GB2312" w:eastAsia="仿宋_GB2312"/>
          <w:color w:val="000000"/>
          <w:sz w:val="32"/>
          <w:szCs w:val="32"/>
        </w:rPr>
        <w:t>万元、其他资本性支出</w:t>
      </w:r>
      <w:r>
        <w:rPr>
          <w:rFonts w:ascii="仿宋_GB2312" w:eastAsia="仿宋_GB2312"/>
          <w:color w:val="000000"/>
          <w:sz w:val="32"/>
          <w:szCs w:val="32"/>
        </w:rPr>
        <w:t>0</w:t>
      </w:r>
      <w:r>
        <w:rPr>
          <w:rFonts w:hint="eastAsia" w:ascii="仿宋_GB2312" w:eastAsia="仿宋_GB2312"/>
          <w:color w:val="000000"/>
          <w:sz w:val="32"/>
          <w:szCs w:val="32"/>
        </w:rPr>
        <w:t>万元等。</w:t>
      </w:r>
    </w:p>
    <w:p>
      <w:pPr>
        <w:spacing w:line="600" w:lineRule="exact"/>
        <w:ind w:firstLine="640" w:firstLineChars="200"/>
        <w:outlineLvl w:val="1"/>
        <w:rPr>
          <w:rStyle w:val="19"/>
          <w:rFonts w:ascii="黑体" w:eastAsia="黑体"/>
          <w:b w:val="0"/>
        </w:rPr>
      </w:pPr>
      <w:bookmarkStart w:id="54" w:name="_Toc15914"/>
      <w:r>
        <w:rPr>
          <w:rFonts w:hint="eastAsia" w:ascii="黑体" w:eastAsia="黑体"/>
          <w:color w:val="000000"/>
          <w:sz w:val="32"/>
          <w:szCs w:val="32"/>
        </w:rPr>
        <w:t>七、</w:t>
      </w:r>
      <w:r>
        <w:rPr>
          <w:rStyle w:val="19"/>
          <w:rFonts w:hint="eastAsia" w:ascii="黑体" w:eastAsia="黑体"/>
        </w:rPr>
        <w:t>“</w:t>
      </w:r>
      <w:r>
        <w:rPr>
          <w:rStyle w:val="19"/>
          <w:rFonts w:hint="eastAsia" w:ascii="黑体" w:eastAsia="黑体"/>
          <w:b w:val="0"/>
        </w:rPr>
        <w:t>三公”经费财政拨款支出决算情况说明</w:t>
      </w:r>
      <w:bookmarkEnd w:id="52"/>
      <w:bookmarkEnd w:id="53"/>
      <w:bookmarkEnd w:id="54"/>
    </w:p>
    <w:p>
      <w:pPr>
        <w:spacing w:line="580" w:lineRule="exact"/>
        <w:ind w:firstLine="643" w:firstLineChars="200"/>
        <w:rPr>
          <w:rFonts w:ascii="楷体_GB2312" w:hAnsi="楷体_GB2312" w:eastAsia="楷体_GB2312" w:cs="楷体_GB2312"/>
          <w:b/>
          <w:bCs/>
          <w:sz w:val="32"/>
          <w:szCs w:val="32"/>
        </w:rPr>
      </w:pPr>
      <w:bookmarkStart w:id="55" w:name="_Toc15377216"/>
      <w:r>
        <w:rPr>
          <w:rFonts w:hint="eastAsia" w:ascii="楷体_GB2312" w:hAnsi="楷体_GB2312" w:eastAsia="楷体_GB2312" w:cs="楷体_GB2312"/>
          <w:b/>
          <w:bCs/>
          <w:sz w:val="32"/>
          <w:szCs w:val="32"/>
        </w:rPr>
        <w:t>（一）“三公”经费财政拨款支出决算总体情况说明</w:t>
      </w:r>
      <w:bookmarkEnd w:id="55"/>
    </w:p>
    <w:p>
      <w:pPr>
        <w:spacing w:line="536" w:lineRule="exact"/>
        <w:ind w:firstLine="640"/>
        <w:rPr>
          <w:rFonts w:ascii="仿宋_GB2312" w:eastAsia="仿宋_GB2312"/>
          <w:color w:val="000000"/>
          <w:sz w:val="32"/>
          <w:szCs w:val="32"/>
        </w:rPr>
      </w:pPr>
      <w:bookmarkStart w:id="56" w:name="_Toc15377217"/>
      <w:r>
        <w:rPr>
          <w:rFonts w:hint="eastAsia" w:ascii="仿宋_GB2312" w:eastAsia="仿宋_GB2312"/>
          <w:color w:val="000000"/>
          <w:sz w:val="32"/>
          <w:szCs w:val="32"/>
          <w:lang w:eastAsia="zh-CN"/>
        </w:rPr>
        <w:t>2022</w:t>
      </w:r>
      <w:r>
        <w:rPr>
          <w:rFonts w:hint="eastAsia" w:ascii="仿宋_GB2312" w:eastAsia="仿宋_GB2312"/>
          <w:color w:val="000000"/>
          <w:sz w:val="32"/>
          <w:szCs w:val="32"/>
        </w:rPr>
        <w:t>年度“三公”经费财政拨款支出决算为</w:t>
      </w:r>
      <w:r>
        <w:rPr>
          <w:rFonts w:ascii="仿宋_GB2312" w:eastAsia="仿宋_GB2312"/>
          <w:color w:val="000000"/>
          <w:sz w:val="32"/>
          <w:szCs w:val="32"/>
        </w:rPr>
        <w:t>2.</w:t>
      </w:r>
      <w:r>
        <w:rPr>
          <w:rFonts w:hint="eastAsia" w:ascii="仿宋_GB2312" w:eastAsia="仿宋_GB2312"/>
          <w:color w:val="000000"/>
          <w:sz w:val="32"/>
          <w:szCs w:val="32"/>
          <w:lang w:val="en-US" w:eastAsia="zh-CN"/>
        </w:rPr>
        <w:t>39</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预算为</w:t>
      </w:r>
      <w:r>
        <w:rPr>
          <w:rFonts w:hint="eastAsia" w:ascii="仿宋_GB2312" w:eastAsia="仿宋_GB2312"/>
          <w:color w:val="000000"/>
          <w:sz w:val="32"/>
          <w:szCs w:val="32"/>
          <w:lang w:val="en-US" w:eastAsia="zh-CN"/>
        </w:rPr>
        <w:t>2.39万元，</w:t>
      </w:r>
      <w:r>
        <w:rPr>
          <w:rFonts w:hint="eastAsia" w:ascii="仿宋_GB2312" w:eastAsia="仿宋_GB2312"/>
          <w:color w:val="000000"/>
          <w:sz w:val="32"/>
          <w:szCs w:val="32"/>
        </w:rPr>
        <w:t>完成预算</w:t>
      </w:r>
      <w:r>
        <w:rPr>
          <w:rFonts w:ascii="仿宋_GB2312" w:eastAsia="仿宋_GB2312"/>
          <w:color w:val="000000"/>
          <w:sz w:val="32"/>
          <w:szCs w:val="32"/>
        </w:rPr>
        <w:t>100%</w:t>
      </w:r>
      <w:r>
        <w:rPr>
          <w:rFonts w:hint="eastAsia" w:ascii="仿宋_GB2312" w:eastAsia="仿宋_GB2312"/>
          <w:color w:val="000000"/>
          <w:sz w:val="32"/>
          <w:szCs w:val="32"/>
        </w:rPr>
        <w:t>。</w:t>
      </w:r>
    </w:p>
    <w:p>
      <w:pPr>
        <w:spacing w:line="580"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（二）“三公”经费财政拨款支出决算具体情况说明</w:t>
      </w:r>
      <w:bookmarkEnd w:id="56"/>
    </w:p>
    <w:p>
      <w:pPr>
        <w:spacing w:line="536"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2022</w:t>
      </w:r>
      <w:r>
        <w:rPr>
          <w:rFonts w:hint="eastAsia" w:ascii="仿宋_GB2312" w:eastAsia="仿宋_GB2312"/>
          <w:color w:val="000000"/>
          <w:sz w:val="32"/>
          <w:szCs w:val="32"/>
        </w:rPr>
        <w:t>年度“三公”经费财政拨款支出决算中，因公出国（境）费支出决算</w:t>
      </w:r>
      <w:r>
        <w:rPr>
          <w:rFonts w:ascii="仿宋_GB2312" w:eastAsia="仿宋_GB2312"/>
          <w:color w:val="000000"/>
          <w:sz w:val="32"/>
          <w:szCs w:val="32"/>
        </w:rPr>
        <w:t>0</w:t>
      </w:r>
      <w:r>
        <w:rPr>
          <w:rFonts w:hint="eastAsia" w:ascii="仿宋_GB2312" w:eastAsia="仿宋_GB2312"/>
          <w:color w:val="000000"/>
          <w:sz w:val="32"/>
          <w:szCs w:val="32"/>
        </w:rPr>
        <w:t>万元，占</w:t>
      </w:r>
      <w:r>
        <w:rPr>
          <w:rFonts w:ascii="仿宋_GB2312" w:eastAsia="仿宋_GB2312"/>
          <w:color w:val="000000"/>
          <w:sz w:val="32"/>
          <w:szCs w:val="32"/>
        </w:rPr>
        <w:t>0%</w:t>
      </w:r>
      <w:r>
        <w:rPr>
          <w:rFonts w:hint="eastAsia" w:ascii="仿宋_GB2312" w:eastAsia="仿宋_GB2312"/>
          <w:color w:val="000000"/>
          <w:sz w:val="32"/>
          <w:szCs w:val="32"/>
        </w:rPr>
        <w:t>；公务用车购置及运行维护费支出决算</w:t>
      </w:r>
      <w:r>
        <w:rPr>
          <w:rFonts w:hint="eastAsia" w:ascii="仿宋_GB2312" w:eastAsia="仿宋_GB2312"/>
          <w:color w:val="000000"/>
          <w:sz w:val="32"/>
          <w:szCs w:val="32"/>
          <w:lang w:val="en-US" w:eastAsia="zh-CN"/>
        </w:rPr>
        <w:t>1.99</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83.26</w:t>
      </w:r>
      <w:r>
        <w:rPr>
          <w:rFonts w:ascii="仿宋_GB2312" w:eastAsia="仿宋_GB2312"/>
          <w:color w:val="000000"/>
          <w:sz w:val="32"/>
          <w:szCs w:val="32"/>
        </w:rPr>
        <w:t>%</w:t>
      </w:r>
      <w:r>
        <w:rPr>
          <w:rFonts w:hint="eastAsia" w:ascii="仿宋_GB2312" w:eastAsia="仿宋_GB2312"/>
          <w:color w:val="000000"/>
          <w:sz w:val="32"/>
          <w:szCs w:val="32"/>
        </w:rPr>
        <w:t>；公务接待费支出决算</w:t>
      </w:r>
      <w:r>
        <w:rPr>
          <w:rFonts w:hint="eastAsia" w:ascii="仿宋_GB2312" w:eastAsia="仿宋_GB2312"/>
          <w:color w:val="000000"/>
          <w:sz w:val="32"/>
          <w:szCs w:val="32"/>
          <w:lang w:val="en-US" w:eastAsia="zh-CN"/>
        </w:rPr>
        <w:t>0.4</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16.74</w:t>
      </w:r>
      <w:r>
        <w:rPr>
          <w:rFonts w:ascii="仿宋_GB2312" w:eastAsia="仿宋_GB2312"/>
          <w:color w:val="000000"/>
          <w:sz w:val="32"/>
          <w:szCs w:val="32"/>
        </w:rPr>
        <w:t>%</w:t>
      </w:r>
      <w:r>
        <w:rPr>
          <w:rFonts w:hint="eastAsia" w:ascii="仿宋_GB2312" w:eastAsia="仿宋_GB2312"/>
          <w:color w:val="000000"/>
          <w:sz w:val="32"/>
          <w:szCs w:val="32"/>
        </w:rPr>
        <w:t>。具体情况如下：</w:t>
      </w:r>
    </w:p>
    <w:p>
      <w:pPr>
        <w:spacing w:line="536"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ascii="仿宋_GB2312" w:eastAsia="仿宋_GB2312"/>
          <w:color w:val="000000"/>
          <w:sz w:val="32"/>
          <w:szCs w:val="32"/>
        </w:rPr>
        <w:t>0</w:t>
      </w:r>
      <w:r>
        <w:rPr>
          <w:rFonts w:hint="eastAsia" w:ascii="仿宋_GB2312" w:eastAsia="仿宋_GB2312"/>
          <w:color w:val="000000"/>
          <w:sz w:val="32"/>
          <w:szCs w:val="32"/>
        </w:rPr>
        <w:t>万元。全年安排因公出国（境）团组</w:t>
      </w:r>
      <w:r>
        <w:rPr>
          <w:rFonts w:ascii="仿宋_GB2312" w:eastAsia="仿宋_GB2312"/>
          <w:color w:val="000000"/>
          <w:sz w:val="32"/>
          <w:szCs w:val="32"/>
        </w:rPr>
        <w:t>0</w:t>
      </w:r>
      <w:r>
        <w:rPr>
          <w:rFonts w:hint="eastAsia" w:ascii="仿宋_GB2312" w:eastAsia="仿宋_GB2312"/>
          <w:color w:val="000000"/>
          <w:sz w:val="32"/>
          <w:szCs w:val="32"/>
        </w:rPr>
        <w:t>次，出国（境）</w:t>
      </w:r>
      <w:r>
        <w:rPr>
          <w:rFonts w:ascii="仿宋_GB2312" w:eastAsia="仿宋_GB2312"/>
          <w:color w:val="000000"/>
          <w:sz w:val="32"/>
          <w:szCs w:val="32"/>
        </w:rPr>
        <w:t>0</w:t>
      </w:r>
      <w:r>
        <w:rPr>
          <w:rFonts w:hint="eastAsia" w:ascii="仿宋_GB2312" w:eastAsia="仿宋_GB2312"/>
          <w:color w:val="000000"/>
          <w:sz w:val="32"/>
          <w:szCs w:val="32"/>
        </w:rPr>
        <w:t>人。</w:t>
      </w:r>
    </w:p>
    <w:p>
      <w:pPr>
        <w:spacing w:line="536" w:lineRule="exact"/>
        <w:ind w:firstLine="640"/>
        <w:rPr>
          <w:rFonts w:ascii="仿宋_GB2312" w:eastAsia="仿宋_GB2312"/>
          <w:b/>
          <w:color w:val="000000"/>
          <w:sz w:val="32"/>
          <w:szCs w:val="32"/>
        </w:rPr>
      </w:pPr>
      <w:r>
        <w:rPr>
          <w:rFonts w:hint="eastAsia" w:ascii="仿宋_GB2312" w:eastAsia="仿宋_GB2312"/>
          <w:color w:val="000000"/>
          <w:sz w:val="32"/>
          <w:szCs w:val="32"/>
        </w:rPr>
        <w:t>因公出国（境）支出决算比</w:t>
      </w:r>
      <w:r>
        <w:rPr>
          <w:rFonts w:hint="eastAsia" w:ascii="仿宋_GB2312" w:eastAsia="仿宋_GB2312"/>
          <w:color w:val="000000"/>
          <w:sz w:val="32"/>
          <w:szCs w:val="32"/>
          <w:lang w:eastAsia="zh-CN"/>
        </w:rPr>
        <w:t>2021</w:t>
      </w:r>
      <w:r>
        <w:rPr>
          <w:rFonts w:hint="eastAsia" w:ascii="仿宋_GB2312" w:eastAsia="仿宋_GB2312"/>
          <w:color w:val="000000"/>
          <w:sz w:val="32"/>
          <w:szCs w:val="32"/>
        </w:rPr>
        <w:t>年增加</w:t>
      </w:r>
      <w:r>
        <w:rPr>
          <w:rFonts w:ascii="仿宋_GB2312" w:eastAsia="仿宋_GB2312"/>
          <w:color w:val="000000"/>
          <w:sz w:val="32"/>
          <w:szCs w:val="32"/>
        </w:rPr>
        <w:t>/</w:t>
      </w:r>
      <w:r>
        <w:rPr>
          <w:rFonts w:hint="eastAsia" w:ascii="仿宋_GB2312" w:eastAsia="仿宋_GB2312"/>
          <w:color w:val="000000"/>
          <w:sz w:val="32"/>
          <w:szCs w:val="32"/>
        </w:rPr>
        <w:t>减少</w:t>
      </w:r>
      <w:r>
        <w:rPr>
          <w:rFonts w:ascii="仿宋_GB2312" w:eastAsia="仿宋_GB2312"/>
          <w:color w:val="000000"/>
          <w:sz w:val="32"/>
          <w:szCs w:val="32"/>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ascii="仿宋_GB2312" w:eastAsia="仿宋_GB2312"/>
          <w:color w:val="000000"/>
          <w:sz w:val="32"/>
          <w:szCs w:val="32"/>
        </w:rPr>
        <w:t>0%</w:t>
      </w:r>
      <w:r>
        <w:rPr>
          <w:rFonts w:hint="eastAsia" w:ascii="仿宋_GB2312" w:eastAsia="仿宋_GB2312"/>
          <w:color w:val="000000"/>
          <w:sz w:val="32"/>
          <w:szCs w:val="32"/>
        </w:rPr>
        <w:t>。</w:t>
      </w:r>
    </w:p>
    <w:p>
      <w:pPr>
        <w:spacing w:line="536" w:lineRule="exact"/>
        <w:ind w:firstLine="643" w:firstLineChars="200"/>
        <w:rPr>
          <w:rFonts w:ascii="仿宋_GB2312" w:eastAsia="仿宋_GB2312"/>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1.99</w:t>
      </w:r>
      <w:r>
        <w:rPr>
          <w:rFonts w:hint="eastAsia" w:ascii="仿宋_GB2312" w:eastAsia="仿宋_GB2312"/>
          <w:color w:val="000000"/>
          <w:sz w:val="32"/>
          <w:szCs w:val="32"/>
        </w:rPr>
        <w:t>万元。其中：</w:t>
      </w:r>
    </w:p>
    <w:p>
      <w:pPr>
        <w:spacing w:line="536" w:lineRule="exact"/>
        <w:ind w:firstLine="643" w:firstLineChars="200"/>
        <w:rPr>
          <w:rFonts w:ascii="仿宋_GB2312" w:eastAsia="仿宋_GB2312"/>
          <w:b/>
          <w:color w:val="000000"/>
          <w:sz w:val="32"/>
          <w:szCs w:val="32"/>
        </w:rPr>
      </w:pPr>
      <w:r>
        <w:rPr>
          <w:rFonts w:hint="eastAsia" w:ascii="仿宋_GB2312" w:eastAsia="仿宋_GB2312"/>
          <w:b/>
          <w:color w:val="000000"/>
          <w:sz w:val="32"/>
          <w:szCs w:val="32"/>
        </w:rPr>
        <w:t>公务用车购置支出</w:t>
      </w:r>
      <w:r>
        <w:rPr>
          <w:rFonts w:ascii="仿宋_GB2312" w:eastAsia="仿宋_GB2312"/>
          <w:color w:val="000000"/>
          <w:sz w:val="32"/>
          <w:szCs w:val="32"/>
        </w:rPr>
        <w:t>0</w:t>
      </w:r>
      <w:r>
        <w:rPr>
          <w:rFonts w:hint="eastAsia" w:ascii="仿宋_GB2312" w:eastAsia="仿宋_GB2312"/>
          <w:color w:val="000000"/>
          <w:sz w:val="32"/>
          <w:szCs w:val="32"/>
        </w:rPr>
        <w:t>万元。全年按规定更新购置公务用车</w:t>
      </w:r>
      <w:r>
        <w:rPr>
          <w:rFonts w:ascii="仿宋_GB2312" w:eastAsia="仿宋_GB2312"/>
          <w:color w:val="000000"/>
          <w:sz w:val="32"/>
          <w:szCs w:val="32"/>
        </w:rPr>
        <w:t>0</w:t>
      </w:r>
      <w:r>
        <w:rPr>
          <w:rFonts w:hint="eastAsia" w:ascii="仿宋_GB2312" w:eastAsia="仿宋_GB2312"/>
          <w:color w:val="000000"/>
          <w:sz w:val="32"/>
          <w:szCs w:val="32"/>
        </w:rPr>
        <w:t>辆，其中：轿车</w:t>
      </w:r>
      <w:r>
        <w:rPr>
          <w:rFonts w:ascii="仿宋_GB2312" w:eastAsia="仿宋_GB2312"/>
          <w:color w:val="000000"/>
          <w:sz w:val="32"/>
          <w:szCs w:val="32"/>
        </w:rPr>
        <w:t>0</w:t>
      </w:r>
      <w:r>
        <w:rPr>
          <w:rFonts w:hint="eastAsia" w:ascii="仿宋_GB2312" w:eastAsia="仿宋_GB2312"/>
          <w:color w:val="000000"/>
          <w:sz w:val="32"/>
          <w:szCs w:val="32"/>
        </w:rPr>
        <w:t>辆、金额</w:t>
      </w:r>
      <w:r>
        <w:rPr>
          <w:rFonts w:ascii="仿宋_GB2312" w:eastAsia="仿宋_GB2312"/>
          <w:color w:val="000000"/>
          <w:sz w:val="32"/>
          <w:szCs w:val="32"/>
        </w:rPr>
        <w:t>0</w:t>
      </w:r>
      <w:r>
        <w:rPr>
          <w:rFonts w:hint="eastAsia" w:ascii="仿宋_GB2312" w:eastAsia="仿宋_GB2312"/>
          <w:color w:val="000000"/>
          <w:sz w:val="32"/>
          <w:szCs w:val="32"/>
        </w:rPr>
        <w:t>万元，越野车</w:t>
      </w:r>
      <w:r>
        <w:rPr>
          <w:rFonts w:ascii="仿宋_GB2312" w:eastAsia="仿宋_GB2312"/>
          <w:color w:val="000000"/>
          <w:sz w:val="32"/>
          <w:szCs w:val="32"/>
        </w:rPr>
        <w:t>0</w:t>
      </w:r>
      <w:r>
        <w:rPr>
          <w:rFonts w:hint="eastAsia" w:ascii="仿宋_GB2312" w:eastAsia="仿宋_GB2312"/>
          <w:color w:val="000000"/>
          <w:sz w:val="32"/>
          <w:szCs w:val="32"/>
        </w:rPr>
        <w:t>辆、金额</w:t>
      </w:r>
      <w:r>
        <w:rPr>
          <w:rFonts w:ascii="仿宋_GB2312" w:eastAsia="仿宋_GB2312"/>
          <w:color w:val="000000"/>
          <w:sz w:val="32"/>
          <w:szCs w:val="32"/>
        </w:rPr>
        <w:t>0</w:t>
      </w:r>
      <w:r>
        <w:rPr>
          <w:rFonts w:hint="eastAsia" w:ascii="仿宋_GB2312" w:eastAsia="仿宋_GB2312"/>
          <w:color w:val="000000"/>
          <w:sz w:val="32"/>
          <w:szCs w:val="32"/>
        </w:rPr>
        <w:t>万元，载客汽车</w:t>
      </w:r>
      <w:r>
        <w:rPr>
          <w:rFonts w:ascii="仿宋_GB2312" w:eastAsia="仿宋_GB2312"/>
          <w:color w:val="000000"/>
          <w:sz w:val="32"/>
          <w:szCs w:val="32"/>
        </w:rPr>
        <w:t>0</w:t>
      </w:r>
      <w:r>
        <w:rPr>
          <w:rFonts w:hint="eastAsia" w:ascii="仿宋_GB2312" w:eastAsia="仿宋_GB2312"/>
          <w:color w:val="000000"/>
          <w:sz w:val="32"/>
          <w:szCs w:val="32"/>
        </w:rPr>
        <w:t>辆、金额</w:t>
      </w:r>
      <w:r>
        <w:rPr>
          <w:rFonts w:ascii="仿宋_GB2312" w:eastAsia="仿宋_GB2312"/>
          <w:color w:val="000000"/>
          <w:sz w:val="32"/>
          <w:szCs w:val="32"/>
        </w:rPr>
        <w:t>0</w:t>
      </w:r>
      <w:r>
        <w:rPr>
          <w:rFonts w:hint="eastAsia" w:ascii="仿宋_GB2312" w:eastAsia="仿宋_GB2312"/>
          <w:color w:val="000000"/>
          <w:sz w:val="32"/>
          <w:szCs w:val="32"/>
        </w:rPr>
        <w:t>万元。截至</w:t>
      </w:r>
      <w:r>
        <w:rPr>
          <w:rFonts w:hint="eastAsia" w:ascii="仿宋_GB2312" w:eastAsia="仿宋_GB2312"/>
          <w:color w:val="000000"/>
          <w:sz w:val="32"/>
          <w:szCs w:val="32"/>
          <w:lang w:eastAsia="zh-CN"/>
        </w:rPr>
        <w:t>2022</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辆、越野车</w:t>
      </w:r>
      <w:r>
        <w:rPr>
          <w:rFonts w:ascii="仿宋_GB2312" w:eastAsia="仿宋_GB2312"/>
          <w:color w:val="000000"/>
          <w:sz w:val="32"/>
          <w:szCs w:val="32"/>
        </w:rPr>
        <w:t>0</w:t>
      </w:r>
      <w:r>
        <w:rPr>
          <w:rFonts w:hint="eastAsia" w:ascii="仿宋_GB2312" w:eastAsia="仿宋_GB2312"/>
          <w:color w:val="000000"/>
          <w:sz w:val="32"/>
          <w:szCs w:val="32"/>
        </w:rPr>
        <w:t>辆、载客汽车</w:t>
      </w:r>
      <w:r>
        <w:rPr>
          <w:rFonts w:ascii="仿宋_GB2312" w:eastAsia="仿宋_GB2312"/>
          <w:color w:val="000000"/>
          <w:sz w:val="32"/>
          <w:szCs w:val="32"/>
        </w:rPr>
        <w:t>0</w:t>
      </w:r>
      <w:r>
        <w:rPr>
          <w:rFonts w:hint="eastAsia" w:ascii="仿宋_GB2312" w:eastAsia="仿宋_GB2312"/>
          <w:color w:val="000000"/>
          <w:sz w:val="32"/>
          <w:szCs w:val="32"/>
        </w:rPr>
        <w:t>辆。</w:t>
      </w:r>
    </w:p>
    <w:p>
      <w:pPr>
        <w:spacing w:line="536"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1.99</w:t>
      </w:r>
      <w:r>
        <w:rPr>
          <w:rFonts w:hint="eastAsia" w:ascii="仿宋_GB2312" w:eastAsia="仿宋_GB2312"/>
          <w:color w:val="000000"/>
          <w:sz w:val="32"/>
          <w:szCs w:val="32"/>
        </w:rPr>
        <w:t>万元。主要用于日常办公所需的公务用车燃料费、维修费、过路过桥费、保险费等支出。</w:t>
      </w:r>
    </w:p>
    <w:p>
      <w:pPr>
        <w:spacing w:line="536" w:lineRule="exact"/>
        <w:ind w:firstLine="640"/>
        <w:rPr>
          <w:rFonts w:ascii="仿宋_GB2312" w:eastAsia="仿宋_GB2312"/>
          <w:color w:val="000000"/>
          <w:sz w:val="32"/>
          <w:szCs w:val="32"/>
        </w:rPr>
      </w:pPr>
      <w:r>
        <w:rPr>
          <w:rFonts w:hint="eastAsia" w:ascii="仿宋_GB2312" w:eastAsia="仿宋_GB2312"/>
          <w:color w:val="000000"/>
          <w:sz w:val="32"/>
          <w:szCs w:val="32"/>
        </w:rPr>
        <w:t>公务用车购置及运行维护费支出决算比</w:t>
      </w:r>
      <w:r>
        <w:rPr>
          <w:rFonts w:hint="eastAsia" w:ascii="仿宋_GB2312" w:eastAsia="仿宋_GB2312"/>
          <w:color w:val="000000"/>
          <w:sz w:val="32"/>
          <w:szCs w:val="32"/>
          <w:lang w:eastAsia="zh-CN"/>
        </w:rPr>
        <w:t>2021</w:t>
      </w:r>
      <w:r>
        <w:rPr>
          <w:rFonts w:hint="eastAsia" w:ascii="仿宋_GB2312" w:eastAsia="仿宋_GB2312"/>
          <w:color w:val="000000"/>
          <w:sz w:val="32"/>
          <w:szCs w:val="32"/>
        </w:rPr>
        <w:t>年减少</w:t>
      </w:r>
      <w:r>
        <w:rPr>
          <w:rFonts w:ascii="仿宋_GB2312" w:eastAsia="仿宋_GB2312"/>
          <w:color w:val="000000"/>
          <w:sz w:val="32"/>
          <w:szCs w:val="32"/>
        </w:rPr>
        <w:t>0.</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0.47</w:t>
      </w:r>
      <w:r>
        <w:rPr>
          <w:rFonts w:ascii="仿宋_GB2312" w:eastAsia="仿宋_GB2312"/>
          <w:color w:val="000000"/>
          <w:sz w:val="32"/>
          <w:szCs w:val="32"/>
        </w:rPr>
        <w:t>%</w:t>
      </w:r>
      <w:r>
        <w:rPr>
          <w:rFonts w:hint="eastAsia" w:ascii="仿宋_GB2312" w:eastAsia="仿宋_GB2312"/>
          <w:color w:val="000000"/>
          <w:sz w:val="32"/>
          <w:szCs w:val="32"/>
        </w:rPr>
        <w:t>。主要原因是严格管理公务用车运行。</w:t>
      </w:r>
    </w:p>
    <w:p>
      <w:pPr>
        <w:spacing w:line="536" w:lineRule="exact"/>
        <w:rPr>
          <w:rFonts w:ascii="仿宋_GB2312" w:eastAsia="仿宋_GB2312"/>
          <w:color w:val="000000"/>
          <w:sz w:val="32"/>
          <w:szCs w:val="32"/>
        </w:rPr>
      </w:pPr>
      <w:r>
        <w:drawing>
          <wp:anchor distT="0" distB="0" distL="114300" distR="114300" simplePos="0" relativeHeight="251660288" behindDoc="0" locked="0" layoutInCell="1" allowOverlap="1">
            <wp:simplePos x="0" y="0"/>
            <wp:positionH relativeFrom="column">
              <wp:posOffset>474345</wp:posOffset>
            </wp:positionH>
            <wp:positionV relativeFrom="paragraph">
              <wp:posOffset>120015</wp:posOffset>
            </wp:positionV>
            <wp:extent cx="4260850" cy="1670685"/>
            <wp:effectExtent l="4445" t="4445" r="14605" b="39370"/>
            <wp:wrapNone/>
            <wp:docPr id="8" name="图表 3" descr="7b0a202020202263686172745265734964223a20223230333532363935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pPr>
        <w:spacing w:line="536" w:lineRule="exact"/>
        <w:ind w:firstLine="640"/>
        <w:rPr>
          <w:rFonts w:ascii="仿宋_GB2312" w:eastAsia="仿宋_GB2312"/>
          <w:color w:val="000000"/>
          <w:sz w:val="32"/>
          <w:szCs w:val="32"/>
        </w:rPr>
      </w:pPr>
    </w:p>
    <w:p>
      <w:pPr>
        <w:spacing w:line="536" w:lineRule="exact"/>
        <w:ind w:firstLine="640"/>
        <w:rPr>
          <w:rFonts w:ascii="仿宋_GB2312" w:eastAsia="仿宋_GB2312"/>
          <w:color w:val="000000"/>
          <w:sz w:val="32"/>
          <w:szCs w:val="32"/>
        </w:rPr>
      </w:pPr>
    </w:p>
    <w:p>
      <w:pPr>
        <w:spacing w:line="536" w:lineRule="exact"/>
        <w:ind w:firstLine="640"/>
        <w:rPr>
          <w:rFonts w:ascii="仿宋_GB2312" w:eastAsia="仿宋_GB2312"/>
          <w:color w:val="000000"/>
          <w:sz w:val="32"/>
          <w:szCs w:val="32"/>
        </w:rPr>
      </w:pPr>
    </w:p>
    <w:p>
      <w:pPr>
        <w:spacing w:line="536" w:lineRule="exact"/>
        <w:rPr>
          <w:rFonts w:ascii="仿宋_GB2312" w:eastAsia="仿宋_GB2312"/>
          <w:b/>
          <w:color w:val="000000"/>
          <w:sz w:val="32"/>
          <w:szCs w:val="32"/>
        </w:rPr>
      </w:pPr>
    </w:p>
    <w:p>
      <w:pPr>
        <w:spacing w:line="536" w:lineRule="exact"/>
        <w:ind w:firstLine="643" w:firstLineChars="200"/>
        <w:rPr>
          <w:rFonts w:ascii="仿宋_GB2312" w:eastAsia="仿宋_GB2312"/>
          <w:b/>
          <w:color w:val="000000"/>
          <w:sz w:val="32"/>
          <w:szCs w:val="32"/>
        </w:rPr>
      </w:pPr>
    </w:p>
    <w:p>
      <w:pPr>
        <w:spacing w:line="536" w:lineRule="exact"/>
        <w:ind w:firstLine="643" w:firstLineChars="20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0.4</w:t>
      </w:r>
      <w:r>
        <w:rPr>
          <w:rFonts w:hint="eastAsia" w:ascii="仿宋_GB2312" w:eastAsia="仿宋_GB2312"/>
          <w:color w:val="000000"/>
          <w:sz w:val="32"/>
          <w:szCs w:val="32"/>
        </w:rPr>
        <w:t>万元。主要用于执行公务、开展业务活动开支的交通费、住宿费、用餐费等。国内公务接待</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0.4</w:t>
      </w:r>
      <w:r>
        <w:rPr>
          <w:rFonts w:hint="eastAsia" w:ascii="仿宋_GB2312" w:eastAsia="仿宋_GB2312"/>
          <w:color w:val="000000"/>
          <w:sz w:val="32"/>
          <w:szCs w:val="32"/>
        </w:rPr>
        <w:t>万元。</w:t>
      </w:r>
    </w:p>
    <w:p>
      <w:pPr>
        <w:spacing w:line="536" w:lineRule="exact"/>
        <w:rPr>
          <w:rFonts w:ascii="仿宋_GB2312" w:eastAsia="仿宋_GB2312"/>
          <w:color w:val="000000"/>
          <w:sz w:val="32"/>
          <w:szCs w:val="32"/>
        </w:rPr>
      </w:pPr>
      <w:r>
        <w:drawing>
          <wp:anchor distT="0" distB="0" distL="114300" distR="114300" simplePos="0" relativeHeight="251659264" behindDoc="0" locked="0" layoutInCell="1" allowOverlap="1">
            <wp:simplePos x="0" y="0"/>
            <wp:positionH relativeFrom="column">
              <wp:posOffset>404495</wp:posOffset>
            </wp:positionH>
            <wp:positionV relativeFrom="paragraph">
              <wp:posOffset>289560</wp:posOffset>
            </wp:positionV>
            <wp:extent cx="4476115" cy="1696085"/>
            <wp:effectExtent l="4445" t="5080" r="15240" b="38735"/>
            <wp:wrapNone/>
            <wp:docPr id="7" name="图表 2" descr="7b0a202020202263686172745265734964223a20223230343734393834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pPr>
        <w:spacing w:line="536" w:lineRule="exact"/>
        <w:rPr>
          <w:rFonts w:ascii="仿宋_GB2312" w:eastAsia="仿宋_GB2312"/>
          <w:color w:val="000000"/>
          <w:sz w:val="32"/>
          <w:szCs w:val="32"/>
        </w:rPr>
      </w:pPr>
    </w:p>
    <w:p>
      <w:pPr>
        <w:spacing w:line="536" w:lineRule="exact"/>
        <w:rPr>
          <w:rFonts w:ascii="仿宋_GB2312" w:eastAsia="仿宋_GB2312"/>
          <w:color w:val="000000"/>
          <w:sz w:val="32"/>
          <w:szCs w:val="32"/>
        </w:rPr>
      </w:pPr>
    </w:p>
    <w:p>
      <w:pPr>
        <w:spacing w:line="536" w:lineRule="exact"/>
        <w:rPr>
          <w:rFonts w:ascii="仿宋_GB2312" w:eastAsia="仿宋_GB2312"/>
          <w:color w:val="000000"/>
          <w:sz w:val="32"/>
          <w:szCs w:val="32"/>
        </w:rPr>
      </w:pPr>
    </w:p>
    <w:p>
      <w:pPr>
        <w:spacing w:line="536" w:lineRule="exact"/>
        <w:rPr>
          <w:rFonts w:ascii="仿宋_GB2312" w:eastAsia="仿宋_GB2312"/>
          <w:color w:val="000000"/>
          <w:sz w:val="32"/>
          <w:szCs w:val="32"/>
        </w:rPr>
      </w:pPr>
    </w:p>
    <w:p>
      <w:pPr>
        <w:spacing w:line="600" w:lineRule="exact"/>
        <w:rPr>
          <w:rFonts w:ascii="仿宋_GB2312" w:eastAsia="仿宋_GB2312"/>
          <w:color w:val="000000"/>
          <w:sz w:val="32"/>
          <w:szCs w:val="32"/>
        </w:rPr>
      </w:pPr>
    </w:p>
    <w:p>
      <w:pPr>
        <w:spacing w:line="600" w:lineRule="exact"/>
        <w:ind w:firstLine="640"/>
        <w:outlineLvl w:val="1"/>
        <w:rPr>
          <w:rFonts w:ascii="仿宋_GB2312" w:eastAsia="仿宋_GB2312"/>
          <w:color w:val="000000"/>
          <w:sz w:val="32"/>
          <w:szCs w:val="32"/>
        </w:rPr>
      </w:pPr>
      <w:bookmarkStart w:id="57" w:name="_Toc1421"/>
      <w:r>
        <w:rPr>
          <w:rFonts w:hint="eastAsia" w:ascii="仿宋" w:eastAsia="仿宋"/>
          <w:b/>
          <w:color w:val="000000"/>
          <w:sz w:val="32"/>
          <w:szCs w:val="32"/>
        </w:rPr>
        <w:t>外事接待支出</w:t>
      </w:r>
      <w:r>
        <w:rPr>
          <w:rFonts w:ascii="仿宋" w:eastAsia="仿宋"/>
          <w:color w:val="000000"/>
          <w:sz w:val="32"/>
          <w:szCs w:val="32"/>
        </w:rPr>
        <w:t>0</w:t>
      </w:r>
      <w:r>
        <w:rPr>
          <w:rFonts w:hint="eastAsia" w:ascii="仿宋_GB2312" w:eastAsia="仿宋_GB2312"/>
          <w:color w:val="000000"/>
          <w:sz w:val="32"/>
          <w:szCs w:val="32"/>
        </w:rPr>
        <w:t>万元，外事接待</w:t>
      </w:r>
      <w:r>
        <w:rPr>
          <w:rFonts w:ascii="仿宋_GB2312" w:eastAsia="仿宋_GB2312"/>
          <w:color w:val="000000"/>
          <w:sz w:val="32"/>
          <w:szCs w:val="32"/>
        </w:rPr>
        <w:t>0</w:t>
      </w:r>
      <w:r>
        <w:rPr>
          <w:rFonts w:hint="eastAsia" w:ascii="仿宋_GB2312" w:eastAsia="仿宋_GB2312"/>
          <w:color w:val="000000"/>
          <w:sz w:val="32"/>
          <w:szCs w:val="32"/>
        </w:rPr>
        <w:t>批次，</w:t>
      </w:r>
      <w:r>
        <w:rPr>
          <w:rFonts w:ascii="仿宋_GB2312" w:eastAsia="仿宋_GB2312"/>
          <w:color w:val="000000"/>
          <w:sz w:val="32"/>
          <w:szCs w:val="32"/>
        </w:rPr>
        <w:t>0</w:t>
      </w:r>
      <w:r>
        <w:rPr>
          <w:rFonts w:hint="eastAsia" w:ascii="仿宋_GB2312" w:eastAsia="仿宋_GB2312"/>
          <w:color w:val="000000"/>
          <w:sz w:val="32"/>
          <w:szCs w:val="32"/>
        </w:rPr>
        <w:t>人，共计支出</w:t>
      </w:r>
      <w:r>
        <w:rPr>
          <w:rFonts w:ascii="仿宋_GB2312" w:eastAsia="仿宋_GB2312"/>
          <w:color w:val="000000"/>
          <w:sz w:val="32"/>
          <w:szCs w:val="32"/>
        </w:rPr>
        <w:t>0</w:t>
      </w:r>
      <w:r>
        <w:rPr>
          <w:rFonts w:hint="eastAsia" w:ascii="仿宋_GB2312" w:eastAsia="仿宋_GB2312"/>
          <w:color w:val="000000"/>
          <w:sz w:val="32"/>
          <w:szCs w:val="32"/>
        </w:rPr>
        <w:t>万元。</w:t>
      </w:r>
      <w:bookmarkEnd w:id="57"/>
      <w:bookmarkStart w:id="58" w:name="_Toc15396610"/>
      <w:bookmarkStart w:id="59" w:name="_Toc15377218"/>
    </w:p>
    <w:p>
      <w:pPr>
        <w:spacing w:line="600" w:lineRule="exact"/>
        <w:ind w:firstLine="640"/>
        <w:outlineLvl w:val="1"/>
        <w:rPr>
          <w:rStyle w:val="19"/>
          <w:rFonts w:ascii="黑体" w:eastAsia="黑体"/>
        </w:rPr>
      </w:pPr>
      <w:bookmarkStart w:id="60" w:name="_Toc1438"/>
      <w:r>
        <w:rPr>
          <w:rFonts w:hint="eastAsia" w:ascii="黑体" w:eastAsia="黑体"/>
          <w:color w:val="000000"/>
          <w:sz w:val="32"/>
          <w:szCs w:val="32"/>
        </w:rPr>
        <w:t>八、</w:t>
      </w:r>
      <w:r>
        <w:rPr>
          <w:rStyle w:val="19"/>
          <w:rFonts w:hint="eastAsia" w:ascii="黑体" w:eastAsia="黑体"/>
          <w:b w:val="0"/>
        </w:rPr>
        <w:t>政府性基金预算支出决算情况说明</w:t>
      </w:r>
      <w:bookmarkEnd w:id="58"/>
      <w:bookmarkEnd w:id="59"/>
      <w:bookmarkEnd w:id="60"/>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2022</w:t>
      </w:r>
      <w:r>
        <w:rPr>
          <w:rFonts w:hint="eastAsia" w:ascii="仿宋_GB2312" w:eastAsia="仿宋_GB2312"/>
          <w:color w:val="000000"/>
          <w:sz w:val="32"/>
          <w:szCs w:val="32"/>
        </w:rPr>
        <w:t>年政府性基金预算拨款支出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numPr>
          <w:ilvl w:val="0"/>
          <w:numId w:val="2"/>
        </w:numPr>
        <w:spacing w:line="600" w:lineRule="exact"/>
        <w:ind w:firstLine="640"/>
        <w:outlineLvl w:val="1"/>
        <w:rPr>
          <w:rStyle w:val="19"/>
          <w:rFonts w:ascii="黑体" w:eastAsia="黑体"/>
          <w:b w:val="0"/>
        </w:rPr>
      </w:pPr>
      <w:bookmarkStart w:id="61" w:name="_Toc15396611"/>
      <w:bookmarkStart w:id="62" w:name="_Toc3946"/>
      <w:bookmarkStart w:id="63" w:name="_Toc15377219"/>
      <w:r>
        <w:rPr>
          <w:rStyle w:val="19"/>
          <w:rFonts w:hint="eastAsia" w:ascii="黑体" w:eastAsia="黑体"/>
          <w:b w:val="0"/>
        </w:rPr>
        <w:t>国有资本经营预算支出决算情况说明</w:t>
      </w:r>
      <w:bookmarkEnd w:id="61"/>
      <w:bookmarkEnd w:id="62"/>
      <w:bookmarkEnd w:id="63"/>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2022</w:t>
      </w:r>
      <w:r>
        <w:rPr>
          <w:rFonts w:hint="eastAsia" w:ascii="仿宋_GB2312" w:eastAsia="仿宋_GB2312"/>
          <w:color w:val="000000"/>
          <w:sz w:val="32"/>
          <w:szCs w:val="32"/>
        </w:rPr>
        <w:t>年国有资本经营预算拨款支出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600" w:lineRule="exact"/>
        <w:ind w:firstLine="640" w:firstLineChars="200"/>
        <w:outlineLvl w:val="1"/>
        <w:rPr>
          <w:rStyle w:val="19"/>
          <w:rFonts w:ascii="黑体" w:eastAsia="黑体"/>
        </w:rPr>
      </w:pPr>
      <w:bookmarkStart w:id="64" w:name="_Toc20625"/>
      <w:bookmarkStart w:id="65" w:name="_Toc15396612"/>
      <w:bookmarkStart w:id="66" w:name="_Toc15377221"/>
      <w:r>
        <w:rPr>
          <w:rFonts w:hint="eastAsia" w:ascii="黑体" w:eastAsia="黑体"/>
          <w:color w:val="000000"/>
          <w:sz w:val="32"/>
          <w:szCs w:val="32"/>
        </w:rPr>
        <w:t>十</w:t>
      </w:r>
      <w:r>
        <w:rPr>
          <w:rStyle w:val="19"/>
          <w:rFonts w:hint="eastAsia" w:ascii="黑体" w:eastAsia="黑体"/>
        </w:rPr>
        <w:t>、</w:t>
      </w:r>
      <w:r>
        <w:rPr>
          <w:rStyle w:val="19"/>
          <w:rFonts w:hint="eastAsia" w:ascii="黑体" w:eastAsia="黑体"/>
          <w:b w:val="0"/>
        </w:rPr>
        <w:t>其他重要事项的情况说明</w:t>
      </w:r>
      <w:bookmarkEnd w:id="64"/>
      <w:bookmarkEnd w:id="65"/>
      <w:bookmarkEnd w:id="66"/>
    </w:p>
    <w:p>
      <w:pPr>
        <w:spacing w:line="580" w:lineRule="exact"/>
        <w:ind w:firstLine="643" w:firstLineChars="200"/>
        <w:rPr>
          <w:rFonts w:ascii="楷体_GB2312" w:hAnsi="楷体_GB2312" w:eastAsia="楷体_GB2312" w:cs="楷体_GB2312"/>
          <w:b/>
          <w:bCs/>
          <w:sz w:val="32"/>
          <w:szCs w:val="32"/>
        </w:rPr>
      </w:pPr>
      <w:bookmarkStart w:id="67" w:name="_Toc15377222"/>
      <w:r>
        <w:rPr>
          <w:rFonts w:hint="eastAsia" w:ascii="楷体_GB2312" w:hAnsi="楷体_GB2312" w:eastAsia="楷体_GB2312" w:cs="楷体_GB2312"/>
          <w:b/>
          <w:bCs/>
          <w:sz w:val="32"/>
          <w:szCs w:val="32"/>
        </w:rPr>
        <w:t>（一）机关运行经费支出情况</w:t>
      </w:r>
      <w:bookmarkEnd w:id="67"/>
    </w:p>
    <w:p>
      <w:pPr>
        <w:spacing w:line="580" w:lineRule="exact"/>
        <w:ind w:firstLine="640" w:firstLineChars="200"/>
        <w:rPr>
          <w:rFonts w:hint="eastAsia" w:ascii="仿宋_GB2312" w:eastAsia="仿宋_GB2312"/>
          <w:sz w:val="32"/>
          <w:szCs w:val="32"/>
        </w:rPr>
      </w:pPr>
      <w:bookmarkStart w:id="68" w:name="_Toc15377223"/>
      <w:r>
        <w:rPr>
          <w:rFonts w:hint="eastAsia" w:ascii="仿宋_GB2312" w:eastAsia="仿宋_GB2312"/>
          <w:sz w:val="32"/>
          <w:szCs w:val="32"/>
          <w:lang w:eastAsia="zh-CN"/>
        </w:rPr>
        <w:t>2022</w:t>
      </w:r>
      <w:r>
        <w:rPr>
          <w:rFonts w:hint="eastAsia" w:ascii="仿宋_GB2312" w:eastAsia="仿宋_GB2312"/>
          <w:sz w:val="32"/>
          <w:szCs w:val="32"/>
        </w:rPr>
        <w:t>年，机关运行经费支出</w:t>
      </w:r>
      <w:r>
        <w:rPr>
          <w:rFonts w:hint="eastAsia" w:ascii="仿宋_GB2312" w:eastAsia="仿宋_GB2312"/>
          <w:sz w:val="32"/>
          <w:szCs w:val="32"/>
          <w:lang w:val="en-US" w:eastAsia="zh-CN"/>
        </w:rPr>
        <w:t>15.75</w:t>
      </w:r>
      <w:r>
        <w:rPr>
          <w:rFonts w:hint="eastAsia" w:ascii="仿宋_GB2312" w:eastAsia="仿宋_GB2312"/>
          <w:sz w:val="32"/>
          <w:szCs w:val="32"/>
        </w:rPr>
        <w:t>万元，比</w:t>
      </w:r>
      <w:r>
        <w:rPr>
          <w:rFonts w:hint="eastAsia" w:ascii="仿宋_GB2312" w:eastAsia="仿宋_GB2312"/>
          <w:sz w:val="32"/>
          <w:szCs w:val="32"/>
          <w:lang w:val="en-US" w:eastAsia="zh-CN"/>
        </w:rPr>
        <w:t>2021</w:t>
      </w:r>
      <w:r>
        <w:rPr>
          <w:rFonts w:hint="eastAsia" w:ascii="仿宋_GB2312" w:eastAsia="仿宋_GB2312"/>
          <w:sz w:val="32"/>
          <w:szCs w:val="32"/>
        </w:rPr>
        <w:t>年减少</w:t>
      </w:r>
      <w:r>
        <w:rPr>
          <w:rFonts w:hint="eastAsia" w:ascii="仿宋_GB2312" w:eastAsia="仿宋_GB2312"/>
          <w:sz w:val="32"/>
          <w:szCs w:val="32"/>
          <w:lang w:val="en-US" w:eastAsia="zh-CN"/>
        </w:rPr>
        <w:t>15.9</w:t>
      </w:r>
      <w:r>
        <w:rPr>
          <w:rFonts w:hint="eastAsia" w:ascii="仿宋_GB2312" w:eastAsia="仿宋_GB2312"/>
          <w:sz w:val="32"/>
          <w:szCs w:val="32"/>
        </w:rPr>
        <w:t>万元，下降</w:t>
      </w:r>
      <w:r>
        <w:rPr>
          <w:rFonts w:hint="eastAsia" w:ascii="仿宋_GB2312" w:eastAsia="仿宋_GB2312"/>
          <w:sz w:val="32"/>
          <w:szCs w:val="32"/>
          <w:lang w:val="en-US" w:eastAsia="zh-CN"/>
        </w:rPr>
        <w:t>50.24</w:t>
      </w:r>
      <w:r>
        <w:rPr>
          <w:rFonts w:hint="eastAsia" w:ascii="仿宋_GB2312" w:eastAsia="仿宋_GB2312"/>
          <w:sz w:val="32"/>
          <w:szCs w:val="32"/>
        </w:rPr>
        <w:t>%。主要原因是</w:t>
      </w:r>
      <w:r>
        <w:rPr>
          <w:rFonts w:hint="eastAsia" w:ascii="仿宋_GB2312" w:eastAsia="仿宋_GB2312"/>
          <w:sz w:val="32"/>
          <w:szCs w:val="32"/>
          <w:lang w:val="en-US" w:eastAsia="zh-CN"/>
        </w:rPr>
        <w:t>新制度下参公独立核算</w:t>
      </w:r>
      <w:r>
        <w:rPr>
          <w:rFonts w:hint="eastAsia" w:ascii="仿宋_GB2312" w:eastAsia="仿宋_GB2312"/>
          <w:sz w:val="32"/>
          <w:szCs w:val="32"/>
          <w:lang w:eastAsia="zh-CN"/>
        </w:rPr>
        <w:t>；</w:t>
      </w:r>
      <w:r>
        <w:rPr>
          <w:rFonts w:hint="eastAsia" w:ascii="仿宋_GB2312" w:eastAsia="仿宋_GB2312"/>
          <w:sz w:val="32"/>
          <w:szCs w:val="32"/>
          <w:lang w:val="en-US" w:eastAsia="zh-CN"/>
        </w:rPr>
        <w:t>加之严控经费、疫情防控等影响，差旅费和公务用车运行费等有所下降。</w:t>
      </w:r>
    </w:p>
    <w:p>
      <w:pPr>
        <w:spacing w:line="580"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（二）政府采购支出情况</w:t>
      </w:r>
      <w:bookmarkEnd w:id="68"/>
    </w:p>
    <w:p>
      <w:pPr>
        <w:spacing w:line="536" w:lineRule="exact"/>
        <w:ind w:firstLine="640" w:firstLineChars="200"/>
        <w:rPr>
          <w:rFonts w:ascii="仿宋_GB2312" w:eastAsia="仿宋_GB2312"/>
          <w:color w:val="000000"/>
          <w:sz w:val="32"/>
          <w:szCs w:val="32"/>
        </w:rPr>
      </w:pPr>
      <w:bookmarkStart w:id="69" w:name="_Toc15377224"/>
      <w:r>
        <w:rPr>
          <w:rFonts w:hint="eastAsia" w:ascii="仿宋_GB2312" w:eastAsia="仿宋_GB2312"/>
          <w:color w:val="000000"/>
          <w:sz w:val="32"/>
          <w:szCs w:val="32"/>
          <w:lang w:eastAsia="zh-CN"/>
        </w:rPr>
        <w:t>2022</w:t>
      </w:r>
      <w:r>
        <w:rPr>
          <w:rFonts w:hint="eastAsia" w:ascii="仿宋_GB2312" w:eastAsia="仿宋_GB2312"/>
          <w:color w:val="000000"/>
          <w:sz w:val="32"/>
          <w:szCs w:val="32"/>
        </w:rPr>
        <w:t>年度，政府采购支出总额</w:t>
      </w:r>
      <w:r>
        <w:rPr>
          <w:rFonts w:ascii="仿宋_GB2312" w:eastAsia="仿宋_GB2312"/>
          <w:color w:val="000000"/>
          <w:sz w:val="32"/>
          <w:szCs w:val="32"/>
        </w:rPr>
        <w:t>0</w:t>
      </w:r>
      <w:r>
        <w:rPr>
          <w:rFonts w:hint="eastAsia" w:ascii="仿宋_GB2312" w:eastAsia="仿宋_GB2312"/>
          <w:color w:val="000000"/>
          <w:sz w:val="32"/>
          <w:szCs w:val="32"/>
        </w:rPr>
        <w:t>万元，其中：政府采购货物支出</w:t>
      </w:r>
      <w:r>
        <w:rPr>
          <w:rFonts w:ascii="仿宋_GB2312" w:eastAsia="仿宋_GB2312"/>
          <w:color w:val="000000"/>
          <w:sz w:val="32"/>
          <w:szCs w:val="32"/>
        </w:rPr>
        <w:t>0</w:t>
      </w:r>
      <w:r>
        <w:rPr>
          <w:rFonts w:hint="eastAsia" w:ascii="仿宋_GB2312" w:eastAsia="仿宋_GB2312"/>
          <w:color w:val="000000"/>
          <w:sz w:val="32"/>
          <w:szCs w:val="32"/>
        </w:rPr>
        <w:t>万元、政府采购工程支出</w:t>
      </w:r>
      <w:r>
        <w:rPr>
          <w:rFonts w:ascii="仿宋_GB2312" w:eastAsia="仿宋_GB2312"/>
          <w:color w:val="000000"/>
          <w:sz w:val="32"/>
          <w:szCs w:val="32"/>
        </w:rPr>
        <w:t>0</w:t>
      </w:r>
      <w:r>
        <w:rPr>
          <w:rFonts w:hint="eastAsia" w:ascii="仿宋_GB2312" w:eastAsia="仿宋_GB2312"/>
          <w:color w:val="000000"/>
          <w:sz w:val="32"/>
          <w:szCs w:val="32"/>
        </w:rPr>
        <w:t>万元、政府采购服务支出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580"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（三）国有资产占有使用情况</w:t>
      </w:r>
      <w:bookmarkEnd w:id="69"/>
    </w:p>
    <w:p>
      <w:pPr>
        <w:autoSpaceDE w:val="0"/>
        <w:autoSpaceDN w:val="0"/>
        <w:adjustRightInd w:val="0"/>
        <w:spacing w:line="536" w:lineRule="exact"/>
        <w:ind w:firstLine="640" w:firstLineChars="200"/>
        <w:jc w:val="left"/>
        <w:rPr>
          <w:rFonts w:hint="eastAsia" w:ascii="仿宋_GB2312" w:eastAsia="仿宋_GB2312"/>
          <w:color w:val="000000"/>
          <w:sz w:val="32"/>
          <w:szCs w:val="32"/>
        </w:rPr>
      </w:pPr>
      <w:bookmarkStart w:id="70" w:name="_Toc15396613"/>
      <w:bookmarkStart w:id="71" w:name="_Toc15377225"/>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2022</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辆，其中：部级领导干部用车</w:t>
      </w:r>
      <w:r>
        <w:rPr>
          <w:rFonts w:ascii="仿宋_GB2312" w:eastAsia="仿宋_GB2312"/>
          <w:color w:val="000000"/>
          <w:sz w:val="32"/>
          <w:szCs w:val="32"/>
        </w:rPr>
        <w:t>0</w:t>
      </w:r>
      <w:r>
        <w:rPr>
          <w:rFonts w:hint="eastAsia" w:ascii="仿宋_GB2312" w:eastAsia="仿宋_GB2312"/>
          <w:color w:val="000000"/>
          <w:sz w:val="32"/>
          <w:szCs w:val="32"/>
        </w:rPr>
        <w:t>辆、一般公务用车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辆、一般执法执勤用车</w:t>
      </w:r>
      <w:r>
        <w:rPr>
          <w:rFonts w:ascii="仿宋_GB2312" w:eastAsia="仿宋_GB2312"/>
          <w:color w:val="000000"/>
          <w:sz w:val="32"/>
          <w:szCs w:val="32"/>
        </w:rPr>
        <w:t>0</w:t>
      </w:r>
      <w:r>
        <w:rPr>
          <w:rFonts w:hint="eastAsia" w:ascii="仿宋_GB2312" w:eastAsia="仿宋_GB2312"/>
          <w:color w:val="000000"/>
          <w:sz w:val="32"/>
          <w:szCs w:val="32"/>
        </w:rPr>
        <w:t>辆、特种专业技术用车</w:t>
      </w:r>
      <w:r>
        <w:rPr>
          <w:rFonts w:ascii="仿宋_GB2312" w:eastAsia="仿宋_GB2312"/>
          <w:color w:val="000000"/>
          <w:sz w:val="32"/>
          <w:szCs w:val="32"/>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ascii="仿宋_GB2312" w:eastAsia="仿宋_GB2312"/>
          <w:color w:val="000000"/>
          <w:sz w:val="32"/>
          <w:szCs w:val="32"/>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ascii="仿宋_GB2312" w:eastAsia="仿宋_GB2312"/>
          <w:color w:val="000000"/>
          <w:sz w:val="32"/>
          <w:szCs w:val="32"/>
        </w:rPr>
        <w:t>0</w:t>
      </w:r>
      <w:r>
        <w:rPr>
          <w:rFonts w:hint="eastAsia" w:ascii="仿宋_GB2312" w:eastAsia="仿宋_GB2312"/>
          <w:color w:val="000000"/>
          <w:sz w:val="32"/>
          <w:szCs w:val="32"/>
        </w:rPr>
        <w:t>台（套）。</w:t>
      </w:r>
    </w:p>
    <w:p>
      <w:pPr>
        <w:pStyle w:val="26"/>
        <w:numPr>
          <w:ilvl w:val="0"/>
          <w:numId w:val="0"/>
        </w:numPr>
        <w:spacing w:line="580" w:lineRule="exact"/>
        <w:ind w:left="709" w:leftChars="0"/>
        <w:rPr>
          <w:rFonts w:hint="eastAsia" w:ascii="楷体_GB2312" w:hAnsi="楷体_GB2312" w:eastAsia="楷体_GB2312" w:cs="楷体_GB2312"/>
          <w:b/>
          <w:bCs/>
          <w:kern w:val="2"/>
          <w:sz w:val="32"/>
          <w:szCs w:val="32"/>
          <w:lang w:val="en-US" w:eastAsia="zh-CN" w:bidi="ar-SA"/>
        </w:rPr>
      </w:pPr>
      <w:bookmarkStart w:id="72" w:name="_Toc28157"/>
      <w:r>
        <w:rPr>
          <w:rFonts w:hint="eastAsia" w:ascii="楷体_GB2312" w:hAnsi="楷体_GB2312" w:eastAsia="楷体_GB2312" w:cs="楷体_GB2312"/>
          <w:b/>
          <w:bCs/>
          <w:kern w:val="2"/>
          <w:sz w:val="32"/>
          <w:szCs w:val="32"/>
          <w:lang w:val="en-US" w:eastAsia="zh-CN" w:bidi="ar-SA"/>
        </w:rPr>
        <w:t>（四）预算绩效情况说明</w:t>
      </w:r>
    </w:p>
    <w:bookmarkEnd w:id="72"/>
    <w:p>
      <w:pPr>
        <w:spacing w:line="580" w:lineRule="exact"/>
        <w:ind w:firstLine="643" w:firstLineChars="200"/>
        <w:rPr>
          <w:rFonts w:ascii="楷体_GB2312" w:hAnsi="楷体_GB2312" w:eastAsia="楷体_GB2312" w:cs="楷体_GB2312"/>
          <w:b/>
          <w:bCs/>
          <w:sz w:val="32"/>
          <w:szCs w:val="32"/>
        </w:rPr>
      </w:pPr>
      <w:r>
        <w:rPr>
          <w:rFonts w:hint="eastAsia" w:ascii="仿宋_GB2312" w:eastAsia="仿宋_GB2312"/>
          <w:b/>
          <w:color w:val="000000"/>
          <w:sz w:val="32"/>
          <w:szCs w:val="32"/>
          <w:lang w:val="en-US" w:eastAsia="zh-CN"/>
        </w:rPr>
        <w:t>1、</w:t>
      </w:r>
      <w:r>
        <w:rPr>
          <w:rFonts w:hint="eastAsia" w:ascii="仿宋_GB2312" w:eastAsia="仿宋_GB2312"/>
          <w:b/>
          <w:color w:val="000000"/>
          <w:sz w:val="32"/>
          <w:szCs w:val="32"/>
        </w:rPr>
        <w:t>绩效目标管理情况</w:t>
      </w:r>
    </w:p>
    <w:p>
      <w:pPr>
        <w:spacing w:line="53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按照预算绩效管理要求，本部门对</w:t>
      </w:r>
      <w:r>
        <w:rPr>
          <w:rFonts w:hint="eastAsia" w:ascii="仿宋_GB2312" w:eastAsia="仿宋_GB2312"/>
          <w:color w:val="000000"/>
          <w:sz w:val="32"/>
          <w:szCs w:val="32"/>
          <w:lang w:eastAsia="zh-CN"/>
        </w:rPr>
        <w:t>2022</w:t>
      </w:r>
      <w:r>
        <w:rPr>
          <w:rFonts w:hint="eastAsia" w:ascii="仿宋_GB2312" w:eastAsia="仿宋_GB2312"/>
          <w:color w:val="000000"/>
          <w:sz w:val="32"/>
          <w:szCs w:val="32"/>
        </w:rPr>
        <w:t>年部门预算整体支出和部门项目支出开展了绩效目标管理，共编制绩效目标</w:t>
      </w:r>
      <w:r>
        <w:rPr>
          <w:rFonts w:ascii="仿宋_GB2312" w:eastAsia="仿宋_GB2312"/>
          <w:color w:val="000000"/>
          <w:sz w:val="32"/>
          <w:szCs w:val="32"/>
        </w:rPr>
        <w:t>2</w:t>
      </w:r>
      <w:r>
        <w:rPr>
          <w:rFonts w:hint="eastAsia" w:ascii="仿宋_GB2312" w:eastAsia="仿宋_GB2312"/>
          <w:color w:val="000000"/>
          <w:sz w:val="32"/>
          <w:szCs w:val="32"/>
        </w:rPr>
        <w:t>个。</w:t>
      </w:r>
    </w:p>
    <w:p>
      <w:pPr>
        <w:spacing w:line="580" w:lineRule="exact"/>
        <w:ind w:firstLine="643" w:firstLineChars="200"/>
        <w:rPr>
          <w:rFonts w:ascii="楷体_GB2312" w:hAnsi="楷体_GB2312" w:eastAsia="楷体_GB2312" w:cs="楷体_GB2312"/>
          <w:b/>
          <w:bCs/>
          <w:sz w:val="32"/>
          <w:szCs w:val="32"/>
        </w:rPr>
      </w:pPr>
      <w:r>
        <w:rPr>
          <w:rFonts w:hint="eastAsia" w:ascii="仿宋_GB2312" w:eastAsia="仿宋_GB2312"/>
          <w:b/>
          <w:color w:val="000000"/>
          <w:sz w:val="32"/>
          <w:szCs w:val="32"/>
          <w:lang w:val="en-US" w:eastAsia="zh-CN"/>
        </w:rPr>
        <w:t>2、部门整体支出绩效自评开展情况</w:t>
      </w:r>
    </w:p>
    <w:p>
      <w:pPr>
        <w:spacing w:line="536" w:lineRule="exact"/>
        <w:ind w:firstLine="640" w:firstLineChars="200"/>
        <w:rPr>
          <w:rFonts w:ascii="黑体" w:hAnsi="黑体" w:eastAsia="黑体"/>
          <w:color w:val="000000"/>
          <w:sz w:val="32"/>
          <w:szCs w:val="32"/>
        </w:rPr>
      </w:pPr>
      <w:r>
        <w:rPr>
          <w:rFonts w:hint="eastAsia" w:ascii="仿宋_GB2312" w:eastAsia="仿宋_GB2312"/>
          <w:color w:val="000000"/>
          <w:sz w:val="32"/>
          <w:szCs w:val="32"/>
        </w:rPr>
        <w:t>按照预算绩效管理要求，本部门对</w:t>
      </w:r>
      <w:r>
        <w:rPr>
          <w:rFonts w:hint="eastAsia" w:ascii="仿宋_GB2312" w:eastAsia="仿宋_GB2312"/>
          <w:color w:val="000000"/>
          <w:sz w:val="32"/>
          <w:szCs w:val="32"/>
          <w:lang w:eastAsia="zh-CN"/>
        </w:rPr>
        <w:t>2022</w:t>
      </w:r>
      <w:r>
        <w:rPr>
          <w:rFonts w:hint="eastAsia" w:ascii="仿宋_GB2312" w:eastAsia="仿宋_GB2312"/>
          <w:color w:val="000000"/>
          <w:sz w:val="32"/>
          <w:szCs w:val="32"/>
        </w:rPr>
        <w:t>年整体支出开展绩效自评，自评得分</w:t>
      </w:r>
      <w:r>
        <w:rPr>
          <w:rFonts w:hint="eastAsia" w:ascii="仿宋_GB2312" w:eastAsia="仿宋_GB2312"/>
          <w:color w:val="000000"/>
          <w:sz w:val="32"/>
          <w:szCs w:val="32"/>
          <w:lang w:val="en-US" w:eastAsia="zh-CN"/>
        </w:rPr>
        <w:t>93</w:t>
      </w:r>
      <w:r>
        <w:rPr>
          <w:rFonts w:hint="eastAsia" w:ascii="仿宋_GB2312" w:eastAsia="仿宋_GB2312"/>
          <w:color w:val="000000"/>
          <w:sz w:val="32"/>
          <w:szCs w:val="32"/>
        </w:rPr>
        <w:t>分。</w:t>
      </w:r>
    </w:p>
    <w:p>
      <w:pPr>
        <w:spacing w:line="536" w:lineRule="exact"/>
        <w:jc w:val="center"/>
        <w:rPr>
          <w:rFonts w:ascii="黑体" w:hAnsi="黑体" w:eastAsia="黑体"/>
          <w:color w:val="000000"/>
          <w:sz w:val="32"/>
          <w:szCs w:val="32"/>
        </w:rPr>
      </w:pPr>
      <w:r>
        <w:rPr>
          <w:rFonts w:hint="eastAsia" w:ascii="黑体" w:hAnsi="黑体" w:eastAsia="黑体"/>
          <w:color w:val="000000"/>
          <w:sz w:val="32"/>
          <w:szCs w:val="32"/>
          <w:lang w:eastAsia="zh-CN"/>
        </w:rPr>
        <w:t>2022</w:t>
      </w:r>
      <w:r>
        <w:rPr>
          <w:rFonts w:hint="eastAsia" w:ascii="黑体" w:hAnsi="黑体" w:eastAsia="黑体"/>
          <w:color w:val="000000"/>
          <w:sz w:val="32"/>
          <w:szCs w:val="32"/>
        </w:rPr>
        <w:t>年部门整体支出绩效评价得分表</w:t>
      </w:r>
    </w:p>
    <w:p>
      <w:pPr>
        <w:spacing w:line="536" w:lineRule="exact"/>
        <w:jc w:val="center"/>
        <w:rPr>
          <w:rFonts w:ascii="黑体" w:hAnsi="黑体" w:eastAsia="黑体"/>
          <w:color w:val="000000"/>
          <w:sz w:val="32"/>
          <w:szCs w:val="32"/>
        </w:rPr>
      </w:pPr>
    </w:p>
    <w:tbl>
      <w:tblPr>
        <w:tblStyle w:val="17"/>
        <w:tblW w:w="8318" w:type="dxa"/>
        <w:jc w:val="center"/>
        <w:tblInd w:w="0" w:type="dxa"/>
        <w:tblLayout w:type="fixed"/>
        <w:tblCellMar>
          <w:top w:w="0" w:type="dxa"/>
          <w:left w:w="108" w:type="dxa"/>
          <w:bottom w:w="0" w:type="dxa"/>
          <w:right w:w="108" w:type="dxa"/>
        </w:tblCellMar>
      </w:tblPr>
      <w:tblGrid>
        <w:gridCol w:w="1490"/>
        <w:gridCol w:w="1986"/>
        <w:gridCol w:w="3567"/>
        <w:gridCol w:w="1275"/>
      </w:tblGrid>
      <w:tr>
        <w:tblPrEx>
          <w:tblLayout w:type="fixed"/>
          <w:tblCellMar>
            <w:top w:w="0" w:type="dxa"/>
            <w:left w:w="108" w:type="dxa"/>
            <w:bottom w:w="0" w:type="dxa"/>
            <w:right w:w="108" w:type="dxa"/>
          </w:tblCellMar>
        </w:tblPrEx>
        <w:trPr>
          <w:trHeight w:val="45" w:hRule="atLeast"/>
          <w:jc w:val="center"/>
        </w:trPr>
        <w:tc>
          <w:tcPr>
            <w:tcW w:w="1490" w:type="dxa"/>
            <w:tcBorders>
              <w:top w:val="single" w:color="auto" w:sz="4" w:space="0"/>
              <w:left w:val="single" w:color="auto" w:sz="4" w:space="0"/>
              <w:bottom w:val="single" w:color="auto" w:sz="4" w:space="0"/>
              <w:right w:val="single" w:color="auto" w:sz="4" w:space="0"/>
            </w:tcBorders>
            <w:vAlign w:val="center"/>
          </w:tcPr>
          <w:p>
            <w:pPr>
              <w:widowControl/>
              <w:spacing w:line="536" w:lineRule="exact"/>
              <w:jc w:val="center"/>
              <w:rPr>
                <w:rFonts w:ascii="宋体" w:cs="宋体"/>
                <w:b/>
                <w:bCs/>
                <w:color w:val="000000"/>
                <w:kern w:val="0"/>
                <w:sz w:val="20"/>
                <w:szCs w:val="20"/>
              </w:rPr>
            </w:pPr>
            <w:r>
              <w:rPr>
                <w:rFonts w:hint="eastAsia" w:ascii="宋体" w:hAnsi="宋体" w:cs="宋体"/>
                <w:b/>
                <w:bCs/>
                <w:color w:val="000000"/>
                <w:kern w:val="0"/>
                <w:sz w:val="20"/>
                <w:szCs w:val="20"/>
              </w:rPr>
              <w:t>一级指标</w:t>
            </w:r>
          </w:p>
        </w:tc>
        <w:tc>
          <w:tcPr>
            <w:tcW w:w="1986" w:type="dxa"/>
            <w:tcBorders>
              <w:top w:val="single" w:color="auto" w:sz="4" w:space="0"/>
              <w:left w:val="nil"/>
              <w:bottom w:val="single" w:color="auto" w:sz="4" w:space="0"/>
              <w:right w:val="single" w:color="auto" w:sz="4" w:space="0"/>
            </w:tcBorders>
            <w:vAlign w:val="center"/>
          </w:tcPr>
          <w:p>
            <w:pPr>
              <w:widowControl/>
              <w:spacing w:line="536" w:lineRule="exact"/>
              <w:jc w:val="center"/>
              <w:rPr>
                <w:rFonts w:ascii="宋体" w:cs="宋体"/>
                <w:b/>
                <w:bCs/>
                <w:color w:val="000000"/>
                <w:kern w:val="0"/>
                <w:sz w:val="20"/>
                <w:szCs w:val="20"/>
              </w:rPr>
            </w:pPr>
            <w:r>
              <w:rPr>
                <w:rFonts w:hint="eastAsia" w:ascii="宋体" w:hAnsi="宋体" w:cs="宋体"/>
                <w:b/>
                <w:bCs/>
                <w:color w:val="000000"/>
                <w:kern w:val="0"/>
                <w:sz w:val="20"/>
                <w:szCs w:val="20"/>
              </w:rPr>
              <w:t>二级指标</w:t>
            </w:r>
          </w:p>
        </w:tc>
        <w:tc>
          <w:tcPr>
            <w:tcW w:w="3567" w:type="dxa"/>
            <w:tcBorders>
              <w:top w:val="single" w:color="auto" w:sz="4" w:space="0"/>
              <w:left w:val="nil"/>
              <w:bottom w:val="single" w:color="auto" w:sz="4" w:space="0"/>
              <w:right w:val="single" w:color="auto" w:sz="4" w:space="0"/>
            </w:tcBorders>
            <w:vAlign w:val="center"/>
          </w:tcPr>
          <w:p>
            <w:pPr>
              <w:widowControl/>
              <w:spacing w:line="536" w:lineRule="exact"/>
              <w:jc w:val="center"/>
              <w:rPr>
                <w:rFonts w:ascii="宋体" w:cs="宋体"/>
                <w:b/>
                <w:bCs/>
                <w:color w:val="000000"/>
                <w:kern w:val="0"/>
                <w:sz w:val="20"/>
                <w:szCs w:val="20"/>
              </w:rPr>
            </w:pPr>
            <w:r>
              <w:rPr>
                <w:rFonts w:hint="eastAsia" w:ascii="宋体" w:hAnsi="宋体" w:cs="宋体"/>
                <w:b/>
                <w:bCs/>
                <w:color w:val="000000"/>
                <w:kern w:val="0"/>
                <w:sz w:val="20"/>
                <w:szCs w:val="20"/>
              </w:rPr>
              <w:t>三级指标</w:t>
            </w:r>
          </w:p>
        </w:tc>
        <w:tc>
          <w:tcPr>
            <w:tcW w:w="1275" w:type="dxa"/>
            <w:tcBorders>
              <w:top w:val="single" w:color="auto" w:sz="4" w:space="0"/>
              <w:left w:val="nil"/>
              <w:bottom w:val="single" w:color="auto" w:sz="4" w:space="0"/>
              <w:right w:val="single" w:color="auto" w:sz="4" w:space="0"/>
            </w:tcBorders>
          </w:tcPr>
          <w:p>
            <w:pPr>
              <w:widowControl/>
              <w:spacing w:line="536" w:lineRule="exact"/>
              <w:jc w:val="center"/>
              <w:rPr>
                <w:rFonts w:ascii="宋体" w:cs="宋体"/>
                <w:b/>
                <w:bCs/>
                <w:color w:val="000000"/>
                <w:kern w:val="0"/>
                <w:sz w:val="20"/>
                <w:szCs w:val="20"/>
              </w:rPr>
            </w:pPr>
            <w:r>
              <w:rPr>
                <w:rFonts w:hint="eastAsia" w:ascii="宋体" w:hAnsi="宋体" w:cs="宋体"/>
                <w:b/>
                <w:bCs/>
                <w:color w:val="000000"/>
                <w:kern w:val="0"/>
                <w:sz w:val="20"/>
                <w:szCs w:val="20"/>
              </w:rPr>
              <w:t>得分</w:t>
            </w:r>
          </w:p>
        </w:tc>
      </w:tr>
      <w:tr>
        <w:tblPrEx>
          <w:tblLayout w:type="fixed"/>
          <w:tblCellMar>
            <w:top w:w="0" w:type="dxa"/>
            <w:left w:w="108" w:type="dxa"/>
            <w:bottom w:w="0" w:type="dxa"/>
            <w:right w:w="108" w:type="dxa"/>
          </w:tblCellMar>
        </w:tblPrEx>
        <w:trPr>
          <w:trHeight w:val="45" w:hRule="atLeast"/>
          <w:jc w:val="center"/>
        </w:trPr>
        <w:tc>
          <w:tcPr>
            <w:tcW w:w="1490" w:type="dxa"/>
            <w:vMerge w:val="restart"/>
            <w:tcBorders>
              <w:top w:val="nil"/>
              <w:left w:val="single" w:color="auto" w:sz="4" w:space="0"/>
              <w:right w:val="single" w:color="auto" w:sz="4" w:space="0"/>
            </w:tcBorders>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部门决策（</w:t>
            </w:r>
            <w:r>
              <w:rPr>
                <w:rFonts w:ascii="宋体" w:hAnsi="宋体" w:cs="宋体"/>
                <w:color w:val="000000"/>
                <w:kern w:val="0"/>
                <w:sz w:val="20"/>
                <w:szCs w:val="20"/>
              </w:rPr>
              <w:t>25</w:t>
            </w:r>
            <w:r>
              <w:rPr>
                <w:rFonts w:hint="eastAsia" w:ascii="宋体" w:hAnsi="宋体" w:cs="宋体"/>
                <w:color w:val="000000"/>
                <w:kern w:val="0"/>
                <w:sz w:val="20"/>
                <w:szCs w:val="20"/>
              </w:rPr>
              <w:t>分）</w:t>
            </w:r>
          </w:p>
        </w:tc>
        <w:tc>
          <w:tcPr>
            <w:tcW w:w="1986" w:type="dxa"/>
            <w:vMerge w:val="restart"/>
            <w:tcBorders>
              <w:top w:val="nil"/>
              <w:left w:val="single" w:color="auto" w:sz="4" w:space="0"/>
              <w:bottom w:val="single" w:color="auto" w:sz="4" w:space="0"/>
              <w:right w:val="single" w:color="auto" w:sz="4" w:space="0"/>
            </w:tcBorders>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目标任务（</w:t>
            </w:r>
            <w:r>
              <w:rPr>
                <w:rFonts w:ascii="宋体" w:hAnsi="宋体" w:cs="宋体"/>
                <w:color w:val="000000"/>
                <w:kern w:val="0"/>
                <w:sz w:val="20"/>
                <w:szCs w:val="20"/>
              </w:rPr>
              <w:t>15</w:t>
            </w:r>
            <w:r>
              <w:rPr>
                <w:rFonts w:hint="eastAsia" w:ascii="宋体" w:hAnsi="宋体" w:cs="宋体"/>
                <w:color w:val="000000"/>
                <w:kern w:val="0"/>
                <w:sz w:val="20"/>
                <w:szCs w:val="20"/>
              </w:rPr>
              <w:t>分）</w:t>
            </w:r>
          </w:p>
        </w:tc>
        <w:tc>
          <w:tcPr>
            <w:tcW w:w="3567" w:type="dxa"/>
            <w:tcBorders>
              <w:top w:val="nil"/>
              <w:left w:val="nil"/>
              <w:bottom w:val="single" w:color="auto" w:sz="4" w:space="0"/>
              <w:right w:val="single" w:color="auto" w:sz="4" w:space="0"/>
            </w:tcBorders>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相关性（</w:t>
            </w:r>
            <w:r>
              <w:rPr>
                <w:rFonts w:ascii="宋体" w:hAnsi="宋体" w:cs="宋体"/>
                <w:color w:val="000000"/>
                <w:kern w:val="0"/>
                <w:sz w:val="20"/>
                <w:szCs w:val="20"/>
              </w:rPr>
              <w:t>5</w:t>
            </w:r>
            <w:r>
              <w:rPr>
                <w:rFonts w:hint="eastAsia" w:ascii="宋体" w:hAnsi="宋体" w:cs="宋体"/>
                <w:color w:val="000000"/>
                <w:kern w:val="0"/>
                <w:sz w:val="20"/>
                <w:szCs w:val="20"/>
              </w:rPr>
              <w:t>分）</w:t>
            </w:r>
          </w:p>
        </w:tc>
        <w:tc>
          <w:tcPr>
            <w:tcW w:w="1275" w:type="dxa"/>
            <w:tcBorders>
              <w:top w:val="nil"/>
              <w:left w:val="nil"/>
              <w:bottom w:val="single" w:color="auto" w:sz="4" w:space="0"/>
              <w:right w:val="single" w:color="auto" w:sz="4" w:space="0"/>
            </w:tcBorders>
          </w:tcPr>
          <w:p>
            <w:pPr>
              <w:widowControl/>
              <w:spacing w:line="536" w:lineRule="exact"/>
              <w:jc w:val="left"/>
              <w:rPr>
                <w:rFonts w:hint="eastAsia" w:ascii="宋体" w:eastAsia="宋体" w:cs="宋体"/>
                <w:color w:val="000000"/>
                <w:kern w:val="0"/>
                <w:sz w:val="20"/>
                <w:szCs w:val="20"/>
                <w:lang w:eastAsia="zh-CN"/>
              </w:rPr>
            </w:pPr>
            <w:r>
              <w:rPr>
                <w:rFonts w:hint="eastAsia" w:ascii="宋体" w:cs="宋体"/>
                <w:color w:val="000000"/>
                <w:kern w:val="0"/>
                <w:sz w:val="20"/>
                <w:szCs w:val="20"/>
                <w:lang w:val="en-US" w:eastAsia="zh-CN"/>
              </w:rPr>
              <w:t>5</w:t>
            </w:r>
          </w:p>
        </w:tc>
      </w:tr>
      <w:tr>
        <w:tblPrEx>
          <w:tblLayout w:type="fixed"/>
          <w:tblCellMar>
            <w:top w:w="0" w:type="dxa"/>
            <w:left w:w="108" w:type="dxa"/>
            <w:bottom w:w="0" w:type="dxa"/>
            <w:right w:w="108" w:type="dxa"/>
          </w:tblCellMar>
        </w:tblPrEx>
        <w:trPr>
          <w:trHeight w:val="45" w:hRule="atLeast"/>
          <w:jc w:val="center"/>
        </w:trPr>
        <w:tc>
          <w:tcPr>
            <w:tcW w:w="1490" w:type="dxa"/>
            <w:vMerge w:val="continue"/>
            <w:tcBorders>
              <w:left w:val="single" w:color="auto" w:sz="4" w:space="0"/>
              <w:right w:val="single" w:color="auto" w:sz="4" w:space="0"/>
            </w:tcBorders>
            <w:vAlign w:val="center"/>
          </w:tcPr>
          <w:p>
            <w:pPr>
              <w:widowControl/>
              <w:spacing w:line="536" w:lineRule="exact"/>
              <w:jc w:val="left"/>
              <w:rPr>
                <w:rFonts w:ascii="宋体" w:cs="宋体"/>
                <w:color w:val="000000"/>
                <w:kern w:val="0"/>
                <w:sz w:val="20"/>
                <w:szCs w:val="20"/>
              </w:rPr>
            </w:pPr>
          </w:p>
        </w:tc>
        <w:tc>
          <w:tcPr>
            <w:tcW w:w="1986" w:type="dxa"/>
            <w:vMerge w:val="continue"/>
            <w:tcBorders>
              <w:top w:val="nil"/>
              <w:left w:val="single" w:color="auto" w:sz="4" w:space="0"/>
              <w:bottom w:val="single" w:color="auto" w:sz="4" w:space="0"/>
              <w:right w:val="single" w:color="auto" w:sz="4" w:space="0"/>
            </w:tcBorders>
            <w:vAlign w:val="center"/>
          </w:tcPr>
          <w:p>
            <w:pPr>
              <w:widowControl/>
              <w:spacing w:line="536" w:lineRule="exact"/>
              <w:jc w:val="left"/>
              <w:rPr>
                <w:rFonts w:ascii="宋体" w:cs="宋体"/>
                <w:color w:val="000000"/>
                <w:kern w:val="0"/>
                <w:sz w:val="20"/>
                <w:szCs w:val="20"/>
              </w:rPr>
            </w:pPr>
          </w:p>
        </w:tc>
        <w:tc>
          <w:tcPr>
            <w:tcW w:w="3567" w:type="dxa"/>
            <w:tcBorders>
              <w:top w:val="nil"/>
              <w:left w:val="nil"/>
              <w:bottom w:val="single" w:color="auto" w:sz="4" w:space="0"/>
              <w:right w:val="single" w:color="auto" w:sz="4" w:space="0"/>
            </w:tcBorders>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明确性（</w:t>
            </w:r>
            <w:r>
              <w:rPr>
                <w:rFonts w:ascii="宋体" w:hAnsi="宋体" w:cs="宋体"/>
                <w:color w:val="000000"/>
                <w:kern w:val="0"/>
                <w:sz w:val="20"/>
                <w:szCs w:val="20"/>
              </w:rPr>
              <w:t>5</w:t>
            </w:r>
            <w:r>
              <w:rPr>
                <w:rFonts w:hint="eastAsia" w:ascii="宋体" w:hAnsi="宋体" w:cs="宋体"/>
                <w:color w:val="000000"/>
                <w:kern w:val="0"/>
                <w:sz w:val="20"/>
                <w:szCs w:val="20"/>
              </w:rPr>
              <w:t>分）</w:t>
            </w:r>
          </w:p>
        </w:tc>
        <w:tc>
          <w:tcPr>
            <w:tcW w:w="1275" w:type="dxa"/>
            <w:tcBorders>
              <w:top w:val="nil"/>
              <w:left w:val="nil"/>
              <w:bottom w:val="single" w:color="auto" w:sz="4" w:space="0"/>
              <w:right w:val="single" w:color="auto" w:sz="4" w:space="0"/>
            </w:tcBorders>
          </w:tcPr>
          <w:p>
            <w:pPr>
              <w:widowControl/>
              <w:spacing w:line="536" w:lineRule="exact"/>
              <w:jc w:val="left"/>
              <w:rPr>
                <w:rFonts w:hint="eastAsia" w:ascii="宋体" w:eastAsia="宋体" w:cs="宋体"/>
                <w:color w:val="000000"/>
                <w:kern w:val="0"/>
                <w:sz w:val="20"/>
                <w:szCs w:val="20"/>
                <w:lang w:eastAsia="zh-CN"/>
              </w:rPr>
            </w:pPr>
            <w:r>
              <w:rPr>
                <w:rFonts w:hint="eastAsia" w:ascii="宋体" w:cs="宋体"/>
                <w:color w:val="000000"/>
                <w:kern w:val="0"/>
                <w:sz w:val="20"/>
                <w:szCs w:val="20"/>
                <w:lang w:val="en-US" w:eastAsia="zh-CN"/>
              </w:rPr>
              <w:t>5</w:t>
            </w:r>
          </w:p>
        </w:tc>
      </w:tr>
      <w:tr>
        <w:tblPrEx>
          <w:tblLayout w:type="fixed"/>
          <w:tblCellMar>
            <w:top w:w="0" w:type="dxa"/>
            <w:left w:w="108" w:type="dxa"/>
            <w:bottom w:w="0" w:type="dxa"/>
            <w:right w:w="108" w:type="dxa"/>
          </w:tblCellMar>
        </w:tblPrEx>
        <w:trPr>
          <w:trHeight w:val="90" w:hRule="atLeast"/>
          <w:jc w:val="center"/>
        </w:trPr>
        <w:tc>
          <w:tcPr>
            <w:tcW w:w="1490" w:type="dxa"/>
            <w:vMerge w:val="continue"/>
            <w:tcBorders>
              <w:left w:val="single" w:color="auto" w:sz="4" w:space="0"/>
              <w:right w:val="single" w:color="auto" w:sz="4" w:space="0"/>
            </w:tcBorders>
            <w:vAlign w:val="center"/>
          </w:tcPr>
          <w:p>
            <w:pPr>
              <w:widowControl/>
              <w:spacing w:line="536" w:lineRule="exact"/>
              <w:jc w:val="left"/>
              <w:rPr>
                <w:rFonts w:ascii="宋体" w:cs="宋体"/>
                <w:color w:val="000000"/>
                <w:kern w:val="0"/>
                <w:sz w:val="20"/>
                <w:szCs w:val="20"/>
              </w:rPr>
            </w:pPr>
          </w:p>
        </w:tc>
        <w:tc>
          <w:tcPr>
            <w:tcW w:w="1986" w:type="dxa"/>
            <w:vMerge w:val="continue"/>
            <w:tcBorders>
              <w:top w:val="nil"/>
              <w:left w:val="single" w:color="auto" w:sz="4" w:space="0"/>
              <w:bottom w:val="single" w:color="auto" w:sz="4" w:space="0"/>
              <w:right w:val="single" w:color="auto" w:sz="4" w:space="0"/>
            </w:tcBorders>
            <w:vAlign w:val="center"/>
          </w:tcPr>
          <w:p>
            <w:pPr>
              <w:widowControl/>
              <w:spacing w:line="536" w:lineRule="exact"/>
              <w:jc w:val="left"/>
              <w:rPr>
                <w:rFonts w:ascii="宋体" w:cs="宋体"/>
                <w:color w:val="000000"/>
                <w:kern w:val="0"/>
                <w:sz w:val="20"/>
                <w:szCs w:val="20"/>
              </w:rPr>
            </w:pPr>
          </w:p>
        </w:tc>
        <w:tc>
          <w:tcPr>
            <w:tcW w:w="3567" w:type="dxa"/>
            <w:tcBorders>
              <w:top w:val="nil"/>
              <w:left w:val="nil"/>
              <w:bottom w:val="single" w:color="auto" w:sz="4" w:space="0"/>
              <w:right w:val="single" w:color="auto" w:sz="4" w:space="0"/>
            </w:tcBorders>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合理性（</w:t>
            </w:r>
            <w:r>
              <w:rPr>
                <w:rFonts w:ascii="宋体" w:hAnsi="宋体" w:cs="宋体"/>
                <w:color w:val="000000"/>
                <w:kern w:val="0"/>
                <w:sz w:val="20"/>
                <w:szCs w:val="20"/>
              </w:rPr>
              <w:t>5</w:t>
            </w:r>
            <w:r>
              <w:rPr>
                <w:rFonts w:hint="eastAsia" w:ascii="宋体" w:hAnsi="宋体" w:cs="宋体"/>
                <w:color w:val="000000"/>
                <w:kern w:val="0"/>
                <w:sz w:val="20"/>
                <w:szCs w:val="20"/>
              </w:rPr>
              <w:t>分）</w:t>
            </w:r>
          </w:p>
        </w:tc>
        <w:tc>
          <w:tcPr>
            <w:tcW w:w="1275" w:type="dxa"/>
            <w:tcBorders>
              <w:top w:val="nil"/>
              <w:left w:val="nil"/>
              <w:bottom w:val="single" w:color="auto" w:sz="4" w:space="0"/>
              <w:right w:val="single" w:color="auto" w:sz="4" w:space="0"/>
            </w:tcBorders>
          </w:tcPr>
          <w:p>
            <w:pPr>
              <w:widowControl/>
              <w:spacing w:line="536" w:lineRule="exact"/>
              <w:jc w:val="left"/>
              <w:rPr>
                <w:rFonts w:hint="eastAsia" w:ascii="宋体" w:eastAsia="宋体" w:cs="宋体"/>
                <w:color w:val="000000"/>
                <w:kern w:val="0"/>
                <w:sz w:val="20"/>
                <w:szCs w:val="20"/>
                <w:lang w:eastAsia="zh-CN"/>
              </w:rPr>
            </w:pPr>
            <w:r>
              <w:rPr>
                <w:rFonts w:hint="eastAsia" w:ascii="宋体" w:cs="宋体"/>
                <w:color w:val="000000"/>
                <w:kern w:val="0"/>
                <w:sz w:val="20"/>
                <w:szCs w:val="20"/>
                <w:lang w:val="en-US" w:eastAsia="zh-CN"/>
              </w:rPr>
              <w:t>5</w:t>
            </w:r>
          </w:p>
        </w:tc>
      </w:tr>
      <w:tr>
        <w:tblPrEx>
          <w:tblLayout w:type="fixed"/>
          <w:tblCellMar>
            <w:top w:w="0" w:type="dxa"/>
            <w:left w:w="108" w:type="dxa"/>
            <w:bottom w:w="0" w:type="dxa"/>
            <w:right w:w="108" w:type="dxa"/>
          </w:tblCellMar>
        </w:tblPrEx>
        <w:trPr>
          <w:trHeight w:val="45" w:hRule="atLeast"/>
          <w:jc w:val="center"/>
        </w:trPr>
        <w:tc>
          <w:tcPr>
            <w:tcW w:w="1490" w:type="dxa"/>
            <w:vMerge w:val="continue"/>
            <w:tcBorders>
              <w:left w:val="single" w:color="auto" w:sz="4" w:space="0"/>
              <w:right w:val="single" w:color="auto" w:sz="4" w:space="0"/>
            </w:tcBorders>
            <w:vAlign w:val="center"/>
          </w:tcPr>
          <w:p>
            <w:pPr>
              <w:widowControl/>
              <w:spacing w:line="536" w:lineRule="exact"/>
              <w:jc w:val="center"/>
              <w:rPr>
                <w:rFonts w:ascii="宋体" w:cs="宋体"/>
                <w:color w:val="000000"/>
                <w:kern w:val="0"/>
                <w:sz w:val="20"/>
                <w:szCs w:val="20"/>
              </w:rPr>
            </w:pPr>
          </w:p>
        </w:tc>
        <w:tc>
          <w:tcPr>
            <w:tcW w:w="1986" w:type="dxa"/>
            <w:vMerge w:val="restart"/>
            <w:tcBorders>
              <w:top w:val="nil"/>
              <w:left w:val="single" w:color="auto" w:sz="4" w:space="0"/>
              <w:bottom w:val="single" w:color="auto" w:sz="4" w:space="0"/>
              <w:right w:val="single" w:color="auto" w:sz="4" w:space="0"/>
            </w:tcBorders>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预算编制（</w:t>
            </w:r>
            <w:r>
              <w:rPr>
                <w:rFonts w:ascii="宋体" w:hAnsi="宋体" w:cs="宋体"/>
                <w:color w:val="000000"/>
                <w:kern w:val="0"/>
                <w:sz w:val="20"/>
                <w:szCs w:val="20"/>
              </w:rPr>
              <w:t>10</w:t>
            </w:r>
            <w:r>
              <w:rPr>
                <w:rFonts w:hint="eastAsia" w:ascii="宋体" w:hAnsi="宋体" w:cs="宋体"/>
                <w:color w:val="000000"/>
                <w:kern w:val="0"/>
                <w:sz w:val="20"/>
                <w:szCs w:val="20"/>
              </w:rPr>
              <w:t>分）</w:t>
            </w:r>
          </w:p>
        </w:tc>
        <w:tc>
          <w:tcPr>
            <w:tcW w:w="3567" w:type="dxa"/>
            <w:tcBorders>
              <w:top w:val="nil"/>
              <w:left w:val="nil"/>
              <w:bottom w:val="single" w:color="auto" w:sz="4" w:space="0"/>
              <w:right w:val="single" w:color="auto" w:sz="4" w:space="0"/>
            </w:tcBorders>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测算依据（</w:t>
            </w:r>
            <w:r>
              <w:rPr>
                <w:rFonts w:ascii="宋体" w:hAnsi="宋体" w:cs="宋体"/>
                <w:color w:val="000000"/>
                <w:kern w:val="0"/>
                <w:sz w:val="20"/>
                <w:szCs w:val="20"/>
              </w:rPr>
              <w:t>5</w:t>
            </w:r>
            <w:r>
              <w:rPr>
                <w:rFonts w:hint="eastAsia" w:ascii="宋体" w:hAnsi="宋体" w:cs="宋体"/>
                <w:color w:val="000000"/>
                <w:kern w:val="0"/>
                <w:sz w:val="20"/>
                <w:szCs w:val="20"/>
              </w:rPr>
              <w:t>分）</w:t>
            </w:r>
          </w:p>
        </w:tc>
        <w:tc>
          <w:tcPr>
            <w:tcW w:w="1275" w:type="dxa"/>
            <w:tcBorders>
              <w:top w:val="nil"/>
              <w:left w:val="nil"/>
              <w:bottom w:val="single" w:color="auto" w:sz="4" w:space="0"/>
              <w:right w:val="single" w:color="auto" w:sz="4" w:space="0"/>
            </w:tcBorders>
          </w:tcPr>
          <w:p>
            <w:pPr>
              <w:widowControl/>
              <w:spacing w:line="536" w:lineRule="exact"/>
              <w:jc w:val="left"/>
              <w:rPr>
                <w:rFonts w:hint="eastAsia" w:ascii="宋体" w:eastAsia="宋体" w:cs="宋体"/>
                <w:color w:val="000000"/>
                <w:kern w:val="0"/>
                <w:sz w:val="20"/>
                <w:szCs w:val="20"/>
                <w:lang w:val="en-US" w:eastAsia="zh-CN"/>
              </w:rPr>
            </w:pPr>
            <w:r>
              <w:rPr>
                <w:rFonts w:hint="eastAsia" w:ascii="宋体" w:cs="宋体"/>
                <w:color w:val="000000"/>
                <w:kern w:val="0"/>
                <w:sz w:val="20"/>
                <w:szCs w:val="20"/>
                <w:lang w:val="en-US" w:eastAsia="zh-CN"/>
              </w:rPr>
              <w:t>5</w:t>
            </w:r>
          </w:p>
        </w:tc>
      </w:tr>
      <w:tr>
        <w:tblPrEx>
          <w:tblLayout w:type="fixed"/>
          <w:tblCellMar>
            <w:top w:w="0" w:type="dxa"/>
            <w:left w:w="108" w:type="dxa"/>
            <w:bottom w:w="0" w:type="dxa"/>
            <w:right w:w="108" w:type="dxa"/>
          </w:tblCellMar>
        </w:tblPrEx>
        <w:trPr>
          <w:trHeight w:val="45" w:hRule="atLeast"/>
          <w:jc w:val="center"/>
        </w:trPr>
        <w:tc>
          <w:tcPr>
            <w:tcW w:w="1490" w:type="dxa"/>
            <w:vMerge w:val="continue"/>
            <w:tcBorders>
              <w:left w:val="single" w:color="auto" w:sz="4" w:space="0"/>
              <w:bottom w:val="single" w:color="auto" w:sz="4" w:space="0"/>
              <w:right w:val="single" w:color="auto" w:sz="4" w:space="0"/>
            </w:tcBorders>
            <w:vAlign w:val="center"/>
          </w:tcPr>
          <w:p>
            <w:pPr>
              <w:widowControl/>
              <w:spacing w:line="536" w:lineRule="exact"/>
              <w:jc w:val="left"/>
              <w:rPr>
                <w:rFonts w:ascii="宋体" w:cs="宋体"/>
                <w:color w:val="000000"/>
                <w:kern w:val="0"/>
                <w:sz w:val="20"/>
                <w:szCs w:val="20"/>
              </w:rPr>
            </w:pPr>
          </w:p>
        </w:tc>
        <w:tc>
          <w:tcPr>
            <w:tcW w:w="1986" w:type="dxa"/>
            <w:vMerge w:val="continue"/>
            <w:tcBorders>
              <w:top w:val="nil"/>
              <w:left w:val="single" w:color="auto" w:sz="4" w:space="0"/>
              <w:bottom w:val="single" w:color="auto" w:sz="4" w:space="0"/>
              <w:right w:val="single" w:color="auto" w:sz="4" w:space="0"/>
            </w:tcBorders>
            <w:vAlign w:val="center"/>
          </w:tcPr>
          <w:p>
            <w:pPr>
              <w:widowControl/>
              <w:spacing w:line="536" w:lineRule="exact"/>
              <w:jc w:val="left"/>
              <w:rPr>
                <w:rFonts w:ascii="宋体" w:cs="宋体"/>
                <w:color w:val="000000"/>
                <w:kern w:val="0"/>
                <w:sz w:val="20"/>
                <w:szCs w:val="20"/>
              </w:rPr>
            </w:pPr>
          </w:p>
        </w:tc>
        <w:tc>
          <w:tcPr>
            <w:tcW w:w="3567" w:type="dxa"/>
            <w:tcBorders>
              <w:top w:val="nil"/>
              <w:left w:val="nil"/>
              <w:bottom w:val="single" w:color="auto" w:sz="4" w:space="0"/>
              <w:right w:val="single" w:color="auto" w:sz="4" w:space="0"/>
            </w:tcBorders>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目标管理（</w:t>
            </w:r>
            <w:r>
              <w:rPr>
                <w:rFonts w:ascii="宋体" w:hAnsi="宋体" w:cs="宋体"/>
                <w:color w:val="000000"/>
                <w:kern w:val="0"/>
                <w:sz w:val="20"/>
                <w:szCs w:val="20"/>
              </w:rPr>
              <w:t>5</w:t>
            </w:r>
            <w:r>
              <w:rPr>
                <w:rFonts w:hint="eastAsia" w:ascii="宋体" w:hAnsi="宋体" w:cs="宋体"/>
                <w:color w:val="000000"/>
                <w:kern w:val="0"/>
                <w:sz w:val="20"/>
                <w:szCs w:val="20"/>
              </w:rPr>
              <w:t>分）</w:t>
            </w:r>
          </w:p>
        </w:tc>
        <w:tc>
          <w:tcPr>
            <w:tcW w:w="1275" w:type="dxa"/>
            <w:tcBorders>
              <w:top w:val="nil"/>
              <w:left w:val="nil"/>
              <w:bottom w:val="single" w:color="auto" w:sz="4" w:space="0"/>
              <w:right w:val="single" w:color="auto" w:sz="4" w:space="0"/>
            </w:tcBorders>
          </w:tcPr>
          <w:p>
            <w:pPr>
              <w:widowControl/>
              <w:spacing w:line="536" w:lineRule="exact"/>
              <w:jc w:val="left"/>
              <w:rPr>
                <w:rFonts w:hint="eastAsia" w:ascii="宋体" w:eastAsia="宋体" w:cs="宋体"/>
                <w:color w:val="000000"/>
                <w:kern w:val="0"/>
                <w:sz w:val="20"/>
                <w:szCs w:val="20"/>
                <w:lang w:val="en-US" w:eastAsia="zh-CN"/>
              </w:rPr>
            </w:pPr>
            <w:r>
              <w:rPr>
                <w:rFonts w:hint="eastAsia" w:ascii="宋体" w:cs="宋体"/>
                <w:color w:val="000000"/>
                <w:kern w:val="0"/>
                <w:sz w:val="20"/>
                <w:szCs w:val="20"/>
                <w:lang w:val="en-US" w:eastAsia="zh-CN"/>
              </w:rPr>
              <w:t>5</w:t>
            </w:r>
          </w:p>
        </w:tc>
      </w:tr>
      <w:tr>
        <w:tblPrEx>
          <w:tblLayout w:type="fixed"/>
          <w:tblCellMar>
            <w:top w:w="0" w:type="dxa"/>
            <w:left w:w="108" w:type="dxa"/>
            <w:bottom w:w="0" w:type="dxa"/>
            <w:right w:w="108" w:type="dxa"/>
          </w:tblCellMar>
        </w:tblPrEx>
        <w:trPr>
          <w:trHeight w:val="45" w:hRule="atLeast"/>
          <w:jc w:val="center"/>
        </w:trPr>
        <w:tc>
          <w:tcPr>
            <w:tcW w:w="1490" w:type="dxa"/>
            <w:vMerge w:val="restart"/>
            <w:tcBorders>
              <w:top w:val="nil"/>
              <w:left w:val="single" w:color="auto" w:sz="4" w:space="0"/>
              <w:right w:val="single" w:color="auto" w:sz="4" w:space="0"/>
            </w:tcBorders>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综合管理（</w:t>
            </w:r>
            <w:r>
              <w:rPr>
                <w:rFonts w:ascii="宋体" w:hAnsi="宋体" w:cs="宋体"/>
                <w:color w:val="000000"/>
                <w:kern w:val="0"/>
                <w:sz w:val="20"/>
                <w:szCs w:val="20"/>
              </w:rPr>
              <w:t>30</w:t>
            </w:r>
            <w:r>
              <w:rPr>
                <w:rFonts w:hint="eastAsia" w:ascii="宋体" w:hAnsi="宋体" w:cs="宋体"/>
                <w:color w:val="000000"/>
                <w:kern w:val="0"/>
                <w:sz w:val="20"/>
                <w:szCs w:val="20"/>
              </w:rPr>
              <w:t>分）</w:t>
            </w:r>
          </w:p>
        </w:tc>
        <w:tc>
          <w:tcPr>
            <w:tcW w:w="1986" w:type="dxa"/>
            <w:vMerge w:val="restart"/>
            <w:tcBorders>
              <w:top w:val="nil"/>
              <w:left w:val="single" w:color="auto" w:sz="4" w:space="0"/>
              <w:bottom w:val="single" w:color="auto" w:sz="4" w:space="0"/>
              <w:right w:val="single" w:color="auto" w:sz="4" w:space="0"/>
            </w:tcBorders>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专项资金分配时限（</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3567" w:type="dxa"/>
            <w:tcBorders>
              <w:top w:val="nil"/>
              <w:left w:val="nil"/>
              <w:bottom w:val="single" w:color="auto" w:sz="4" w:space="0"/>
              <w:right w:val="single" w:color="auto" w:sz="4" w:space="0"/>
            </w:tcBorders>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省级财力专项预算分配时限（</w:t>
            </w:r>
            <w:r>
              <w:rPr>
                <w:rFonts w:ascii="宋体" w:hAnsi="宋体" w:cs="宋体"/>
                <w:color w:val="000000"/>
                <w:kern w:val="0"/>
                <w:sz w:val="20"/>
                <w:szCs w:val="20"/>
              </w:rPr>
              <w:t>1</w:t>
            </w:r>
            <w:r>
              <w:rPr>
                <w:rFonts w:hint="eastAsia" w:ascii="宋体" w:hAnsi="宋体" w:cs="宋体"/>
                <w:color w:val="000000"/>
                <w:kern w:val="0"/>
                <w:sz w:val="20"/>
                <w:szCs w:val="20"/>
              </w:rPr>
              <w:t>分）</w:t>
            </w:r>
          </w:p>
        </w:tc>
        <w:tc>
          <w:tcPr>
            <w:tcW w:w="1275" w:type="dxa"/>
            <w:tcBorders>
              <w:top w:val="nil"/>
              <w:left w:val="nil"/>
              <w:bottom w:val="single" w:color="auto" w:sz="4" w:space="0"/>
              <w:right w:val="single" w:color="auto" w:sz="4" w:space="0"/>
            </w:tcBorders>
          </w:tcPr>
          <w:p>
            <w:pPr>
              <w:widowControl/>
              <w:spacing w:line="536" w:lineRule="exact"/>
              <w:jc w:val="left"/>
              <w:rPr>
                <w:rFonts w:ascii="宋体" w:cs="宋体"/>
                <w:color w:val="000000"/>
                <w:kern w:val="0"/>
                <w:sz w:val="20"/>
                <w:szCs w:val="20"/>
              </w:rPr>
            </w:pPr>
            <w:r>
              <w:rPr>
                <w:rFonts w:ascii="宋体" w:hAnsi="宋体" w:cs="宋体"/>
                <w:color w:val="000000"/>
                <w:kern w:val="0"/>
                <w:sz w:val="20"/>
                <w:szCs w:val="20"/>
              </w:rPr>
              <w:t>1</w:t>
            </w:r>
          </w:p>
        </w:tc>
      </w:tr>
      <w:tr>
        <w:tblPrEx>
          <w:tblLayout w:type="fixed"/>
          <w:tblCellMar>
            <w:top w:w="0" w:type="dxa"/>
            <w:left w:w="108" w:type="dxa"/>
            <w:bottom w:w="0" w:type="dxa"/>
            <w:right w:w="108" w:type="dxa"/>
          </w:tblCellMar>
        </w:tblPrEx>
        <w:trPr>
          <w:trHeight w:val="45" w:hRule="atLeast"/>
          <w:jc w:val="center"/>
        </w:trPr>
        <w:tc>
          <w:tcPr>
            <w:tcW w:w="1490" w:type="dxa"/>
            <w:vMerge w:val="continue"/>
            <w:tcBorders>
              <w:left w:val="single" w:color="auto" w:sz="4" w:space="0"/>
              <w:right w:val="single" w:color="auto" w:sz="4" w:space="0"/>
            </w:tcBorders>
            <w:vAlign w:val="center"/>
          </w:tcPr>
          <w:p>
            <w:pPr>
              <w:spacing w:line="536" w:lineRule="exact"/>
              <w:jc w:val="center"/>
              <w:rPr>
                <w:rFonts w:ascii="宋体" w:cs="宋体"/>
                <w:color w:val="000000"/>
                <w:kern w:val="0"/>
                <w:sz w:val="20"/>
                <w:szCs w:val="20"/>
              </w:rPr>
            </w:pPr>
          </w:p>
        </w:tc>
        <w:tc>
          <w:tcPr>
            <w:tcW w:w="1986" w:type="dxa"/>
            <w:vMerge w:val="continue"/>
            <w:tcBorders>
              <w:top w:val="nil"/>
              <w:left w:val="single" w:color="auto" w:sz="4" w:space="0"/>
              <w:bottom w:val="single" w:color="auto" w:sz="4" w:space="0"/>
              <w:right w:val="single" w:color="auto" w:sz="4" w:space="0"/>
            </w:tcBorders>
            <w:vAlign w:val="center"/>
          </w:tcPr>
          <w:p>
            <w:pPr>
              <w:widowControl/>
              <w:spacing w:line="536" w:lineRule="exact"/>
              <w:jc w:val="left"/>
              <w:rPr>
                <w:rFonts w:ascii="宋体" w:cs="宋体"/>
                <w:color w:val="000000"/>
                <w:kern w:val="0"/>
                <w:sz w:val="20"/>
                <w:szCs w:val="20"/>
              </w:rPr>
            </w:pPr>
          </w:p>
        </w:tc>
        <w:tc>
          <w:tcPr>
            <w:tcW w:w="3567" w:type="dxa"/>
            <w:tcBorders>
              <w:top w:val="nil"/>
              <w:left w:val="nil"/>
              <w:bottom w:val="single" w:color="auto" w:sz="4" w:space="0"/>
              <w:right w:val="single" w:color="auto" w:sz="4" w:space="0"/>
            </w:tcBorders>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中央专款分配合规率（</w:t>
            </w:r>
            <w:r>
              <w:rPr>
                <w:rFonts w:ascii="宋体" w:hAnsi="宋体" w:cs="宋体"/>
                <w:color w:val="000000"/>
                <w:kern w:val="0"/>
                <w:sz w:val="20"/>
                <w:szCs w:val="20"/>
              </w:rPr>
              <w:t>1</w:t>
            </w:r>
            <w:r>
              <w:rPr>
                <w:rFonts w:hint="eastAsia" w:ascii="宋体" w:hAnsi="宋体" w:cs="宋体"/>
                <w:color w:val="000000"/>
                <w:kern w:val="0"/>
                <w:sz w:val="20"/>
                <w:szCs w:val="20"/>
              </w:rPr>
              <w:t>分）</w:t>
            </w:r>
          </w:p>
        </w:tc>
        <w:tc>
          <w:tcPr>
            <w:tcW w:w="1275" w:type="dxa"/>
            <w:tcBorders>
              <w:top w:val="nil"/>
              <w:left w:val="nil"/>
              <w:bottom w:val="single" w:color="auto" w:sz="4" w:space="0"/>
              <w:right w:val="single" w:color="auto" w:sz="4" w:space="0"/>
            </w:tcBorders>
          </w:tcPr>
          <w:p>
            <w:pPr>
              <w:widowControl/>
              <w:spacing w:line="536" w:lineRule="exact"/>
              <w:jc w:val="left"/>
              <w:rPr>
                <w:rFonts w:ascii="宋体" w:cs="宋体"/>
                <w:color w:val="000000"/>
                <w:kern w:val="0"/>
                <w:sz w:val="20"/>
                <w:szCs w:val="20"/>
              </w:rPr>
            </w:pPr>
            <w:r>
              <w:rPr>
                <w:rFonts w:ascii="宋体" w:hAnsi="宋体" w:cs="宋体"/>
                <w:color w:val="000000"/>
                <w:kern w:val="0"/>
                <w:sz w:val="20"/>
                <w:szCs w:val="20"/>
              </w:rPr>
              <w:t>1</w:t>
            </w:r>
          </w:p>
        </w:tc>
      </w:tr>
      <w:tr>
        <w:tblPrEx>
          <w:tblLayout w:type="fixed"/>
          <w:tblCellMar>
            <w:top w:w="0" w:type="dxa"/>
            <w:left w:w="108" w:type="dxa"/>
            <w:bottom w:w="0" w:type="dxa"/>
            <w:right w:w="108" w:type="dxa"/>
          </w:tblCellMar>
        </w:tblPrEx>
        <w:trPr>
          <w:trHeight w:val="45" w:hRule="atLeast"/>
          <w:jc w:val="center"/>
        </w:trPr>
        <w:tc>
          <w:tcPr>
            <w:tcW w:w="1490" w:type="dxa"/>
            <w:vMerge w:val="continue"/>
            <w:tcBorders>
              <w:left w:val="single" w:color="auto" w:sz="4" w:space="0"/>
              <w:right w:val="single" w:color="auto" w:sz="4" w:space="0"/>
            </w:tcBorders>
            <w:vAlign w:val="center"/>
          </w:tcPr>
          <w:p>
            <w:pPr>
              <w:spacing w:line="536" w:lineRule="exact"/>
              <w:jc w:val="center"/>
              <w:rPr>
                <w:rFonts w:ascii="宋体" w:cs="宋体"/>
                <w:color w:val="000000"/>
                <w:kern w:val="0"/>
                <w:sz w:val="20"/>
                <w:szCs w:val="20"/>
              </w:rPr>
            </w:pPr>
          </w:p>
        </w:tc>
        <w:tc>
          <w:tcPr>
            <w:tcW w:w="1986" w:type="dxa"/>
            <w:tcBorders>
              <w:top w:val="nil"/>
              <w:left w:val="nil"/>
              <w:bottom w:val="single" w:color="auto" w:sz="4" w:space="0"/>
              <w:right w:val="single" w:color="auto" w:sz="4" w:space="0"/>
            </w:tcBorders>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中期评估（</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3567" w:type="dxa"/>
            <w:tcBorders>
              <w:top w:val="nil"/>
              <w:left w:val="nil"/>
              <w:bottom w:val="single" w:color="auto" w:sz="4" w:space="0"/>
              <w:right w:val="single" w:color="auto" w:sz="4" w:space="0"/>
            </w:tcBorders>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执行中期评估（</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275" w:type="dxa"/>
            <w:tcBorders>
              <w:top w:val="nil"/>
              <w:left w:val="nil"/>
              <w:bottom w:val="single" w:color="auto" w:sz="4" w:space="0"/>
              <w:right w:val="single" w:color="auto" w:sz="4" w:space="0"/>
            </w:tcBorders>
          </w:tcPr>
          <w:p>
            <w:pPr>
              <w:widowControl/>
              <w:spacing w:line="536" w:lineRule="exact"/>
              <w:jc w:val="left"/>
              <w:rPr>
                <w:rFonts w:ascii="宋体" w:cs="宋体"/>
                <w:color w:val="000000"/>
                <w:kern w:val="0"/>
                <w:sz w:val="20"/>
                <w:szCs w:val="20"/>
              </w:rPr>
            </w:pPr>
            <w:r>
              <w:rPr>
                <w:rFonts w:ascii="宋体" w:hAnsi="宋体" w:cs="宋体"/>
                <w:color w:val="000000"/>
                <w:kern w:val="0"/>
                <w:sz w:val="20"/>
                <w:szCs w:val="20"/>
              </w:rPr>
              <w:t>2</w:t>
            </w:r>
          </w:p>
        </w:tc>
      </w:tr>
      <w:tr>
        <w:tblPrEx>
          <w:tblLayout w:type="fixed"/>
          <w:tblCellMar>
            <w:top w:w="0" w:type="dxa"/>
            <w:left w:w="108" w:type="dxa"/>
            <w:bottom w:w="0" w:type="dxa"/>
            <w:right w:w="108" w:type="dxa"/>
          </w:tblCellMar>
        </w:tblPrEx>
        <w:trPr>
          <w:trHeight w:val="45" w:hRule="atLeast"/>
          <w:jc w:val="center"/>
        </w:trPr>
        <w:tc>
          <w:tcPr>
            <w:tcW w:w="1490" w:type="dxa"/>
            <w:vMerge w:val="continue"/>
            <w:tcBorders>
              <w:left w:val="single" w:color="auto" w:sz="4" w:space="0"/>
              <w:right w:val="single" w:color="auto" w:sz="4" w:space="0"/>
            </w:tcBorders>
            <w:vAlign w:val="center"/>
          </w:tcPr>
          <w:p>
            <w:pPr>
              <w:spacing w:line="536" w:lineRule="exact"/>
              <w:jc w:val="center"/>
              <w:rPr>
                <w:rFonts w:ascii="宋体" w:cs="宋体"/>
                <w:color w:val="000000"/>
                <w:kern w:val="0"/>
                <w:sz w:val="20"/>
                <w:szCs w:val="20"/>
              </w:rPr>
            </w:pPr>
          </w:p>
        </w:tc>
        <w:tc>
          <w:tcPr>
            <w:tcW w:w="1986" w:type="dxa"/>
            <w:vMerge w:val="restart"/>
            <w:tcBorders>
              <w:top w:val="nil"/>
              <w:left w:val="single" w:color="auto" w:sz="4" w:space="0"/>
              <w:bottom w:val="single" w:color="auto" w:sz="4" w:space="0"/>
              <w:right w:val="single" w:color="auto" w:sz="4" w:space="0"/>
            </w:tcBorders>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绩效监控（</w:t>
            </w:r>
            <w:r>
              <w:rPr>
                <w:rFonts w:ascii="宋体" w:hAnsi="宋体" w:cs="宋体"/>
                <w:color w:val="000000"/>
                <w:kern w:val="0"/>
                <w:sz w:val="20"/>
                <w:szCs w:val="20"/>
              </w:rPr>
              <w:t>5</w:t>
            </w:r>
            <w:r>
              <w:rPr>
                <w:rFonts w:hint="eastAsia" w:ascii="宋体" w:hAnsi="宋体" w:cs="宋体"/>
                <w:color w:val="000000"/>
                <w:kern w:val="0"/>
                <w:sz w:val="20"/>
                <w:szCs w:val="20"/>
              </w:rPr>
              <w:t>分）</w:t>
            </w:r>
          </w:p>
        </w:tc>
        <w:tc>
          <w:tcPr>
            <w:tcW w:w="3567" w:type="dxa"/>
            <w:tcBorders>
              <w:top w:val="nil"/>
              <w:left w:val="nil"/>
              <w:bottom w:val="single" w:color="auto" w:sz="4" w:space="0"/>
              <w:right w:val="single" w:color="auto" w:sz="4" w:space="0"/>
            </w:tcBorders>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预算执行进度监控（</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275" w:type="dxa"/>
            <w:tcBorders>
              <w:top w:val="nil"/>
              <w:left w:val="nil"/>
              <w:bottom w:val="single" w:color="auto" w:sz="4" w:space="0"/>
              <w:right w:val="single" w:color="auto" w:sz="4" w:space="0"/>
            </w:tcBorders>
          </w:tcPr>
          <w:p>
            <w:pPr>
              <w:widowControl/>
              <w:spacing w:line="536" w:lineRule="exact"/>
              <w:jc w:val="left"/>
              <w:rPr>
                <w:rFonts w:ascii="宋体" w:cs="宋体"/>
                <w:color w:val="000000"/>
                <w:kern w:val="0"/>
                <w:sz w:val="20"/>
                <w:szCs w:val="20"/>
              </w:rPr>
            </w:pPr>
            <w:r>
              <w:rPr>
                <w:rFonts w:ascii="宋体" w:hAnsi="宋体" w:cs="宋体"/>
                <w:color w:val="000000"/>
                <w:kern w:val="0"/>
                <w:sz w:val="20"/>
                <w:szCs w:val="20"/>
              </w:rPr>
              <w:t>2</w:t>
            </w:r>
          </w:p>
        </w:tc>
      </w:tr>
      <w:tr>
        <w:tblPrEx>
          <w:tblLayout w:type="fixed"/>
          <w:tblCellMar>
            <w:top w:w="0" w:type="dxa"/>
            <w:left w:w="108" w:type="dxa"/>
            <w:bottom w:w="0" w:type="dxa"/>
            <w:right w:w="108" w:type="dxa"/>
          </w:tblCellMar>
        </w:tblPrEx>
        <w:trPr>
          <w:trHeight w:val="45" w:hRule="atLeast"/>
          <w:jc w:val="center"/>
        </w:trPr>
        <w:tc>
          <w:tcPr>
            <w:tcW w:w="1490" w:type="dxa"/>
            <w:vMerge w:val="continue"/>
            <w:tcBorders>
              <w:left w:val="single" w:color="auto" w:sz="4" w:space="0"/>
              <w:right w:val="single" w:color="auto" w:sz="4" w:space="0"/>
            </w:tcBorders>
            <w:vAlign w:val="center"/>
          </w:tcPr>
          <w:p>
            <w:pPr>
              <w:spacing w:line="536" w:lineRule="exact"/>
              <w:jc w:val="center"/>
              <w:rPr>
                <w:rFonts w:ascii="宋体" w:cs="宋体"/>
                <w:color w:val="000000"/>
                <w:kern w:val="0"/>
                <w:sz w:val="20"/>
                <w:szCs w:val="20"/>
              </w:rPr>
            </w:pPr>
          </w:p>
        </w:tc>
        <w:tc>
          <w:tcPr>
            <w:tcW w:w="1986" w:type="dxa"/>
            <w:vMerge w:val="continue"/>
            <w:tcBorders>
              <w:top w:val="nil"/>
              <w:left w:val="single" w:color="auto" w:sz="4" w:space="0"/>
              <w:bottom w:val="single" w:color="auto" w:sz="4" w:space="0"/>
              <w:right w:val="single" w:color="auto" w:sz="4" w:space="0"/>
            </w:tcBorders>
            <w:vAlign w:val="center"/>
          </w:tcPr>
          <w:p>
            <w:pPr>
              <w:widowControl/>
              <w:spacing w:line="536" w:lineRule="exact"/>
              <w:jc w:val="left"/>
              <w:rPr>
                <w:rFonts w:ascii="宋体" w:cs="宋体"/>
                <w:color w:val="000000"/>
                <w:kern w:val="0"/>
                <w:sz w:val="20"/>
                <w:szCs w:val="20"/>
              </w:rPr>
            </w:pPr>
          </w:p>
        </w:tc>
        <w:tc>
          <w:tcPr>
            <w:tcW w:w="3567" w:type="dxa"/>
            <w:tcBorders>
              <w:top w:val="nil"/>
              <w:left w:val="nil"/>
              <w:bottom w:val="single" w:color="auto" w:sz="4" w:space="0"/>
              <w:right w:val="single" w:color="auto" w:sz="4" w:space="0"/>
            </w:tcBorders>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绩效目标动态监控（</w:t>
            </w:r>
            <w:r>
              <w:rPr>
                <w:rFonts w:ascii="宋体" w:hAnsi="宋体" w:cs="宋体"/>
                <w:color w:val="000000"/>
                <w:kern w:val="0"/>
                <w:sz w:val="20"/>
                <w:szCs w:val="20"/>
              </w:rPr>
              <w:t>3</w:t>
            </w:r>
            <w:r>
              <w:rPr>
                <w:rFonts w:hint="eastAsia" w:ascii="宋体" w:hAnsi="宋体" w:cs="宋体"/>
                <w:color w:val="000000"/>
                <w:kern w:val="0"/>
                <w:sz w:val="20"/>
                <w:szCs w:val="20"/>
              </w:rPr>
              <w:t>分）</w:t>
            </w:r>
          </w:p>
        </w:tc>
        <w:tc>
          <w:tcPr>
            <w:tcW w:w="1275" w:type="dxa"/>
            <w:tcBorders>
              <w:top w:val="nil"/>
              <w:left w:val="nil"/>
              <w:bottom w:val="single" w:color="auto" w:sz="4" w:space="0"/>
              <w:right w:val="single" w:color="auto" w:sz="4" w:space="0"/>
            </w:tcBorders>
          </w:tcPr>
          <w:p>
            <w:pPr>
              <w:widowControl/>
              <w:spacing w:line="536" w:lineRule="exact"/>
              <w:jc w:val="left"/>
              <w:rPr>
                <w:rFonts w:ascii="宋体" w:cs="宋体"/>
                <w:color w:val="000000"/>
                <w:kern w:val="0"/>
                <w:sz w:val="20"/>
                <w:szCs w:val="20"/>
              </w:rPr>
            </w:pPr>
            <w:r>
              <w:rPr>
                <w:rFonts w:ascii="宋体" w:cs="宋体"/>
                <w:color w:val="000000"/>
                <w:kern w:val="0"/>
                <w:sz w:val="20"/>
                <w:szCs w:val="20"/>
              </w:rPr>
              <w:t>2</w:t>
            </w:r>
          </w:p>
        </w:tc>
      </w:tr>
      <w:tr>
        <w:tblPrEx>
          <w:tblLayout w:type="fixed"/>
          <w:tblCellMar>
            <w:top w:w="0" w:type="dxa"/>
            <w:left w:w="108" w:type="dxa"/>
            <w:bottom w:w="0" w:type="dxa"/>
            <w:right w:w="108" w:type="dxa"/>
          </w:tblCellMar>
        </w:tblPrEx>
        <w:trPr>
          <w:trHeight w:val="45" w:hRule="atLeast"/>
          <w:jc w:val="center"/>
        </w:trPr>
        <w:tc>
          <w:tcPr>
            <w:tcW w:w="1490" w:type="dxa"/>
            <w:vMerge w:val="continue"/>
            <w:tcBorders>
              <w:left w:val="single" w:color="auto" w:sz="4" w:space="0"/>
              <w:right w:val="single" w:color="auto" w:sz="4" w:space="0"/>
            </w:tcBorders>
            <w:vAlign w:val="center"/>
          </w:tcPr>
          <w:p>
            <w:pPr>
              <w:spacing w:line="536" w:lineRule="exact"/>
              <w:jc w:val="center"/>
              <w:rPr>
                <w:rFonts w:ascii="宋体" w:cs="宋体"/>
                <w:color w:val="000000"/>
                <w:kern w:val="0"/>
                <w:sz w:val="20"/>
                <w:szCs w:val="20"/>
              </w:rPr>
            </w:pPr>
          </w:p>
        </w:tc>
        <w:tc>
          <w:tcPr>
            <w:tcW w:w="1986" w:type="dxa"/>
            <w:vMerge w:val="restart"/>
            <w:tcBorders>
              <w:top w:val="nil"/>
              <w:left w:val="single" w:color="auto" w:sz="4" w:space="0"/>
              <w:bottom w:val="single" w:color="auto" w:sz="4" w:space="0"/>
              <w:right w:val="single" w:color="auto" w:sz="4" w:space="0"/>
            </w:tcBorders>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非税收入执收情况（</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3567" w:type="dxa"/>
            <w:tcBorders>
              <w:top w:val="nil"/>
              <w:left w:val="nil"/>
              <w:bottom w:val="single" w:color="auto" w:sz="4" w:space="0"/>
              <w:right w:val="single" w:color="auto" w:sz="4" w:space="0"/>
            </w:tcBorders>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非税收入征收情况（</w:t>
            </w:r>
            <w:r>
              <w:rPr>
                <w:rFonts w:ascii="宋体" w:hAnsi="宋体" w:cs="宋体"/>
                <w:color w:val="000000"/>
                <w:kern w:val="0"/>
                <w:sz w:val="20"/>
                <w:szCs w:val="20"/>
              </w:rPr>
              <w:t>1</w:t>
            </w:r>
            <w:r>
              <w:rPr>
                <w:rFonts w:hint="eastAsia" w:ascii="宋体" w:hAnsi="宋体" w:cs="宋体"/>
                <w:color w:val="000000"/>
                <w:kern w:val="0"/>
                <w:sz w:val="20"/>
                <w:szCs w:val="20"/>
              </w:rPr>
              <w:t>分）</w:t>
            </w:r>
          </w:p>
        </w:tc>
        <w:tc>
          <w:tcPr>
            <w:tcW w:w="1275" w:type="dxa"/>
            <w:tcBorders>
              <w:top w:val="nil"/>
              <w:left w:val="nil"/>
              <w:bottom w:val="single" w:color="auto" w:sz="4" w:space="0"/>
              <w:right w:val="single" w:color="auto" w:sz="4" w:space="0"/>
            </w:tcBorders>
          </w:tcPr>
          <w:p>
            <w:pPr>
              <w:widowControl/>
              <w:spacing w:line="536" w:lineRule="exact"/>
              <w:jc w:val="left"/>
              <w:rPr>
                <w:rFonts w:ascii="宋体" w:cs="宋体"/>
                <w:color w:val="000000"/>
                <w:kern w:val="0"/>
                <w:sz w:val="20"/>
                <w:szCs w:val="20"/>
              </w:rPr>
            </w:pPr>
            <w:r>
              <w:rPr>
                <w:rFonts w:ascii="宋体" w:hAnsi="宋体" w:cs="宋体"/>
                <w:color w:val="000000"/>
                <w:kern w:val="0"/>
                <w:sz w:val="20"/>
                <w:szCs w:val="20"/>
              </w:rPr>
              <w:t>1</w:t>
            </w:r>
          </w:p>
        </w:tc>
      </w:tr>
      <w:tr>
        <w:tblPrEx>
          <w:tblLayout w:type="fixed"/>
          <w:tblCellMar>
            <w:top w:w="0" w:type="dxa"/>
            <w:left w:w="108" w:type="dxa"/>
            <w:bottom w:w="0" w:type="dxa"/>
            <w:right w:w="108" w:type="dxa"/>
          </w:tblCellMar>
        </w:tblPrEx>
        <w:trPr>
          <w:trHeight w:val="45" w:hRule="atLeast"/>
          <w:jc w:val="center"/>
        </w:trPr>
        <w:tc>
          <w:tcPr>
            <w:tcW w:w="1490" w:type="dxa"/>
            <w:vMerge w:val="continue"/>
            <w:tcBorders>
              <w:left w:val="single" w:color="auto" w:sz="4" w:space="0"/>
              <w:right w:val="single" w:color="auto" w:sz="4" w:space="0"/>
            </w:tcBorders>
            <w:vAlign w:val="center"/>
          </w:tcPr>
          <w:p>
            <w:pPr>
              <w:spacing w:line="536" w:lineRule="exact"/>
              <w:jc w:val="center"/>
              <w:rPr>
                <w:rFonts w:ascii="宋体" w:cs="宋体"/>
                <w:color w:val="000000"/>
                <w:kern w:val="0"/>
                <w:sz w:val="20"/>
                <w:szCs w:val="20"/>
              </w:rPr>
            </w:pPr>
          </w:p>
        </w:tc>
        <w:tc>
          <w:tcPr>
            <w:tcW w:w="1986" w:type="dxa"/>
            <w:vMerge w:val="continue"/>
            <w:tcBorders>
              <w:top w:val="nil"/>
              <w:left w:val="single" w:color="auto" w:sz="4" w:space="0"/>
              <w:bottom w:val="single" w:color="auto" w:sz="4" w:space="0"/>
              <w:right w:val="single" w:color="auto" w:sz="4" w:space="0"/>
            </w:tcBorders>
            <w:vAlign w:val="center"/>
          </w:tcPr>
          <w:p>
            <w:pPr>
              <w:widowControl/>
              <w:spacing w:line="536" w:lineRule="exact"/>
              <w:jc w:val="left"/>
              <w:rPr>
                <w:rFonts w:ascii="宋体" w:cs="宋体"/>
                <w:color w:val="000000"/>
                <w:kern w:val="0"/>
                <w:sz w:val="20"/>
                <w:szCs w:val="20"/>
              </w:rPr>
            </w:pPr>
          </w:p>
        </w:tc>
        <w:tc>
          <w:tcPr>
            <w:tcW w:w="3567" w:type="dxa"/>
            <w:tcBorders>
              <w:top w:val="nil"/>
              <w:left w:val="nil"/>
              <w:bottom w:val="single" w:color="auto" w:sz="4" w:space="0"/>
              <w:right w:val="single" w:color="auto" w:sz="4" w:space="0"/>
            </w:tcBorders>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非税收入上缴情况（</w:t>
            </w:r>
            <w:r>
              <w:rPr>
                <w:rFonts w:ascii="宋体" w:hAnsi="宋体" w:cs="宋体"/>
                <w:color w:val="000000"/>
                <w:kern w:val="0"/>
                <w:sz w:val="20"/>
                <w:szCs w:val="20"/>
              </w:rPr>
              <w:t>1</w:t>
            </w:r>
            <w:r>
              <w:rPr>
                <w:rFonts w:hint="eastAsia" w:ascii="宋体" w:hAnsi="宋体" w:cs="宋体"/>
                <w:color w:val="000000"/>
                <w:kern w:val="0"/>
                <w:sz w:val="20"/>
                <w:szCs w:val="20"/>
              </w:rPr>
              <w:t>分）</w:t>
            </w:r>
          </w:p>
        </w:tc>
        <w:tc>
          <w:tcPr>
            <w:tcW w:w="1275" w:type="dxa"/>
            <w:tcBorders>
              <w:top w:val="nil"/>
              <w:left w:val="nil"/>
              <w:bottom w:val="single" w:color="auto" w:sz="4" w:space="0"/>
              <w:right w:val="single" w:color="auto" w:sz="4" w:space="0"/>
            </w:tcBorders>
          </w:tcPr>
          <w:p>
            <w:pPr>
              <w:widowControl/>
              <w:spacing w:line="536" w:lineRule="exact"/>
              <w:jc w:val="left"/>
              <w:rPr>
                <w:rFonts w:ascii="宋体" w:cs="宋体"/>
                <w:color w:val="000000"/>
                <w:kern w:val="0"/>
                <w:sz w:val="20"/>
                <w:szCs w:val="20"/>
              </w:rPr>
            </w:pPr>
            <w:r>
              <w:rPr>
                <w:rFonts w:ascii="宋体" w:hAnsi="宋体" w:cs="宋体"/>
                <w:color w:val="000000"/>
                <w:kern w:val="0"/>
                <w:sz w:val="20"/>
                <w:szCs w:val="20"/>
              </w:rPr>
              <w:t>1</w:t>
            </w:r>
          </w:p>
        </w:tc>
      </w:tr>
      <w:tr>
        <w:tblPrEx>
          <w:tblLayout w:type="fixed"/>
          <w:tblCellMar>
            <w:top w:w="0" w:type="dxa"/>
            <w:left w:w="108" w:type="dxa"/>
            <w:bottom w:w="0" w:type="dxa"/>
            <w:right w:w="108" w:type="dxa"/>
          </w:tblCellMar>
        </w:tblPrEx>
        <w:trPr>
          <w:trHeight w:val="45" w:hRule="atLeast"/>
          <w:jc w:val="center"/>
        </w:trPr>
        <w:tc>
          <w:tcPr>
            <w:tcW w:w="1490" w:type="dxa"/>
            <w:vMerge w:val="continue"/>
            <w:tcBorders>
              <w:left w:val="single" w:color="auto" w:sz="4" w:space="0"/>
              <w:right w:val="single" w:color="auto" w:sz="4" w:space="0"/>
            </w:tcBorders>
            <w:vAlign w:val="center"/>
          </w:tcPr>
          <w:p>
            <w:pPr>
              <w:spacing w:line="536" w:lineRule="exact"/>
              <w:jc w:val="center"/>
              <w:rPr>
                <w:rFonts w:ascii="宋体" w:cs="宋体"/>
                <w:color w:val="000000"/>
                <w:kern w:val="0"/>
                <w:sz w:val="20"/>
                <w:szCs w:val="20"/>
              </w:rPr>
            </w:pPr>
          </w:p>
        </w:tc>
        <w:tc>
          <w:tcPr>
            <w:tcW w:w="1986" w:type="dxa"/>
            <w:vMerge w:val="restart"/>
            <w:tcBorders>
              <w:top w:val="nil"/>
              <w:left w:val="single" w:color="auto" w:sz="4" w:space="0"/>
              <w:bottom w:val="single" w:color="auto" w:sz="4" w:space="0"/>
              <w:right w:val="single" w:color="auto" w:sz="4" w:space="0"/>
            </w:tcBorders>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资产管理（</w:t>
            </w:r>
            <w:r>
              <w:rPr>
                <w:rFonts w:ascii="宋体" w:hAnsi="宋体" w:cs="宋体"/>
                <w:color w:val="000000"/>
                <w:kern w:val="0"/>
                <w:sz w:val="20"/>
                <w:szCs w:val="20"/>
              </w:rPr>
              <w:t>6</w:t>
            </w:r>
            <w:r>
              <w:rPr>
                <w:rFonts w:hint="eastAsia" w:ascii="宋体" w:hAnsi="宋体" w:cs="宋体"/>
                <w:color w:val="000000"/>
                <w:kern w:val="0"/>
                <w:sz w:val="20"/>
                <w:szCs w:val="20"/>
              </w:rPr>
              <w:t>分）</w:t>
            </w:r>
          </w:p>
        </w:tc>
        <w:tc>
          <w:tcPr>
            <w:tcW w:w="3567" w:type="dxa"/>
            <w:tcBorders>
              <w:top w:val="nil"/>
              <w:left w:val="nil"/>
              <w:bottom w:val="single" w:color="auto" w:sz="4" w:space="0"/>
              <w:right w:val="single" w:color="auto" w:sz="4" w:space="0"/>
            </w:tcBorders>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资产管理信息化情况（</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275" w:type="dxa"/>
            <w:tcBorders>
              <w:top w:val="nil"/>
              <w:left w:val="nil"/>
              <w:bottom w:val="single" w:color="auto" w:sz="4" w:space="0"/>
              <w:right w:val="single" w:color="auto" w:sz="4" w:space="0"/>
            </w:tcBorders>
          </w:tcPr>
          <w:p>
            <w:pPr>
              <w:widowControl/>
              <w:spacing w:line="536" w:lineRule="exact"/>
              <w:jc w:val="left"/>
              <w:rPr>
                <w:rFonts w:ascii="宋体" w:cs="宋体"/>
                <w:color w:val="000000"/>
                <w:kern w:val="0"/>
                <w:sz w:val="20"/>
                <w:szCs w:val="20"/>
              </w:rPr>
            </w:pPr>
            <w:r>
              <w:rPr>
                <w:rFonts w:ascii="宋体" w:hAnsi="宋体" w:cs="宋体"/>
                <w:color w:val="000000"/>
                <w:kern w:val="0"/>
                <w:sz w:val="20"/>
                <w:szCs w:val="20"/>
              </w:rPr>
              <w:t>2</w:t>
            </w:r>
          </w:p>
        </w:tc>
      </w:tr>
      <w:tr>
        <w:tblPrEx>
          <w:tblLayout w:type="fixed"/>
          <w:tblCellMar>
            <w:top w:w="0" w:type="dxa"/>
            <w:left w:w="108" w:type="dxa"/>
            <w:bottom w:w="0" w:type="dxa"/>
            <w:right w:w="108" w:type="dxa"/>
          </w:tblCellMar>
        </w:tblPrEx>
        <w:trPr>
          <w:trHeight w:val="45" w:hRule="atLeast"/>
          <w:jc w:val="center"/>
        </w:trPr>
        <w:tc>
          <w:tcPr>
            <w:tcW w:w="1490" w:type="dxa"/>
            <w:vMerge w:val="continue"/>
            <w:tcBorders>
              <w:left w:val="single" w:color="auto" w:sz="4" w:space="0"/>
              <w:right w:val="single" w:color="auto" w:sz="4" w:space="0"/>
            </w:tcBorders>
            <w:vAlign w:val="center"/>
          </w:tcPr>
          <w:p>
            <w:pPr>
              <w:spacing w:line="536" w:lineRule="exact"/>
              <w:jc w:val="center"/>
              <w:rPr>
                <w:rFonts w:ascii="宋体" w:cs="宋体"/>
                <w:color w:val="000000"/>
                <w:kern w:val="0"/>
                <w:sz w:val="20"/>
                <w:szCs w:val="20"/>
              </w:rPr>
            </w:pPr>
          </w:p>
        </w:tc>
        <w:tc>
          <w:tcPr>
            <w:tcW w:w="1986" w:type="dxa"/>
            <w:vMerge w:val="continue"/>
            <w:tcBorders>
              <w:top w:val="nil"/>
              <w:left w:val="single" w:color="auto" w:sz="4" w:space="0"/>
              <w:bottom w:val="single" w:color="auto" w:sz="4" w:space="0"/>
              <w:right w:val="single" w:color="auto" w:sz="4" w:space="0"/>
            </w:tcBorders>
            <w:vAlign w:val="center"/>
          </w:tcPr>
          <w:p>
            <w:pPr>
              <w:widowControl/>
              <w:spacing w:line="536" w:lineRule="exact"/>
              <w:jc w:val="left"/>
              <w:rPr>
                <w:rFonts w:ascii="宋体" w:cs="宋体"/>
                <w:color w:val="000000"/>
                <w:kern w:val="0"/>
                <w:sz w:val="20"/>
                <w:szCs w:val="20"/>
              </w:rPr>
            </w:pPr>
          </w:p>
        </w:tc>
        <w:tc>
          <w:tcPr>
            <w:tcW w:w="3567" w:type="dxa"/>
            <w:tcBorders>
              <w:top w:val="nil"/>
              <w:left w:val="nil"/>
              <w:bottom w:val="single" w:color="auto" w:sz="4" w:space="0"/>
              <w:right w:val="single" w:color="auto" w:sz="4" w:space="0"/>
            </w:tcBorders>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行政事业单位资产报告情况（</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275" w:type="dxa"/>
            <w:tcBorders>
              <w:top w:val="nil"/>
              <w:left w:val="nil"/>
              <w:bottom w:val="single" w:color="auto" w:sz="4" w:space="0"/>
              <w:right w:val="single" w:color="auto" w:sz="4" w:space="0"/>
            </w:tcBorders>
          </w:tcPr>
          <w:p>
            <w:pPr>
              <w:widowControl/>
              <w:spacing w:line="536" w:lineRule="exact"/>
              <w:jc w:val="left"/>
              <w:rPr>
                <w:rFonts w:ascii="宋体" w:cs="宋体"/>
                <w:color w:val="000000"/>
                <w:kern w:val="0"/>
                <w:sz w:val="20"/>
                <w:szCs w:val="20"/>
              </w:rPr>
            </w:pPr>
            <w:r>
              <w:rPr>
                <w:rFonts w:ascii="宋体" w:hAnsi="宋体" w:cs="宋体"/>
                <w:color w:val="000000"/>
                <w:kern w:val="0"/>
                <w:sz w:val="20"/>
                <w:szCs w:val="20"/>
              </w:rPr>
              <w:t>2</w:t>
            </w:r>
          </w:p>
        </w:tc>
      </w:tr>
      <w:tr>
        <w:tblPrEx>
          <w:tblLayout w:type="fixed"/>
          <w:tblCellMar>
            <w:top w:w="0" w:type="dxa"/>
            <w:left w:w="108" w:type="dxa"/>
            <w:bottom w:w="0" w:type="dxa"/>
            <w:right w:w="108" w:type="dxa"/>
          </w:tblCellMar>
        </w:tblPrEx>
        <w:trPr>
          <w:trHeight w:val="45" w:hRule="atLeast"/>
          <w:jc w:val="center"/>
        </w:trPr>
        <w:tc>
          <w:tcPr>
            <w:tcW w:w="1490" w:type="dxa"/>
            <w:vMerge w:val="continue"/>
            <w:tcBorders>
              <w:left w:val="single" w:color="auto" w:sz="4" w:space="0"/>
              <w:right w:val="single" w:color="auto" w:sz="4" w:space="0"/>
            </w:tcBorders>
            <w:vAlign w:val="center"/>
          </w:tcPr>
          <w:p>
            <w:pPr>
              <w:spacing w:line="536" w:lineRule="exact"/>
              <w:jc w:val="center"/>
              <w:rPr>
                <w:rFonts w:ascii="宋体" w:cs="宋体"/>
                <w:color w:val="000000"/>
                <w:kern w:val="0"/>
                <w:sz w:val="20"/>
                <w:szCs w:val="20"/>
              </w:rPr>
            </w:pPr>
          </w:p>
        </w:tc>
        <w:tc>
          <w:tcPr>
            <w:tcW w:w="1986" w:type="dxa"/>
            <w:vMerge w:val="continue"/>
            <w:tcBorders>
              <w:top w:val="nil"/>
              <w:left w:val="single" w:color="auto" w:sz="4" w:space="0"/>
              <w:bottom w:val="single" w:color="auto" w:sz="4" w:space="0"/>
              <w:right w:val="single" w:color="auto" w:sz="4" w:space="0"/>
            </w:tcBorders>
            <w:vAlign w:val="center"/>
          </w:tcPr>
          <w:p>
            <w:pPr>
              <w:widowControl/>
              <w:spacing w:line="536" w:lineRule="exact"/>
              <w:jc w:val="left"/>
              <w:rPr>
                <w:rFonts w:ascii="宋体" w:cs="宋体"/>
                <w:color w:val="000000"/>
                <w:kern w:val="0"/>
                <w:sz w:val="20"/>
                <w:szCs w:val="20"/>
              </w:rPr>
            </w:pPr>
          </w:p>
        </w:tc>
        <w:tc>
          <w:tcPr>
            <w:tcW w:w="3567" w:type="dxa"/>
            <w:tcBorders>
              <w:top w:val="nil"/>
              <w:left w:val="nil"/>
              <w:bottom w:val="single" w:color="auto" w:sz="4" w:space="0"/>
              <w:right w:val="single" w:color="auto" w:sz="4" w:space="0"/>
            </w:tcBorders>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资产管理与预算管理相结合（</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275" w:type="dxa"/>
            <w:tcBorders>
              <w:top w:val="nil"/>
              <w:left w:val="nil"/>
              <w:bottom w:val="single" w:color="auto" w:sz="4" w:space="0"/>
              <w:right w:val="single" w:color="auto" w:sz="4" w:space="0"/>
            </w:tcBorders>
          </w:tcPr>
          <w:p>
            <w:pPr>
              <w:widowControl/>
              <w:spacing w:line="536" w:lineRule="exact"/>
              <w:jc w:val="left"/>
              <w:rPr>
                <w:rFonts w:ascii="宋体" w:cs="宋体"/>
                <w:color w:val="000000"/>
                <w:kern w:val="0"/>
                <w:sz w:val="20"/>
                <w:szCs w:val="20"/>
              </w:rPr>
            </w:pPr>
            <w:r>
              <w:rPr>
                <w:rFonts w:ascii="宋体" w:hAnsi="宋体" w:cs="宋体"/>
                <w:color w:val="000000"/>
                <w:kern w:val="0"/>
                <w:sz w:val="20"/>
                <w:szCs w:val="20"/>
              </w:rPr>
              <w:t>2</w:t>
            </w:r>
          </w:p>
        </w:tc>
      </w:tr>
      <w:tr>
        <w:tblPrEx>
          <w:tblLayout w:type="fixed"/>
          <w:tblCellMar>
            <w:top w:w="0" w:type="dxa"/>
            <w:left w:w="108" w:type="dxa"/>
            <w:bottom w:w="0" w:type="dxa"/>
            <w:right w:w="108" w:type="dxa"/>
          </w:tblCellMar>
        </w:tblPrEx>
        <w:trPr>
          <w:trHeight w:val="45" w:hRule="atLeast"/>
          <w:jc w:val="center"/>
        </w:trPr>
        <w:tc>
          <w:tcPr>
            <w:tcW w:w="1490" w:type="dxa"/>
            <w:vMerge w:val="continue"/>
            <w:tcBorders>
              <w:left w:val="single" w:color="auto" w:sz="4" w:space="0"/>
              <w:right w:val="single" w:color="auto" w:sz="4" w:space="0"/>
            </w:tcBorders>
            <w:vAlign w:val="center"/>
          </w:tcPr>
          <w:p>
            <w:pPr>
              <w:widowControl/>
              <w:spacing w:line="536" w:lineRule="exact"/>
              <w:jc w:val="center"/>
              <w:rPr>
                <w:rFonts w:ascii="宋体" w:cs="宋体"/>
                <w:color w:val="000000"/>
                <w:kern w:val="0"/>
                <w:sz w:val="20"/>
                <w:szCs w:val="20"/>
              </w:rPr>
            </w:pPr>
          </w:p>
        </w:tc>
        <w:tc>
          <w:tcPr>
            <w:tcW w:w="1986" w:type="dxa"/>
            <w:tcBorders>
              <w:top w:val="nil"/>
              <w:left w:val="nil"/>
              <w:bottom w:val="single" w:color="auto" w:sz="4" w:space="0"/>
              <w:right w:val="single" w:color="auto" w:sz="4" w:space="0"/>
            </w:tcBorders>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内控制度管理（</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3567" w:type="dxa"/>
            <w:tcBorders>
              <w:top w:val="nil"/>
              <w:left w:val="nil"/>
              <w:bottom w:val="single" w:color="auto" w:sz="4" w:space="0"/>
              <w:right w:val="single" w:color="auto" w:sz="4" w:space="0"/>
            </w:tcBorders>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内部控制制度健全完整（</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275" w:type="dxa"/>
            <w:tcBorders>
              <w:top w:val="nil"/>
              <w:left w:val="nil"/>
              <w:bottom w:val="single" w:color="auto" w:sz="4" w:space="0"/>
              <w:right w:val="single" w:color="auto" w:sz="4" w:space="0"/>
            </w:tcBorders>
          </w:tcPr>
          <w:p>
            <w:pPr>
              <w:widowControl/>
              <w:spacing w:line="536" w:lineRule="exact"/>
              <w:jc w:val="left"/>
              <w:rPr>
                <w:rFonts w:ascii="宋体" w:cs="宋体"/>
                <w:color w:val="000000"/>
                <w:kern w:val="0"/>
                <w:sz w:val="20"/>
                <w:szCs w:val="20"/>
              </w:rPr>
            </w:pPr>
            <w:r>
              <w:rPr>
                <w:rFonts w:ascii="宋体" w:hAnsi="宋体" w:cs="宋体"/>
                <w:color w:val="000000"/>
                <w:kern w:val="0"/>
                <w:sz w:val="20"/>
                <w:szCs w:val="20"/>
              </w:rPr>
              <w:t>2</w:t>
            </w:r>
          </w:p>
        </w:tc>
      </w:tr>
      <w:tr>
        <w:tblPrEx>
          <w:tblLayout w:type="fixed"/>
          <w:tblCellMar>
            <w:top w:w="0" w:type="dxa"/>
            <w:left w:w="108" w:type="dxa"/>
            <w:bottom w:w="0" w:type="dxa"/>
            <w:right w:w="108" w:type="dxa"/>
          </w:tblCellMar>
        </w:tblPrEx>
        <w:trPr>
          <w:trHeight w:val="45" w:hRule="atLeast"/>
          <w:jc w:val="center"/>
        </w:trPr>
        <w:tc>
          <w:tcPr>
            <w:tcW w:w="1490" w:type="dxa"/>
            <w:vMerge w:val="continue"/>
            <w:tcBorders>
              <w:left w:val="single" w:color="auto" w:sz="4" w:space="0"/>
              <w:right w:val="single" w:color="auto" w:sz="4" w:space="0"/>
            </w:tcBorders>
            <w:vAlign w:val="center"/>
          </w:tcPr>
          <w:p>
            <w:pPr>
              <w:widowControl/>
              <w:spacing w:line="536" w:lineRule="exact"/>
              <w:jc w:val="left"/>
              <w:rPr>
                <w:rFonts w:ascii="宋体" w:cs="宋体"/>
                <w:color w:val="000000"/>
                <w:kern w:val="0"/>
                <w:sz w:val="20"/>
                <w:szCs w:val="20"/>
              </w:rPr>
            </w:pPr>
          </w:p>
        </w:tc>
        <w:tc>
          <w:tcPr>
            <w:tcW w:w="1986" w:type="dxa"/>
            <w:vMerge w:val="restart"/>
            <w:tcBorders>
              <w:top w:val="nil"/>
              <w:left w:val="single" w:color="auto" w:sz="4" w:space="0"/>
              <w:bottom w:val="single" w:color="auto" w:sz="4" w:space="0"/>
              <w:right w:val="single" w:color="auto" w:sz="4" w:space="0"/>
            </w:tcBorders>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信息公开（</w:t>
            </w:r>
            <w:r>
              <w:rPr>
                <w:rFonts w:ascii="宋体" w:hAnsi="宋体" w:cs="宋体"/>
                <w:color w:val="000000"/>
                <w:kern w:val="0"/>
                <w:sz w:val="20"/>
                <w:szCs w:val="20"/>
              </w:rPr>
              <w:t>6</w:t>
            </w:r>
            <w:r>
              <w:rPr>
                <w:rFonts w:hint="eastAsia" w:ascii="宋体" w:hAnsi="宋体" w:cs="宋体"/>
                <w:color w:val="000000"/>
                <w:kern w:val="0"/>
                <w:sz w:val="20"/>
                <w:szCs w:val="20"/>
              </w:rPr>
              <w:t>分）</w:t>
            </w:r>
          </w:p>
        </w:tc>
        <w:tc>
          <w:tcPr>
            <w:tcW w:w="3567" w:type="dxa"/>
            <w:tcBorders>
              <w:top w:val="nil"/>
              <w:left w:val="nil"/>
              <w:bottom w:val="single" w:color="auto" w:sz="4" w:space="0"/>
              <w:right w:val="single" w:color="auto" w:sz="4" w:space="0"/>
            </w:tcBorders>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预算公开（</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275" w:type="dxa"/>
            <w:tcBorders>
              <w:top w:val="nil"/>
              <w:left w:val="nil"/>
              <w:bottom w:val="single" w:color="auto" w:sz="4" w:space="0"/>
              <w:right w:val="single" w:color="auto" w:sz="4" w:space="0"/>
            </w:tcBorders>
          </w:tcPr>
          <w:p>
            <w:pPr>
              <w:widowControl/>
              <w:spacing w:line="536" w:lineRule="exact"/>
              <w:jc w:val="left"/>
              <w:rPr>
                <w:rFonts w:ascii="宋体" w:cs="宋体"/>
                <w:color w:val="000000"/>
                <w:kern w:val="0"/>
                <w:sz w:val="20"/>
                <w:szCs w:val="20"/>
              </w:rPr>
            </w:pPr>
            <w:r>
              <w:rPr>
                <w:rFonts w:ascii="宋体" w:hAnsi="宋体" w:cs="宋体"/>
                <w:color w:val="000000"/>
                <w:kern w:val="0"/>
                <w:sz w:val="20"/>
                <w:szCs w:val="20"/>
              </w:rPr>
              <w:t>2</w:t>
            </w:r>
          </w:p>
        </w:tc>
      </w:tr>
      <w:tr>
        <w:tblPrEx>
          <w:tblLayout w:type="fixed"/>
          <w:tblCellMar>
            <w:top w:w="0" w:type="dxa"/>
            <w:left w:w="108" w:type="dxa"/>
            <w:bottom w:w="0" w:type="dxa"/>
            <w:right w:w="108" w:type="dxa"/>
          </w:tblCellMar>
        </w:tblPrEx>
        <w:trPr>
          <w:trHeight w:val="45" w:hRule="atLeast"/>
          <w:jc w:val="center"/>
        </w:trPr>
        <w:tc>
          <w:tcPr>
            <w:tcW w:w="1490" w:type="dxa"/>
            <w:vMerge w:val="continue"/>
            <w:tcBorders>
              <w:left w:val="single" w:color="auto" w:sz="4" w:space="0"/>
              <w:right w:val="single" w:color="auto" w:sz="4" w:space="0"/>
            </w:tcBorders>
            <w:vAlign w:val="center"/>
          </w:tcPr>
          <w:p>
            <w:pPr>
              <w:widowControl/>
              <w:spacing w:line="536" w:lineRule="exact"/>
              <w:jc w:val="left"/>
              <w:rPr>
                <w:rFonts w:ascii="宋体" w:cs="宋体"/>
                <w:color w:val="000000"/>
                <w:kern w:val="0"/>
                <w:sz w:val="20"/>
                <w:szCs w:val="20"/>
              </w:rPr>
            </w:pPr>
          </w:p>
        </w:tc>
        <w:tc>
          <w:tcPr>
            <w:tcW w:w="1986" w:type="dxa"/>
            <w:vMerge w:val="continue"/>
            <w:tcBorders>
              <w:top w:val="nil"/>
              <w:left w:val="single" w:color="auto" w:sz="4" w:space="0"/>
              <w:bottom w:val="single" w:color="auto" w:sz="4" w:space="0"/>
              <w:right w:val="single" w:color="auto" w:sz="4" w:space="0"/>
            </w:tcBorders>
            <w:vAlign w:val="center"/>
          </w:tcPr>
          <w:p>
            <w:pPr>
              <w:widowControl/>
              <w:spacing w:line="536" w:lineRule="exact"/>
              <w:jc w:val="left"/>
              <w:rPr>
                <w:rFonts w:ascii="宋体" w:cs="宋体"/>
                <w:color w:val="000000"/>
                <w:kern w:val="0"/>
                <w:sz w:val="20"/>
                <w:szCs w:val="20"/>
              </w:rPr>
            </w:pPr>
          </w:p>
        </w:tc>
        <w:tc>
          <w:tcPr>
            <w:tcW w:w="3567" w:type="dxa"/>
            <w:tcBorders>
              <w:top w:val="nil"/>
              <w:left w:val="nil"/>
              <w:bottom w:val="single" w:color="auto" w:sz="4" w:space="0"/>
              <w:right w:val="single" w:color="auto" w:sz="4" w:space="0"/>
            </w:tcBorders>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决算公开（</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275" w:type="dxa"/>
            <w:tcBorders>
              <w:top w:val="nil"/>
              <w:left w:val="nil"/>
              <w:bottom w:val="single" w:color="auto" w:sz="4" w:space="0"/>
              <w:right w:val="single" w:color="auto" w:sz="4" w:space="0"/>
            </w:tcBorders>
          </w:tcPr>
          <w:p>
            <w:pPr>
              <w:widowControl/>
              <w:spacing w:line="536" w:lineRule="exact"/>
              <w:jc w:val="left"/>
              <w:rPr>
                <w:rFonts w:ascii="宋体" w:cs="宋体"/>
                <w:color w:val="000000"/>
                <w:kern w:val="0"/>
                <w:sz w:val="20"/>
                <w:szCs w:val="20"/>
              </w:rPr>
            </w:pPr>
            <w:r>
              <w:rPr>
                <w:rFonts w:ascii="宋体" w:hAnsi="宋体" w:cs="宋体"/>
                <w:color w:val="000000"/>
                <w:kern w:val="0"/>
                <w:sz w:val="20"/>
                <w:szCs w:val="20"/>
              </w:rPr>
              <w:t>2</w:t>
            </w:r>
          </w:p>
        </w:tc>
      </w:tr>
      <w:tr>
        <w:tblPrEx>
          <w:tblLayout w:type="fixed"/>
          <w:tblCellMar>
            <w:top w:w="0" w:type="dxa"/>
            <w:left w:w="108" w:type="dxa"/>
            <w:bottom w:w="0" w:type="dxa"/>
            <w:right w:w="108" w:type="dxa"/>
          </w:tblCellMar>
        </w:tblPrEx>
        <w:trPr>
          <w:trHeight w:val="45" w:hRule="atLeast"/>
          <w:jc w:val="center"/>
        </w:trPr>
        <w:tc>
          <w:tcPr>
            <w:tcW w:w="1490" w:type="dxa"/>
            <w:vMerge w:val="continue"/>
            <w:tcBorders>
              <w:left w:val="single" w:color="auto" w:sz="4" w:space="0"/>
              <w:right w:val="single" w:color="auto" w:sz="4" w:space="0"/>
            </w:tcBorders>
            <w:vAlign w:val="center"/>
          </w:tcPr>
          <w:p>
            <w:pPr>
              <w:widowControl/>
              <w:spacing w:line="536" w:lineRule="exact"/>
              <w:jc w:val="left"/>
              <w:rPr>
                <w:rFonts w:ascii="宋体" w:cs="宋体"/>
                <w:color w:val="000000"/>
                <w:kern w:val="0"/>
                <w:sz w:val="20"/>
                <w:szCs w:val="20"/>
              </w:rPr>
            </w:pPr>
          </w:p>
        </w:tc>
        <w:tc>
          <w:tcPr>
            <w:tcW w:w="1986" w:type="dxa"/>
            <w:vMerge w:val="continue"/>
            <w:tcBorders>
              <w:top w:val="nil"/>
              <w:left w:val="single" w:color="auto" w:sz="4" w:space="0"/>
              <w:bottom w:val="single" w:color="auto" w:sz="4" w:space="0"/>
              <w:right w:val="single" w:color="auto" w:sz="4" w:space="0"/>
            </w:tcBorders>
            <w:vAlign w:val="center"/>
          </w:tcPr>
          <w:p>
            <w:pPr>
              <w:widowControl/>
              <w:spacing w:line="536" w:lineRule="exact"/>
              <w:jc w:val="left"/>
              <w:rPr>
                <w:rFonts w:ascii="宋体" w:cs="宋体"/>
                <w:color w:val="000000"/>
                <w:kern w:val="0"/>
                <w:sz w:val="20"/>
                <w:szCs w:val="20"/>
              </w:rPr>
            </w:pPr>
          </w:p>
        </w:tc>
        <w:tc>
          <w:tcPr>
            <w:tcW w:w="3567" w:type="dxa"/>
            <w:tcBorders>
              <w:top w:val="nil"/>
              <w:left w:val="nil"/>
              <w:bottom w:val="single" w:color="auto" w:sz="4" w:space="0"/>
              <w:right w:val="single" w:color="auto" w:sz="4" w:space="0"/>
            </w:tcBorders>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绩效信息公开（</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275" w:type="dxa"/>
            <w:tcBorders>
              <w:top w:val="nil"/>
              <w:left w:val="nil"/>
              <w:bottom w:val="single" w:color="auto" w:sz="4" w:space="0"/>
              <w:right w:val="single" w:color="auto" w:sz="4" w:space="0"/>
            </w:tcBorders>
          </w:tcPr>
          <w:p>
            <w:pPr>
              <w:widowControl/>
              <w:spacing w:line="536" w:lineRule="exact"/>
              <w:jc w:val="left"/>
              <w:rPr>
                <w:rFonts w:ascii="宋体" w:cs="宋体"/>
                <w:color w:val="000000"/>
                <w:kern w:val="0"/>
                <w:sz w:val="20"/>
                <w:szCs w:val="20"/>
              </w:rPr>
            </w:pPr>
            <w:r>
              <w:rPr>
                <w:rFonts w:ascii="宋体" w:hAnsi="宋体" w:cs="宋体"/>
                <w:color w:val="000000"/>
                <w:kern w:val="0"/>
                <w:sz w:val="20"/>
                <w:szCs w:val="20"/>
              </w:rPr>
              <w:t>2</w:t>
            </w:r>
          </w:p>
        </w:tc>
      </w:tr>
      <w:tr>
        <w:tblPrEx>
          <w:tblLayout w:type="fixed"/>
          <w:tblCellMar>
            <w:top w:w="0" w:type="dxa"/>
            <w:left w:w="108" w:type="dxa"/>
            <w:bottom w:w="0" w:type="dxa"/>
            <w:right w:w="108" w:type="dxa"/>
          </w:tblCellMar>
        </w:tblPrEx>
        <w:trPr>
          <w:trHeight w:val="45" w:hRule="atLeast"/>
          <w:jc w:val="center"/>
        </w:trPr>
        <w:tc>
          <w:tcPr>
            <w:tcW w:w="1490" w:type="dxa"/>
            <w:vMerge w:val="continue"/>
            <w:tcBorders>
              <w:left w:val="single" w:color="auto" w:sz="4" w:space="0"/>
              <w:right w:val="single" w:color="auto" w:sz="4" w:space="0"/>
            </w:tcBorders>
            <w:vAlign w:val="center"/>
          </w:tcPr>
          <w:p>
            <w:pPr>
              <w:widowControl/>
              <w:spacing w:line="536" w:lineRule="exact"/>
              <w:jc w:val="left"/>
              <w:rPr>
                <w:rFonts w:ascii="宋体" w:cs="宋体"/>
                <w:color w:val="000000"/>
                <w:kern w:val="0"/>
                <w:sz w:val="20"/>
                <w:szCs w:val="20"/>
              </w:rPr>
            </w:pPr>
          </w:p>
        </w:tc>
        <w:tc>
          <w:tcPr>
            <w:tcW w:w="1986" w:type="dxa"/>
            <w:vMerge w:val="restart"/>
            <w:tcBorders>
              <w:top w:val="nil"/>
              <w:left w:val="single" w:color="auto" w:sz="4" w:space="0"/>
              <w:bottom w:val="single" w:color="auto" w:sz="4" w:space="0"/>
              <w:right w:val="single" w:color="auto" w:sz="4" w:space="0"/>
            </w:tcBorders>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绩效评价（</w:t>
            </w:r>
            <w:r>
              <w:rPr>
                <w:rFonts w:ascii="宋体" w:hAnsi="宋体" w:cs="宋体"/>
                <w:color w:val="000000"/>
                <w:kern w:val="0"/>
                <w:sz w:val="20"/>
                <w:szCs w:val="20"/>
              </w:rPr>
              <w:t>5</w:t>
            </w:r>
            <w:r>
              <w:rPr>
                <w:rFonts w:hint="eastAsia" w:ascii="宋体" w:hAnsi="宋体" w:cs="宋体"/>
                <w:color w:val="000000"/>
                <w:kern w:val="0"/>
                <w:sz w:val="20"/>
                <w:szCs w:val="20"/>
              </w:rPr>
              <w:t>分）</w:t>
            </w:r>
          </w:p>
        </w:tc>
        <w:tc>
          <w:tcPr>
            <w:tcW w:w="3567" w:type="dxa"/>
            <w:tcBorders>
              <w:top w:val="nil"/>
              <w:left w:val="nil"/>
              <w:bottom w:val="single" w:color="auto" w:sz="4" w:space="0"/>
              <w:right w:val="single" w:color="auto" w:sz="4" w:space="0"/>
            </w:tcBorders>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绩效评价开展（</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275" w:type="dxa"/>
            <w:tcBorders>
              <w:top w:val="nil"/>
              <w:left w:val="nil"/>
              <w:bottom w:val="single" w:color="auto" w:sz="4" w:space="0"/>
              <w:right w:val="single" w:color="auto" w:sz="4" w:space="0"/>
            </w:tcBorders>
          </w:tcPr>
          <w:p>
            <w:pPr>
              <w:widowControl/>
              <w:spacing w:line="536" w:lineRule="exact"/>
              <w:jc w:val="left"/>
              <w:rPr>
                <w:rFonts w:ascii="宋体" w:cs="宋体"/>
                <w:color w:val="000000"/>
                <w:kern w:val="0"/>
                <w:sz w:val="20"/>
                <w:szCs w:val="20"/>
              </w:rPr>
            </w:pPr>
            <w:r>
              <w:rPr>
                <w:rFonts w:ascii="宋体" w:hAnsi="宋体" w:cs="宋体"/>
                <w:color w:val="000000"/>
                <w:kern w:val="0"/>
                <w:sz w:val="20"/>
                <w:szCs w:val="20"/>
              </w:rPr>
              <w:t>2</w:t>
            </w:r>
          </w:p>
        </w:tc>
      </w:tr>
      <w:tr>
        <w:tblPrEx>
          <w:tblLayout w:type="fixed"/>
          <w:tblCellMar>
            <w:top w:w="0" w:type="dxa"/>
            <w:left w:w="108" w:type="dxa"/>
            <w:bottom w:w="0" w:type="dxa"/>
            <w:right w:w="108" w:type="dxa"/>
          </w:tblCellMar>
        </w:tblPrEx>
        <w:trPr>
          <w:trHeight w:val="45" w:hRule="atLeast"/>
          <w:jc w:val="center"/>
        </w:trPr>
        <w:tc>
          <w:tcPr>
            <w:tcW w:w="1490" w:type="dxa"/>
            <w:vMerge w:val="continue"/>
            <w:tcBorders>
              <w:left w:val="single" w:color="auto" w:sz="4" w:space="0"/>
              <w:bottom w:val="single" w:color="auto" w:sz="4" w:space="0"/>
              <w:right w:val="single" w:color="auto" w:sz="4" w:space="0"/>
            </w:tcBorders>
            <w:vAlign w:val="center"/>
          </w:tcPr>
          <w:p>
            <w:pPr>
              <w:widowControl/>
              <w:spacing w:line="536" w:lineRule="exact"/>
              <w:jc w:val="left"/>
              <w:rPr>
                <w:rFonts w:ascii="宋体" w:cs="宋体"/>
                <w:color w:val="000000"/>
                <w:kern w:val="0"/>
                <w:sz w:val="20"/>
                <w:szCs w:val="20"/>
              </w:rPr>
            </w:pPr>
          </w:p>
        </w:tc>
        <w:tc>
          <w:tcPr>
            <w:tcW w:w="1986" w:type="dxa"/>
            <w:vMerge w:val="continue"/>
            <w:tcBorders>
              <w:top w:val="nil"/>
              <w:left w:val="single" w:color="auto" w:sz="4" w:space="0"/>
              <w:bottom w:val="single" w:color="auto" w:sz="4" w:space="0"/>
              <w:right w:val="single" w:color="auto" w:sz="4" w:space="0"/>
            </w:tcBorders>
            <w:vAlign w:val="center"/>
          </w:tcPr>
          <w:p>
            <w:pPr>
              <w:widowControl/>
              <w:spacing w:line="536" w:lineRule="exact"/>
              <w:jc w:val="left"/>
              <w:rPr>
                <w:rFonts w:ascii="宋体" w:cs="宋体"/>
                <w:color w:val="000000"/>
                <w:kern w:val="0"/>
                <w:sz w:val="20"/>
                <w:szCs w:val="20"/>
              </w:rPr>
            </w:pPr>
          </w:p>
        </w:tc>
        <w:tc>
          <w:tcPr>
            <w:tcW w:w="3567" w:type="dxa"/>
            <w:tcBorders>
              <w:top w:val="nil"/>
              <w:left w:val="nil"/>
              <w:bottom w:val="single" w:color="auto" w:sz="4" w:space="0"/>
              <w:right w:val="single" w:color="auto" w:sz="4" w:space="0"/>
            </w:tcBorders>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评价结果应用（</w:t>
            </w:r>
            <w:r>
              <w:rPr>
                <w:rFonts w:ascii="宋体" w:hAnsi="宋体" w:cs="宋体"/>
                <w:color w:val="000000"/>
                <w:kern w:val="0"/>
                <w:sz w:val="20"/>
                <w:szCs w:val="20"/>
              </w:rPr>
              <w:t>3</w:t>
            </w:r>
            <w:r>
              <w:rPr>
                <w:rFonts w:hint="eastAsia" w:ascii="宋体" w:hAnsi="宋体" w:cs="宋体"/>
                <w:color w:val="000000"/>
                <w:kern w:val="0"/>
                <w:sz w:val="20"/>
                <w:szCs w:val="20"/>
              </w:rPr>
              <w:t>分）</w:t>
            </w:r>
          </w:p>
        </w:tc>
        <w:tc>
          <w:tcPr>
            <w:tcW w:w="1275" w:type="dxa"/>
            <w:tcBorders>
              <w:top w:val="nil"/>
              <w:left w:val="nil"/>
              <w:bottom w:val="single" w:color="auto" w:sz="4" w:space="0"/>
              <w:right w:val="single" w:color="auto" w:sz="4" w:space="0"/>
            </w:tcBorders>
          </w:tcPr>
          <w:p>
            <w:pPr>
              <w:widowControl/>
              <w:spacing w:line="536" w:lineRule="exact"/>
              <w:jc w:val="left"/>
              <w:rPr>
                <w:rFonts w:ascii="宋体" w:cs="宋体"/>
                <w:color w:val="000000"/>
                <w:kern w:val="0"/>
                <w:sz w:val="20"/>
                <w:szCs w:val="20"/>
              </w:rPr>
            </w:pPr>
            <w:r>
              <w:rPr>
                <w:rFonts w:ascii="宋体" w:cs="宋体"/>
                <w:color w:val="000000"/>
                <w:kern w:val="0"/>
                <w:sz w:val="20"/>
                <w:szCs w:val="20"/>
              </w:rPr>
              <w:t>2</w:t>
            </w:r>
          </w:p>
        </w:tc>
      </w:tr>
      <w:tr>
        <w:tblPrEx>
          <w:tblLayout w:type="fixed"/>
          <w:tblCellMar>
            <w:top w:w="0" w:type="dxa"/>
            <w:left w:w="108" w:type="dxa"/>
            <w:bottom w:w="0" w:type="dxa"/>
            <w:right w:w="108" w:type="dxa"/>
          </w:tblCellMar>
        </w:tblPrEx>
        <w:trPr>
          <w:trHeight w:val="935" w:hRule="atLeast"/>
          <w:jc w:val="center"/>
        </w:trPr>
        <w:tc>
          <w:tcPr>
            <w:tcW w:w="1490" w:type="dxa"/>
            <w:vMerge w:val="restart"/>
            <w:tcBorders>
              <w:top w:val="nil"/>
              <w:left w:val="single" w:color="auto" w:sz="4" w:space="0"/>
              <w:right w:val="single" w:color="auto" w:sz="4" w:space="0"/>
            </w:tcBorders>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部门绩效情况（</w:t>
            </w:r>
            <w:r>
              <w:rPr>
                <w:rFonts w:ascii="宋体" w:hAnsi="宋体" w:cs="宋体"/>
                <w:color w:val="000000"/>
                <w:kern w:val="0"/>
                <w:sz w:val="20"/>
                <w:szCs w:val="20"/>
              </w:rPr>
              <w:t>45</w:t>
            </w:r>
            <w:r>
              <w:rPr>
                <w:rFonts w:hint="eastAsia" w:ascii="宋体" w:hAnsi="宋体" w:cs="宋体"/>
                <w:color w:val="000000"/>
                <w:kern w:val="0"/>
                <w:sz w:val="20"/>
                <w:szCs w:val="20"/>
              </w:rPr>
              <w:t>分）</w:t>
            </w:r>
          </w:p>
        </w:tc>
        <w:tc>
          <w:tcPr>
            <w:tcW w:w="1986" w:type="dxa"/>
            <w:vMerge w:val="restart"/>
            <w:tcBorders>
              <w:top w:val="nil"/>
              <w:left w:val="single" w:color="auto" w:sz="4" w:space="0"/>
              <w:bottom w:val="single" w:color="auto" w:sz="4" w:space="0"/>
              <w:right w:val="single" w:color="auto" w:sz="4" w:space="0"/>
            </w:tcBorders>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履职成效（</w:t>
            </w:r>
            <w:r>
              <w:rPr>
                <w:rFonts w:ascii="宋体" w:hAnsi="宋体" w:cs="宋体"/>
                <w:color w:val="000000"/>
                <w:kern w:val="0"/>
                <w:sz w:val="20"/>
                <w:szCs w:val="20"/>
              </w:rPr>
              <w:t>20</w:t>
            </w:r>
            <w:r>
              <w:rPr>
                <w:rFonts w:hint="eastAsia" w:ascii="宋体" w:hAnsi="宋体" w:cs="宋体"/>
                <w:color w:val="000000"/>
                <w:kern w:val="0"/>
                <w:sz w:val="20"/>
                <w:szCs w:val="20"/>
              </w:rPr>
              <w:t>分）</w:t>
            </w:r>
          </w:p>
        </w:tc>
        <w:tc>
          <w:tcPr>
            <w:tcW w:w="3567" w:type="dxa"/>
            <w:tcBorders>
              <w:top w:val="single" w:color="auto" w:sz="4" w:space="0"/>
              <w:left w:val="single" w:color="auto" w:sz="4" w:space="0"/>
              <w:bottom w:val="single" w:color="auto" w:sz="4" w:space="0"/>
              <w:right w:val="single" w:color="auto" w:sz="4" w:space="0"/>
            </w:tcBorders>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部门特性指标</w:t>
            </w:r>
          </w:p>
        </w:tc>
        <w:tc>
          <w:tcPr>
            <w:tcW w:w="1275" w:type="dxa"/>
            <w:tcBorders>
              <w:top w:val="nil"/>
              <w:left w:val="nil"/>
              <w:bottom w:val="single" w:color="auto" w:sz="4" w:space="0"/>
              <w:right w:val="single" w:color="auto" w:sz="4" w:space="0"/>
            </w:tcBorders>
          </w:tcPr>
          <w:p>
            <w:pPr>
              <w:widowControl/>
              <w:spacing w:line="536" w:lineRule="exact"/>
              <w:jc w:val="center"/>
              <w:rPr>
                <w:rFonts w:hint="eastAsia" w:ascii="宋体" w:eastAsia="宋体" w:cs="宋体"/>
                <w:color w:val="000000"/>
                <w:kern w:val="0"/>
                <w:sz w:val="20"/>
                <w:szCs w:val="20"/>
                <w:lang w:val="en-US" w:eastAsia="zh-CN"/>
              </w:rPr>
            </w:pPr>
            <w:r>
              <w:rPr>
                <w:rFonts w:ascii="宋体" w:hAnsi="宋体" w:cs="宋体"/>
                <w:color w:val="000000"/>
                <w:kern w:val="0"/>
                <w:sz w:val="20"/>
                <w:szCs w:val="20"/>
              </w:rPr>
              <w:t>1</w:t>
            </w:r>
            <w:r>
              <w:rPr>
                <w:rFonts w:hint="eastAsia" w:ascii="宋体" w:hAnsi="宋体" w:cs="宋体"/>
                <w:color w:val="000000"/>
                <w:kern w:val="0"/>
                <w:sz w:val="20"/>
                <w:szCs w:val="20"/>
                <w:lang w:val="en-US" w:eastAsia="zh-CN"/>
              </w:rPr>
              <w:t>7</w:t>
            </w:r>
          </w:p>
        </w:tc>
      </w:tr>
      <w:tr>
        <w:tblPrEx>
          <w:tblLayout w:type="fixed"/>
          <w:tblCellMar>
            <w:top w:w="0" w:type="dxa"/>
            <w:left w:w="108" w:type="dxa"/>
            <w:bottom w:w="0" w:type="dxa"/>
            <w:right w:w="108" w:type="dxa"/>
          </w:tblCellMar>
        </w:tblPrEx>
        <w:trPr>
          <w:trHeight w:val="45" w:hRule="atLeast"/>
          <w:jc w:val="center"/>
        </w:trPr>
        <w:tc>
          <w:tcPr>
            <w:tcW w:w="1490" w:type="dxa"/>
            <w:vMerge w:val="continue"/>
            <w:tcBorders>
              <w:left w:val="single" w:color="auto" w:sz="4" w:space="0"/>
              <w:right w:val="single" w:color="auto" w:sz="4" w:space="0"/>
            </w:tcBorders>
            <w:vAlign w:val="center"/>
          </w:tcPr>
          <w:p>
            <w:pPr>
              <w:spacing w:line="536" w:lineRule="exact"/>
              <w:jc w:val="left"/>
              <w:rPr>
                <w:rFonts w:ascii="宋体" w:cs="宋体"/>
                <w:color w:val="000000"/>
                <w:kern w:val="0"/>
                <w:sz w:val="20"/>
                <w:szCs w:val="20"/>
              </w:rPr>
            </w:pPr>
          </w:p>
        </w:tc>
        <w:tc>
          <w:tcPr>
            <w:tcW w:w="1986" w:type="dxa"/>
            <w:vMerge w:val="restart"/>
            <w:tcBorders>
              <w:top w:val="nil"/>
              <w:left w:val="single" w:color="auto" w:sz="4" w:space="0"/>
              <w:bottom w:val="single" w:color="auto" w:sz="4" w:space="0"/>
              <w:right w:val="single" w:color="auto" w:sz="4" w:space="0"/>
            </w:tcBorders>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可持续发展能力（</w:t>
            </w:r>
            <w:r>
              <w:rPr>
                <w:rFonts w:ascii="宋体" w:hAnsi="宋体" w:cs="宋体"/>
                <w:color w:val="000000"/>
                <w:kern w:val="0"/>
                <w:sz w:val="20"/>
                <w:szCs w:val="20"/>
              </w:rPr>
              <w:t>15</w:t>
            </w:r>
            <w:r>
              <w:rPr>
                <w:rFonts w:hint="eastAsia" w:ascii="宋体" w:hAnsi="宋体" w:cs="宋体"/>
                <w:color w:val="000000"/>
                <w:kern w:val="0"/>
                <w:sz w:val="20"/>
                <w:szCs w:val="20"/>
              </w:rPr>
              <w:t>分）</w:t>
            </w:r>
          </w:p>
        </w:tc>
        <w:tc>
          <w:tcPr>
            <w:tcW w:w="3567" w:type="dxa"/>
            <w:tcBorders>
              <w:top w:val="single" w:color="auto" w:sz="4" w:space="0"/>
              <w:left w:val="single" w:color="auto" w:sz="4" w:space="0"/>
              <w:bottom w:val="single" w:color="auto" w:sz="4" w:space="0"/>
              <w:right w:val="single" w:color="auto" w:sz="4" w:space="0"/>
            </w:tcBorders>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重点改革（重点工作）完成情况（</w:t>
            </w:r>
            <w:r>
              <w:rPr>
                <w:rFonts w:ascii="宋体" w:hAnsi="宋体" w:cs="宋体"/>
                <w:color w:val="000000"/>
                <w:kern w:val="0"/>
                <w:sz w:val="20"/>
                <w:szCs w:val="20"/>
              </w:rPr>
              <w:t>5</w:t>
            </w:r>
            <w:r>
              <w:rPr>
                <w:rFonts w:hint="eastAsia" w:ascii="宋体" w:hAnsi="宋体" w:cs="宋体"/>
                <w:color w:val="000000"/>
                <w:kern w:val="0"/>
                <w:sz w:val="20"/>
                <w:szCs w:val="20"/>
              </w:rPr>
              <w:t>分）</w:t>
            </w:r>
          </w:p>
        </w:tc>
        <w:tc>
          <w:tcPr>
            <w:tcW w:w="1275" w:type="dxa"/>
            <w:tcBorders>
              <w:top w:val="nil"/>
              <w:left w:val="nil"/>
              <w:bottom w:val="single" w:color="auto" w:sz="4" w:space="0"/>
              <w:right w:val="single" w:color="auto" w:sz="4" w:space="0"/>
            </w:tcBorders>
          </w:tcPr>
          <w:p>
            <w:pPr>
              <w:widowControl/>
              <w:spacing w:line="536" w:lineRule="exact"/>
              <w:jc w:val="center"/>
              <w:rPr>
                <w:rFonts w:ascii="宋体" w:cs="宋体"/>
                <w:color w:val="000000"/>
                <w:kern w:val="0"/>
                <w:sz w:val="20"/>
                <w:szCs w:val="20"/>
              </w:rPr>
            </w:pPr>
            <w:r>
              <w:rPr>
                <w:rFonts w:ascii="宋体" w:hAnsi="宋体" w:cs="宋体"/>
                <w:color w:val="000000"/>
                <w:kern w:val="0"/>
                <w:sz w:val="20"/>
                <w:szCs w:val="20"/>
              </w:rPr>
              <w:t>4</w:t>
            </w:r>
          </w:p>
        </w:tc>
      </w:tr>
      <w:tr>
        <w:tblPrEx>
          <w:tblLayout w:type="fixed"/>
          <w:tblCellMar>
            <w:top w:w="0" w:type="dxa"/>
            <w:left w:w="108" w:type="dxa"/>
            <w:bottom w:w="0" w:type="dxa"/>
            <w:right w:w="108" w:type="dxa"/>
          </w:tblCellMar>
        </w:tblPrEx>
        <w:trPr>
          <w:trHeight w:val="45" w:hRule="atLeast"/>
          <w:jc w:val="center"/>
        </w:trPr>
        <w:tc>
          <w:tcPr>
            <w:tcW w:w="1490" w:type="dxa"/>
            <w:vMerge w:val="continue"/>
            <w:tcBorders>
              <w:left w:val="single" w:color="auto" w:sz="4" w:space="0"/>
              <w:right w:val="single" w:color="auto" w:sz="4" w:space="0"/>
            </w:tcBorders>
            <w:vAlign w:val="center"/>
          </w:tcPr>
          <w:p>
            <w:pPr>
              <w:spacing w:line="536" w:lineRule="exact"/>
              <w:jc w:val="left"/>
              <w:rPr>
                <w:rFonts w:ascii="宋体" w:cs="宋体"/>
                <w:color w:val="000000"/>
                <w:kern w:val="0"/>
                <w:sz w:val="20"/>
                <w:szCs w:val="20"/>
              </w:rPr>
            </w:pPr>
          </w:p>
        </w:tc>
        <w:tc>
          <w:tcPr>
            <w:tcW w:w="1986" w:type="dxa"/>
            <w:vMerge w:val="continue"/>
            <w:tcBorders>
              <w:top w:val="nil"/>
              <w:left w:val="single" w:color="auto" w:sz="4" w:space="0"/>
              <w:bottom w:val="single" w:color="auto" w:sz="4" w:space="0"/>
              <w:right w:val="single" w:color="auto" w:sz="4" w:space="0"/>
            </w:tcBorders>
            <w:vAlign w:val="center"/>
          </w:tcPr>
          <w:p>
            <w:pPr>
              <w:widowControl/>
              <w:spacing w:line="536" w:lineRule="exact"/>
              <w:jc w:val="left"/>
              <w:rPr>
                <w:rFonts w:ascii="宋体" w:cs="宋体"/>
                <w:color w:val="000000"/>
                <w:kern w:val="0"/>
                <w:sz w:val="20"/>
                <w:szCs w:val="20"/>
              </w:rPr>
            </w:pPr>
          </w:p>
        </w:tc>
        <w:tc>
          <w:tcPr>
            <w:tcW w:w="3567" w:type="dxa"/>
            <w:tcBorders>
              <w:top w:val="single" w:color="auto" w:sz="4" w:space="0"/>
              <w:left w:val="nil"/>
              <w:bottom w:val="single" w:color="auto" w:sz="4" w:space="0"/>
              <w:right w:val="single" w:color="auto" w:sz="4" w:space="0"/>
            </w:tcBorders>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科技（制度、方法、机制等）创新（</w:t>
            </w:r>
            <w:r>
              <w:rPr>
                <w:rFonts w:ascii="宋体" w:hAnsi="宋体" w:cs="宋体"/>
                <w:color w:val="000000"/>
                <w:kern w:val="0"/>
                <w:sz w:val="20"/>
                <w:szCs w:val="20"/>
              </w:rPr>
              <w:t>5</w:t>
            </w:r>
            <w:r>
              <w:rPr>
                <w:rFonts w:hint="eastAsia" w:ascii="宋体" w:hAnsi="宋体" w:cs="宋体"/>
                <w:color w:val="000000"/>
                <w:kern w:val="0"/>
                <w:sz w:val="20"/>
                <w:szCs w:val="20"/>
              </w:rPr>
              <w:t>分）</w:t>
            </w:r>
          </w:p>
        </w:tc>
        <w:tc>
          <w:tcPr>
            <w:tcW w:w="1275" w:type="dxa"/>
            <w:tcBorders>
              <w:top w:val="nil"/>
              <w:left w:val="nil"/>
              <w:bottom w:val="single" w:color="auto" w:sz="4" w:space="0"/>
              <w:right w:val="single" w:color="auto" w:sz="4" w:space="0"/>
            </w:tcBorders>
          </w:tcPr>
          <w:p>
            <w:pPr>
              <w:widowControl/>
              <w:spacing w:line="536" w:lineRule="exact"/>
              <w:jc w:val="center"/>
              <w:rPr>
                <w:rFonts w:ascii="宋体" w:cs="宋体"/>
                <w:color w:val="000000"/>
                <w:kern w:val="0"/>
                <w:sz w:val="20"/>
                <w:szCs w:val="20"/>
              </w:rPr>
            </w:pPr>
            <w:r>
              <w:rPr>
                <w:rFonts w:ascii="宋体" w:hAnsi="宋体" w:cs="宋体"/>
                <w:color w:val="000000"/>
                <w:kern w:val="0"/>
                <w:sz w:val="20"/>
                <w:szCs w:val="20"/>
              </w:rPr>
              <w:t>4</w:t>
            </w:r>
          </w:p>
        </w:tc>
      </w:tr>
      <w:tr>
        <w:tblPrEx>
          <w:tblLayout w:type="fixed"/>
          <w:tblCellMar>
            <w:top w:w="0" w:type="dxa"/>
            <w:left w:w="108" w:type="dxa"/>
            <w:bottom w:w="0" w:type="dxa"/>
            <w:right w:w="108" w:type="dxa"/>
          </w:tblCellMar>
        </w:tblPrEx>
        <w:trPr>
          <w:trHeight w:val="45" w:hRule="atLeast"/>
          <w:jc w:val="center"/>
        </w:trPr>
        <w:tc>
          <w:tcPr>
            <w:tcW w:w="1490" w:type="dxa"/>
            <w:vMerge w:val="continue"/>
            <w:tcBorders>
              <w:left w:val="single" w:color="auto" w:sz="4" w:space="0"/>
              <w:right w:val="single" w:color="auto" w:sz="4" w:space="0"/>
            </w:tcBorders>
            <w:vAlign w:val="center"/>
          </w:tcPr>
          <w:p>
            <w:pPr>
              <w:spacing w:line="536" w:lineRule="exact"/>
              <w:jc w:val="left"/>
              <w:rPr>
                <w:rFonts w:ascii="宋体" w:cs="宋体"/>
                <w:color w:val="000000"/>
                <w:kern w:val="0"/>
                <w:sz w:val="20"/>
                <w:szCs w:val="20"/>
              </w:rPr>
            </w:pPr>
          </w:p>
        </w:tc>
        <w:tc>
          <w:tcPr>
            <w:tcW w:w="1986" w:type="dxa"/>
            <w:vMerge w:val="continue"/>
            <w:tcBorders>
              <w:top w:val="nil"/>
              <w:left w:val="single" w:color="auto" w:sz="4" w:space="0"/>
              <w:bottom w:val="single" w:color="auto" w:sz="4" w:space="0"/>
              <w:right w:val="single" w:color="auto" w:sz="4" w:space="0"/>
            </w:tcBorders>
            <w:vAlign w:val="center"/>
          </w:tcPr>
          <w:p>
            <w:pPr>
              <w:widowControl/>
              <w:spacing w:line="536" w:lineRule="exact"/>
              <w:jc w:val="left"/>
              <w:rPr>
                <w:rFonts w:ascii="宋体" w:cs="宋体"/>
                <w:color w:val="000000"/>
                <w:kern w:val="0"/>
                <w:sz w:val="20"/>
                <w:szCs w:val="20"/>
              </w:rPr>
            </w:pPr>
          </w:p>
        </w:tc>
        <w:tc>
          <w:tcPr>
            <w:tcW w:w="3567" w:type="dxa"/>
            <w:tcBorders>
              <w:top w:val="nil"/>
              <w:left w:val="nil"/>
              <w:bottom w:val="single" w:color="auto" w:sz="4" w:space="0"/>
              <w:right w:val="single" w:color="auto" w:sz="4" w:space="0"/>
            </w:tcBorders>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人才培养（</w:t>
            </w:r>
            <w:r>
              <w:rPr>
                <w:rFonts w:ascii="宋体" w:hAnsi="宋体" w:cs="宋体"/>
                <w:color w:val="000000"/>
                <w:kern w:val="0"/>
                <w:sz w:val="20"/>
                <w:szCs w:val="20"/>
              </w:rPr>
              <w:t>5</w:t>
            </w:r>
            <w:r>
              <w:rPr>
                <w:rFonts w:hint="eastAsia" w:ascii="宋体" w:hAnsi="宋体" w:cs="宋体"/>
                <w:color w:val="000000"/>
                <w:kern w:val="0"/>
                <w:sz w:val="20"/>
                <w:szCs w:val="20"/>
              </w:rPr>
              <w:t>分）</w:t>
            </w:r>
          </w:p>
        </w:tc>
        <w:tc>
          <w:tcPr>
            <w:tcW w:w="1275" w:type="dxa"/>
            <w:tcBorders>
              <w:top w:val="nil"/>
              <w:left w:val="nil"/>
              <w:bottom w:val="single" w:color="auto" w:sz="4" w:space="0"/>
              <w:right w:val="single" w:color="auto" w:sz="4" w:space="0"/>
            </w:tcBorders>
          </w:tcPr>
          <w:p>
            <w:pPr>
              <w:widowControl/>
              <w:spacing w:line="536" w:lineRule="exact"/>
              <w:jc w:val="center"/>
              <w:rPr>
                <w:rFonts w:ascii="宋体" w:cs="宋体"/>
                <w:color w:val="000000"/>
                <w:kern w:val="0"/>
                <w:sz w:val="20"/>
                <w:szCs w:val="20"/>
              </w:rPr>
            </w:pPr>
            <w:r>
              <w:rPr>
                <w:rFonts w:ascii="宋体" w:hAnsi="宋体" w:cs="宋体"/>
                <w:color w:val="000000"/>
                <w:kern w:val="0"/>
                <w:sz w:val="20"/>
                <w:szCs w:val="20"/>
              </w:rPr>
              <w:t>5</w:t>
            </w:r>
          </w:p>
        </w:tc>
      </w:tr>
      <w:tr>
        <w:tblPrEx>
          <w:tblLayout w:type="fixed"/>
          <w:tblCellMar>
            <w:top w:w="0" w:type="dxa"/>
            <w:left w:w="108" w:type="dxa"/>
            <w:bottom w:w="0" w:type="dxa"/>
            <w:right w:w="108" w:type="dxa"/>
          </w:tblCellMar>
        </w:tblPrEx>
        <w:trPr>
          <w:trHeight w:val="45" w:hRule="atLeast"/>
          <w:jc w:val="center"/>
        </w:trPr>
        <w:tc>
          <w:tcPr>
            <w:tcW w:w="1490" w:type="dxa"/>
            <w:vMerge w:val="continue"/>
            <w:tcBorders>
              <w:left w:val="single" w:color="auto" w:sz="4" w:space="0"/>
              <w:right w:val="single" w:color="auto" w:sz="4" w:space="0"/>
            </w:tcBorders>
            <w:vAlign w:val="center"/>
          </w:tcPr>
          <w:p>
            <w:pPr>
              <w:spacing w:line="536" w:lineRule="exact"/>
              <w:jc w:val="left"/>
              <w:rPr>
                <w:rFonts w:ascii="宋体" w:cs="宋体"/>
                <w:color w:val="000000"/>
                <w:kern w:val="0"/>
                <w:sz w:val="20"/>
                <w:szCs w:val="20"/>
              </w:rPr>
            </w:pPr>
          </w:p>
        </w:tc>
        <w:tc>
          <w:tcPr>
            <w:tcW w:w="1986" w:type="dxa"/>
            <w:vMerge w:val="restart"/>
            <w:tcBorders>
              <w:top w:val="nil"/>
              <w:left w:val="single" w:color="auto" w:sz="4" w:space="0"/>
              <w:right w:val="single" w:color="auto" w:sz="4" w:space="0"/>
            </w:tcBorders>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满意度（</w:t>
            </w:r>
            <w:r>
              <w:rPr>
                <w:rFonts w:ascii="宋体" w:hAnsi="宋体" w:cs="宋体"/>
                <w:color w:val="000000"/>
                <w:kern w:val="0"/>
                <w:sz w:val="20"/>
                <w:szCs w:val="20"/>
              </w:rPr>
              <w:t>10</w:t>
            </w:r>
            <w:r>
              <w:rPr>
                <w:rFonts w:hint="eastAsia" w:ascii="宋体" w:hAnsi="宋体" w:cs="宋体"/>
                <w:color w:val="000000"/>
                <w:kern w:val="0"/>
                <w:sz w:val="20"/>
                <w:szCs w:val="20"/>
              </w:rPr>
              <w:t>分）</w:t>
            </w:r>
          </w:p>
        </w:tc>
        <w:tc>
          <w:tcPr>
            <w:tcW w:w="3567" w:type="dxa"/>
            <w:tcBorders>
              <w:top w:val="nil"/>
              <w:left w:val="nil"/>
              <w:bottom w:val="single" w:color="auto" w:sz="4" w:space="0"/>
              <w:right w:val="single" w:color="auto" w:sz="4" w:space="0"/>
            </w:tcBorders>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协作部门满意度（</w:t>
            </w:r>
            <w:r>
              <w:rPr>
                <w:rFonts w:ascii="宋体" w:hAnsi="宋体" w:cs="宋体"/>
                <w:color w:val="000000"/>
                <w:kern w:val="0"/>
                <w:sz w:val="20"/>
                <w:szCs w:val="20"/>
              </w:rPr>
              <w:t>3</w:t>
            </w:r>
            <w:r>
              <w:rPr>
                <w:rFonts w:hint="eastAsia" w:ascii="宋体" w:hAnsi="宋体" w:cs="宋体"/>
                <w:color w:val="000000"/>
                <w:kern w:val="0"/>
                <w:sz w:val="20"/>
                <w:szCs w:val="20"/>
              </w:rPr>
              <w:t>分）</w:t>
            </w:r>
          </w:p>
        </w:tc>
        <w:tc>
          <w:tcPr>
            <w:tcW w:w="1275" w:type="dxa"/>
            <w:tcBorders>
              <w:top w:val="nil"/>
              <w:left w:val="nil"/>
              <w:bottom w:val="single" w:color="auto" w:sz="4" w:space="0"/>
              <w:right w:val="single" w:color="auto" w:sz="4" w:space="0"/>
            </w:tcBorders>
          </w:tcPr>
          <w:p>
            <w:pPr>
              <w:widowControl/>
              <w:spacing w:line="536" w:lineRule="exact"/>
              <w:jc w:val="center"/>
              <w:rPr>
                <w:rFonts w:ascii="宋体" w:cs="宋体"/>
                <w:color w:val="000000"/>
                <w:kern w:val="0"/>
                <w:sz w:val="20"/>
                <w:szCs w:val="20"/>
              </w:rPr>
            </w:pPr>
            <w:r>
              <w:rPr>
                <w:rFonts w:ascii="宋体" w:hAnsi="宋体" w:cs="宋体"/>
                <w:color w:val="000000"/>
                <w:kern w:val="0"/>
                <w:sz w:val="20"/>
                <w:szCs w:val="20"/>
              </w:rPr>
              <w:t>3</w:t>
            </w:r>
          </w:p>
        </w:tc>
      </w:tr>
      <w:tr>
        <w:tblPrEx>
          <w:tblLayout w:type="fixed"/>
          <w:tblCellMar>
            <w:top w:w="0" w:type="dxa"/>
            <w:left w:w="108" w:type="dxa"/>
            <w:bottom w:w="0" w:type="dxa"/>
            <w:right w:w="108" w:type="dxa"/>
          </w:tblCellMar>
        </w:tblPrEx>
        <w:trPr>
          <w:trHeight w:val="45" w:hRule="atLeast"/>
          <w:jc w:val="center"/>
        </w:trPr>
        <w:tc>
          <w:tcPr>
            <w:tcW w:w="1490" w:type="dxa"/>
            <w:vMerge w:val="continue"/>
            <w:tcBorders>
              <w:left w:val="single" w:color="auto" w:sz="4" w:space="0"/>
              <w:right w:val="single" w:color="auto" w:sz="4" w:space="0"/>
            </w:tcBorders>
            <w:vAlign w:val="center"/>
          </w:tcPr>
          <w:p>
            <w:pPr>
              <w:spacing w:line="536" w:lineRule="exact"/>
              <w:jc w:val="left"/>
              <w:rPr>
                <w:rFonts w:ascii="宋体" w:cs="宋体"/>
                <w:color w:val="000000"/>
                <w:kern w:val="0"/>
                <w:sz w:val="20"/>
                <w:szCs w:val="20"/>
              </w:rPr>
            </w:pPr>
          </w:p>
        </w:tc>
        <w:tc>
          <w:tcPr>
            <w:tcW w:w="1986" w:type="dxa"/>
            <w:vMerge w:val="continue"/>
            <w:tcBorders>
              <w:left w:val="single" w:color="auto" w:sz="4" w:space="0"/>
              <w:right w:val="single" w:color="auto" w:sz="4" w:space="0"/>
            </w:tcBorders>
            <w:vAlign w:val="center"/>
          </w:tcPr>
          <w:p>
            <w:pPr>
              <w:spacing w:line="536" w:lineRule="exact"/>
              <w:jc w:val="left"/>
              <w:rPr>
                <w:rFonts w:ascii="宋体" w:cs="宋体"/>
                <w:color w:val="000000"/>
                <w:kern w:val="0"/>
                <w:sz w:val="20"/>
                <w:szCs w:val="20"/>
              </w:rPr>
            </w:pPr>
          </w:p>
        </w:tc>
        <w:tc>
          <w:tcPr>
            <w:tcW w:w="3567" w:type="dxa"/>
            <w:tcBorders>
              <w:top w:val="nil"/>
              <w:left w:val="nil"/>
              <w:bottom w:val="single" w:color="auto" w:sz="4" w:space="0"/>
              <w:right w:val="single" w:color="auto" w:sz="4" w:space="0"/>
            </w:tcBorders>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管理对象满意度（</w:t>
            </w:r>
            <w:r>
              <w:rPr>
                <w:rFonts w:ascii="宋体" w:hAnsi="宋体" w:cs="宋体"/>
                <w:color w:val="000000"/>
                <w:kern w:val="0"/>
                <w:sz w:val="20"/>
                <w:szCs w:val="20"/>
              </w:rPr>
              <w:t>3</w:t>
            </w:r>
            <w:r>
              <w:rPr>
                <w:rFonts w:hint="eastAsia" w:ascii="宋体" w:hAnsi="宋体" w:cs="宋体"/>
                <w:color w:val="000000"/>
                <w:kern w:val="0"/>
                <w:sz w:val="20"/>
                <w:szCs w:val="20"/>
              </w:rPr>
              <w:t>分）</w:t>
            </w:r>
          </w:p>
        </w:tc>
        <w:tc>
          <w:tcPr>
            <w:tcW w:w="1275" w:type="dxa"/>
            <w:tcBorders>
              <w:top w:val="nil"/>
              <w:left w:val="nil"/>
              <w:bottom w:val="single" w:color="auto" w:sz="4" w:space="0"/>
              <w:right w:val="single" w:color="auto" w:sz="4" w:space="0"/>
            </w:tcBorders>
          </w:tcPr>
          <w:p>
            <w:pPr>
              <w:widowControl/>
              <w:spacing w:line="536" w:lineRule="exact"/>
              <w:jc w:val="center"/>
              <w:rPr>
                <w:rFonts w:ascii="宋体" w:cs="宋体"/>
                <w:color w:val="000000"/>
                <w:kern w:val="0"/>
                <w:sz w:val="20"/>
                <w:szCs w:val="20"/>
              </w:rPr>
            </w:pPr>
            <w:r>
              <w:rPr>
                <w:rFonts w:ascii="宋体" w:hAnsi="宋体" w:cs="宋体"/>
                <w:color w:val="000000"/>
                <w:kern w:val="0"/>
                <w:sz w:val="20"/>
                <w:szCs w:val="20"/>
              </w:rPr>
              <w:t>3</w:t>
            </w:r>
          </w:p>
        </w:tc>
      </w:tr>
      <w:tr>
        <w:tblPrEx>
          <w:tblLayout w:type="fixed"/>
          <w:tblCellMar>
            <w:top w:w="0" w:type="dxa"/>
            <w:left w:w="108" w:type="dxa"/>
            <w:bottom w:w="0" w:type="dxa"/>
            <w:right w:w="108" w:type="dxa"/>
          </w:tblCellMar>
        </w:tblPrEx>
        <w:trPr>
          <w:trHeight w:val="131" w:hRule="atLeast"/>
          <w:jc w:val="center"/>
        </w:trPr>
        <w:tc>
          <w:tcPr>
            <w:tcW w:w="1490" w:type="dxa"/>
            <w:vMerge w:val="continue"/>
            <w:tcBorders>
              <w:left w:val="single" w:color="auto" w:sz="4" w:space="0"/>
              <w:bottom w:val="single" w:color="auto" w:sz="4" w:space="0"/>
              <w:right w:val="single" w:color="auto" w:sz="4" w:space="0"/>
            </w:tcBorders>
            <w:vAlign w:val="center"/>
          </w:tcPr>
          <w:p>
            <w:pPr>
              <w:widowControl/>
              <w:spacing w:line="536" w:lineRule="exact"/>
              <w:jc w:val="left"/>
              <w:rPr>
                <w:rFonts w:ascii="宋体" w:cs="宋体"/>
                <w:color w:val="000000"/>
                <w:kern w:val="0"/>
                <w:sz w:val="20"/>
                <w:szCs w:val="20"/>
              </w:rPr>
            </w:pPr>
          </w:p>
        </w:tc>
        <w:tc>
          <w:tcPr>
            <w:tcW w:w="1986" w:type="dxa"/>
            <w:vMerge w:val="continue"/>
            <w:tcBorders>
              <w:left w:val="single" w:color="auto" w:sz="4" w:space="0"/>
              <w:bottom w:val="single" w:color="auto" w:sz="4" w:space="0"/>
              <w:right w:val="single" w:color="auto" w:sz="4" w:space="0"/>
            </w:tcBorders>
            <w:vAlign w:val="center"/>
          </w:tcPr>
          <w:p>
            <w:pPr>
              <w:widowControl/>
              <w:spacing w:line="536" w:lineRule="exact"/>
              <w:jc w:val="left"/>
              <w:rPr>
                <w:rFonts w:ascii="宋体" w:cs="宋体"/>
                <w:color w:val="000000"/>
                <w:kern w:val="0"/>
                <w:sz w:val="20"/>
                <w:szCs w:val="20"/>
              </w:rPr>
            </w:pPr>
          </w:p>
        </w:tc>
        <w:tc>
          <w:tcPr>
            <w:tcW w:w="3567" w:type="dxa"/>
            <w:tcBorders>
              <w:top w:val="nil"/>
              <w:left w:val="nil"/>
              <w:bottom w:val="single" w:color="auto" w:sz="4" w:space="0"/>
              <w:right w:val="single" w:color="auto" w:sz="4" w:space="0"/>
            </w:tcBorders>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社会公众满意度（</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1275" w:type="dxa"/>
            <w:tcBorders>
              <w:top w:val="nil"/>
              <w:left w:val="nil"/>
              <w:bottom w:val="single" w:color="auto" w:sz="4" w:space="0"/>
              <w:right w:val="single" w:color="auto" w:sz="4" w:space="0"/>
            </w:tcBorders>
          </w:tcPr>
          <w:p>
            <w:pPr>
              <w:widowControl/>
              <w:spacing w:line="536" w:lineRule="exact"/>
              <w:jc w:val="center"/>
              <w:rPr>
                <w:rFonts w:ascii="宋体" w:cs="宋体"/>
                <w:color w:val="000000"/>
                <w:kern w:val="0"/>
                <w:sz w:val="20"/>
                <w:szCs w:val="20"/>
              </w:rPr>
            </w:pPr>
            <w:r>
              <w:rPr>
                <w:rFonts w:ascii="宋体" w:hAnsi="宋体" w:cs="宋体"/>
                <w:color w:val="000000"/>
                <w:kern w:val="0"/>
                <w:sz w:val="20"/>
                <w:szCs w:val="20"/>
              </w:rPr>
              <w:t>4</w:t>
            </w:r>
          </w:p>
        </w:tc>
      </w:tr>
    </w:tbl>
    <w:p>
      <w:pPr>
        <w:spacing w:line="536" w:lineRule="exact"/>
        <w:rPr>
          <w:rFonts w:ascii="仿宋_GB2312" w:eastAsia="仿宋_GB2312"/>
          <w:b/>
          <w:color w:val="000000"/>
          <w:sz w:val="32"/>
          <w:szCs w:val="32"/>
        </w:rPr>
      </w:pPr>
    </w:p>
    <w:p>
      <w:pPr>
        <w:spacing w:line="580" w:lineRule="exact"/>
        <w:ind w:firstLine="643" w:firstLineChars="200"/>
        <w:rPr>
          <w:rFonts w:hint="eastAsia" w:ascii="仿宋_GB2312" w:eastAsia="仿宋_GB2312"/>
          <w:b/>
          <w:color w:val="000000"/>
          <w:sz w:val="32"/>
          <w:szCs w:val="32"/>
          <w:lang w:val="en-US" w:eastAsia="zh-CN"/>
        </w:rPr>
      </w:pPr>
      <w:r>
        <w:rPr>
          <w:rFonts w:hint="eastAsia" w:ascii="仿宋_GB2312" w:eastAsia="仿宋_GB2312"/>
          <w:b/>
          <w:color w:val="000000"/>
          <w:sz w:val="32"/>
          <w:szCs w:val="32"/>
          <w:lang w:val="en-US" w:eastAsia="zh-CN"/>
        </w:rPr>
        <w:t>3、部门项目绩效评价开展情况</w:t>
      </w:r>
    </w:p>
    <w:p>
      <w:pPr>
        <w:spacing w:line="536" w:lineRule="exact"/>
        <w:ind w:firstLine="640" w:firstLineChars="200"/>
        <w:rPr>
          <w:rFonts w:ascii="黑体" w:hAnsi="黑体" w:eastAsia="黑体"/>
          <w:color w:val="000000"/>
          <w:sz w:val="32"/>
          <w:szCs w:val="32"/>
        </w:rPr>
      </w:pPr>
      <w:r>
        <w:rPr>
          <w:rFonts w:hint="eastAsia" w:ascii="仿宋_GB2312" w:eastAsia="仿宋_GB2312"/>
          <w:color w:val="000000"/>
          <w:sz w:val="32"/>
          <w:szCs w:val="32"/>
        </w:rPr>
        <w:t>本部门对项目开展了支出绩效评价，得分为</w:t>
      </w:r>
      <w:r>
        <w:rPr>
          <w:rFonts w:hint="eastAsia" w:ascii="仿宋_GB2312" w:eastAsia="仿宋_GB2312"/>
          <w:color w:val="000000"/>
          <w:sz w:val="32"/>
          <w:szCs w:val="32"/>
          <w:lang w:val="en-US" w:eastAsia="zh-CN"/>
        </w:rPr>
        <w:t>93</w:t>
      </w:r>
      <w:r>
        <w:rPr>
          <w:rFonts w:hint="eastAsia" w:ascii="仿宋_GB2312" w:eastAsia="仿宋_GB2312"/>
          <w:color w:val="000000"/>
          <w:sz w:val="32"/>
          <w:szCs w:val="32"/>
        </w:rPr>
        <w:t>分。</w:t>
      </w:r>
    </w:p>
    <w:p>
      <w:pPr>
        <w:spacing w:line="536" w:lineRule="exact"/>
        <w:jc w:val="center"/>
        <w:rPr>
          <w:rFonts w:ascii="黑体" w:hAnsi="黑体" w:eastAsia="黑体"/>
          <w:color w:val="000000"/>
          <w:sz w:val="32"/>
          <w:szCs w:val="32"/>
        </w:rPr>
      </w:pPr>
      <w:r>
        <w:rPr>
          <w:rFonts w:hint="eastAsia" w:ascii="黑体" w:hAnsi="黑体" w:eastAsia="黑体"/>
          <w:color w:val="000000"/>
          <w:sz w:val="32"/>
          <w:szCs w:val="32"/>
          <w:lang w:eastAsia="zh-CN"/>
        </w:rPr>
        <w:t>2022</w:t>
      </w:r>
      <w:r>
        <w:rPr>
          <w:rFonts w:hint="eastAsia" w:ascii="黑体" w:hAnsi="黑体" w:eastAsia="黑体"/>
          <w:color w:val="000000"/>
          <w:sz w:val="32"/>
          <w:szCs w:val="32"/>
        </w:rPr>
        <w:t>年项目支出绩效评价得分表</w:t>
      </w:r>
    </w:p>
    <w:p>
      <w:pPr>
        <w:spacing w:line="536" w:lineRule="exact"/>
        <w:jc w:val="center"/>
        <w:rPr>
          <w:rFonts w:ascii="黑体" w:hAnsi="黑体" w:eastAsia="黑体"/>
          <w:color w:val="000000"/>
          <w:sz w:val="32"/>
          <w:szCs w:val="32"/>
        </w:rPr>
      </w:pPr>
    </w:p>
    <w:tbl>
      <w:tblPr>
        <w:tblStyle w:val="17"/>
        <w:tblW w:w="867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0"/>
        <w:gridCol w:w="1854"/>
        <w:gridCol w:w="3103"/>
        <w:gridCol w:w="1150"/>
        <w:gridCol w:w="11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2" w:hRule="atLeast"/>
          <w:jc w:val="center"/>
        </w:trPr>
        <w:tc>
          <w:tcPr>
            <w:tcW w:w="1420" w:type="dxa"/>
            <w:vAlign w:val="center"/>
          </w:tcPr>
          <w:p>
            <w:pPr>
              <w:widowControl/>
              <w:spacing w:line="536" w:lineRule="exact"/>
              <w:jc w:val="center"/>
              <w:rPr>
                <w:rFonts w:ascii="宋体" w:cs="宋体"/>
                <w:b/>
                <w:bCs/>
                <w:color w:val="000000"/>
                <w:kern w:val="0"/>
                <w:sz w:val="20"/>
                <w:szCs w:val="20"/>
              </w:rPr>
            </w:pPr>
            <w:r>
              <w:rPr>
                <w:rFonts w:hint="eastAsia" w:ascii="宋体" w:hAnsi="宋体" w:cs="宋体"/>
                <w:b/>
                <w:bCs/>
                <w:color w:val="000000"/>
                <w:kern w:val="0"/>
                <w:sz w:val="20"/>
                <w:szCs w:val="20"/>
              </w:rPr>
              <w:t>单位名称</w:t>
            </w:r>
          </w:p>
        </w:tc>
        <w:tc>
          <w:tcPr>
            <w:tcW w:w="7259" w:type="dxa"/>
            <w:gridSpan w:val="4"/>
            <w:vAlign w:val="center"/>
          </w:tcPr>
          <w:p>
            <w:pPr>
              <w:widowControl/>
              <w:spacing w:line="536" w:lineRule="exact"/>
              <w:jc w:val="center"/>
              <w:rPr>
                <w:rFonts w:ascii="宋体" w:cs="宋体"/>
                <w:b/>
                <w:bCs/>
                <w:color w:val="000000"/>
                <w:kern w:val="0"/>
                <w:sz w:val="18"/>
                <w:szCs w:val="18"/>
              </w:rPr>
            </w:pPr>
            <w:r>
              <w:rPr>
                <w:rFonts w:hint="eastAsia" w:ascii="宋体" w:hAnsi="宋体" w:cs="宋体"/>
                <w:b/>
                <w:bCs/>
                <w:color w:val="000000"/>
                <w:kern w:val="0"/>
                <w:sz w:val="18"/>
                <w:szCs w:val="18"/>
              </w:rPr>
              <w:t>金川县畜牧兽医服务中心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2" w:hRule="atLeast"/>
          <w:jc w:val="center"/>
        </w:trPr>
        <w:tc>
          <w:tcPr>
            <w:tcW w:w="1420" w:type="dxa"/>
            <w:vAlign w:val="center"/>
          </w:tcPr>
          <w:p>
            <w:pPr>
              <w:widowControl/>
              <w:spacing w:line="536" w:lineRule="exact"/>
              <w:jc w:val="center"/>
              <w:rPr>
                <w:rFonts w:ascii="宋体" w:cs="宋体"/>
                <w:b/>
                <w:bCs/>
                <w:color w:val="000000"/>
                <w:kern w:val="0"/>
                <w:sz w:val="20"/>
                <w:szCs w:val="20"/>
              </w:rPr>
            </w:pPr>
            <w:r>
              <w:rPr>
                <w:rFonts w:hint="eastAsia" w:ascii="宋体" w:hAnsi="宋体" w:cs="宋体"/>
                <w:b/>
                <w:bCs/>
                <w:color w:val="000000"/>
                <w:kern w:val="0"/>
                <w:sz w:val="20"/>
                <w:szCs w:val="20"/>
              </w:rPr>
              <w:t>一级</w:t>
            </w:r>
          </w:p>
          <w:p>
            <w:pPr>
              <w:widowControl/>
              <w:spacing w:line="536" w:lineRule="exact"/>
              <w:jc w:val="center"/>
              <w:rPr>
                <w:rFonts w:ascii="宋体" w:cs="宋体"/>
                <w:b/>
                <w:bCs/>
                <w:color w:val="000000"/>
                <w:kern w:val="0"/>
                <w:sz w:val="20"/>
                <w:szCs w:val="20"/>
              </w:rPr>
            </w:pPr>
            <w:r>
              <w:rPr>
                <w:rFonts w:hint="eastAsia" w:ascii="宋体" w:hAnsi="宋体" w:cs="宋体"/>
                <w:b/>
                <w:bCs/>
                <w:color w:val="000000"/>
                <w:kern w:val="0"/>
                <w:sz w:val="20"/>
                <w:szCs w:val="20"/>
              </w:rPr>
              <w:t>指标</w:t>
            </w:r>
          </w:p>
        </w:tc>
        <w:tc>
          <w:tcPr>
            <w:tcW w:w="1854" w:type="dxa"/>
            <w:vAlign w:val="center"/>
          </w:tcPr>
          <w:p>
            <w:pPr>
              <w:widowControl/>
              <w:spacing w:line="536" w:lineRule="exact"/>
              <w:jc w:val="center"/>
              <w:rPr>
                <w:rFonts w:ascii="宋体" w:cs="宋体"/>
                <w:b/>
                <w:bCs/>
                <w:color w:val="000000"/>
                <w:kern w:val="0"/>
                <w:sz w:val="20"/>
                <w:szCs w:val="20"/>
              </w:rPr>
            </w:pPr>
            <w:r>
              <w:rPr>
                <w:rFonts w:hint="eastAsia" w:ascii="宋体" w:hAnsi="宋体" w:cs="宋体"/>
                <w:b/>
                <w:bCs/>
                <w:color w:val="000000"/>
                <w:kern w:val="0"/>
                <w:sz w:val="20"/>
                <w:szCs w:val="20"/>
              </w:rPr>
              <w:t>二级</w:t>
            </w:r>
          </w:p>
          <w:p>
            <w:pPr>
              <w:widowControl/>
              <w:spacing w:line="536" w:lineRule="exact"/>
              <w:jc w:val="center"/>
              <w:rPr>
                <w:rFonts w:ascii="宋体" w:cs="宋体"/>
                <w:b/>
                <w:bCs/>
                <w:color w:val="000000"/>
                <w:kern w:val="0"/>
                <w:sz w:val="20"/>
                <w:szCs w:val="20"/>
              </w:rPr>
            </w:pPr>
            <w:r>
              <w:rPr>
                <w:rFonts w:hint="eastAsia" w:ascii="宋体" w:hAnsi="宋体" w:cs="宋体"/>
                <w:b/>
                <w:bCs/>
                <w:color w:val="000000"/>
                <w:kern w:val="0"/>
                <w:sz w:val="20"/>
                <w:szCs w:val="20"/>
              </w:rPr>
              <w:t>指标</w:t>
            </w:r>
          </w:p>
        </w:tc>
        <w:tc>
          <w:tcPr>
            <w:tcW w:w="3103" w:type="dxa"/>
            <w:vAlign w:val="center"/>
          </w:tcPr>
          <w:p>
            <w:pPr>
              <w:widowControl/>
              <w:spacing w:line="536" w:lineRule="exact"/>
              <w:jc w:val="center"/>
              <w:rPr>
                <w:rFonts w:ascii="宋体" w:cs="宋体"/>
                <w:b/>
                <w:bCs/>
                <w:color w:val="000000"/>
                <w:kern w:val="0"/>
                <w:sz w:val="20"/>
                <w:szCs w:val="20"/>
              </w:rPr>
            </w:pPr>
            <w:r>
              <w:rPr>
                <w:rFonts w:hint="eastAsia" w:ascii="宋体" w:hAnsi="宋体" w:cs="宋体"/>
                <w:b/>
                <w:bCs/>
                <w:color w:val="000000"/>
                <w:kern w:val="0"/>
                <w:sz w:val="20"/>
                <w:szCs w:val="20"/>
              </w:rPr>
              <w:t>三级指标</w:t>
            </w:r>
          </w:p>
        </w:tc>
        <w:tc>
          <w:tcPr>
            <w:tcW w:w="1150" w:type="dxa"/>
            <w:vAlign w:val="center"/>
          </w:tcPr>
          <w:p>
            <w:pPr>
              <w:widowControl/>
              <w:spacing w:line="536" w:lineRule="exact"/>
              <w:jc w:val="center"/>
              <w:rPr>
                <w:rFonts w:ascii="宋体" w:cs="宋体"/>
                <w:b/>
                <w:bCs/>
                <w:color w:val="000000"/>
                <w:kern w:val="0"/>
                <w:sz w:val="20"/>
                <w:szCs w:val="20"/>
              </w:rPr>
            </w:pPr>
            <w:r>
              <w:rPr>
                <w:rFonts w:hint="eastAsia" w:ascii="宋体" w:hAnsi="宋体" w:cs="宋体"/>
                <w:b/>
                <w:bCs/>
                <w:color w:val="000000"/>
                <w:kern w:val="0"/>
                <w:sz w:val="20"/>
                <w:szCs w:val="20"/>
              </w:rPr>
              <w:t>分值</w:t>
            </w:r>
          </w:p>
        </w:tc>
        <w:tc>
          <w:tcPr>
            <w:tcW w:w="1152" w:type="dxa"/>
            <w:vAlign w:val="center"/>
          </w:tcPr>
          <w:p>
            <w:pPr>
              <w:widowControl/>
              <w:spacing w:line="536" w:lineRule="exact"/>
              <w:jc w:val="center"/>
              <w:rPr>
                <w:rFonts w:ascii="宋体" w:cs="宋体"/>
                <w:b/>
                <w:bCs/>
                <w:color w:val="000000"/>
                <w:kern w:val="0"/>
                <w:sz w:val="18"/>
                <w:szCs w:val="18"/>
              </w:rPr>
            </w:pPr>
            <w:r>
              <w:rPr>
                <w:rFonts w:hint="eastAsia" w:ascii="宋体" w:hAnsi="宋体" w:cs="宋体"/>
                <w:b/>
                <w:bCs/>
                <w:color w:val="000000"/>
                <w:kern w:val="0"/>
                <w:sz w:val="18"/>
                <w:szCs w:val="18"/>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2" w:hRule="atLeast"/>
          <w:jc w:val="center"/>
        </w:trPr>
        <w:tc>
          <w:tcPr>
            <w:tcW w:w="1420" w:type="dxa"/>
            <w:vMerge w:val="restart"/>
            <w:textDirection w:val="tbRlV"/>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w:t>
            </w:r>
            <w:r>
              <w:rPr>
                <w:rFonts w:ascii="宋体" w:hAnsi="宋体" w:cs="宋体"/>
                <w:color w:val="000000"/>
                <w:kern w:val="0"/>
                <w:sz w:val="20"/>
                <w:szCs w:val="20"/>
              </w:rPr>
              <w:t>20</w:t>
            </w:r>
            <w:r>
              <w:rPr>
                <w:rFonts w:hint="eastAsia" w:ascii="宋体" w:hAnsi="宋体" w:cs="宋体"/>
                <w:color w:val="000000"/>
                <w:kern w:val="0"/>
                <w:sz w:val="20"/>
                <w:szCs w:val="20"/>
              </w:rPr>
              <w:t>分）</w:t>
            </w:r>
          </w:p>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项目决策</w:t>
            </w:r>
          </w:p>
        </w:tc>
        <w:tc>
          <w:tcPr>
            <w:tcW w:w="1854" w:type="dxa"/>
            <w:vMerge w:val="restart"/>
            <w:textDirection w:val="tbRlV"/>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w:t>
            </w:r>
            <w:r>
              <w:rPr>
                <w:rFonts w:ascii="宋体" w:hAnsi="宋体" w:cs="宋体"/>
                <w:color w:val="000000"/>
                <w:kern w:val="0"/>
                <w:sz w:val="20"/>
                <w:szCs w:val="20"/>
              </w:rPr>
              <w:t>10</w:t>
            </w:r>
            <w:r>
              <w:rPr>
                <w:rFonts w:hint="eastAsia" w:ascii="宋体" w:hAnsi="宋体" w:cs="宋体"/>
                <w:color w:val="000000"/>
                <w:kern w:val="0"/>
                <w:sz w:val="20"/>
                <w:szCs w:val="20"/>
              </w:rPr>
              <w:t>分）</w:t>
            </w:r>
          </w:p>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科学决策</w:t>
            </w:r>
          </w:p>
        </w:tc>
        <w:tc>
          <w:tcPr>
            <w:tcW w:w="3103" w:type="dxa"/>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必要性</w:t>
            </w:r>
          </w:p>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（政策依据）</w:t>
            </w:r>
          </w:p>
        </w:tc>
        <w:tc>
          <w:tcPr>
            <w:tcW w:w="1150" w:type="dxa"/>
            <w:vAlign w:val="center"/>
          </w:tcPr>
          <w:p>
            <w:pPr>
              <w:widowControl/>
              <w:spacing w:line="536" w:lineRule="exact"/>
              <w:jc w:val="center"/>
              <w:rPr>
                <w:rFonts w:ascii="宋体" w:cs="宋体"/>
                <w:color w:val="000000"/>
                <w:kern w:val="0"/>
                <w:sz w:val="20"/>
                <w:szCs w:val="20"/>
              </w:rPr>
            </w:pPr>
            <w:r>
              <w:rPr>
                <w:rFonts w:ascii="宋体" w:hAnsi="宋体" w:cs="宋体"/>
                <w:color w:val="000000"/>
                <w:kern w:val="0"/>
                <w:sz w:val="20"/>
                <w:szCs w:val="20"/>
              </w:rPr>
              <w:t>5</w:t>
            </w:r>
          </w:p>
        </w:tc>
        <w:tc>
          <w:tcPr>
            <w:tcW w:w="1152" w:type="dxa"/>
            <w:vAlign w:val="center"/>
          </w:tcPr>
          <w:p>
            <w:pPr>
              <w:widowControl/>
              <w:spacing w:line="536" w:lineRule="exact"/>
              <w:jc w:val="center"/>
              <w:rPr>
                <w:rFonts w:ascii="宋体" w:cs="宋体"/>
                <w:color w:val="000000"/>
                <w:kern w:val="0"/>
                <w:sz w:val="15"/>
                <w:szCs w:val="15"/>
              </w:rPr>
            </w:pPr>
            <w:r>
              <w:rPr>
                <w:rFonts w:ascii="宋体" w:hAnsi="宋体" w:cs="宋体"/>
                <w:color w:val="000000"/>
                <w:kern w:val="0"/>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2" w:hRule="atLeast"/>
          <w:jc w:val="center"/>
        </w:trPr>
        <w:tc>
          <w:tcPr>
            <w:tcW w:w="1420" w:type="dxa"/>
            <w:vMerge w:val="continue"/>
            <w:vAlign w:val="center"/>
          </w:tcPr>
          <w:p>
            <w:pPr>
              <w:widowControl/>
              <w:spacing w:line="536" w:lineRule="exact"/>
              <w:jc w:val="left"/>
              <w:rPr>
                <w:rFonts w:ascii="宋体" w:cs="宋体"/>
                <w:color w:val="000000"/>
                <w:kern w:val="0"/>
                <w:sz w:val="20"/>
                <w:szCs w:val="20"/>
              </w:rPr>
            </w:pPr>
          </w:p>
        </w:tc>
        <w:tc>
          <w:tcPr>
            <w:tcW w:w="1854" w:type="dxa"/>
            <w:vMerge w:val="continue"/>
            <w:vAlign w:val="center"/>
          </w:tcPr>
          <w:p>
            <w:pPr>
              <w:widowControl/>
              <w:spacing w:line="536" w:lineRule="exact"/>
              <w:jc w:val="left"/>
              <w:rPr>
                <w:rFonts w:ascii="宋体" w:cs="宋体"/>
                <w:color w:val="000000"/>
                <w:kern w:val="0"/>
                <w:sz w:val="20"/>
                <w:szCs w:val="20"/>
              </w:rPr>
            </w:pPr>
          </w:p>
        </w:tc>
        <w:tc>
          <w:tcPr>
            <w:tcW w:w="3103" w:type="dxa"/>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可行性</w:t>
            </w:r>
          </w:p>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（政策完善）</w:t>
            </w:r>
          </w:p>
        </w:tc>
        <w:tc>
          <w:tcPr>
            <w:tcW w:w="1150" w:type="dxa"/>
            <w:vAlign w:val="center"/>
          </w:tcPr>
          <w:p>
            <w:pPr>
              <w:widowControl/>
              <w:spacing w:line="536" w:lineRule="exact"/>
              <w:jc w:val="center"/>
              <w:rPr>
                <w:rFonts w:ascii="宋体" w:cs="宋体"/>
                <w:color w:val="000000"/>
                <w:kern w:val="0"/>
                <w:sz w:val="20"/>
                <w:szCs w:val="20"/>
              </w:rPr>
            </w:pPr>
            <w:r>
              <w:rPr>
                <w:rFonts w:ascii="宋体" w:hAnsi="宋体" w:cs="宋体"/>
                <w:color w:val="000000"/>
                <w:kern w:val="0"/>
                <w:sz w:val="20"/>
                <w:szCs w:val="20"/>
              </w:rPr>
              <w:t>5</w:t>
            </w:r>
          </w:p>
        </w:tc>
        <w:tc>
          <w:tcPr>
            <w:tcW w:w="1152" w:type="dxa"/>
            <w:vAlign w:val="center"/>
          </w:tcPr>
          <w:p>
            <w:pPr>
              <w:widowControl/>
              <w:spacing w:line="536" w:lineRule="exact"/>
              <w:jc w:val="center"/>
              <w:rPr>
                <w:rFonts w:ascii="宋体" w:cs="宋体"/>
                <w:color w:val="000000"/>
                <w:kern w:val="0"/>
                <w:sz w:val="15"/>
                <w:szCs w:val="15"/>
              </w:rPr>
            </w:pPr>
            <w:r>
              <w:rPr>
                <w:rFonts w:ascii="宋体" w:hAnsi="宋体" w:cs="宋体"/>
                <w:color w:val="000000"/>
                <w:kern w:val="0"/>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8" w:hRule="atLeast"/>
          <w:jc w:val="center"/>
        </w:trPr>
        <w:tc>
          <w:tcPr>
            <w:tcW w:w="1420" w:type="dxa"/>
            <w:vMerge w:val="continue"/>
            <w:vAlign w:val="center"/>
          </w:tcPr>
          <w:p>
            <w:pPr>
              <w:widowControl/>
              <w:spacing w:line="536" w:lineRule="exact"/>
              <w:jc w:val="left"/>
              <w:rPr>
                <w:rFonts w:ascii="宋体" w:cs="宋体"/>
                <w:color w:val="000000"/>
                <w:kern w:val="0"/>
                <w:sz w:val="20"/>
                <w:szCs w:val="20"/>
              </w:rPr>
            </w:pPr>
          </w:p>
        </w:tc>
        <w:tc>
          <w:tcPr>
            <w:tcW w:w="1854" w:type="dxa"/>
            <w:vMerge w:val="restart"/>
            <w:textDirection w:val="tbRlV"/>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w:t>
            </w:r>
            <w:r>
              <w:rPr>
                <w:rFonts w:ascii="宋体" w:hAnsi="宋体" w:cs="宋体"/>
                <w:color w:val="000000"/>
                <w:kern w:val="0"/>
                <w:sz w:val="20"/>
                <w:szCs w:val="20"/>
              </w:rPr>
              <w:t>10</w:t>
            </w:r>
            <w:r>
              <w:rPr>
                <w:rFonts w:hint="eastAsia" w:ascii="宋体" w:hAnsi="宋体" w:cs="宋体"/>
                <w:color w:val="000000"/>
                <w:kern w:val="0"/>
                <w:sz w:val="20"/>
                <w:szCs w:val="20"/>
              </w:rPr>
              <w:t>）</w:t>
            </w:r>
          </w:p>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绩效目标</w:t>
            </w:r>
            <w:r>
              <w:rPr>
                <w:rFonts w:ascii="宋体" w:hAnsi="宋体" w:cs="宋体"/>
                <w:color w:val="000000"/>
                <w:kern w:val="0"/>
                <w:sz w:val="20"/>
                <w:szCs w:val="20"/>
              </w:rPr>
              <w:t xml:space="preserve">    </w:t>
            </w:r>
          </w:p>
        </w:tc>
        <w:tc>
          <w:tcPr>
            <w:tcW w:w="3103" w:type="dxa"/>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明确性</w:t>
            </w:r>
          </w:p>
        </w:tc>
        <w:tc>
          <w:tcPr>
            <w:tcW w:w="1150" w:type="dxa"/>
            <w:vAlign w:val="center"/>
          </w:tcPr>
          <w:p>
            <w:pPr>
              <w:widowControl/>
              <w:spacing w:line="536" w:lineRule="exact"/>
              <w:jc w:val="center"/>
              <w:rPr>
                <w:rFonts w:ascii="宋体" w:cs="宋体"/>
                <w:color w:val="000000"/>
                <w:kern w:val="0"/>
                <w:sz w:val="20"/>
                <w:szCs w:val="20"/>
              </w:rPr>
            </w:pPr>
            <w:r>
              <w:rPr>
                <w:rFonts w:ascii="宋体" w:hAnsi="宋体" w:cs="宋体"/>
                <w:color w:val="000000"/>
                <w:kern w:val="0"/>
                <w:sz w:val="20"/>
                <w:szCs w:val="20"/>
              </w:rPr>
              <w:t>5</w:t>
            </w:r>
          </w:p>
        </w:tc>
        <w:tc>
          <w:tcPr>
            <w:tcW w:w="1152" w:type="dxa"/>
            <w:vAlign w:val="center"/>
          </w:tcPr>
          <w:p>
            <w:pPr>
              <w:widowControl/>
              <w:spacing w:line="536" w:lineRule="exact"/>
              <w:jc w:val="center"/>
              <w:rPr>
                <w:rFonts w:ascii="宋体" w:cs="宋体"/>
                <w:color w:val="000000"/>
                <w:kern w:val="0"/>
                <w:sz w:val="15"/>
                <w:szCs w:val="15"/>
              </w:rPr>
            </w:pPr>
            <w:r>
              <w:rPr>
                <w:rFonts w:ascii="宋体" w:cs="宋体"/>
                <w:color w:val="000000"/>
                <w:kern w:val="0"/>
                <w:sz w:val="15"/>
                <w:szCs w:val="15"/>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8" w:hRule="atLeast"/>
          <w:jc w:val="center"/>
        </w:trPr>
        <w:tc>
          <w:tcPr>
            <w:tcW w:w="1420" w:type="dxa"/>
            <w:vMerge w:val="continue"/>
            <w:vAlign w:val="center"/>
          </w:tcPr>
          <w:p>
            <w:pPr>
              <w:widowControl/>
              <w:spacing w:line="536" w:lineRule="exact"/>
              <w:jc w:val="left"/>
              <w:rPr>
                <w:rFonts w:ascii="宋体" w:cs="宋体"/>
                <w:color w:val="000000"/>
                <w:kern w:val="0"/>
                <w:sz w:val="20"/>
                <w:szCs w:val="20"/>
              </w:rPr>
            </w:pPr>
          </w:p>
        </w:tc>
        <w:tc>
          <w:tcPr>
            <w:tcW w:w="1854" w:type="dxa"/>
            <w:vMerge w:val="continue"/>
            <w:vAlign w:val="center"/>
          </w:tcPr>
          <w:p>
            <w:pPr>
              <w:widowControl/>
              <w:spacing w:line="536" w:lineRule="exact"/>
              <w:jc w:val="left"/>
              <w:rPr>
                <w:rFonts w:ascii="宋体" w:cs="宋体"/>
                <w:color w:val="000000"/>
                <w:kern w:val="0"/>
                <w:sz w:val="20"/>
                <w:szCs w:val="20"/>
              </w:rPr>
            </w:pPr>
          </w:p>
        </w:tc>
        <w:tc>
          <w:tcPr>
            <w:tcW w:w="3103" w:type="dxa"/>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合理性</w:t>
            </w:r>
          </w:p>
        </w:tc>
        <w:tc>
          <w:tcPr>
            <w:tcW w:w="1150" w:type="dxa"/>
            <w:vAlign w:val="center"/>
          </w:tcPr>
          <w:p>
            <w:pPr>
              <w:widowControl/>
              <w:spacing w:line="536" w:lineRule="exact"/>
              <w:jc w:val="center"/>
              <w:rPr>
                <w:rFonts w:ascii="宋体" w:cs="宋体"/>
                <w:color w:val="000000"/>
                <w:kern w:val="0"/>
                <w:sz w:val="20"/>
                <w:szCs w:val="20"/>
              </w:rPr>
            </w:pPr>
            <w:r>
              <w:rPr>
                <w:rFonts w:ascii="宋体" w:hAnsi="宋体" w:cs="宋体"/>
                <w:color w:val="000000"/>
                <w:kern w:val="0"/>
                <w:sz w:val="20"/>
                <w:szCs w:val="20"/>
              </w:rPr>
              <w:t>5</w:t>
            </w:r>
          </w:p>
        </w:tc>
        <w:tc>
          <w:tcPr>
            <w:tcW w:w="1152" w:type="dxa"/>
            <w:vAlign w:val="center"/>
          </w:tcPr>
          <w:p>
            <w:pPr>
              <w:widowControl/>
              <w:spacing w:line="536" w:lineRule="exact"/>
              <w:jc w:val="center"/>
              <w:rPr>
                <w:rFonts w:ascii="宋体" w:cs="宋体"/>
                <w:color w:val="000000"/>
                <w:kern w:val="0"/>
                <w:sz w:val="15"/>
                <w:szCs w:val="15"/>
              </w:rPr>
            </w:pPr>
            <w:r>
              <w:rPr>
                <w:rFonts w:ascii="宋体" w:cs="宋体"/>
                <w:color w:val="000000"/>
                <w:kern w:val="0"/>
                <w:sz w:val="15"/>
                <w:szCs w:val="15"/>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8" w:hRule="atLeast"/>
          <w:jc w:val="center"/>
        </w:trPr>
        <w:tc>
          <w:tcPr>
            <w:tcW w:w="1420" w:type="dxa"/>
            <w:vMerge w:val="restart"/>
            <w:textDirection w:val="tbRlV"/>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w:t>
            </w:r>
            <w:r>
              <w:rPr>
                <w:rFonts w:ascii="宋体" w:hAnsi="宋体" w:cs="宋体"/>
                <w:color w:val="000000"/>
                <w:kern w:val="0"/>
                <w:sz w:val="20"/>
                <w:szCs w:val="20"/>
              </w:rPr>
              <w:t>10</w:t>
            </w:r>
            <w:r>
              <w:rPr>
                <w:rFonts w:hint="eastAsia" w:ascii="宋体" w:hAnsi="宋体" w:cs="宋体"/>
                <w:color w:val="000000"/>
                <w:kern w:val="0"/>
                <w:sz w:val="20"/>
                <w:szCs w:val="20"/>
              </w:rPr>
              <w:t>分）</w:t>
            </w:r>
          </w:p>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项目管理</w:t>
            </w:r>
          </w:p>
        </w:tc>
        <w:tc>
          <w:tcPr>
            <w:tcW w:w="1854" w:type="dxa"/>
            <w:vMerge w:val="restart"/>
            <w:textDirection w:val="tbRlV"/>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w:t>
            </w:r>
            <w:r>
              <w:rPr>
                <w:rFonts w:ascii="宋体" w:hAnsi="宋体" w:cs="宋体"/>
                <w:color w:val="000000"/>
                <w:kern w:val="0"/>
                <w:sz w:val="20"/>
                <w:szCs w:val="20"/>
              </w:rPr>
              <w:t>7</w:t>
            </w:r>
            <w:r>
              <w:rPr>
                <w:rFonts w:hint="eastAsia" w:ascii="宋体" w:hAnsi="宋体" w:cs="宋体"/>
                <w:color w:val="000000"/>
                <w:kern w:val="0"/>
                <w:sz w:val="20"/>
                <w:szCs w:val="20"/>
              </w:rPr>
              <w:t>分）</w:t>
            </w:r>
          </w:p>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资金管理</w:t>
            </w:r>
          </w:p>
        </w:tc>
        <w:tc>
          <w:tcPr>
            <w:tcW w:w="3103" w:type="dxa"/>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资金分配</w:t>
            </w:r>
          </w:p>
        </w:tc>
        <w:tc>
          <w:tcPr>
            <w:tcW w:w="1150" w:type="dxa"/>
            <w:vAlign w:val="center"/>
          </w:tcPr>
          <w:p>
            <w:pPr>
              <w:widowControl/>
              <w:spacing w:line="536" w:lineRule="exact"/>
              <w:jc w:val="center"/>
              <w:rPr>
                <w:rFonts w:ascii="宋体" w:cs="宋体"/>
                <w:color w:val="000000"/>
                <w:kern w:val="0"/>
                <w:sz w:val="20"/>
                <w:szCs w:val="20"/>
              </w:rPr>
            </w:pPr>
            <w:r>
              <w:rPr>
                <w:rFonts w:ascii="宋体" w:hAnsi="宋体" w:cs="宋体"/>
                <w:color w:val="000000"/>
                <w:kern w:val="0"/>
                <w:sz w:val="20"/>
                <w:szCs w:val="20"/>
              </w:rPr>
              <w:t>3</w:t>
            </w:r>
          </w:p>
        </w:tc>
        <w:tc>
          <w:tcPr>
            <w:tcW w:w="1152" w:type="dxa"/>
            <w:vAlign w:val="center"/>
          </w:tcPr>
          <w:p>
            <w:pPr>
              <w:widowControl/>
              <w:spacing w:line="536" w:lineRule="exact"/>
              <w:jc w:val="center"/>
              <w:rPr>
                <w:rFonts w:ascii="宋体" w:cs="宋体"/>
                <w:color w:val="000000"/>
                <w:kern w:val="0"/>
                <w:sz w:val="15"/>
                <w:szCs w:val="15"/>
              </w:rPr>
            </w:pPr>
            <w:r>
              <w:rPr>
                <w:rFonts w:ascii="宋体" w:hAnsi="宋体" w:cs="宋体"/>
                <w:color w:val="000000"/>
                <w:kern w:val="0"/>
                <w:sz w:val="20"/>
                <w:szCs w:val="2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8" w:hRule="atLeast"/>
          <w:jc w:val="center"/>
        </w:trPr>
        <w:tc>
          <w:tcPr>
            <w:tcW w:w="1420" w:type="dxa"/>
            <w:vMerge w:val="continue"/>
            <w:vAlign w:val="center"/>
          </w:tcPr>
          <w:p>
            <w:pPr>
              <w:widowControl/>
              <w:spacing w:line="536" w:lineRule="exact"/>
              <w:jc w:val="left"/>
              <w:rPr>
                <w:rFonts w:ascii="宋体" w:cs="宋体"/>
                <w:color w:val="000000"/>
                <w:kern w:val="0"/>
                <w:sz w:val="20"/>
                <w:szCs w:val="20"/>
              </w:rPr>
            </w:pPr>
          </w:p>
        </w:tc>
        <w:tc>
          <w:tcPr>
            <w:tcW w:w="1854" w:type="dxa"/>
            <w:vMerge w:val="continue"/>
            <w:textDirection w:val="tbRlV"/>
            <w:vAlign w:val="center"/>
          </w:tcPr>
          <w:p>
            <w:pPr>
              <w:widowControl/>
              <w:spacing w:line="536" w:lineRule="exact"/>
              <w:jc w:val="center"/>
              <w:rPr>
                <w:rFonts w:ascii="宋体" w:cs="宋体"/>
                <w:color w:val="000000"/>
                <w:kern w:val="0"/>
                <w:sz w:val="20"/>
                <w:szCs w:val="20"/>
              </w:rPr>
            </w:pPr>
          </w:p>
        </w:tc>
        <w:tc>
          <w:tcPr>
            <w:tcW w:w="3103" w:type="dxa"/>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资金使用</w:t>
            </w:r>
          </w:p>
        </w:tc>
        <w:tc>
          <w:tcPr>
            <w:tcW w:w="1150" w:type="dxa"/>
            <w:vAlign w:val="center"/>
          </w:tcPr>
          <w:p>
            <w:pPr>
              <w:widowControl/>
              <w:spacing w:line="536" w:lineRule="exact"/>
              <w:jc w:val="center"/>
              <w:rPr>
                <w:rFonts w:ascii="宋体" w:cs="宋体"/>
                <w:color w:val="000000"/>
                <w:kern w:val="0"/>
                <w:sz w:val="20"/>
                <w:szCs w:val="20"/>
              </w:rPr>
            </w:pPr>
            <w:r>
              <w:rPr>
                <w:rFonts w:ascii="宋体" w:hAnsi="宋体" w:cs="宋体"/>
                <w:color w:val="000000"/>
                <w:kern w:val="0"/>
                <w:sz w:val="20"/>
                <w:szCs w:val="20"/>
              </w:rPr>
              <w:t>4</w:t>
            </w:r>
          </w:p>
        </w:tc>
        <w:tc>
          <w:tcPr>
            <w:tcW w:w="1152" w:type="dxa"/>
            <w:vAlign w:val="center"/>
          </w:tcPr>
          <w:p>
            <w:pPr>
              <w:widowControl/>
              <w:spacing w:line="536" w:lineRule="exact"/>
              <w:jc w:val="center"/>
              <w:rPr>
                <w:rFonts w:ascii="宋体" w:cs="宋体"/>
                <w:color w:val="000000"/>
                <w:kern w:val="0"/>
                <w:sz w:val="15"/>
                <w:szCs w:val="15"/>
              </w:rPr>
            </w:pPr>
            <w:r>
              <w:rPr>
                <w:rFonts w:ascii="宋体" w:hAnsi="宋体" w:cs="宋体"/>
                <w:color w:val="000000"/>
                <w:kern w:val="0"/>
                <w:sz w:val="20"/>
                <w:szCs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8" w:hRule="atLeast"/>
          <w:jc w:val="center"/>
        </w:trPr>
        <w:tc>
          <w:tcPr>
            <w:tcW w:w="1420" w:type="dxa"/>
            <w:vMerge w:val="continue"/>
            <w:vAlign w:val="center"/>
          </w:tcPr>
          <w:p>
            <w:pPr>
              <w:widowControl/>
              <w:spacing w:line="536" w:lineRule="exact"/>
              <w:jc w:val="left"/>
              <w:rPr>
                <w:rFonts w:ascii="宋体" w:cs="宋体"/>
                <w:color w:val="000000"/>
                <w:kern w:val="0"/>
                <w:sz w:val="20"/>
                <w:szCs w:val="20"/>
              </w:rPr>
            </w:pPr>
          </w:p>
        </w:tc>
        <w:tc>
          <w:tcPr>
            <w:tcW w:w="1854" w:type="dxa"/>
            <w:textDirection w:val="tbRlV"/>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分）</w:t>
            </w:r>
          </w:p>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项目执行</w:t>
            </w:r>
          </w:p>
        </w:tc>
        <w:tc>
          <w:tcPr>
            <w:tcW w:w="3103" w:type="dxa"/>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执行规范</w:t>
            </w:r>
          </w:p>
        </w:tc>
        <w:tc>
          <w:tcPr>
            <w:tcW w:w="1150" w:type="dxa"/>
            <w:vAlign w:val="center"/>
          </w:tcPr>
          <w:p>
            <w:pPr>
              <w:widowControl/>
              <w:spacing w:line="536" w:lineRule="exact"/>
              <w:jc w:val="center"/>
              <w:rPr>
                <w:rFonts w:ascii="宋体" w:cs="宋体"/>
                <w:color w:val="000000"/>
                <w:kern w:val="0"/>
                <w:sz w:val="20"/>
                <w:szCs w:val="20"/>
              </w:rPr>
            </w:pPr>
            <w:r>
              <w:rPr>
                <w:rFonts w:ascii="宋体" w:hAnsi="宋体" w:cs="宋体"/>
                <w:color w:val="000000"/>
                <w:kern w:val="0"/>
                <w:sz w:val="20"/>
                <w:szCs w:val="20"/>
              </w:rPr>
              <w:t>3</w:t>
            </w:r>
          </w:p>
        </w:tc>
        <w:tc>
          <w:tcPr>
            <w:tcW w:w="1152" w:type="dxa"/>
            <w:vAlign w:val="center"/>
          </w:tcPr>
          <w:p>
            <w:pPr>
              <w:widowControl/>
              <w:spacing w:line="536" w:lineRule="exact"/>
              <w:jc w:val="center"/>
              <w:rPr>
                <w:rFonts w:ascii="宋体" w:cs="宋体"/>
                <w:color w:val="000000"/>
                <w:kern w:val="0"/>
                <w:sz w:val="15"/>
                <w:szCs w:val="15"/>
              </w:rPr>
            </w:pPr>
            <w:r>
              <w:rPr>
                <w:rFonts w:ascii="宋体" w:hAnsi="宋体" w:cs="宋体"/>
                <w:color w:val="000000"/>
                <w:kern w:val="0"/>
                <w:sz w:val="20"/>
                <w:szCs w:val="2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8" w:hRule="atLeast"/>
          <w:jc w:val="center"/>
        </w:trPr>
        <w:tc>
          <w:tcPr>
            <w:tcW w:w="1420" w:type="dxa"/>
            <w:vMerge w:val="restart"/>
            <w:textDirection w:val="tbRlV"/>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（特性指标</w:t>
            </w:r>
            <w:r>
              <w:rPr>
                <w:rFonts w:ascii="宋体" w:hAnsi="宋体" w:cs="宋体"/>
                <w:color w:val="000000"/>
                <w:kern w:val="0"/>
                <w:sz w:val="20"/>
                <w:szCs w:val="20"/>
              </w:rPr>
              <w:t>70</w:t>
            </w:r>
            <w:r>
              <w:rPr>
                <w:rFonts w:hint="eastAsia" w:ascii="宋体" w:hAnsi="宋体" w:cs="宋体"/>
                <w:color w:val="000000"/>
                <w:kern w:val="0"/>
                <w:sz w:val="20"/>
                <w:szCs w:val="20"/>
              </w:rPr>
              <w:t>分）</w:t>
            </w:r>
          </w:p>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项目绩效</w:t>
            </w:r>
            <w:r>
              <w:rPr>
                <w:rFonts w:ascii="宋体" w:hAnsi="宋体" w:cs="宋体"/>
                <w:color w:val="000000"/>
                <w:kern w:val="0"/>
                <w:sz w:val="20"/>
                <w:szCs w:val="20"/>
              </w:rPr>
              <w:t xml:space="preserve">  </w:t>
            </w:r>
          </w:p>
        </w:tc>
        <w:tc>
          <w:tcPr>
            <w:tcW w:w="1854" w:type="dxa"/>
            <w:vMerge w:val="restart"/>
            <w:textDirection w:val="tbRlV"/>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w:t>
            </w:r>
            <w:r>
              <w:rPr>
                <w:rFonts w:ascii="宋体" w:hAnsi="宋体" w:cs="宋体"/>
                <w:color w:val="000000"/>
                <w:kern w:val="0"/>
                <w:sz w:val="20"/>
                <w:szCs w:val="20"/>
              </w:rPr>
              <w:t>20</w:t>
            </w:r>
            <w:r>
              <w:rPr>
                <w:rFonts w:hint="eastAsia" w:ascii="宋体" w:hAnsi="宋体" w:cs="宋体"/>
                <w:color w:val="000000"/>
                <w:kern w:val="0"/>
                <w:sz w:val="20"/>
                <w:szCs w:val="20"/>
              </w:rPr>
              <w:t>）</w:t>
            </w:r>
          </w:p>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项目完成</w:t>
            </w:r>
          </w:p>
        </w:tc>
        <w:tc>
          <w:tcPr>
            <w:tcW w:w="3103" w:type="dxa"/>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完成数量</w:t>
            </w:r>
          </w:p>
        </w:tc>
        <w:tc>
          <w:tcPr>
            <w:tcW w:w="1150" w:type="dxa"/>
            <w:vAlign w:val="center"/>
          </w:tcPr>
          <w:p>
            <w:pPr>
              <w:widowControl/>
              <w:spacing w:line="536" w:lineRule="exact"/>
              <w:jc w:val="center"/>
              <w:rPr>
                <w:rFonts w:ascii="宋体" w:cs="宋体"/>
                <w:color w:val="000000"/>
                <w:kern w:val="0"/>
                <w:sz w:val="20"/>
                <w:szCs w:val="20"/>
              </w:rPr>
            </w:pPr>
            <w:r>
              <w:rPr>
                <w:rFonts w:ascii="宋体" w:hAnsi="宋体" w:cs="宋体"/>
                <w:color w:val="000000"/>
                <w:kern w:val="0"/>
                <w:sz w:val="20"/>
                <w:szCs w:val="20"/>
              </w:rPr>
              <w:t xml:space="preserve">5 </w:t>
            </w:r>
          </w:p>
        </w:tc>
        <w:tc>
          <w:tcPr>
            <w:tcW w:w="1152" w:type="dxa"/>
            <w:vAlign w:val="center"/>
          </w:tcPr>
          <w:p>
            <w:pPr>
              <w:widowControl/>
              <w:spacing w:line="536" w:lineRule="exact"/>
              <w:jc w:val="center"/>
              <w:rPr>
                <w:rFonts w:ascii="宋体" w:cs="宋体"/>
                <w:color w:val="000000"/>
                <w:kern w:val="0"/>
                <w:sz w:val="15"/>
                <w:szCs w:val="15"/>
              </w:rPr>
            </w:pPr>
            <w:r>
              <w:rPr>
                <w:rFonts w:ascii="宋体" w:hAnsi="宋体" w:cs="宋体"/>
                <w:color w:val="000000"/>
                <w:kern w:val="0"/>
                <w:sz w:val="20"/>
                <w:szCs w:val="20"/>
              </w:rPr>
              <w:t xml:space="preserve">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8" w:hRule="atLeast"/>
          <w:jc w:val="center"/>
        </w:trPr>
        <w:tc>
          <w:tcPr>
            <w:tcW w:w="1420" w:type="dxa"/>
            <w:vMerge w:val="continue"/>
            <w:vAlign w:val="center"/>
          </w:tcPr>
          <w:p>
            <w:pPr>
              <w:widowControl/>
              <w:spacing w:line="536" w:lineRule="exact"/>
              <w:jc w:val="left"/>
              <w:rPr>
                <w:rFonts w:ascii="宋体" w:cs="宋体"/>
                <w:color w:val="000000"/>
                <w:kern w:val="0"/>
                <w:sz w:val="20"/>
                <w:szCs w:val="20"/>
              </w:rPr>
            </w:pPr>
          </w:p>
        </w:tc>
        <w:tc>
          <w:tcPr>
            <w:tcW w:w="1854" w:type="dxa"/>
            <w:vMerge w:val="continue"/>
            <w:vAlign w:val="center"/>
          </w:tcPr>
          <w:p>
            <w:pPr>
              <w:widowControl/>
              <w:spacing w:line="536" w:lineRule="exact"/>
              <w:jc w:val="left"/>
              <w:rPr>
                <w:rFonts w:ascii="宋体" w:cs="宋体"/>
                <w:color w:val="000000"/>
                <w:kern w:val="0"/>
                <w:sz w:val="20"/>
                <w:szCs w:val="20"/>
              </w:rPr>
            </w:pPr>
          </w:p>
        </w:tc>
        <w:tc>
          <w:tcPr>
            <w:tcW w:w="3103" w:type="dxa"/>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完成质量</w:t>
            </w:r>
          </w:p>
        </w:tc>
        <w:tc>
          <w:tcPr>
            <w:tcW w:w="1150" w:type="dxa"/>
            <w:vAlign w:val="center"/>
          </w:tcPr>
          <w:p>
            <w:pPr>
              <w:widowControl/>
              <w:spacing w:line="536" w:lineRule="exact"/>
              <w:jc w:val="center"/>
              <w:rPr>
                <w:rFonts w:ascii="宋体" w:cs="宋体"/>
                <w:color w:val="000000"/>
                <w:kern w:val="0"/>
                <w:sz w:val="20"/>
                <w:szCs w:val="20"/>
              </w:rPr>
            </w:pPr>
            <w:r>
              <w:rPr>
                <w:rFonts w:ascii="宋体" w:hAnsi="宋体" w:cs="宋体"/>
                <w:color w:val="000000"/>
                <w:kern w:val="0"/>
                <w:sz w:val="20"/>
                <w:szCs w:val="20"/>
              </w:rPr>
              <w:t xml:space="preserve">5 </w:t>
            </w:r>
          </w:p>
        </w:tc>
        <w:tc>
          <w:tcPr>
            <w:tcW w:w="1152" w:type="dxa"/>
            <w:vAlign w:val="center"/>
          </w:tcPr>
          <w:p>
            <w:pPr>
              <w:widowControl/>
              <w:spacing w:line="536" w:lineRule="exact"/>
              <w:jc w:val="center"/>
              <w:rPr>
                <w:rFonts w:ascii="宋体" w:cs="宋体"/>
                <w:color w:val="000000"/>
                <w:kern w:val="0"/>
                <w:sz w:val="15"/>
                <w:szCs w:val="15"/>
              </w:rPr>
            </w:pPr>
            <w:r>
              <w:rPr>
                <w:rFonts w:ascii="宋体" w:cs="宋体"/>
                <w:color w:val="000000"/>
                <w:kern w:val="0"/>
                <w:sz w:val="15"/>
                <w:szCs w:val="15"/>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8" w:hRule="atLeast"/>
          <w:jc w:val="center"/>
        </w:trPr>
        <w:tc>
          <w:tcPr>
            <w:tcW w:w="1420" w:type="dxa"/>
            <w:vMerge w:val="continue"/>
            <w:vAlign w:val="center"/>
          </w:tcPr>
          <w:p>
            <w:pPr>
              <w:widowControl/>
              <w:spacing w:line="536" w:lineRule="exact"/>
              <w:jc w:val="left"/>
              <w:rPr>
                <w:rFonts w:ascii="宋体" w:cs="宋体"/>
                <w:color w:val="000000"/>
                <w:kern w:val="0"/>
                <w:sz w:val="20"/>
                <w:szCs w:val="20"/>
              </w:rPr>
            </w:pPr>
          </w:p>
        </w:tc>
        <w:tc>
          <w:tcPr>
            <w:tcW w:w="1854" w:type="dxa"/>
            <w:vMerge w:val="continue"/>
            <w:vAlign w:val="center"/>
          </w:tcPr>
          <w:p>
            <w:pPr>
              <w:widowControl/>
              <w:spacing w:line="536" w:lineRule="exact"/>
              <w:jc w:val="left"/>
              <w:rPr>
                <w:rFonts w:ascii="宋体" w:cs="宋体"/>
                <w:color w:val="000000"/>
                <w:kern w:val="0"/>
                <w:sz w:val="20"/>
                <w:szCs w:val="20"/>
              </w:rPr>
            </w:pPr>
          </w:p>
        </w:tc>
        <w:tc>
          <w:tcPr>
            <w:tcW w:w="3103" w:type="dxa"/>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完成时效</w:t>
            </w:r>
          </w:p>
        </w:tc>
        <w:tc>
          <w:tcPr>
            <w:tcW w:w="1150" w:type="dxa"/>
            <w:vAlign w:val="center"/>
          </w:tcPr>
          <w:p>
            <w:pPr>
              <w:widowControl/>
              <w:spacing w:line="536" w:lineRule="exact"/>
              <w:jc w:val="center"/>
              <w:rPr>
                <w:rFonts w:ascii="宋体" w:cs="宋体"/>
                <w:color w:val="000000"/>
                <w:kern w:val="0"/>
                <w:sz w:val="20"/>
                <w:szCs w:val="20"/>
              </w:rPr>
            </w:pPr>
            <w:r>
              <w:rPr>
                <w:rFonts w:ascii="宋体" w:hAnsi="宋体" w:cs="宋体"/>
                <w:color w:val="000000"/>
                <w:kern w:val="0"/>
                <w:sz w:val="20"/>
                <w:szCs w:val="20"/>
              </w:rPr>
              <w:t>5</w:t>
            </w:r>
          </w:p>
        </w:tc>
        <w:tc>
          <w:tcPr>
            <w:tcW w:w="1152" w:type="dxa"/>
            <w:vAlign w:val="center"/>
          </w:tcPr>
          <w:p>
            <w:pPr>
              <w:widowControl/>
              <w:spacing w:line="536" w:lineRule="exact"/>
              <w:jc w:val="center"/>
              <w:rPr>
                <w:rFonts w:ascii="宋体" w:cs="宋体"/>
                <w:color w:val="000000"/>
                <w:kern w:val="0"/>
                <w:sz w:val="15"/>
                <w:szCs w:val="15"/>
              </w:rPr>
            </w:pPr>
            <w:r>
              <w:rPr>
                <w:rFonts w:ascii="宋体" w:cs="宋体"/>
                <w:color w:val="000000"/>
                <w:kern w:val="0"/>
                <w:sz w:val="15"/>
                <w:szCs w:val="15"/>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8" w:hRule="atLeast"/>
          <w:jc w:val="center"/>
        </w:trPr>
        <w:tc>
          <w:tcPr>
            <w:tcW w:w="1420" w:type="dxa"/>
            <w:vMerge w:val="continue"/>
            <w:vAlign w:val="center"/>
          </w:tcPr>
          <w:p>
            <w:pPr>
              <w:widowControl/>
              <w:spacing w:line="536" w:lineRule="exact"/>
              <w:jc w:val="left"/>
              <w:rPr>
                <w:rFonts w:ascii="宋体" w:cs="宋体"/>
                <w:color w:val="000000"/>
                <w:kern w:val="0"/>
                <w:sz w:val="20"/>
                <w:szCs w:val="20"/>
              </w:rPr>
            </w:pPr>
          </w:p>
        </w:tc>
        <w:tc>
          <w:tcPr>
            <w:tcW w:w="1854" w:type="dxa"/>
            <w:vMerge w:val="continue"/>
            <w:vAlign w:val="center"/>
          </w:tcPr>
          <w:p>
            <w:pPr>
              <w:widowControl/>
              <w:spacing w:line="536" w:lineRule="exact"/>
              <w:jc w:val="left"/>
              <w:rPr>
                <w:rFonts w:ascii="宋体" w:cs="宋体"/>
                <w:color w:val="000000"/>
                <w:kern w:val="0"/>
                <w:sz w:val="20"/>
                <w:szCs w:val="20"/>
              </w:rPr>
            </w:pPr>
          </w:p>
        </w:tc>
        <w:tc>
          <w:tcPr>
            <w:tcW w:w="3103" w:type="dxa"/>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完成成本</w:t>
            </w:r>
          </w:p>
        </w:tc>
        <w:tc>
          <w:tcPr>
            <w:tcW w:w="1150" w:type="dxa"/>
            <w:vAlign w:val="center"/>
          </w:tcPr>
          <w:p>
            <w:pPr>
              <w:widowControl/>
              <w:spacing w:line="536" w:lineRule="exact"/>
              <w:jc w:val="center"/>
              <w:rPr>
                <w:rFonts w:ascii="宋体" w:cs="宋体"/>
                <w:color w:val="000000"/>
                <w:kern w:val="0"/>
                <w:sz w:val="20"/>
                <w:szCs w:val="20"/>
              </w:rPr>
            </w:pPr>
            <w:r>
              <w:rPr>
                <w:rFonts w:ascii="宋体" w:hAnsi="宋体" w:cs="宋体"/>
                <w:color w:val="000000"/>
                <w:kern w:val="0"/>
                <w:sz w:val="20"/>
                <w:szCs w:val="20"/>
              </w:rPr>
              <w:t>5</w:t>
            </w:r>
          </w:p>
        </w:tc>
        <w:tc>
          <w:tcPr>
            <w:tcW w:w="1152" w:type="dxa"/>
            <w:vAlign w:val="center"/>
          </w:tcPr>
          <w:p>
            <w:pPr>
              <w:widowControl/>
              <w:spacing w:line="536" w:lineRule="exact"/>
              <w:jc w:val="center"/>
              <w:rPr>
                <w:rFonts w:ascii="宋体" w:cs="宋体"/>
                <w:color w:val="000000"/>
                <w:kern w:val="0"/>
                <w:sz w:val="15"/>
                <w:szCs w:val="15"/>
              </w:rPr>
            </w:pPr>
            <w:r>
              <w:rPr>
                <w:rFonts w:ascii="宋体" w:hAnsi="宋体" w:cs="宋体"/>
                <w:color w:val="000000"/>
                <w:kern w:val="0"/>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8" w:hRule="atLeast"/>
          <w:jc w:val="center"/>
        </w:trPr>
        <w:tc>
          <w:tcPr>
            <w:tcW w:w="1420" w:type="dxa"/>
            <w:vMerge w:val="continue"/>
            <w:vAlign w:val="center"/>
          </w:tcPr>
          <w:p>
            <w:pPr>
              <w:widowControl/>
              <w:spacing w:line="536" w:lineRule="exact"/>
              <w:jc w:val="left"/>
              <w:rPr>
                <w:rFonts w:ascii="宋体" w:cs="宋体"/>
                <w:color w:val="000000"/>
                <w:kern w:val="0"/>
                <w:sz w:val="20"/>
                <w:szCs w:val="20"/>
              </w:rPr>
            </w:pPr>
          </w:p>
        </w:tc>
        <w:tc>
          <w:tcPr>
            <w:tcW w:w="1854" w:type="dxa"/>
            <w:vMerge w:val="restart"/>
            <w:textDirection w:val="tbRlV"/>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w:t>
            </w:r>
            <w:r>
              <w:rPr>
                <w:rFonts w:ascii="宋体" w:hAnsi="宋体" w:cs="宋体"/>
                <w:color w:val="000000"/>
                <w:kern w:val="0"/>
                <w:sz w:val="20"/>
                <w:szCs w:val="20"/>
              </w:rPr>
              <w:t>50</w:t>
            </w:r>
            <w:r>
              <w:rPr>
                <w:rFonts w:hint="eastAsia" w:ascii="宋体" w:hAnsi="宋体" w:cs="宋体"/>
                <w:color w:val="000000"/>
                <w:kern w:val="0"/>
                <w:sz w:val="20"/>
                <w:szCs w:val="20"/>
              </w:rPr>
              <w:t>分）</w:t>
            </w:r>
          </w:p>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项目效益</w:t>
            </w:r>
          </w:p>
        </w:tc>
        <w:tc>
          <w:tcPr>
            <w:tcW w:w="3103" w:type="dxa"/>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经济效益（可选项）</w:t>
            </w:r>
          </w:p>
        </w:tc>
        <w:tc>
          <w:tcPr>
            <w:tcW w:w="1150" w:type="dxa"/>
            <w:vMerge w:val="restart"/>
            <w:vAlign w:val="center"/>
          </w:tcPr>
          <w:p>
            <w:pPr>
              <w:widowControl/>
              <w:spacing w:line="536" w:lineRule="exact"/>
              <w:jc w:val="center"/>
              <w:rPr>
                <w:rFonts w:ascii="宋体" w:cs="宋体"/>
                <w:color w:val="000000"/>
                <w:kern w:val="0"/>
                <w:sz w:val="20"/>
                <w:szCs w:val="20"/>
              </w:rPr>
            </w:pPr>
            <w:r>
              <w:rPr>
                <w:rFonts w:ascii="宋体" w:hAnsi="宋体" w:cs="宋体"/>
                <w:color w:val="000000"/>
                <w:kern w:val="0"/>
                <w:sz w:val="20"/>
                <w:szCs w:val="20"/>
              </w:rPr>
              <w:t>40</w:t>
            </w:r>
          </w:p>
        </w:tc>
        <w:tc>
          <w:tcPr>
            <w:tcW w:w="1152" w:type="dxa"/>
            <w:vMerge w:val="restart"/>
            <w:vAlign w:val="center"/>
          </w:tcPr>
          <w:p>
            <w:pPr>
              <w:widowControl/>
              <w:spacing w:line="536" w:lineRule="exact"/>
              <w:jc w:val="center"/>
              <w:rPr>
                <w:rFonts w:hint="eastAsia" w:ascii="宋体" w:eastAsia="宋体" w:cs="宋体"/>
                <w:color w:val="000000"/>
                <w:kern w:val="0"/>
                <w:sz w:val="15"/>
                <w:szCs w:val="15"/>
                <w:lang w:val="en-US" w:eastAsia="zh-CN"/>
              </w:rPr>
            </w:pPr>
            <w:r>
              <w:rPr>
                <w:rFonts w:ascii="宋体" w:hAnsi="宋体" w:cs="宋体"/>
                <w:color w:val="000000"/>
                <w:kern w:val="0"/>
                <w:sz w:val="20"/>
                <w:szCs w:val="20"/>
              </w:rPr>
              <w:t>3</w:t>
            </w:r>
            <w:r>
              <w:rPr>
                <w:rFonts w:hint="eastAsia" w:ascii="宋体" w:hAnsi="宋体" w:cs="宋体"/>
                <w:color w:val="000000"/>
                <w:kern w:val="0"/>
                <w:sz w:val="20"/>
                <w:szCs w:val="20"/>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8" w:hRule="atLeast"/>
          <w:jc w:val="center"/>
        </w:trPr>
        <w:tc>
          <w:tcPr>
            <w:tcW w:w="1420" w:type="dxa"/>
            <w:vMerge w:val="continue"/>
            <w:vAlign w:val="center"/>
          </w:tcPr>
          <w:p>
            <w:pPr>
              <w:widowControl/>
              <w:spacing w:line="536" w:lineRule="exact"/>
              <w:jc w:val="left"/>
              <w:rPr>
                <w:rFonts w:ascii="宋体" w:cs="宋体"/>
                <w:color w:val="000000"/>
                <w:kern w:val="0"/>
                <w:sz w:val="20"/>
                <w:szCs w:val="20"/>
              </w:rPr>
            </w:pPr>
          </w:p>
        </w:tc>
        <w:tc>
          <w:tcPr>
            <w:tcW w:w="1854" w:type="dxa"/>
            <w:vMerge w:val="continue"/>
            <w:vAlign w:val="center"/>
          </w:tcPr>
          <w:p>
            <w:pPr>
              <w:widowControl/>
              <w:spacing w:line="536" w:lineRule="exact"/>
              <w:jc w:val="left"/>
              <w:rPr>
                <w:rFonts w:ascii="宋体" w:cs="宋体"/>
                <w:color w:val="000000"/>
                <w:kern w:val="0"/>
                <w:sz w:val="20"/>
                <w:szCs w:val="20"/>
              </w:rPr>
            </w:pPr>
          </w:p>
        </w:tc>
        <w:tc>
          <w:tcPr>
            <w:tcW w:w="3103" w:type="dxa"/>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社会效益（可选项）</w:t>
            </w:r>
          </w:p>
        </w:tc>
        <w:tc>
          <w:tcPr>
            <w:tcW w:w="1150" w:type="dxa"/>
            <w:vMerge w:val="continue"/>
            <w:vAlign w:val="center"/>
          </w:tcPr>
          <w:p>
            <w:pPr>
              <w:widowControl/>
              <w:spacing w:line="536" w:lineRule="exact"/>
              <w:jc w:val="left"/>
              <w:rPr>
                <w:rFonts w:ascii="宋体" w:cs="宋体"/>
                <w:color w:val="000000"/>
                <w:kern w:val="0"/>
                <w:sz w:val="20"/>
                <w:szCs w:val="20"/>
              </w:rPr>
            </w:pPr>
          </w:p>
        </w:tc>
        <w:tc>
          <w:tcPr>
            <w:tcW w:w="1152" w:type="dxa"/>
            <w:vMerge w:val="continue"/>
            <w:vAlign w:val="center"/>
          </w:tcPr>
          <w:p>
            <w:pPr>
              <w:widowControl/>
              <w:spacing w:line="536" w:lineRule="exact"/>
              <w:jc w:val="center"/>
              <w:rPr>
                <w:rFonts w:ascii="宋体" w:cs="宋体"/>
                <w:color w:val="000000"/>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8" w:hRule="atLeast"/>
          <w:jc w:val="center"/>
        </w:trPr>
        <w:tc>
          <w:tcPr>
            <w:tcW w:w="1420" w:type="dxa"/>
            <w:vMerge w:val="continue"/>
            <w:vAlign w:val="center"/>
          </w:tcPr>
          <w:p>
            <w:pPr>
              <w:widowControl/>
              <w:spacing w:line="536" w:lineRule="exact"/>
              <w:jc w:val="left"/>
              <w:rPr>
                <w:rFonts w:ascii="宋体" w:cs="宋体"/>
                <w:color w:val="000000"/>
                <w:kern w:val="0"/>
                <w:sz w:val="20"/>
                <w:szCs w:val="20"/>
              </w:rPr>
            </w:pPr>
          </w:p>
        </w:tc>
        <w:tc>
          <w:tcPr>
            <w:tcW w:w="1854" w:type="dxa"/>
            <w:vMerge w:val="continue"/>
            <w:vAlign w:val="center"/>
          </w:tcPr>
          <w:p>
            <w:pPr>
              <w:widowControl/>
              <w:spacing w:line="536" w:lineRule="exact"/>
              <w:jc w:val="left"/>
              <w:rPr>
                <w:rFonts w:ascii="宋体" w:cs="宋体"/>
                <w:color w:val="000000"/>
                <w:kern w:val="0"/>
                <w:sz w:val="20"/>
                <w:szCs w:val="20"/>
              </w:rPr>
            </w:pPr>
          </w:p>
        </w:tc>
        <w:tc>
          <w:tcPr>
            <w:tcW w:w="3103" w:type="dxa"/>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生态效益（可选项）</w:t>
            </w:r>
          </w:p>
        </w:tc>
        <w:tc>
          <w:tcPr>
            <w:tcW w:w="1150" w:type="dxa"/>
            <w:vMerge w:val="continue"/>
            <w:vAlign w:val="center"/>
          </w:tcPr>
          <w:p>
            <w:pPr>
              <w:widowControl/>
              <w:spacing w:line="536" w:lineRule="exact"/>
              <w:jc w:val="left"/>
              <w:rPr>
                <w:rFonts w:ascii="宋体" w:cs="宋体"/>
                <w:color w:val="000000"/>
                <w:kern w:val="0"/>
                <w:sz w:val="20"/>
                <w:szCs w:val="20"/>
              </w:rPr>
            </w:pPr>
          </w:p>
        </w:tc>
        <w:tc>
          <w:tcPr>
            <w:tcW w:w="1152" w:type="dxa"/>
            <w:vMerge w:val="continue"/>
          </w:tcPr>
          <w:p>
            <w:pPr>
              <w:widowControl/>
              <w:spacing w:line="536" w:lineRule="exact"/>
              <w:jc w:val="left"/>
              <w:rPr>
                <w:rFonts w:ascii="宋体" w:cs="宋体"/>
                <w:color w:val="000000"/>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8" w:hRule="atLeast"/>
          <w:jc w:val="center"/>
        </w:trPr>
        <w:tc>
          <w:tcPr>
            <w:tcW w:w="1420" w:type="dxa"/>
            <w:vMerge w:val="continue"/>
            <w:vAlign w:val="center"/>
          </w:tcPr>
          <w:p>
            <w:pPr>
              <w:widowControl/>
              <w:spacing w:line="536" w:lineRule="exact"/>
              <w:jc w:val="left"/>
              <w:rPr>
                <w:rFonts w:ascii="宋体" w:cs="宋体"/>
                <w:color w:val="000000"/>
                <w:kern w:val="0"/>
                <w:sz w:val="20"/>
                <w:szCs w:val="20"/>
              </w:rPr>
            </w:pPr>
          </w:p>
        </w:tc>
        <w:tc>
          <w:tcPr>
            <w:tcW w:w="1854" w:type="dxa"/>
            <w:vMerge w:val="continue"/>
            <w:vAlign w:val="center"/>
          </w:tcPr>
          <w:p>
            <w:pPr>
              <w:widowControl/>
              <w:spacing w:line="536" w:lineRule="exact"/>
              <w:jc w:val="left"/>
              <w:rPr>
                <w:rFonts w:ascii="宋体" w:cs="宋体"/>
                <w:color w:val="000000"/>
                <w:kern w:val="0"/>
                <w:sz w:val="20"/>
                <w:szCs w:val="20"/>
              </w:rPr>
            </w:pPr>
          </w:p>
        </w:tc>
        <w:tc>
          <w:tcPr>
            <w:tcW w:w="3103" w:type="dxa"/>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可持续效益（可选项）</w:t>
            </w:r>
          </w:p>
        </w:tc>
        <w:tc>
          <w:tcPr>
            <w:tcW w:w="1150" w:type="dxa"/>
            <w:vMerge w:val="continue"/>
            <w:vAlign w:val="center"/>
          </w:tcPr>
          <w:p>
            <w:pPr>
              <w:widowControl/>
              <w:spacing w:line="536" w:lineRule="exact"/>
              <w:jc w:val="left"/>
              <w:rPr>
                <w:rFonts w:ascii="宋体" w:cs="宋体"/>
                <w:color w:val="000000"/>
                <w:kern w:val="0"/>
                <w:sz w:val="20"/>
                <w:szCs w:val="20"/>
              </w:rPr>
            </w:pPr>
          </w:p>
        </w:tc>
        <w:tc>
          <w:tcPr>
            <w:tcW w:w="1152" w:type="dxa"/>
            <w:vMerge w:val="continue"/>
          </w:tcPr>
          <w:p>
            <w:pPr>
              <w:widowControl/>
              <w:spacing w:line="536" w:lineRule="exact"/>
              <w:jc w:val="left"/>
              <w:rPr>
                <w:rFonts w:ascii="宋体" w:cs="宋体"/>
                <w:color w:val="000000"/>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8" w:hRule="atLeast"/>
          <w:jc w:val="center"/>
        </w:trPr>
        <w:tc>
          <w:tcPr>
            <w:tcW w:w="1420" w:type="dxa"/>
            <w:vMerge w:val="continue"/>
            <w:vAlign w:val="center"/>
          </w:tcPr>
          <w:p>
            <w:pPr>
              <w:widowControl/>
              <w:spacing w:line="536" w:lineRule="exact"/>
              <w:jc w:val="left"/>
              <w:rPr>
                <w:rFonts w:ascii="宋体" w:cs="宋体"/>
                <w:color w:val="000000"/>
                <w:kern w:val="0"/>
                <w:sz w:val="20"/>
                <w:szCs w:val="20"/>
              </w:rPr>
            </w:pPr>
          </w:p>
        </w:tc>
        <w:tc>
          <w:tcPr>
            <w:tcW w:w="1854" w:type="dxa"/>
            <w:vMerge w:val="continue"/>
            <w:vAlign w:val="center"/>
          </w:tcPr>
          <w:p>
            <w:pPr>
              <w:widowControl/>
              <w:spacing w:line="536" w:lineRule="exact"/>
              <w:jc w:val="left"/>
              <w:rPr>
                <w:rFonts w:ascii="宋体" w:cs="宋体"/>
                <w:color w:val="000000"/>
                <w:kern w:val="0"/>
                <w:sz w:val="20"/>
                <w:szCs w:val="20"/>
              </w:rPr>
            </w:pPr>
          </w:p>
        </w:tc>
        <w:tc>
          <w:tcPr>
            <w:tcW w:w="3103" w:type="dxa"/>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公平效率（可选项）</w:t>
            </w:r>
          </w:p>
        </w:tc>
        <w:tc>
          <w:tcPr>
            <w:tcW w:w="1150" w:type="dxa"/>
            <w:vMerge w:val="continue"/>
            <w:vAlign w:val="center"/>
          </w:tcPr>
          <w:p>
            <w:pPr>
              <w:widowControl/>
              <w:spacing w:line="536" w:lineRule="exact"/>
              <w:jc w:val="left"/>
              <w:rPr>
                <w:rFonts w:ascii="宋体" w:cs="宋体"/>
                <w:color w:val="000000"/>
                <w:kern w:val="0"/>
                <w:sz w:val="20"/>
                <w:szCs w:val="20"/>
              </w:rPr>
            </w:pPr>
          </w:p>
        </w:tc>
        <w:tc>
          <w:tcPr>
            <w:tcW w:w="1152" w:type="dxa"/>
            <w:vMerge w:val="continue"/>
          </w:tcPr>
          <w:p>
            <w:pPr>
              <w:widowControl/>
              <w:spacing w:line="536" w:lineRule="exact"/>
              <w:jc w:val="left"/>
              <w:rPr>
                <w:rFonts w:ascii="宋体" w:cs="宋体"/>
                <w:color w:val="000000"/>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8" w:hRule="atLeast"/>
          <w:jc w:val="center"/>
        </w:trPr>
        <w:tc>
          <w:tcPr>
            <w:tcW w:w="1420" w:type="dxa"/>
            <w:vMerge w:val="continue"/>
            <w:vAlign w:val="center"/>
          </w:tcPr>
          <w:p>
            <w:pPr>
              <w:widowControl/>
              <w:spacing w:line="536" w:lineRule="exact"/>
              <w:jc w:val="left"/>
              <w:rPr>
                <w:rFonts w:ascii="宋体" w:cs="宋体"/>
                <w:color w:val="000000"/>
                <w:kern w:val="0"/>
                <w:sz w:val="20"/>
                <w:szCs w:val="20"/>
              </w:rPr>
            </w:pPr>
          </w:p>
        </w:tc>
        <w:tc>
          <w:tcPr>
            <w:tcW w:w="1854" w:type="dxa"/>
            <w:vMerge w:val="continue"/>
            <w:vAlign w:val="center"/>
          </w:tcPr>
          <w:p>
            <w:pPr>
              <w:widowControl/>
              <w:spacing w:line="536" w:lineRule="exact"/>
              <w:jc w:val="left"/>
              <w:rPr>
                <w:rFonts w:ascii="宋体" w:cs="宋体"/>
                <w:color w:val="000000"/>
                <w:kern w:val="0"/>
                <w:sz w:val="20"/>
                <w:szCs w:val="20"/>
              </w:rPr>
            </w:pPr>
          </w:p>
        </w:tc>
        <w:tc>
          <w:tcPr>
            <w:tcW w:w="3103" w:type="dxa"/>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使用效率（可选项）</w:t>
            </w:r>
          </w:p>
        </w:tc>
        <w:tc>
          <w:tcPr>
            <w:tcW w:w="1150" w:type="dxa"/>
            <w:vMerge w:val="continue"/>
            <w:vAlign w:val="center"/>
          </w:tcPr>
          <w:p>
            <w:pPr>
              <w:widowControl/>
              <w:spacing w:line="536" w:lineRule="exact"/>
              <w:jc w:val="left"/>
              <w:rPr>
                <w:rFonts w:ascii="宋体" w:cs="宋体"/>
                <w:color w:val="000000"/>
                <w:kern w:val="0"/>
                <w:sz w:val="20"/>
                <w:szCs w:val="20"/>
              </w:rPr>
            </w:pPr>
          </w:p>
        </w:tc>
        <w:tc>
          <w:tcPr>
            <w:tcW w:w="1152" w:type="dxa"/>
            <w:vMerge w:val="continue"/>
          </w:tcPr>
          <w:p>
            <w:pPr>
              <w:widowControl/>
              <w:spacing w:line="536" w:lineRule="exact"/>
              <w:jc w:val="left"/>
              <w:rPr>
                <w:rFonts w:ascii="宋体" w:cs="宋体"/>
                <w:color w:val="000000"/>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8" w:hRule="atLeast"/>
          <w:jc w:val="center"/>
        </w:trPr>
        <w:tc>
          <w:tcPr>
            <w:tcW w:w="1420" w:type="dxa"/>
            <w:vMerge w:val="continue"/>
            <w:vAlign w:val="center"/>
          </w:tcPr>
          <w:p>
            <w:pPr>
              <w:widowControl/>
              <w:spacing w:line="536" w:lineRule="exact"/>
              <w:jc w:val="left"/>
              <w:rPr>
                <w:rFonts w:ascii="宋体" w:cs="宋体"/>
                <w:color w:val="000000"/>
                <w:kern w:val="0"/>
                <w:sz w:val="20"/>
                <w:szCs w:val="20"/>
              </w:rPr>
            </w:pPr>
          </w:p>
        </w:tc>
        <w:tc>
          <w:tcPr>
            <w:tcW w:w="1854" w:type="dxa"/>
            <w:vMerge w:val="continue"/>
            <w:vAlign w:val="center"/>
          </w:tcPr>
          <w:p>
            <w:pPr>
              <w:widowControl/>
              <w:spacing w:line="536" w:lineRule="exact"/>
              <w:jc w:val="left"/>
              <w:rPr>
                <w:rFonts w:ascii="宋体" w:cs="宋体"/>
                <w:color w:val="000000"/>
                <w:kern w:val="0"/>
                <w:sz w:val="20"/>
                <w:szCs w:val="20"/>
              </w:rPr>
            </w:pPr>
          </w:p>
        </w:tc>
        <w:tc>
          <w:tcPr>
            <w:tcW w:w="3103" w:type="dxa"/>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服务对象满意度</w:t>
            </w:r>
            <w:r>
              <w:rPr>
                <w:rFonts w:ascii="宋体" w:hAnsi="宋体" w:cs="宋体"/>
                <w:color w:val="000000"/>
                <w:kern w:val="0"/>
                <w:sz w:val="20"/>
                <w:szCs w:val="20"/>
              </w:rPr>
              <w:t xml:space="preserve">    </w:t>
            </w:r>
          </w:p>
        </w:tc>
        <w:tc>
          <w:tcPr>
            <w:tcW w:w="1150" w:type="dxa"/>
            <w:vAlign w:val="center"/>
          </w:tcPr>
          <w:p>
            <w:pPr>
              <w:widowControl/>
              <w:spacing w:line="536" w:lineRule="exact"/>
              <w:jc w:val="center"/>
              <w:rPr>
                <w:rFonts w:ascii="宋体" w:cs="宋体"/>
                <w:color w:val="000000"/>
                <w:kern w:val="0"/>
                <w:sz w:val="20"/>
                <w:szCs w:val="20"/>
              </w:rPr>
            </w:pPr>
            <w:r>
              <w:rPr>
                <w:rFonts w:ascii="宋体" w:hAnsi="宋体" w:cs="宋体"/>
                <w:color w:val="000000"/>
                <w:kern w:val="0"/>
                <w:sz w:val="20"/>
                <w:szCs w:val="20"/>
              </w:rPr>
              <w:t>10</w:t>
            </w:r>
          </w:p>
        </w:tc>
        <w:tc>
          <w:tcPr>
            <w:tcW w:w="1152" w:type="dxa"/>
          </w:tcPr>
          <w:p>
            <w:pPr>
              <w:widowControl/>
              <w:spacing w:line="536" w:lineRule="exact"/>
              <w:jc w:val="center"/>
              <w:rPr>
                <w:rFonts w:ascii="宋体" w:cs="宋体"/>
                <w:color w:val="000000"/>
                <w:kern w:val="0"/>
                <w:sz w:val="15"/>
                <w:szCs w:val="15"/>
              </w:rPr>
            </w:pPr>
            <w:r>
              <w:rPr>
                <w:rFonts w:ascii="宋体" w:cs="宋体"/>
                <w:color w:val="000000"/>
                <w:kern w:val="0"/>
                <w:sz w:val="15"/>
                <w:szCs w:val="15"/>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2" w:hRule="atLeast"/>
          <w:jc w:val="center"/>
        </w:trPr>
        <w:tc>
          <w:tcPr>
            <w:tcW w:w="1420" w:type="dxa"/>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总分</w:t>
            </w:r>
          </w:p>
        </w:tc>
        <w:tc>
          <w:tcPr>
            <w:tcW w:w="7259" w:type="dxa"/>
            <w:gridSpan w:val="4"/>
            <w:vAlign w:val="center"/>
          </w:tcPr>
          <w:p>
            <w:pPr>
              <w:widowControl/>
              <w:spacing w:line="536" w:lineRule="exact"/>
              <w:jc w:val="center"/>
              <w:rPr>
                <w:rFonts w:hint="default" w:ascii="宋体" w:eastAsia="宋体" w:cs="宋体"/>
                <w:color w:val="000000"/>
                <w:kern w:val="0"/>
                <w:sz w:val="15"/>
                <w:szCs w:val="15"/>
                <w:lang w:val="en-US" w:eastAsia="zh-CN"/>
              </w:rPr>
            </w:pPr>
            <w:r>
              <w:rPr>
                <w:rFonts w:hint="eastAsia" w:ascii="宋体" w:cs="宋体"/>
                <w:color w:val="000000"/>
                <w:kern w:val="0"/>
                <w:sz w:val="15"/>
                <w:szCs w:val="15"/>
                <w:lang w:val="en-US" w:eastAsia="zh-CN"/>
              </w:rPr>
              <w:t>93</w:t>
            </w:r>
          </w:p>
        </w:tc>
      </w:tr>
    </w:tbl>
    <w:p>
      <w:pPr>
        <w:numPr>
          <w:ilvl w:val="0"/>
          <w:numId w:val="0"/>
        </w:numPr>
        <w:spacing w:line="580" w:lineRule="exact"/>
        <w:ind w:firstLine="643" w:firstLineChars="200"/>
        <w:rPr>
          <w:rFonts w:ascii="楷体_GB2312" w:hAnsi="楷体_GB2312" w:eastAsia="楷体_GB2312" w:cs="楷体_GB2312"/>
          <w:b/>
          <w:bCs/>
          <w:sz w:val="32"/>
          <w:szCs w:val="32"/>
        </w:rPr>
      </w:pPr>
      <w:r>
        <w:rPr>
          <w:rFonts w:hint="eastAsia" w:ascii="仿宋_GB2312" w:eastAsia="仿宋_GB2312"/>
          <w:b/>
          <w:color w:val="000000"/>
          <w:sz w:val="32"/>
          <w:szCs w:val="32"/>
          <w:lang w:val="en-US" w:eastAsia="zh-CN"/>
        </w:rPr>
        <w:t>4、绩效目标设置情况</w:t>
      </w:r>
    </w:p>
    <w:p>
      <w:pPr>
        <w:spacing w:line="580" w:lineRule="exact"/>
        <w:ind w:firstLine="640" w:firstLineChars="200"/>
        <w:rPr>
          <w:rFonts w:hint="eastAsia" w:ascii="仿宋_GB2312" w:eastAsia="仿宋_GB2312"/>
          <w:color w:val="000000"/>
          <w:sz w:val="32"/>
          <w:szCs w:val="32"/>
        </w:rPr>
      </w:pPr>
      <w:r>
        <w:rPr>
          <w:rFonts w:hint="eastAsia" w:ascii="仿宋_GB2312" w:eastAsia="仿宋_GB2312" w:cs="仿宋_GB2312"/>
          <w:sz w:val="32"/>
          <w:szCs w:val="32"/>
        </w:rPr>
        <w:t>本部门按要求对</w:t>
      </w:r>
      <w:r>
        <w:rPr>
          <w:rFonts w:hint="eastAsia" w:ascii="仿宋_GB2312" w:eastAsia="仿宋_GB2312" w:cs="仿宋_GB2312"/>
          <w:sz w:val="32"/>
          <w:szCs w:val="32"/>
          <w:lang w:eastAsia="zh-CN"/>
        </w:rPr>
        <w:t>2022</w:t>
      </w:r>
      <w:r>
        <w:rPr>
          <w:rFonts w:hint="eastAsia" w:ascii="仿宋_GB2312" w:eastAsia="仿宋_GB2312" w:cs="仿宋_GB2312"/>
          <w:sz w:val="32"/>
          <w:szCs w:val="32"/>
        </w:rPr>
        <w:t>年部门整体支出绩效评价情况开展自评，</w:t>
      </w:r>
      <w:r>
        <w:rPr>
          <w:rFonts w:hint="eastAsia" w:ascii="仿宋_GB2312" w:eastAsia="仿宋_GB2312"/>
          <w:sz w:val="32"/>
          <w:szCs w:val="32"/>
        </w:rPr>
        <w:t>《金川县畜牧兽医服务中心</w:t>
      </w:r>
      <w:r>
        <w:rPr>
          <w:rFonts w:hint="eastAsia" w:ascii="仿宋_GB2312" w:eastAsia="仿宋_GB2312"/>
          <w:sz w:val="32"/>
          <w:szCs w:val="32"/>
          <w:lang w:eastAsia="zh-CN"/>
        </w:rPr>
        <w:t>2022</w:t>
      </w:r>
      <w:r>
        <w:rPr>
          <w:rFonts w:hint="eastAsia" w:ascii="仿宋_GB2312" w:eastAsia="仿宋_GB2312"/>
          <w:sz w:val="32"/>
          <w:szCs w:val="32"/>
        </w:rPr>
        <w:t>年部门预算整体支出绩效评价报告》</w:t>
      </w:r>
      <w:r>
        <w:rPr>
          <w:rFonts w:hint="eastAsia" w:ascii="仿宋_GB2312" w:eastAsia="仿宋_GB2312" w:cs="仿宋_GB2312"/>
          <w:sz w:val="32"/>
          <w:szCs w:val="32"/>
        </w:rPr>
        <w:t>见附件。</w:t>
      </w:r>
    </w:p>
    <w:p>
      <w:pPr>
        <w:autoSpaceDE w:val="0"/>
        <w:autoSpaceDN w:val="0"/>
        <w:adjustRightInd w:val="0"/>
        <w:spacing w:line="536" w:lineRule="exact"/>
        <w:ind w:firstLine="640" w:firstLineChars="200"/>
        <w:jc w:val="center"/>
        <w:rPr>
          <w:rFonts w:ascii="仿宋_GB2312" w:eastAsia="仿宋_GB2312"/>
          <w:color w:val="000000"/>
          <w:sz w:val="32"/>
          <w:szCs w:val="32"/>
        </w:rPr>
      </w:pPr>
    </w:p>
    <w:p>
      <w:pPr>
        <w:numPr>
          <w:ilvl w:val="0"/>
          <w:numId w:val="3"/>
        </w:numPr>
        <w:spacing w:line="600" w:lineRule="exact"/>
        <w:ind w:firstLine="663" w:firstLineChars="150"/>
        <w:jc w:val="center"/>
        <w:outlineLvl w:val="0"/>
        <w:rPr>
          <w:rStyle w:val="18"/>
          <w:rFonts w:ascii="黑体" w:eastAsia="黑体"/>
          <w:b w:val="0"/>
        </w:rPr>
      </w:pPr>
      <w:bookmarkStart w:id="73" w:name="_Toc5986"/>
      <w:r>
        <w:rPr>
          <w:rFonts w:hint="eastAsia" w:ascii="黑体" w:eastAsia="黑体"/>
          <w:b/>
          <w:color w:val="000000"/>
          <w:sz w:val="44"/>
          <w:szCs w:val="44"/>
        </w:rPr>
        <w:t>名</w:t>
      </w:r>
      <w:r>
        <w:rPr>
          <w:rStyle w:val="18"/>
          <w:rFonts w:hint="eastAsia" w:ascii="黑体" w:eastAsia="黑体"/>
          <w:b w:val="0"/>
        </w:rPr>
        <w:t>词解释</w:t>
      </w:r>
      <w:bookmarkEnd w:id="70"/>
      <w:bookmarkEnd w:id="71"/>
      <w:bookmarkEnd w:id="73"/>
    </w:p>
    <w:p>
      <w:pPr>
        <w:pStyle w:val="25"/>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结余分配：指事业单位按照事业单位会计制度的规定从非财政补助结余中分配的事业基金和职工福利基金等。</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ascii="仿宋_GB2312" w:eastAsia="仿宋_GB2312"/>
          <w:color w:val="000000"/>
          <w:sz w:val="32"/>
          <w:szCs w:val="32"/>
        </w:rPr>
        <w:t>8.</w:t>
      </w:r>
      <w:r>
        <w:rPr>
          <w:rFonts w:hint="eastAsia" w:ascii="仿宋_GB2312" w:eastAsia="仿宋_GB2312" w:cs="仿宋"/>
          <w:color w:val="000000"/>
          <w:kern w:val="0"/>
          <w:sz w:val="32"/>
          <w:szCs w:val="32"/>
        </w:rPr>
        <w:t>一般公共服务（类）相关机构事务（款）行政运行（项）：指行政单位的基本支出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s="仿宋"/>
          <w:color w:val="000000"/>
          <w:kern w:val="0"/>
          <w:sz w:val="32"/>
          <w:szCs w:val="32"/>
        </w:rPr>
        <w:t>一般公共服务（类）相关机构事务（款）一般行政管理事务（项）：</w:t>
      </w:r>
      <w:r>
        <w:rPr>
          <w:rFonts w:hint="eastAsia" w:ascii="仿宋_GB2312" w:eastAsia="仿宋_GB2312"/>
          <w:color w:val="000000"/>
          <w:sz w:val="32"/>
          <w:szCs w:val="32"/>
        </w:rPr>
        <w:t>指反映行政单位未单独设置</w:t>
      </w:r>
      <w:r>
        <w:rPr>
          <w:rFonts w:hint="eastAsia" w:ascii="仿宋_GB2312" w:eastAsia="仿宋_GB2312"/>
          <w:color w:val="000000"/>
          <w:sz w:val="32"/>
          <w:szCs w:val="32"/>
          <w:lang w:eastAsia="zh-CN"/>
        </w:rPr>
        <w:t>项级</w:t>
      </w:r>
      <w:r>
        <w:rPr>
          <w:rFonts w:hint="eastAsia" w:ascii="仿宋_GB2312" w:eastAsia="仿宋_GB2312"/>
          <w:color w:val="000000"/>
          <w:sz w:val="32"/>
          <w:szCs w:val="32"/>
        </w:rPr>
        <w:t>科目的其他项目支出。</w:t>
      </w:r>
    </w:p>
    <w:p>
      <w:pPr>
        <w:ind w:firstLine="640" w:firstLineChars="200"/>
        <w:rPr>
          <w:rFonts w:ascii="仿宋_GB2312" w:eastAsia="仿宋_GB2312"/>
          <w:color w:val="000000"/>
          <w:sz w:val="32"/>
          <w:szCs w:val="32"/>
        </w:rPr>
      </w:pPr>
      <w:r>
        <w:rPr>
          <w:rFonts w:ascii="仿宋_GB2312" w:eastAsia="仿宋_GB2312"/>
          <w:color w:val="000000"/>
          <w:sz w:val="32"/>
          <w:szCs w:val="32"/>
        </w:rPr>
        <w:t>10.</w:t>
      </w:r>
      <w:r>
        <w:rPr>
          <w:rFonts w:hint="eastAsia" w:ascii="仿宋_GB2312" w:eastAsia="仿宋_GB2312" w:cs="仿宋"/>
          <w:color w:val="000000"/>
          <w:kern w:val="0"/>
          <w:sz w:val="32"/>
          <w:szCs w:val="32"/>
        </w:rPr>
        <w:t>教育（类）其他教育支出（款）其他教育支出（项）：</w:t>
      </w:r>
      <w:r>
        <w:rPr>
          <w:rFonts w:hint="eastAsia" w:ascii="仿宋_GB2312" w:eastAsia="仿宋_GB2312"/>
          <w:color w:val="000000"/>
          <w:sz w:val="32"/>
          <w:szCs w:val="32"/>
        </w:rPr>
        <w:t>除上述项目以外用于教育管理事务方面的支出。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11.</w:t>
      </w:r>
      <w:r>
        <w:rPr>
          <w:rFonts w:hint="eastAsia" w:ascii="仿宋_GB2312" w:eastAsia="仿宋_GB2312" w:cs="仿宋"/>
          <w:color w:val="000000"/>
          <w:kern w:val="0"/>
          <w:sz w:val="32"/>
          <w:szCs w:val="32"/>
        </w:rPr>
        <w:t>社会保障和就业（类）行政事业单位离退休（款）机关事业单位基本养老保险缴费支出（项）：</w:t>
      </w:r>
      <w:r>
        <w:rPr>
          <w:rFonts w:hint="eastAsia" w:ascii="仿宋_GB2312" w:eastAsia="仿宋_GB2312"/>
          <w:color w:val="000000"/>
          <w:sz w:val="32"/>
          <w:szCs w:val="32"/>
        </w:rPr>
        <w:t>指单位为职工缴纳的基本养老保险费。</w:t>
      </w:r>
    </w:p>
    <w:p>
      <w:pPr>
        <w:ind w:firstLine="640" w:firstLineChars="200"/>
        <w:rPr>
          <w:rFonts w:ascii="仿宋_GB2312" w:eastAsia="仿宋_GB2312"/>
          <w:color w:val="000000"/>
          <w:sz w:val="32"/>
          <w:szCs w:val="32"/>
        </w:rPr>
      </w:pPr>
      <w:r>
        <w:rPr>
          <w:rFonts w:ascii="仿宋_GB2312" w:eastAsia="仿宋_GB2312"/>
          <w:color w:val="000000"/>
          <w:sz w:val="32"/>
          <w:szCs w:val="32"/>
        </w:rPr>
        <w:t>12.</w:t>
      </w:r>
      <w:r>
        <w:rPr>
          <w:rFonts w:hint="eastAsia" w:ascii="仿宋_GB2312" w:eastAsia="仿宋_GB2312" w:cs="仿宋"/>
          <w:color w:val="000000"/>
          <w:kern w:val="0"/>
          <w:sz w:val="32"/>
          <w:szCs w:val="32"/>
        </w:rPr>
        <w:t>社会保障和就业（类）行政事业单位离退休（款）机关事业单位基本职业年金缴费支出（项）：</w:t>
      </w:r>
      <w:r>
        <w:rPr>
          <w:rFonts w:hint="eastAsia" w:ascii="仿宋_GB2312" w:eastAsia="仿宋_GB2312"/>
          <w:color w:val="000000"/>
          <w:sz w:val="32"/>
          <w:szCs w:val="32"/>
        </w:rPr>
        <w:t>指单位为职工实际缴纳的职业年金。</w:t>
      </w:r>
    </w:p>
    <w:p>
      <w:pPr>
        <w:ind w:firstLine="640" w:firstLineChars="200"/>
        <w:rPr>
          <w:rFonts w:ascii="仿宋_GB2312" w:eastAsia="仿宋_GB2312"/>
          <w:color w:val="000000"/>
          <w:sz w:val="32"/>
          <w:szCs w:val="32"/>
        </w:rPr>
      </w:pPr>
      <w:r>
        <w:rPr>
          <w:rFonts w:ascii="仿宋_GB2312" w:eastAsia="仿宋_GB2312"/>
          <w:color w:val="000000"/>
          <w:sz w:val="32"/>
          <w:szCs w:val="32"/>
        </w:rPr>
        <w:t>13.</w:t>
      </w:r>
      <w:r>
        <w:rPr>
          <w:rFonts w:hint="eastAsia" w:ascii="仿宋_GB2312" w:eastAsia="仿宋_GB2312"/>
          <w:color w:val="000000"/>
          <w:sz w:val="32"/>
          <w:szCs w:val="32"/>
        </w:rPr>
        <w:t>医疗卫生与计划生育（类）行政事业单位医疗（款）行政单位医疗（项）：指反映职工缴纳的基本医疗保险费。</w:t>
      </w:r>
    </w:p>
    <w:p>
      <w:pPr>
        <w:ind w:firstLine="640" w:firstLineChars="200"/>
        <w:rPr>
          <w:rFonts w:ascii="仿宋_GB2312" w:eastAsia="仿宋_GB2312"/>
          <w:color w:val="000000"/>
          <w:sz w:val="32"/>
          <w:szCs w:val="32"/>
        </w:rPr>
      </w:pPr>
      <w:r>
        <w:rPr>
          <w:rFonts w:ascii="仿宋_GB2312" w:eastAsia="仿宋_GB2312"/>
          <w:color w:val="000000"/>
          <w:sz w:val="32"/>
          <w:szCs w:val="32"/>
        </w:rPr>
        <w:t>14.</w:t>
      </w:r>
      <w:r>
        <w:rPr>
          <w:rFonts w:hint="eastAsia" w:ascii="仿宋_GB2312" w:eastAsia="仿宋_GB2312"/>
          <w:color w:val="000000"/>
          <w:sz w:val="32"/>
          <w:szCs w:val="32"/>
        </w:rPr>
        <w:t>医疗卫生与计划生育（类）行政事业单位医疗（款）公务员医疗补助（项）：指按规定可享受公务员医疗补助单位为职工缴纳的公务员医疗补助费。</w:t>
      </w:r>
    </w:p>
    <w:p>
      <w:pPr>
        <w:ind w:firstLine="640" w:firstLineChars="200"/>
        <w:rPr>
          <w:rFonts w:ascii="仿宋_GB2312" w:eastAsia="仿宋_GB2312"/>
          <w:color w:val="000000"/>
          <w:sz w:val="32"/>
          <w:szCs w:val="32"/>
        </w:rPr>
      </w:pPr>
      <w:r>
        <w:rPr>
          <w:rFonts w:ascii="仿宋_GB2312" w:eastAsia="仿宋_GB2312"/>
          <w:color w:val="000000"/>
          <w:sz w:val="32"/>
          <w:szCs w:val="32"/>
        </w:rPr>
        <w:t>15.</w:t>
      </w:r>
      <w:r>
        <w:rPr>
          <w:rFonts w:hint="eastAsia" w:ascii="仿宋_GB2312" w:eastAsia="仿宋_GB2312"/>
          <w:color w:val="000000"/>
          <w:sz w:val="32"/>
          <w:szCs w:val="32"/>
        </w:rPr>
        <w:t>住房保障（类）住房改革支出（款）住房公积金（项）：指单位按规定为职工缴纳的住房公积金。</w:t>
      </w:r>
    </w:p>
    <w:p>
      <w:pPr>
        <w:ind w:firstLine="640" w:firstLineChars="200"/>
        <w:rPr>
          <w:rFonts w:ascii="仿宋_GB2312" w:eastAsia="仿宋_GB2312"/>
          <w:color w:val="000000"/>
          <w:sz w:val="32"/>
          <w:szCs w:val="32"/>
        </w:rPr>
      </w:pPr>
      <w:r>
        <w:rPr>
          <w:rFonts w:ascii="仿宋_GB2312" w:eastAsia="仿宋_GB2312"/>
          <w:color w:val="000000"/>
          <w:sz w:val="32"/>
          <w:szCs w:val="32"/>
        </w:rPr>
        <w:t>16.</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ascii="仿宋_GB2312" w:eastAsia="仿宋_GB2312"/>
          <w:color w:val="000000"/>
          <w:sz w:val="32"/>
          <w:szCs w:val="32"/>
        </w:rPr>
        <w:t>17.</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18.</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5"/>
        <w:spacing w:line="560" w:lineRule="exact"/>
        <w:ind w:firstLine="640" w:firstLineChars="200"/>
        <w:rPr>
          <w:rFonts w:ascii="黑体" w:eastAsia="黑体"/>
          <w:color w:val="000000"/>
          <w:sz w:val="44"/>
          <w:szCs w:val="44"/>
        </w:rPr>
      </w:pPr>
      <w:r>
        <w:rPr>
          <w:rFonts w:ascii="仿宋_GB2312" w:eastAsia="仿宋_GB2312"/>
          <w:sz w:val="32"/>
          <w:szCs w:val="32"/>
        </w:rPr>
        <w:t>19.</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Start w:id="74" w:name="_Toc15396614"/>
      <w:bookmarkStart w:id="75" w:name="_Toc15377226"/>
    </w:p>
    <w:p>
      <w:pPr>
        <w:spacing w:line="600" w:lineRule="exact"/>
        <w:outlineLvl w:val="0"/>
        <w:rPr>
          <w:rFonts w:ascii="黑体" w:eastAsia="黑体"/>
          <w:color w:val="000000"/>
          <w:sz w:val="44"/>
          <w:szCs w:val="44"/>
        </w:rPr>
      </w:pPr>
    </w:p>
    <w:p>
      <w:pPr>
        <w:numPr>
          <w:ilvl w:val="0"/>
          <w:numId w:val="3"/>
        </w:numPr>
        <w:spacing w:line="600" w:lineRule="exact"/>
        <w:ind w:firstLine="660" w:firstLineChars="150"/>
        <w:jc w:val="center"/>
        <w:outlineLvl w:val="0"/>
        <w:rPr>
          <w:rStyle w:val="18"/>
          <w:rFonts w:ascii="黑体" w:eastAsia="黑体"/>
          <w:b w:val="0"/>
        </w:rPr>
      </w:pPr>
      <w:bookmarkStart w:id="76" w:name="_Toc31479"/>
      <w:r>
        <w:rPr>
          <w:rStyle w:val="18"/>
          <w:rFonts w:hint="eastAsia" w:ascii="黑体" w:eastAsia="黑体"/>
          <w:b w:val="0"/>
        </w:rPr>
        <w:t>附件</w:t>
      </w:r>
      <w:bookmarkEnd w:id="74"/>
      <w:bookmarkEnd w:id="76"/>
    </w:p>
    <w:p>
      <w:pPr>
        <w:outlineLvl w:val="0"/>
        <w:rPr>
          <w:rStyle w:val="18"/>
          <w:rFonts w:ascii="黑体" w:eastAsia="黑体"/>
          <w:b w:val="0"/>
        </w:rPr>
      </w:pPr>
    </w:p>
    <w:bookmarkEnd w:id="75"/>
    <w:p>
      <w:pPr>
        <w:widowControl/>
        <w:spacing w:line="576" w:lineRule="exact"/>
        <w:jc w:val="center"/>
        <w:rPr>
          <w:rFonts w:ascii="方正小标宋简体" w:hAnsi="宋体" w:eastAsia="方正小标宋简体" w:cs="方正小标宋简体"/>
          <w:sz w:val="44"/>
          <w:szCs w:val="44"/>
        </w:rPr>
      </w:pPr>
      <w:r>
        <w:rPr>
          <w:rFonts w:hint="eastAsia" w:ascii="方正小标宋简体" w:hAnsi="宋体" w:eastAsia="方正小标宋简体" w:cs="方正小标宋简体"/>
          <w:sz w:val="44"/>
          <w:szCs w:val="44"/>
        </w:rPr>
        <w:t>金川县畜牧兽医服务中心</w:t>
      </w:r>
    </w:p>
    <w:p>
      <w:pPr>
        <w:widowControl/>
        <w:spacing w:line="576" w:lineRule="exact"/>
        <w:jc w:val="center"/>
        <w:rPr>
          <w:rFonts w:ascii="方正小标宋简体" w:hAnsi="宋体" w:eastAsia="方正小标宋简体" w:cs="方正小标宋简体"/>
          <w:sz w:val="44"/>
          <w:szCs w:val="44"/>
        </w:rPr>
      </w:pPr>
      <w:r>
        <w:rPr>
          <w:rFonts w:hint="eastAsia" w:ascii="方正小标宋简体" w:hAnsi="宋体" w:eastAsia="方正小标宋简体" w:cs="方正小标宋简体"/>
          <w:sz w:val="44"/>
          <w:szCs w:val="44"/>
          <w:lang w:eastAsia="zh-CN"/>
        </w:rPr>
        <w:t>2022</w:t>
      </w:r>
      <w:r>
        <w:rPr>
          <w:rFonts w:hint="eastAsia" w:ascii="方正小标宋简体" w:hAnsi="宋体" w:eastAsia="方正小标宋简体" w:cs="方正小标宋简体"/>
          <w:sz w:val="44"/>
          <w:szCs w:val="44"/>
        </w:rPr>
        <w:t>年部门预算整体支出绩效报告</w:t>
      </w:r>
    </w:p>
    <w:p>
      <w:pPr>
        <w:widowControl/>
        <w:spacing w:line="576" w:lineRule="exact"/>
        <w:rPr>
          <w:rFonts w:ascii="方正小标宋简体" w:hAnsi="宋体" w:eastAsia="方正小标宋简体" w:cs="方正小标宋简体"/>
          <w:sz w:val="44"/>
          <w:szCs w:val="44"/>
        </w:rPr>
      </w:pPr>
    </w:p>
    <w:p>
      <w:pPr>
        <w:pageBreakBefore w:val="0"/>
        <w:kinsoku/>
        <w:wordWrap/>
        <w:overflowPunct/>
        <w:topLinePunct w:val="0"/>
        <w:autoSpaceDE/>
        <w:autoSpaceDN/>
        <w:bidi w:val="0"/>
        <w:spacing w:line="520" w:lineRule="exact"/>
        <w:textAlignment w:val="auto"/>
        <w:rPr>
          <w:rFonts w:ascii="仿宋_GB2312" w:eastAsia="仿宋_GB2312" w:cs="仿宋"/>
          <w:color w:val="000000"/>
          <w:kern w:val="0"/>
          <w:sz w:val="32"/>
          <w:szCs w:val="32"/>
        </w:rPr>
      </w:pPr>
      <w:r>
        <w:rPr>
          <w:rFonts w:ascii="仿宋" w:hAnsi="仿宋" w:eastAsia="仿宋" w:cs="仿宋"/>
          <w:color w:val="000000"/>
          <w:kern w:val="0"/>
          <w:sz w:val="32"/>
          <w:szCs w:val="32"/>
          <w:shd w:val="clear" w:color="auto" w:fill="FFFFFF"/>
        </w:rPr>
        <w:t xml:space="preserve">   </w:t>
      </w:r>
      <w:r>
        <w:rPr>
          <w:rFonts w:ascii="仿宋_GB2312" w:eastAsia="仿宋_GB2312" w:cs="仿宋"/>
          <w:color w:val="000000"/>
          <w:kern w:val="0"/>
          <w:sz w:val="32"/>
          <w:szCs w:val="32"/>
        </w:rPr>
        <w:t xml:space="preserve"> </w:t>
      </w:r>
      <w:r>
        <w:rPr>
          <w:rFonts w:hint="eastAsia" w:ascii="仿宋_GB2312" w:eastAsia="仿宋_GB2312" w:cs="仿宋"/>
          <w:color w:val="000000"/>
          <w:kern w:val="0"/>
          <w:sz w:val="32"/>
          <w:szCs w:val="32"/>
        </w:rPr>
        <w:t>根据《金川县财政局关于开展</w:t>
      </w:r>
      <w:r>
        <w:rPr>
          <w:rFonts w:hint="eastAsia" w:ascii="仿宋_GB2312" w:eastAsia="仿宋_GB2312" w:cs="仿宋"/>
          <w:color w:val="000000"/>
          <w:kern w:val="0"/>
          <w:sz w:val="32"/>
          <w:szCs w:val="32"/>
          <w:lang w:eastAsia="zh-CN"/>
        </w:rPr>
        <w:t>2022</w:t>
      </w:r>
      <w:r>
        <w:rPr>
          <w:rFonts w:hint="eastAsia" w:ascii="仿宋_GB2312" w:eastAsia="仿宋_GB2312" w:cs="仿宋"/>
          <w:color w:val="000000"/>
          <w:kern w:val="0"/>
          <w:sz w:val="32"/>
          <w:szCs w:val="32"/>
        </w:rPr>
        <w:t>年部门、政策和项目支出绩效评价工作的通知》（金财监绩〔</w:t>
      </w:r>
      <w:r>
        <w:rPr>
          <w:rFonts w:hint="eastAsia" w:ascii="仿宋_GB2312" w:eastAsia="仿宋_GB2312" w:cs="仿宋"/>
          <w:color w:val="000000"/>
          <w:kern w:val="0"/>
          <w:sz w:val="32"/>
          <w:szCs w:val="32"/>
          <w:lang w:eastAsia="zh-CN"/>
        </w:rPr>
        <w:t>2022</w:t>
      </w:r>
      <w:r>
        <w:rPr>
          <w:rFonts w:hint="eastAsia" w:ascii="仿宋_GB2312" w:eastAsia="仿宋_GB2312" w:cs="仿宋"/>
          <w:color w:val="000000"/>
          <w:kern w:val="0"/>
          <w:sz w:val="32"/>
          <w:szCs w:val="32"/>
        </w:rPr>
        <w:t>〕</w:t>
      </w:r>
      <w:r>
        <w:rPr>
          <w:rFonts w:ascii="仿宋_GB2312" w:eastAsia="仿宋_GB2312" w:cs="仿宋"/>
          <w:color w:val="000000"/>
          <w:kern w:val="0"/>
          <w:sz w:val="32"/>
          <w:szCs w:val="32"/>
        </w:rPr>
        <w:t>26</w:t>
      </w:r>
      <w:r>
        <w:rPr>
          <w:rFonts w:hint="eastAsia" w:ascii="仿宋_GB2312" w:eastAsia="仿宋_GB2312" w:cs="仿宋"/>
          <w:color w:val="000000"/>
          <w:kern w:val="0"/>
          <w:sz w:val="32"/>
          <w:szCs w:val="32"/>
        </w:rPr>
        <w:t>号）文件要求，为深入贯彻落实财政部《项目支出绩效评价管理办法》（财预〔</w:t>
      </w:r>
      <w:r>
        <w:rPr>
          <w:rFonts w:hint="eastAsia" w:ascii="仿宋_GB2312" w:eastAsia="仿宋_GB2312" w:cs="仿宋"/>
          <w:color w:val="000000"/>
          <w:kern w:val="0"/>
          <w:sz w:val="32"/>
          <w:szCs w:val="32"/>
          <w:lang w:eastAsia="zh-CN"/>
        </w:rPr>
        <w:t>2022</w:t>
      </w:r>
      <w:r>
        <w:rPr>
          <w:rFonts w:hint="eastAsia" w:ascii="仿宋_GB2312" w:eastAsia="仿宋_GB2312" w:cs="仿宋"/>
          <w:color w:val="000000"/>
          <w:kern w:val="0"/>
          <w:sz w:val="32"/>
          <w:szCs w:val="32"/>
        </w:rPr>
        <w:t>〕</w:t>
      </w:r>
      <w:r>
        <w:rPr>
          <w:rFonts w:ascii="仿宋_GB2312" w:eastAsia="仿宋_GB2312" w:cs="仿宋"/>
          <w:color w:val="000000"/>
          <w:kern w:val="0"/>
          <w:sz w:val="32"/>
          <w:szCs w:val="32"/>
        </w:rPr>
        <w:t>10</w:t>
      </w:r>
      <w:r>
        <w:rPr>
          <w:rFonts w:hint="eastAsia" w:ascii="仿宋_GB2312" w:eastAsia="仿宋_GB2312" w:cs="仿宋"/>
          <w:color w:val="000000"/>
          <w:kern w:val="0"/>
          <w:sz w:val="32"/>
          <w:szCs w:val="32"/>
        </w:rPr>
        <w:t>号）、《财政厅关于开展</w:t>
      </w:r>
      <w:r>
        <w:rPr>
          <w:rFonts w:hint="eastAsia" w:ascii="仿宋_GB2312" w:eastAsia="仿宋_GB2312" w:cs="仿宋"/>
          <w:color w:val="000000"/>
          <w:kern w:val="0"/>
          <w:sz w:val="32"/>
          <w:szCs w:val="32"/>
          <w:lang w:eastAsia="zh-CN"/>
        </w:rPr>
        <w:t>2022</w:t>
      </w:r>
      <w:r>
        <w:rPr>
          <w:rFonts w:hint="eastAsia" w:ascii="仿宋_GB2312" w:eastAsia="仿宋_GB2312" w:cs="仿宋"/>
          <w:color w:val="000000"/>
          <w:kern w:val="0"/>
          <w:sz w:val="32"/>
          <w:szCs w:val="32"/>
        </w:rPr>
        <w:t>年部门、政策和项目支出绩效评价工作的通知》（川财绩〔</w:t>
      </w:r>
      <w:r>
        <w:rPr>
          <w:rFonts w:hint="eastAsia" w:ascii="仿宋_GB2312" w:eastAsia="仿宋_GB2312" w:cs="仿宋"/>
          <w:color w:val="000000"/>
          <w:kern w:val="0"/>
          <w:sz w:val="32"/>
          <w:szCs w:val="32"/>
          <w:lang w:eastAsia="zh-CN"/>
        </w:rPr>
        <w:t>2022</w:t>
      </w:r>
      <w:r>
        <w:rPr>
          <w:rFonts w:hint="eastAsia" w:ascii="仿宋_GB2312" w:eastAsia="仿宋_GB2312" w:cs="仿宋"/>
          <w:color w:val="000000"/>
          <w:kern w:val="0"/>
          <w:sz w:val="32"/>
          <w:szCs w:val="32"/>
        </w:rPr>
        <w:t>〕</w:t>
      </w:r>
      <w:r>
        <w:rPr>
          <w:rFonts w:ascii="仿宋_GB2312" w:eastAsia="仿宋_GB2312" w:cs="仿宋"/>
          <w:color w:val="000000"/>
          <w:kern w:val="0"/>
          <w:sz w:val="32"/>
          <w:szCs w:val="32"/>
        </w:rPr>
        <w:t>6</w:t>
      </w:r>
      <w:r>
        <w:rPr>
          <w:rFonts w:hint="eastAsia" w:ascii="仿宋_GB2312" w:eastAsia="仿宋_GB2312" w:cs="仿宋"/>
          <w:color w:val="000000"/>
          <w:kern w:val="0"/>
          <w:sz w:val="32"/>
          <w:szCs w:val="32"/>
        </w:rPr>
        <w:t>号）和《阿坝州财政局关于开展</w:t>
      </w:r>
      <w:r>
        <w:rPr>
          <w:rFonts w:hint="eastAsia" w:ascii="仿宋_GB2312" w:eastAsia="仿宋_GB2312" w:cs="仿宋"/>
          <w:color w:val="000000"/>
          <w:kern w:val="0"/>
          <w:sz w:val="32"/>
          <w:szCs w:val="32"/>
          <w:lang w:eastAsia="zh-CN"/>
        </w:rPr>
        <w:t>2022</w:t>
      </w:r>
      <w:r>
        <w:rPr>
          <w:rFonts w:hint="eastAsia" w:ascii="仿宋_GB2312" w:eastAsia="仿宋_GB2312" w:cs="仿宋"/>
          <w:color w:val="000000"/>
          <w:kern w:val="0"/>
          <w:sz w:val="32"/>
          <w:szCs w:val="32"/>
        </w:rPr>
        <w:t>年部门、政策和项目支出绩效评价工作的通知》（阿州财监绩〔</w:t>
      </w:r>
      <w:r>
        <w:rPr>
          <w:rFonts w:hint="eastAsia" w:ascii="仿宋_GB2312" w:eastAsia="仿宋_GB2312" w:cs="仿宋"/>
          <w:color w:val="000000"/>
          <w:kern w:val="0"/>
          <w:sz w:val="32"/>
          <w:szCs w:val="32"/>
          <w:lang w:eastAsia="zh-CN"/>
        </w:rPr>
        <w:t>2022</w:t>
      </w:r>
      <w:r>
        <w:rPr>
          <w:rFonts w:hint="eastAsia" w:ascii="仿宋_GB2312" w:eastAsia="仿宋_GB2312" w:cs="仿宋"/>
          <w:color w:val="000000"/>
          <w:kern w:val="0"/>
          <w:sz w:val="32"/>
          <w:szCs w:val="32"/>
        </w:rPr>
        <w:t>〕</w:t>
      </w:r>
      <w:r>
        <w:rPr>
          <w:rFonts w:ascii="仿宋_GB2312" w:eastAsia="仿宋_GB2312" w:cs="仿宋"/>
          <w:color w:val="000000"/>
          <w:kern w:val="0"/>
          <w:sz w:val="32"/>
          <w:szCs w:val="32"/>
        </w:rPr>
        <w:t>11</w:t>
      </w:r>
      <w:r>
        <w:rPr>
          <w:rFonts w:hint="eastAsia" w:ascii="仿宋_GB2312" w:eastAsia="仿宋_GB2312" w:cs="仿宋"/>
          <w:color w:val="000000"/>
          <w:kern w:val="0"/>
          <w:sz w:val="32"/>
          <w:szCs w:val="32"/>
        </w:rPr>
        <w:t>号）文件要求，结合金川县畜牧兽医服务中心的实际，领导高度重视，认真开展部门预算支出绩效自评工作，现将</w:t>
      </w:r>
      <w:r>
        <w:rPr>
          <w:rFonts w:hint="eastAsia" w:ascii="仿宋_GB2312" w:eastAsia="仿宋_GB2312" w:cs="仿宋"/>
          <w:color w:val="000000"/>
          <w:kern w:val="0"/>
          <w:sz w:val="32"/>
          <w:szCs w:val="32"/>
          <w:lang w:eastAsia="zh-CN"/>
        </w:rPr>
        <w:t>2022</w:t>
      </w:r>
      <w:r>
        <w:rPr>
          <w:rFonts w:hint="eastAsia" w:ascii="仿宋_GB2312" w:eastAsia="仿宋_GB2312" w:cs="仿宋"/>
          <w:color w:val="000000"/>
          <w:kern w:val="0"/>
          <w:sz w:val="32"/>
          <w:szCs w:val="32"/>
        </w:rPr>
        <w:t>年部门预算支出绩效自评工作报告如下：</w:t>
      </w:r>
    </w:p>
    <w:p>
      <w:pPr>
        <w:pageBreakBefore w:val="0"/>
        <w:widowControl/>
        <w:kinsoku/>
        <w:wordWrap/>
        <w:overflowPunct/>
        <w:topLinePunct w:val="0"/>
        <w:autoSpaceDE/>
        <w:autoSpaceDN/>
        <w:bidi w:val="0"/>
        <w:adjustRightInd w:val="0"/>
        <w:snapToGrid w:val="0"/>
        <w:spacing w:line="520" w:lineRule="exact"/>
        <w:textAlignment w:val="auto"/>
        <w:rPr>
          <w:rFonts w:ascii="仿宋" w:hAnsi="仿宋" w:eastAsia="仿宋" w:cs="仿宋"/>
          <w:b/>
          <w:bCs/>
          <w:color w:val="000000"/>
          <w:kern w:val="0"/>
          <w:sz w:val="32"/>
          <w:szCs w:val="32"/>
          <w:lang w:val="zh-CN"/>
        </w:rPr>
      </w:pPr>
      <w:r>
        <w:rPr>
          <w:rFonts w:hint="eastAsia" w:ascii="仿宋" w:hAnsi="仿宋" w:eastAsia="仿宋" w:cs="仿宋"/>
          <w:color w:val="000000"/>
          <w:kern w:val="0"/>
          <w:sz w:val="32"/>
          <w:szCs w:val="32"/>
        </w:rPr>
        <w:t>　　</w:t>
      </w:r>
      <w:bookmarkStart w:id="77" w:name="_Toc12662"/>
      <w:r>
        <w:rPr>
          <w:rStyle w:val="19"/>
          <w:rFonts w:hint="eastAsia" w:ascii="黑体" w:eastAsia="黑体"/>
          <w:b w:val="0"/>
        </w:rPr>
        <w:t>一、</w:t>
      </w:r>
      <w:r>
        <w:rPr>
          <w:rStyle w:val="19"/>
          <w:rFonts w:hint="eastAsia" w:ascii="黑体" w:eastAsia="黑体"/>
          <w:b w:val="0"/>
          <w:lang w:val="zh-CN"/>
        </w:rPr>
        <w:t>部门（单位）概况</w:t>
      </w:r>
      <w:bookmarkEnd w:id="77"/>
    </w:p>
    <w:p>
      <w:pPr>
        <w:pageBreakBefore w:val="0"/>
        <w:widowControl/>
        <w:kinsoku/>
        <w:wordWrap/>
        <w:overflowPunct/>
        <w:topLinePunct w:val="0"/>
        <w:autoSpaceDE/>
        <w:autoSpaceDN/>
        <w:bidi w:val="0"/>
        <w:adjustRightInd w:val="0"/>
        <w:snapToGrid w:val="0"/>
        <w:spacing w:line="520" w:lineRule="exact"/>
        <w:textAlignment w:val="auto"/>
        <w:rPr>
          <w:rFonts w:ascii="仿宋" w:hAnsi="仿宋" w:eastAsia="仿宋" w:cs="仿宋"/>
          <w:color w:val="000000"/>
          <w:kern w:val="0"/>
          <w:sz w:val="32"/>
          <w:szCs w:val="32"/>
          <w:lang w:val="zh-CN"/>
        </w:rPr>
      </w:pPr>
      <w:r>
        <w:rPr>
          <w:rFonts w:hint="eastAsia" w:ascii="仿宋" w:hAnsi="仿宋" w:eastAsia="仿宋" w:cs="仿宋"/>
          <w:color w:val="000000"/>
          <w:kern w:val="0"/>
          <w:sz w:val="32"/>
          <w:szCs w:val="32"/>
          <w:lang w:val="zh-CN"/>
        </w:rPr>
        <w:t>　　</w:t>
      </w:r>
      <w:r>
        <w:rPr>
          <w:rFonts w:hint="eastAsia" w:ascii="楷体_GB2312" w:hAnsi="楷体_GB2312" w:eastAsia="楷体_GB2312" w:cs="楷体_GB2312"/>
          <w:b/>
          <w:bCs/>
          <w:sz w:val="32"/>
          <w:szCs w:val="32"/>
          <w:lang w:val="zh-CN"/>
        </w:rPr>
        <w:t>（一）机构组成</w:t>
      </w:r>
    </w:p>
    <w:p>
      <w:pPr>
        <w:pageBreakBefore w:val="0"/>
        <w:kinsoku/>
        <w:wordWrap/>
        <w:overflowPunct/>
        <w:topLinePunct w:val="0"/>
        <w:autoSpaceDE/>
        <w:autoSpaceDN/>
        <w:bidi w:val="0"/>
        <w:spacing w:line="520" w:lineRule="exact"/>
        <w:ind w:firstLine="640" w:firstLineChars="200"/>
        <w:textAlignment w:val="auto"/>
        <w:rPr>
          <w:rFonts w:ascii="仿宋_GB2312" w:eastAsia="仿宋_GB2312" w:cs="仿宋"/>
          <w:color w:val="000000"/>
          <w:kern w:val="0"/>
          <w:sz w:val="32"/>
          <w:szCs w:val="32"/>
        </w:rPr>
      </w:pPr>
      <w:r>
        <w:rPr>
          <w:rFonts w:hint="eastAsia" w:ascii="仿宋_GB2312" w:eastAsia="仿宋_GB2312" w:cs="仿宋"/>
          <w:color w:val="000000"/>
          <w:kern w:val="0"/>
          <w:sz w:val="32"/>
          <w:szCs w:val="32"/>
        </w:rPr>
        <w:t>县畜牧兽医服务中心属独立编制机构和独立核算的事业单位。</w:t>
      </w:r>
      <w:r>
        <w:rPr>
          <w:rFonts w:hint="eastAsia" w:ascii="仿宋_GB2312" w:eastAsia="仿宋_GB2312" w:cs="仿宋"/>
          <w:color w:val="000000"/>
          <w:kern w:val="0"/>
          <w:sz w:val="32"/>
          <w:szCs w:val="32"/>
          <w:lang w:eastAsia="zh-CN"/>
        </w:rPr>
        <w:t>2022</w:t>
      </w:r>
      <w:r>
        <w:rPr>
          <w:rFonts w:hint="eastAsia" w:ascii="仿宋_GB2312" w:eastAsia="仿宋_GB2312" w:cs="仿宋"/>
          <w:color w:val="000000"/>
          <w:kern w:val="0"/>
          <w:sz w:val="32"/>
          <w:szCs w:val="32"/>
        </w:rPr>
        <w:t>年末独立编制机构</w:t>
      </w:r>
      <w:r>
        <w:rPr>
          <w:rFonts w:hint="eastAsia" w:ascii="仿宋_GB2312" w:eastAsia="仿宋_GB2312" w:cs="仿宋"/>
          <w:color w:val="000000"/>
          <w:kern w:val="0"/>
          <w:sz w:val="32"/>
          <w:szCs w:val="32"/>
          <w:lang w:val="en-US" w:eastAsia="zh-CN"/>
        </w:rPr>
        <w:t>4</w:t>
      </w:r>
      <w:r>
        <w:rPr>
          <w:rFonts w:hint="eastAsia" w:ascii="仿宋_GB2312" w:eastAsia="仿宋_GB2312" w:cs="仿宋"/>
          <w:color w:val="000000"/>
          <w:kern w:val="0"/>
          <w:sz w:val="32"/>
          <w:szCs w:val="32"/>
        </w:rPr>
        <w:t>个，独立核算机构</w:t>
      </w:r>
      <w:r>
        <w:rPr>
          <w:rFonts w:hint="eastAsia" w:ascii="仿宋_GB2312" w:eastAsia="仿宋_GB2312" w:cs="仿宋"/>
          <w:color w:val="000000"/>
          <w:kern w:val="0"/>
          <w:sz w:val="32"/>
          <w:szCs w:val="32"/>
          <w:lang w:val="en-US" w:eastAsia="zh-CN"/>
        </w:rPr>
        <w:t>2</w:t>
      </w:r>
      <w:r>
        <w:rPr>
          <w:rFonts w:hint="eastAsia" w:ascii="仿宋_GB2312" w:eastAsia="仿宋_GB2312" w:cs="仿宋"/>
          <w:color w:val="000000"/>
          <w:kern w:val="0"/>
          <w:sz w:val="32"/>
          <w:szCs w:val="32"/>
        </w:rPr>
        <w:t>个。</w:t>
      </w:r>
    </w:p>
    <w:p>
      <w:pPr>
        <w:pageBreakBefore w:val="0"/>
        <w:widowControl/>
        <w:kinsoku/>
        <w:wordWrap/>
        <w:overflowPunct/>
        <w:topLinePunct w:val="0"/>
        <w:autoSpaceDE/>
        <w:autoSpaceDN/>
        <w:bidi w:val="0"/>
        <w:adjustRightInd w:val="0"/>
        <w:snapToGrid w:val="0"/>
        <w:spacing w:line="520" w:lineRule="exact"/>
        <w:textAlignment w:val="auto"/>
        <w:rPr>
          <w:rFonts w:ascii="仿宋" w:hAnsi="仿宋" w:eastAsia="仿宋" w:cs="仿宋"/>
          <w:b/>
          <w:bCs/>
          <w:color w:val="000000"/>
          <w:kern w:val="0"/>
          <w:sz w:val="32"/>
          <w:szCs w:val="32"/>
          <w:lang w:val="zh-CN"/>
        </w:rPr>
      </w:pPr>
      <w:r>
        <w:rPr>
          <w:rFonts w:hint="eastAsia" w:ascii="仿宋" w:hAnsi="仿宋" w:eastAsia="仿宋" w:cs="仿宋"/>
          <w:color w:val="000000"/>
          <w:kern w:val="0"/>
          <w:sz w:val="32"/>
          <w:szCs w:val="32"/>
          <w:lang w:val="zh-CN"/>
        </w:rPr>
        <w:t>　　</w:t>
      </w:r>
      <w:r>
        <w:rPr>
          <w:rFonts w:hint="eastAsia" w:ascii="楷体_GB2312" w:hAnsi="楷体_GB2312" w:eastAsia="楷体_GB2312" w:cs="楷体_GB2312"/>
          <w:b/>
          <w:bCs/>
          <w:sz w:val="32"/>
          <w:szCs w:val="32"/>
          <w:lang w:val="zh-CN"/>
        </w:rPr>
        <w:t>（二）机构职能</w:t>
      </w:r>
    </w:p>
    <w:p>
      <w:pPr>
        <w:pageBreakBefore w:val="0"/>
        <w:kinsoku/>
        <w:wordWrap/>
        <w:overflowPunct/>
        <w:topLinePunct w:val="0"/>
        <w:autoSpaceDE/>
        <w:autoSpaceDN/>
        <w:bidi w:val="0"/>
        <w:spacing w:line="520" w:lineRule="exact"/>
        <w:ind w:firstLine="640" w:firstLineChars="200"/>
        <w:textAlignment w:val="auto"/>
        <w:rPr>
          <w:rFonts w:ascii="仿宋_GB2312" w:eastAsia="仿宋_GB2312" w:cs="仿宋"/>
          <w:color w:val="000000"/>
          <w:kern w:val="0"/>
          <w:sz w:val="32"/>
          <w:szCs w:val="32"/>
        </w:rPr>
      </w:pPr>
      <w:r>
        <w:rPr>
          <w:rFonts w:hint="eastAsia" w:ascii="仿宋_GB2312" w:eastAsia="仿宋_GB2312" w:cs="仿宋"/>
          <w:color w:val="000000"/>
          <w:kern w:val="0"/>
          <w:sz w:val="32"/>
          <w:szCs w:val="32"/>
        </w:rPr>
        <w:t>金川县畜牧兽医服务中心隶属农业部门，单位性质为事业，实行事业单位会计制度。</w:t>
      </w:r>
      <w:r>
        <w:rPr>
          <w:rFonts w:ascii="仿宋_GB2312" w:eastAsia="仿宋_GB2312" w:cs="仿宋"/>
          <w:color w:val="000000"/>
          <w:kern w:val="0"/>
          <w:sz w:val="32"/>
          <w:szCs w:val="32"/>
        </w:rPr>
        <w:t> </w:t>
      </w:r>
      <w:r>
        <w:rPr>
          <w:rFonts w:hint="eastAsia" w:ascii="仿宋_GB2312" w:eastAsia="仿宋_GB2312" w:cs="仿宋"/>
          <w:color w:val="000000"/>
          <w:kern w:val="0"/>
          <w:sz w:val="32"/>
          <w:szCs w:val="32"/>
        </w:rPr>
        <w:t>基本职能为：拟订全县畜牧、兽医和草业发展的政策、法规、规划、计划，并组织实施；负责指导畜牧业规模化养殖、标准化生产和产业化经营，引导畜牧产业结构的调整、畜牧业资源的有效配置和产品品质的改善；负责地方畜禽遗传资源的保护利用和外引良种的管理，组织开展畜禽新品种繁育和生产新技术的推广；负责饲草资源开发及草地建设、保护和监理工作；负责畜产品质量安全监督管理工作，组织开展畜产品质量安全监督管理，指导畜牧生产环境保护与治理；负责全县动物防疫、检疫、兽医医政、兽药药政及畜牧兽医器械管理工作；负责动物疫病监测及预警预报工作；负责兽药、饲料及畜产品质量安全监督抽检工作；负责动物卫生监督执法管理工作；负责畜牧兽医体系建设和管理工作，承担全县畜牧兽医人才开发工作；组织开展畜牧兽医交流与合作；负责农业巡防工作；负责生猪定点屠宰监督管理；承担上级交办的其他事项。</w:t>
      </w:r>
    </w:p>
    <w:p>
      <w:pPr>
        <w:pStyle w:val="5"/>
        <w:pageBreakBefore w:val="0"/>
        <w:kinsoku/>
        <w:wordWrap/>
        <w:overflowPunct/>
        <w:topLinePunct w:val="0"/>
        <w:autoSpaceDE/>
        <w:autoSpaceDN/>
        <w:bidi w:val="0"/>
        <w:adjustRightInd w:val="0"/>
        <w:snapToGrid w:val="0"/>
        <w:spacing w:before="93" w:line="520" w:lineRule="exact"/>
        <w:textAlignment w:val="auto"/>
        <w:rPr>
          <w:rFonts w:ascii="仿宋" w:hAnsi="仿宋" w:eastAsia="仿宋" w:cs="仿宋"/>
          <w:b/>
          <w:bCs/>
          <w:color w:val="000000"/>
          <w:sz w:val="32"/>
          <w:szCs w:val="32"/>
          <w:lang w:val="zh-CN"/>
        </w:rPr>
      </w:pPr>
      <w:r>
        <w:rPr>
          <w:rFonts w:hint="eastAsia" w:ascii="仿宋" w:hAnsi="仿宋" w:eastAsia="仿宋" w:cs="仿宋"/>
          <w:color w:val="000000"/>
          <w:sz w:val="32"/>
          <w:szCs w:val="32"/>
          <w:lang w:val="zh-CN"/>
        </w:rPr>
        <w:t>　　</w:t>
      </w:r>
      <w:r>
        <w:rPr>
          <w:rFonts w:hint="eastAsia" w:ascii="楷体_GB2312" w:hAnsi="楷体_GB2312" w:eastAsia="楷体_GB2312" w:cs="楷体_GB2312"/>
          <w:b/>
          <w:bCs/>
          <w:kern w:val="2"/>
          <w:sz w:val="32"/>
          <w:szCs w:val="32"/>
          <w:lang w:val="zh-CN"/>
        </w:rPr>
        <w:t>（三）人员概况</w:t>
      </w:r>
    </w:p>
    <w:p>
      <w:pPr>
        <w:pageBreakBefore w:val="0"/>
        <w:kinsoku/>
        <w:wordWrap/>
        <w:overflowPunct/>
        <w:topLinePunct w:val="0"/>
        <w:autoSpaceDE/>
        <w:autoSpaceDN/>
        <w:bidi w:val="0"/>
        <w:spacing w:line="520" w:lineRule="exact"/>
        <w:ind w:firstLine="640" w:firstLineChars="200"/>
        <w:textAlignment w:val="auto"/>
        <w:rPr>
          <w:rFonts w:hint="default" w:ascii="仿宋_GB2312" w:eastAsia="仿宋_GB2312" w:cs="仿宋"/>
          <w:color w:val="000000"/>
          <w:kern w:val="0"/>
          <w:sz w:val="32"/>
          <w:szCs w:val="32"/>
          <w:lang w:val="en-US" w:eastAsia="zh-CN"/>
        </w:rPr>
      </w:pPr>
      <w:r>
        <w:rPr>
          <w:rFonts w:hint="eastAsia" w:ascii="仿宋_GB2312" w:eastAsia="仿宋_GB2312" w:cs="仿宋"/>
          <w:color w:val="000000"/>
          <w:kern w:val="0"/>
          <w:sz w:val="32"/>
          <w:szCs w:val="32"/>
          <w:lang w:eastAsia="zh-CN"/>
        </w:rPr>
        <w:t>2022</w:t>
      </w:r>
      <w:r>
        <w:rPr>
          <w:rFonts w:hint="eastAsia" w:ascii="仿宋_GB2312" w:eastAsia="仿宋_GB2312" w:cs="仿宋"/>
          <w:color w:val="000000"/>
          <w:kern w:val="0"/>
          <w:sz w:val="32"/>
          <w:szCs w:val="32"/>
        </w:rPr>
        <w:t>年年末实有在职</w:t>
      </w:r>
      <w:r>
        <w:rPr>
          <w:rFonts w:hint="eastAsia" w:ascii="仿宋_GB2312" w:eastAsia="仿宋_GB2312" w:cs="仿宋"/>
          <w:color w:val="000000"/>
          <w:kern w:val="0"/>
          <w:sz w:val="32"/>
          <w:szCs w:val="32"/>
          <w:lang w:val="en-US" w:eastAsia="zh-CN"/>
        </w:rPr>
        <w:t>11</w:t>
      </w:r>
      <w:r>
        <w:rPr>
          <w:rFonts w:hint="eastAsia" w:ascii="仿宋_GB2312" w:eastAsia="仿宋_GB2312" w:cs="仿宋"/>
          <w:color w:val="000000"/>
          <w:kern w:val="0"/>
          <w:sz w:val="32"/>
          <w:szCs w:val="32"/>
        </w:rPr>
        <w:t>人，</w:t>
      </w:r>
      <w:r>
        <w:rPr>
          <w:rFonts w:hint="eastAsia" w:ascii="仿宋_GB2312" w:eastAsia="仿宋_GB2312" w:cs="仿宋"/>
          <w:color w:val="000000"/>
          <w:kern w:val="0"/>
          <w:sz w:val="32"/>
          <w:szCs w:val="32"/>
          <w:lang w:val="en-US" w:eastAsia="zh-CN"/>
        </w:rPr>
        <w:t>参公</w:t>
      </w:r>
      <w:r>
        <w:rPr>
          <w:rFonts w:hint="eastAsia" w:ascii="仿宋_GB2312" w:eastAsia="仿宋_GB2312" w:cs="仿宋"/>
          <w:color w:val="000000"/>
          <w:kern w:val="0"/>
          <w:sz w:val="32"/>
          <w:szCs w:val="32"/>
        </w:rPr>
        <w:t>人员</w:t>
      </w:r>
      <w:r>
        <w:rPr>
          <w:rFonts w:hint="eastAsia" w:ascii="仿宋_GB2312" w:eastAsia="仿宋_GB2312" w:cs="仿宋"/>
          <w:color w:val="000000"/>
          <w:kern w:val="0"/>
          <w:sz w:val="32"/>
          <w:szCs w:val="32"/>
          <w:lang w:val="en-US" w:eastAsia="zh-CN"/>
        </w:rPr>
        <w:t>11</w:t>
      </w:r>
      <w:r>
        <w:rPr>
          <w:rFonts w:hint="eastAsia" w:ascii="仿宋_GB2312" w:eastAsia="仿宋_GB2312" w:cs="仿宋"/>
          <w:color w:val="000000"/>
          <w:kern w:val="0"/>
          <w:sz w:val="32"/>
          <w:szCs w:val="32"/>
        </w:rPr>
        <w:t>人</w:t>
      </w:r>
      <w:r>
        <w:rPr>
          <w:rFonts w:hint="eastAsia" w:ascii="仿宋_GB2312" w:eastAsia="仿宋_GB2312" w:cs="仿宋"/>
          <w:color w:val="000000"/>
          <w:kern w:val="0"/>
          <w:sz w:val="32"/>
          <w:szCs w:val="32"/>
          <w:lang w:eastAsia="zh-CN"/>
        </w:rPr>
        <w:t>，事业人员</w:t>
      </w:r>
      <w:r>
        <w:rPr>
          <w:rFonts w:hint="eastAsia" w:ascii="仿宋_GB2312" w:eastAsia="仿宋_GB2312" w:cs="仿宋"/>
          <w:color w:val="000000"/>
          <w:kern w:val="0"/>
          <w:sz w:val="32"/>
          <w:szCs w:val="32"/>
          <w:lang w:val="en-US" w:eastAsia="zh-CN"/>
        </w:rPr>
        <w:t>24人。</w:t>
      </w:r>
    </w:p>
    <w:p>
      <w:pPr>
        <w:pageBreakBefore w:val="0"/>
        <w:widowControl/>
        <w:kinsoku/>
        <w:wordWrap/>
        <w:overflowPunct/>
        <w:topLinePunct w:val="0"/>
        <w:autoSpaceDE/>
        <w:autoSpaceDN/>
        <w:bidi w:val="0"/>
        <w:adjustRightInd w:val="0"/>
        <w:snapToGrid w:val="0"/>
        <w:spacing w:line="520" w:lineRule="exact"/>
        <w:textAlignment w:val="auto"/>
        <w:rPr>
          <w:rFonts w:ascii="仿宋" w:hAnsi="仿宋" w:eastAsia="仿宋" w:cs="仿宋"/>
          <w:b/>
          <w:bCs/>
          <w:color w:val="000000"/>
          <w:kern w:val="0"/>
          <w:sz w:val="32"/>
          <w:szCs w:val="32"/>
        </w:rPr>
      </w:pPr>
      <w:r>
        <w:rPr>
          <w:rFonts w:hint="eastAsia" w:ascii="仿宋" w:hAnsi="仿宋" w:eastAsia="仿宋" w:cs="仿宋"/>
          <w:color w:val="000000"/>
          <w:kern w:val="0"/>
          <w:sz w:val="32"/>
          <w:szCs w:val="32"/>
        </w:rPr>
        <w:t>　</w:t>
      </w:r>
      <w:bookmarkStart w:id="78" w:name="_Toc8360"/>
      <w:r>
        <w:rPr>
          <w:rStyle w:val="19"/>
          <w:rFonts w:hint="eastAsia" w:ascii="黑体" w:eastAsia="黑体"/>
          <w:b w:val="0"/>
        </w:rPr>
        <w:t>　二、部门财政资金收支情况</w:t>
      </w:r>
      <w:bookmarkEnd w:id="78"/>
    </w:p>
    <w:p>
      <w:pPr>
        <w:pageBreakBefore w:val="0"/>
        <w:widowControl/>
        <w:kinsoku/>
        <w:wordWrap/>
        <w:overflowPunct/>
        <w:topLinePunct w:val="0"/>
        <w:autoSpaceDE/>
        <w:autoSpaceDN/>
        <w:bidi w:val="0"/>
        <w:adjustRightInd w:val="0"/>
        <w:snapToGrid w:val="0"/>
        <w:spacing w:line="520" w:lineRule="exact"/>
        <w:textAlignment w:val="auto"/>
        <w:rPr>
          <w:rFonts w:ascii="仿宋" w:hAnsi="仿宋" w:eastAsia="仿宋" w:cs="仿宋"/>
          <w:color w:val="000000"/>
          <w:kern w:val="0"/>
          <w:sz w:val="32"/>
          <w:szCs w:val="32"/>
          <w:lang w:val="zh-CN"/>
        </w:rPr>
      </w:pPr>
      <w:r>
        <w:rPr>
          <w:rFonts w:hint="eastAsia" w:ascii="仿宋" w:hAnsi="仿宋" w:eastAsia="仿宋" w:cs="仿宋"/>
          <w:color w:val="000000"/>
          <w:kern w:val="0"/>
          <w:sz w:val="32"/>
          <w:szCs w:val="32"/>
          <w:lang w:val="zh-CN"/>
        </w:rPr>
        <w:t>　</w:t>
      </w:r>
      <w:r>
        <w:rPr>
          <w:rFonts w:hint="eastAsia" w:ascii="仿宋" w:hAnsi="仿宋" w:eastAsia="仿宋" w:cs="仿宋"/>
          <w:b/>
          <w:bCs/>
          <w:color w:val="000000"/>
          <w:kern w:val="0"/>
          <w:sz w:val="32"/>
          <w:szCs w:val="32"/>
          <w:lang w:val="zh-CN"/>
        </w:rPr>
        <w:t>　</w:t>
      </w:r>
      <w:r>
        <w:rPr>
          <w:rFonts w:hint="eastAsia" w:ascii="楷体_GB2312" w:hAnsi="楷体_GB2312" w:eastAsia="楷体_GB2312" w:cs="楷体_GB2312"/>
          <w:b/>
          <w:bCs/>
          <w:sz w:val="32"/>
          <w:szCs w:val="32"/>
          <w:lang w:val="zh-CN"/>
        </w:rPr>
        <w:t>（一）部门财政资金收入情况</w:t>
      </w:r>
    </w:p>
    <w:p>
      <w:pPr>
        <w:pageBreakBefore w:val="0"/>
        <w:kinsoku/>
        <w:wordWrap/>
        <w:overflowPunct/>
        <w:topLinePunct w:val="0"/>
        <w:autoSpaceDE/>
        <w:autoSpaceDN/>
        <w:bidi w:val="0"/>
        <w:spacing w:line="520" w:lineRule="exact"/>
        <w:ind w:firstLine="640" w:firstLineChars="200"/>
        <w:textAlignment w:val="auto"/>
        <w:rPr>
          <w:rFonts w:ascii="仿宋_GB2312" w:eastAsia="仿宋_GB2312" w:cs="仿宋"/>
          <w:color w:val="000000"/>
          <w:kern w:val="0"/>
          <w:sz w:val="32"/>
          <w:szCs w:val="32"/>
        </w:rPr>
      </w:pPr>
      <w:r>
        <w:rPr>
          <w:rFonts w:hint="eastAsia" w:ascii="仿宋_GB2312" w:eastAsia="仿宋_GB2312" w:cs="仿宋"/>
          <w:color w:val="000000"/>
          <w:kern w:val="0"/>
          <w:sz w:val="32"/>
          <w:szCs w:val="32"/>
          <w:lang w:eastAsia="zh-CN"/>
        </w:rPr>
        <w:t>2022</w:t>
      </w:r>
      <w:r>
        <w:rPr>
          <w:rFonts w:hint="eastAsia" w:ascii="仿宋_GB2312" w:eastAsia="仿宋_GB2312" w:cs="仿宋"/>
          <w:color w:val="000000"/>
          <w:kern w:val="0"/>
          <w:sz w:val="32"/>
          <w:szCs w:val="32"/>
        </w:rPr>
        <w:t>年度当年收入</w:t>
      </w:r>
      <w:r>
        <w:rPr>
          <w:rFonts w:hint="eastAsia" w:ascii="仿宋_GB2312" w:eastAsia="仿宋_GB2312" w:cs="仿宋"/>
          <w:color w:val="000000"/>
          <w:kern w:val="0"/>
          <w:sz w:val="32"/>
          <w:szCs w:val="32"/>
          <w:lang w:val="en-US" w:eastAsia="zh-CN"/>
        </w:rPr>
        <w:t>1934.92</w:t>
      </w:r>
      <w:r>
        <w:rPr>
          <w:rFonts w:hint="eastAsia" w:ascii="仿宋_GB2312" w:eastAsia="仿宋_GB2312" w:cs="仿宋"/>
          <w:color w:val="000000"/>
          <w:kern w:val="0"/>
          <w:sz w:val="32"/>
          <w:szCs w:val="32"/>
        </w:rPr>
        <w:t>万元，年初财政拨款结转</w:t>
      </w:r>
      <w:r>
        <w:rPr>
          <w:rFonts w:hint="eastAsia" w:ascii="仿宋_GB2312" w:eastAsia="仿宋_GB2312" w:cs="仿宋"/>
          <w:color w:val="000000"/>
          <w:kern w:val="0"/>
          <w:sz w:val="32"/>
          <w:szCs w:val="32"/>
          <w:lang w:val="en-US" w:eastAsia="zh-CN"/>
        </w:rPr>
        <w:t>0</w:t>
      </w:r>
      <w:r>
        <w:rPr>
          <w:rFonts w:hint="eastAsia" w:ascii="仿宋_GB2312" w:eastAsia="仿宋_GB2312" w:cs="仿宋"/>
          <w:color w:val="000000"/>
          <w:kern w:val="0"/>
          <w:sz w:val="32"/>
          <w:szCs w:val="32"/>
        </w:rPr>
        <w:t>万元，共计</w:t>
      </w:r>
      <w:r>
        <w:rPr>
          <w:rFonts w:hint="eastAsia" w:ascii="仿宋_GB2312" w:eastAsia="仿宋_GB2312" w:cs="仿宋"/>
          <w:color w:val="000000"/>
          <w:kern w:val="0"/>
          <w:sz w:val="32"/>
          <w:szCs w:val="32"/>
          <w:lang w:val="en-US" w:eastAsia="zh-CN"/>
        </w:rPr>
        <w:t>1934.92</w:t>
      </w:r>
      <w:r>
        <w:rPr>
          <w:rFonts w:hint="eastAsia" w:ascii="仿宋_GB2312" w:eastAsia="仿宋_GB2312" w:cs="仿宋"/>
          <w:color w:val="000000"/>
          <w:kern w:val="0"/>
          <w:sz w:val="32"/>
          <w:szCs w:val="32"/>
        </w:rPr>
        <w:t>万元。</w:t>
      </w:r>
    </w:p>
    <w:p>
      <w:pPr>
        <w:pageBreakBefore w:val="0"/>
        <w:widowControl/>
        <w:kinsoku/>
        <w:wordWrap/>
        <w:overflowPunct/>
        <w:topLinePunct w:val="0"/>
        <w:autoSpaceDE/>
        <w:autoSpaceDN/>
        <w:bidi w:val="0"/>
        <w:adjustRightInd w:val="0"/>
        <w:snapToGrid w:val="0"/>
        <w:spacing w:line="520" w:lineRule="exact"/>
        <w:textAlignment w:val="auto"/>
        <w:rPr>
          <w:rFonts w:ascii="仿宋" w:hAnsi="仿宋" w:eastAsia="仿宋" w:cs="仿宋"/>
          <w:b/>
          <w:bCs/>
          <w:color w:val="000000"/>
          <w:kern w:val="0"/>
          <w:sz w:val="32"/>
          <w:szCs w:val="32"/>
          <w:lang w:val="zh-CN"/>
        </w:rPr>
      </w:pPr>
      <w:r>
        <w:rPr>
          <w:rFonts w:hint="eastAsia" w:ascii="仿宋" w:hAnsi="仿宋" w:eastAsia="仿宋" w:cs="仿宋"/>
          <w:b/>
          <w:bCs/>
          <w:color w:val="000000"/>
          <w:kern w:val="0"/>
          <w:sz w:val="32"/>
          <w:szCs w:val="32"/>
          <w:lang w:val="zh-CN"/>
        </w:rPr>
        <w:t>　　</w:t>
      </w:r>
      <w:r>
        <w:rPr>
          <w:rFonts w:hint="eastAsia" w:ascii="楷体_GB2312" w:hAnsi="楷体_GB2312" w:eastAsia="楷体_GB2312" w:cs="楷体_GB2312"/>
          <w:b/>
          <w:bCs/>
          <w:sz w:val="32"/>
          <w:szCs w:val="32"/>
          <w:lang w:val="zh-CN"/>
        </w:rPr>
        <w:t>（二）部门财政资金支出情况</w:t>
      </w:r>
    </w:p>
    <w:p>
      <w:pPr>
        <w:pageBreakBefore w:val="0"/>
        <w:kinsoku/>
        <w:wordWrap/>
        <w:overflowPunct/>
        <w:topLinePunct w:val="0"/>
        <w:autoSpaceDE/>
        <w:autoSpaceDN/>
        <w:bidi w:val="0"/>
        <w:spacing w:line="520" w:lineRule="exact"/>
        <w:textAlignment w:val="auto"/>
        <w:rPr>
          <w:rFonts w:ascii="仿宋_GB2312" w:eastAsia="仿宋_GB2312" w:cs="仿宋"/>
          <w:color w:val="000000"/>
          <w:kern w:val="0"/>
          <w:sz w:val="32"/>
          <w:szCs w:val="32"/>
        </w:rPr>
      </w:pPr>
      <w:r>
        <w:rPr>
          <w:rFonts w:hint="eastAsia" w:ascii="仿宋" w:hAnsi="仿宋" w:eastAsia="仿宋" w:cs="仿宋"/>
          <w:color w:val="000000"/>
          <w:kern w:val="0"/>
          <w:sz w:val="32"/>
          <w:szCs w:val="32"/>
          <w:shd w:val="clear" w:color="auto" w:fill="FFFFFF"/>
        </w:rPr>
        <w:t>　　</w:t>
      </w:r>
      <w:r>
        <w:rPr>
          <w:rFonts w:ascii="仿宋_GB2312" w:eastAsia="仿宋_GB2312" w:cs="仿宋"/>
          <w:color w:val="000000"/>
          <w:kern w:val="0"/>
          <w:sz w:val="32"/>
          <w:szCs w:val="32"/>
        </w:rPr>
        <w:t xml:space="preserve"> </w:t>
      </w:r>
      <w:r>
        <w:rPr>
          <w:rFonts w:hint="eastAsia" w:ascii="仿宋_GB2312" w:eastAsia="仿宋_GB2312" w:cs="仿宋"/>
          <w:color w:val="000000"/>
          <w:kern w:val="0"/>
          <w:sz w:val="32"/>
          <w:szCs w:val="32"/>
          <w:lang w:eastAsia="zh-CN"/>
        </w:rPr>
        <w:t>2022</w:t>
      </w:r>
      <w:r>
        <w:rPr>
          <w:rFonts w:hint="eastAsia" w:ascii="仿宋_GB2312" w:eastAsia="仿宋_GB2312" w:cs="仿宋"/>
          <w:color w:val="000000"/>
          <w:kern w:val="0"/>
          <w:sz w:val="32"/>
          <w:szCs w:val="32"/>
        </w:rPr>
        <w:t>年度财政资金支出</w:t>
      </w:r>
      <w:r>
        <w:rPr>
          <w:rFonts w:hint="eastAsia" w:ascii="仿宋_GB2312" w:eastAsia="仿宋_GB2312" w:cs="仿宋"/>
          <w:color w:val="000000"/>
          <w:kern w:val="0"/>
          <w:sz w:val="32"/>
          <w:szCs w:val="32"/>
          <w:lang w:val="en-US" w:eastAsia="zh-CN"/>
        </w:rPr>
        <w:t>1934.92</w:t>
      </w:r>
      <w:r>
        <w:rPr>
          <w:rFonts w:hint="eastAsia" w:ascii="仿宋_GB2312" w:eastAsia="仿宋_GB2312" w:cs="仿宋"/>
          <w:color w:val="000000"/>
          <w:kern w:val="0"/>
          <w:sz w:val="32"/>
          <w:szCs w:val="32"/>
        </w:rPr>
        <w:t>万元，其中人员经费</w:t>
      </w:r>
      <w:r>
        <w:rPr>
          <w:rFonts w:hint="eastAsia" w:ascii="仿宋_GB2312" w:eastAsia="仿宋_GB2312" w:cs="仿宋"/>
          <w:color w:val="000000"/>
          <w:kern w:val="0"/>
          <w:sz w:val="32"/>
          <w:szCs w:val="32"/>
          <w:lang w:val="en-US" w:eastAsia="zh-CN"/>
        </w:rPr>
        <w:t>776.32</w:t>
      </w:r>
      <w:r>
        <w:rPr>
          <w:rFonts w:hint="eastAsia" w:ascii="仿宋_GB2312" w:eastAsia="仿宋_GB2312" w:cs="仿宋"/>
          <w:color w:val="000000"/>
          <w:kern w:val="0"/>
          <w:sz w:val="32"/>
          <w:szCs w:val="32"/>
        </w:rPr>
        <w:t>万元，日常公用经费</w:t>
      </w:r>
      <w:r>
        <w:rPr>
          <w:rFonts w:hint="eastAsia" w:ascii="仿宋_GB2312" w:eastAsia="仿宋_GB2312" w:cs="仿宋"/>
          <w:color w:val="000000"/>
          <w:kern w:val="0"/>
          <w:sz w:val="32"/>
          <w:szCs w:val="32"/>
          <w:lang w:val="en-US" w:eastAsia="zh-CN"/>
        </w:rPr>
        <w:t>30.6</w:t>
      </w:r>
      <w:r>
        <w:rPr>
          <w:rFonts w:hint="eastAsia" w:ascii="仿宋_GB2312" w:eastAsia="仿宋_GB2312" w:cs="仿宋"/>
          <w:color w:val="000000"/>
          <w:kern w:val="0"/>
          <w:sz w:val="32"/>
          <w:szCs w:val="32"/>
        </w:rPr>
        <w:t>万元，项目资金支出</w:t>
      </w:r>
      <w:r>
        <w:rPr>
          <w:rFonts w:hint="eastAsia" w:ascii="仿宋_GB2312" w:eastAsia="仿宋_GB2312" w:cs="仿宋"/>
          <w:color w:val="000000"/>
          <w:kern w:val="0"/>
          <w:sz w:val="32"/>
          <w:szCs w:val="32"/>
          <w:lang w:val="en-US" w:eastAsia="zh-CN"/>
        </w:rPr>
        <w:t>1127.99</w:t>
      </w:r>
      <w:r>
        <w:rPr>
          <w:rFonts w:hint="eastAsia" w:ascii="仿宋_GB2312" w:eastAsia="仿宋_GB2312" w:cs="仿宋"/>
          <w:color w:val="000000"/>
          <w:kern w:val="0"/>
          <w:sz w:val="32"/>
          <w:szCs w:val="32"/>
        </w:rPr>
        <w:t>万元。　　</w:t>
      </w:r>
    </w:p>
    <w:p>
      <w:pPr>
        <w:pageBreakBefore w:val="0"/>
        <w:widowControl/>
        <w:kinsoku/>
        <w:wordWrap/>
        <w:overflowPunct/>
        <w:topLinePunct w:val="0"/>
        <w:autoSpaceDE/>
        <w:autoSpaceDN/>
        <w:bidi w:val="0"/>
        <w:adjustRightInd w:val="0"/>
        <w:snapToGrid w:val="0"/>
        <w:spacing w:line="520" w:lineRule="exact"/>
        <w:textAlignment w:val="auto"/>
        <w:rPr>
          <w:rFonts w:ascii="仿宋" w:hAnsi="仿宋" w:eastAsia="仿宋" w:cs="仿宋"/>
          <w:b/>
          <w:bCs/>
          <w:color w:val="000000"/>
          <w:kern w:val="0"/>
          <w:sz w:val="32"/>
          <w:szCs w:val="32"/>
        </w:rPr>
      </w:pPr>
      <w:r>
        <w:rPr>
          <w:rFonts w:hint="eastAsia" w:ascii="仿宋" w:hAnsi="仿宋" w:eastAsia="仿宋" w:cs="仿宋"/>
          <w:b/>
          <w:bCs/>
          <w:color w:val="000000"/>
          <w:kern w:val="0"/>
          <w:sz w:val="32"/>
          <w:szCs w:val="32"/>
        </w:rPr>
        <w:t>　　</w:t>
      </w:r>
      <w:bookmarkStart w:id="79" w:name="_Toc14466"/>
      <w:r>
        <w:rPr>
          <w:rStyle w:val="19"/>
          <w:rFonts w:hint="eastAsia" w:ascii="黑体" w:eastAsia="黑体"/>
          <w:b w:val="0"/>
        </w:rPr>
        <w:t>三、部门财政支出管理情况</w:t>
      </w:r>
      <w:bookmarkEnd w:id="79"/>
    </w:p>
    <w:p>
      <w:pPr>
        <w:pageBreakBefore w:val="0"/>
        <w:widowControl/>
        <w:kinsoku/>
        <w:wordWrap/>
        <w:overflowPunct/>
        <w:topLinePunct w:val="0"/>
        <w:autoSpaceDE/>
        <w:autoSpaceDN/>
        <w:bidi w:val="0"/>
        <w:adjustRightInd w:val="0"/>
        <w:snapToGrid w:val="0"/>
        <w:spacing w:line="520" w:lineRule="exact"/>
        <w:ind w:firstLine="643" w:firstLineChars="200"/>
        <w:textAlignment w:val="auto"/>
        <w:rPr>
          <w:rFonts w:ascii="楷体_GB2312" w:hAnsi="楷体_GB2312" w:eastAsia="楷体_GB2312" w:cs="楷体_GB2312"/>
          <w:b/>
          <w:bCs/>
          <w:sz w:val="32"/>
          <w:szCs w:val="32"/>
          <w:lang w:val="zh-CN"/>
        </w:rPr>
      </w:pPr>
      <w:r>
        <w:rPr>
          <w:rFonts w:hint="eastAsia" w:ascii="楷体_GB2312" w:hAnsi="楷体_GB2312" w:eastAsia="楷体_GB2312" w:cs="楷体_GB2312"/>
          <w:b/>
          <w:bCs/>
          <w:sz w:val="32"/>
          <w:szCs w:val="32"/>
          <w:lang w:val="zh-CN"/>
        </w:rPr>
        <w:t>（一）预算编制情况</w:t>
      </w:r>
    </w:p>
    <w:p>
      <w:pPr>
        <w:pageBreakBefore w:val="0"/>
        <w:widowControl/>
        <w:kinsoku/>
        <w:wordWrap/>
        <w:overflowPunct/>
        <w:topLinePunct w:val="0"/>
        <w:autoSpaceDE/>
        <w:autoSpaceDN/>
        <w:bidi w:val="0"/>
        <w:adjustRightInd w:val="0"/>
        <w:snapToGrid w:val="0"/>
        <w:spacing w:line="520" w:lineRule="exact"/>
        <w:ind w:firstLine="720"/>
        <w:textAlignment w:val="auto"/>
        <w:rPr>
          <w:rFonts w:ascii="仿宋" w:hAnsi="仿宋" w:eastAsia="仿宋" w:cs="仿宋"/>
          <w:color w:val="333333"/>
          <w:sz w:val="32"/>
          <w:szCs w:val="32"/>
          <w:shd w:val="clear" w:color="auto" w:fill="FFFFFF"/>
        </w:rPr>
      </w:pPr>
      <w:r>
        <w:rPr>
          <w:rFonts w:hint="eastAsia" w:ascii="仿宋_GB2312" w:eastAsia="仿宋_GB2312" w:cs="仿宋"/>
          <w:color w:val="000000"/>
          <w:kern w:val="0"/>
          <w:sz w:val="32"/>
          <w:szCs w:val="32"/>
          <w:lang w:eastAsia="zh-CN"/>
        </w:rPr>
        <w:t>2022</w:t>
      </w:r>
      <w:r>
        <w:rPr>
          <w:rFonts w:hint="eastAsia" w:ascii="仿宋_GB2312" w:eastAsia="仿宋_GB2312" w:cs="仿宋"/>
          <w:color w:val="000000"/>
          <w:kern w:val="0"/>
          <w:sz w:val="32"/>
          <w:szCs w:val="32"/>
        </w:rPr>
        <w:t>年预算编制严格按照县级部门预算编制通知和有关要求，遵守国家编制的原则，按时完成</w:t>
      </w:r>
      <w:r>
        <w:rPr>
          <w:rFonts w:hint="eastAsia" w:ascii="仿宋_GB2312" w:eastAsia="仿宋_GB2312" w:cs="仿宋"/>
          <w:color w:val="000000"/>
          <w:kern w:val="0"/>
          <w:sz w:val="32"/>
          <w:szCs w:val="32"/>
          <w:lang w:eastAsia="zh-CN"/>
        </w:rPr>
        <w:t>2022</w:t>
      </w:r>
      <w:r>
        <w:rPr>
          <w:rFonts w:hint="eastAsia" w:ascii="仿宋_GB2312" w:eastAsia="仿宋_GB2312" w:cs="仿宋"/>
          <w:color w:val="000000"/>
          <w:kern w:val="0"/>
          <w:sz w:val="32"/>
          <w:szCs w:val="32"/>
        </w:rPr>
        <w:t>年预算编制工作，并按时提交部门预算报告，预算编制全面、科学。</w:t>
      </w:r>
    </w:p>
    <w:p>
      <w:pPr>
        <w:pageBreakBefore w:val="0"/>
        <w:widowControl/>
        <w:kinsoku/>
        <w:wordWrap/>
        <w:overflowPunct/>
        <w:topLinePunct w:val="0"/>
        <w:autoSpaceDE/>
        <w:autoSpaceDN/>
        <w:bidi w:val="0"/>
        <w:adjustRightInd w:val="0"/>
        <w:snapToGrid w:val="0"/>
        <w:spacing w:line="520" w:lineRule="exact"/>
        <w:textAlignment w:val="auto"/>
        <w:rPr>
          <w:rFonts w:ascii="仿宋" w:hAnsi="仿宋" w:eastAsia="仿宋" w:cs="仿宋"/>
          <w:b/>
          <w:bCs/>
          <w:color w:val="000000"/>
          <w:kern w:val="0"/>
          <w:sz w:val="32"/>
          <w:szCs w:val="32"/>
          <w:lang w:val="zh-CN"/>
        </w:rPr>
      </w:pPr>
      <w:r>
        <w:rPr>
          <w:rFonts w:hint="eastAsia" w:ascii="仿宋" w:hAnsi="仿宋" w:eastAsia="仿宋" w:cs="仿宋"/>
          <w:color w:val="000000"/>
          <w:kern w:val="0"/>
          <w:sz w:val="32"/>
          <w:szCs w:val="32"/>
          <w:lang w:val="zh-CN"/>
        </w:rPr>
        <w:t>　　</w:t>
      </w:r>
      <w:r>
        <w:rPr>
          <w:rFonts w:hint="eastAsia" w:ascii="楷体_GB2312" w:hAnsi="楷体_GB2312" w:eastAsia="楷体_GB2312" w:cs="楷体_GB2312"/>
          <w:b/>
          <w:bCs/>
          <w:sz w:val="32"/>
          <w:szCs w:val="32"/>
          <w:lang w:val="zh-CN"/>
        </w:rPr>
        <w:t>（二）执行管理情况</w:t>
      </w:r>
    </w:p>
    <w:p>
      <w:pPr>
        <w:pageBreakBefore w:val="0"/>
        <w:widowControl/>
        <w:kinsoku/>
        <w:wordWrap/>
        <w:overflowPunct/>
        <w:topLinePunct w:val="0"/>
        <w:autoSpaceDE/>
        <w:autoSpaceDN/>
        <w:bidi w:val="0"/>
        <w:adjustRightInd w:val="0"/>
        <w:snapToGrid w:val="0"/>
        <w:spacing w:line="520" w:lineRule="exact"/>
        <w:textAlignment w:val="auto"/>
        <w:rPr>
          <w:rFonts w:ascii="仿宋_GB2312" w:eastAsia="仿宋_GB2312" w:cs="仿宋"/>
          <w:color w:val="000000"/>
          <w:kern w:val="0"/>
          <w:sz w:val="32"/>
          <w:szCs w:val="32"/>
        </w:rPr>
      </w:pPr>
      <w:r>
        <w:rPr>
          <w:rFonts w:hint="eastAsia" w:ascii="仿宋" w:hAnsi="仿宋" w:eastAsia="仿宋" w:cs="仿宋"/>
          <w:color w:val="333333"/>
          <w:sz w:val="32"/>
          <w:szCs w:val="32"/>
        </w:rPr>
        <w:t>　　</w:t>
      </w:r>
      <w:r>
        <w:rPr>
          <w:rFonts w:ascii="仿宋" w:hAnsi="仿宋" w:eastAsia="仿宋" w:cs="仿宋"/>
          <w:color w:val="333333"/>
          <w:sz w:val="32"/>
          <w:szCs w:val="32"/>
        </w:rPr>
        <w:t xml:space="preserve"> </w:t>
      </w:r>
      <w:r>
        <w:rPr>
          <w:rFonts w:hint="eastAsia" w:ascii="仿宋_GB2312" w:eastAsia="仿宋_GB2312" w:cs="仿宋"/>
          <w:color w:val="000000"/>
          <w:kern w:val="0"/>
          <w:sz w:val="32"/>
          <w:szCs w:val="32"/>
          <w:lang w:eastAsia="zh-CN"/>
        </w:rPr>
        <w:t>2022</w:t>
      </w:r>
      <w:r>
        <w:rPr>
          <w:rFonts w:hint="eastAsia" w:ascii="仿宋_GB2312" w:eastAsia="仿宋_GB2312" w:cs="仿宋"/>
          <w:color w:val="000000"/>
          <w:kern w:val="0"/>
          <w:sz w:val="32"/>
          <w:szCs w:val="32"/>
        </w:rPr>
        <w:t>年预算编制严格按照县级部门预算编制通知和有关要求，遵守国家编制的原则，按时完成</w:t>
      </w:r>
      <w:r>
        <w:rPr>
          <w:rFonts w:hint="eastAsia" w:ascii="仿宋_GB2312" w:eastAsia="仿宋_GB2312" w:cs="仿宋"/>
          <w:color w:val="000000"/>
          <w:kern w:val="0"/>
          <w:sz w:val="32"/>
          <w:szCs w:val="32"/>
          <w:lang w:eastAsia="zh-CN"/>
        </w:rPr>
        <w:t>2022</w:t>
      </w:r>
      <w:r>
        <w:rPr>
          <w:rFonts w:hint="eastAsia" w:ascii="仿宋_GB2312" w:eastAsia="仿宋_GB2312" w:cs="仿宋"/>
          <w:color w:val="000000"/>
          <w:kern w:val="0"/>
          <w:sz w:val="32"/>
          <w:szCs w:val="32"/>
        </w:rPr>
        <w:t>年预算编制工作，并按时提交部门预算报告，预算编制全面、科学。中央转移支付资金按时到位，我单位按计划进行资金使用。</w:t>
      </w:r>
    </w:p>
    <w:p>
      <w:pPr>
        <w:pageBreakBefore w:val="0"/>
        <w:widowControl/>
        <w:kinsoku/>
        <w:wordWrap/>
        <w:overflowPunct/>
        <w:topLinePunct w:val="0"/>
        <w:autoSpaceDE/>
        <w:autoSpaceDN/>
        <w:bidi w:val="0"/>
        <w:adjustRightInd w:val="0"/>
        <w:snapToGrid w:val="0"/>
        <w:spacing w:line="520" w:lineRule="exact"/>
        <w:textAlignment w:val="auto"/>
        <w:rPr>
          <w:rFonts w:ascii="仿宋" w:hAnsi="仿宋" w:eastAsia="仿宋" w:cs="仿宋"/>
          <w:b/>
          <w:bCs/>
          <w:color w:val="000000"/>
          <w:kern w:val="0"/>
          <w:sz w:val="32"/>
          <w:szCs w:val="32"/>
          <w:shd w:val="clear" w:color="auto" w:fill="FFFFFF"/>
        </w:rPr>
      </w:pPr>
      <w:r>
        <w:rPr>
          <w:rFonts w:hint="eastAsia" w:ascii="仿宋" w:hAnsi="仿宋" w:eastAsia="仿宋" w:cs="仿宋"/>
          <w:b/>
          <w:bCs/>
          <w:color w:val="000000"/>
          <w:kern w:val="0"/>
          <w:sz w:val="32"/>
          <w:szCs w:val="32"/>
          <w:shd w:val="clear" w:color="auto" w:fill="FFFFFF"/>
        </w:rPr>
        <w:t>　　</w:t>
      </w:r>
      <w:r>
        <w:rPr>
          <w:rFonts w:ascii="仿宋_GB2312" w:eastAsia="仿宋_GB2312" w:cs="仿宋"/>
          <w:b/>
          <w:bCs/>
          <w:color w:val="000000"/>
          <w:kern w:val="0"/>
          <w:sz w:val="32"/>
          <w:szCs w:val="32"/>
        </w:rPr>
        <w:t>1.</w:t>
      </w:r>
      <w:r>
        <w:rPr>
          <w:rFonts w:hint="eastAsia" w:ascii="仿宋_GB2312" w:eastAsia="仿宋_GB2312" w:cs="仿宋"/>
          <w:b/>
          <w:bCs/>
          <w:color w:val="000000"/>
          <w:kern w:val="0"/>
          <w:sz w:val="32"/>
          <w:szCs w:val="32"/>
        </w:rPr>
        <w:t>事业运转保障</w:t>
      </w:r>
    </w:p>
    <w:p>
      <w:pPr>
        <w:pageBreakBefore w:val="0"/>
        <w:widowControl/>
        <w:kinsoku/>
        <w:wordWrap/>
        <w:overflowPunct/>
        <w:topLinePunct w:val="0"/>
        <w:autoSpaceDE/>
        <w:autoSpaceDN/>
        <w:bidi w:val="0"/>
        <w:adjustRightInd w:val="0"/>
        <w:snapToGrid w:val="0"/>
        <w:spacing w:line="520" w:lineRule="exact"/>
        <w:textAlignment w:val="auto"/>
        <w:rPr>
          <w:rFonts w:ascii="仿宋_GB2312" w:eastAsia="仿宋_GB2312" w:cs="仿宋"/>
          <w:color w:val="000000"/>
          <w:kern w:val="0"/>
          <w:sz w:val="32"/>
          <w:szCs w:val="32"/>
        </w:rPr>
      </w:pPr>
      <w:r>
        <w:rPr>
          <w:rFonts w:ascii="仿宋" w:hAnsi="仿宋" w:eastAsia="仿宋" w:cs="仿宋"/>
          <w:color w:val="333333"/>
          <w:sz w:val="32"/>
          <w:szCs w:val="32"/>
          <w:shd w:val="clear" w:color="auto" w:fill="FFFFFF"/>
        </w:rPr>
        <w:t xml:space="preserve">    </w:t>
      </w:r>
      <w:r>
        <w:rPr>
          <w:rFonts w:hint="eastAsia" w:ascii="仿宋_GB2312" w:eastAsia="仿宋_GB2312" w:cs="仿宋"/>
          <w:color w:val="000000"/>
          <w:kern w:val="0"/>
          <w:sz w:val="32"/>
          <w:szCs w:val="32"/>
        </w:rPr>
        <w:t>财政拨款安排支出主要用于保障单位正常运转、完成日常工作任务、处置突发事件等工作。</w:t>
      </w:r>
      <w:r>
        <w:rPr>
          <w:rFonts w:ascii="仿宋_GB2312" w:eastAsia="仿宋_GB2312" w:cs="仿宋"/>
          <w:color w:val="000000"/>
          <w:kern w:val="0"/>
          <w:sz w:val="32"/>
          <w:szCs w:val="32"/>
        </w:rPr>
        <w:t xml:space="preserve"> </w:t>
      </w:r>
    </w:p>
    <w:p>
      <w:pPr>
        <w:pageBreakBefore w:val="0"/>
        <w:widowControl/>
        <w:kinsoku/>
        <w:wordWrap/>
        <w:overflowPunct/>
        <w:topLinePunct w:val="0"/>
        <w:autoSpaceDE/>
        <w:autoSpaceDN/>
        <w:bidi w:val="0"/>
        <w:adjustRightInd w:val="0"/>
        <w:snapToGrid w:val="0"/>
        <w:spacing w:line="520" w:lineRule="exact"/>
        <w:textAlignment w:val="auto"/>
        <w:rPr>
          <w:rFonts w:ascii="仿宋_GB2312" w:eastAsia="仿宋_GB2312" w:cs="仿宋"/>
          <w:color w:val="000000"/>
          <w:kern w:val="0"/>
          <w:sz w:val="32"/>
          <w:szCs w:val="32"/>
        </w:rPr>
      </w:pPr>
      <w:r>
        <w:rPr>
          <w:rFonts w:ascii="仿宋_GB2312" w:eastAsia="仿宋_GB2312" w:cs="仿宋"/>
          <w:color w:val="000000"/>
          <w:kern w:val="0"/>
          <w:sz w:val="32"/>
          <w:szCs w:val="32"/>
        </w:rPr>
        <w:t xml:space="preserve">    </w:t>
      </w:r>
      <w:r>
        <w:rPr>
          <w:rFonts w:hint="eastAsia" w:ascii="仿宋_GB2312" w:eastAsia="仿宋_GB2312" w:cs="仿宋"/>
          <w:color w:val="000000"/>
          <w:kern w:val="0"/>
          <w:sz w:val="32"/>
          <w:szCs w:val="32"/>
        </w:rPr>
        <w:t>基本支出用于保障单位正常运转的日常支出，包括基本工资、津贴补贴等人员经费以及办公费、印刷费、水电费、公务用运行费等日常公用经费。</w:t>
      </w:r>
      <w:r>
        <w:rPr>
          <w:rFonts w:ascii="仿宋_GB2312" w:eastAsia="仿宋_GB2312" w:cs="仿宋"/>
          <w:color w:val="000000"/>
          <w:kern w:val="0"/>
          <w:sz w:val="32"/>
          <w:szCs w:val="32"/>
        </w:rPr>
        <w:t xml:space="preserve"> </w:t>
      </w:r>
    </w:p>
    <w:p>
      <w:pPr>
        <w:pageBreakBefore w:val="0"/>
        <w:widowControl/>
        <w:kinsoku/>
        <w:wordWrap/>
        <w:overflowPunct/>
        <w:topLinePunct w:val="0"/>
        <w:autoSpaceDE/>
        <w:autoSpaceDN/>
        <w:bidi w:val="0"/>
        <w:adjustRightInd w:val="0"/>
        <w:snapToGrid w:val="0"/>
        <w:spacing w:line="520" w:lineRule="exact"/>
        <w:ind w:firstLine="640" w:firstLineChars="200"/>
        <w:textAlignment w:val="auto"/>
        <w:rPr>
          <w:rFonts w:ascii="仿宋_GB2312" w:eastAsia="仿宋_GB2312" w:cs="仿宋"/>
          <w:color w:val="000000"/>
          <w:kern w:val="0"/>
          <w:sz w:val="32"/>
          <w:szCs w:val="32"/>
        </w:rPr>
      </w:pPr>
      <w:r>
        <w:rPr>
          <w:rFonts w:hint="eastAsia" w:ascii="仿宋_GB2312" w:eastAsia="仿宋_GB2312" w:cs="仿宋"/>
          <w:color w:val="000000"/>
          <w:kern w:val="0"/>
          <w:sz w:val="32"/>
          <w:szCs w:val="32"/>
        </w:rPr>
        <w:t>项目支出，用于保障单位各项项目支出，做到专款专用。</w:t>
      </w:r>
      <w:r>
        <w:rPr>
          <w:rFonts w:ascii="仿宋_GB2312" w:eastAsia="仿宋_GB2312" w:cs="仿宋"/>
          <w:color w:val="000000"/>
          <w:kern w:val="0"/>
          <w:sz w:val="32"/>
          <w:szCs w:val="32"/>
        </w:rPr>
        <w:t xml:space="preserve"> </w:t>
      </w:r>
    </w:p>
    <w:p>
      <w:pPr>
        <w:pageBreakBefore w:val="0"/>
        <w:widowControl/>
        <w:kinsoku/>
        <w:wordWrap/>
        <w:overflowPunct/>
        <w:topLinePunct w:val="0"/>
        <w:autoSpaceDE/>
        <w:autoSpaceDN/>
        <w:bidi w:val="0"/>
        <w:adjustRightInd w:val="0"/>
        <w:snapToGrid w:val="0"/>
        <w:spacing w:line="520" w:lineRule="exact"/>
        <w:ind w:firstLine="640" w:firstLineChars="200"/>
        <w:textAlignment w:val="auto"/>
        <w:rPr>
          <w:rFonts w:ascii="仿宋_GB2312" w:eastAsia="仿宋_GB2312" w:cs="仿宋"/>
          <w:b/>
          <w:bCs/>
          <w:color w:val="000000"/>
          <w:kern w:val="0"/>
          <w:sz w:val="32"/>
          <w:szCs w:val="32"/>
        </w:rPr>
      </w:pPr>
      <w:r>
        <w:rPr>
          <w:rFonts w:ascii="仿宋" w:hAnsi="仿宋" w:eastAsia="仿宋" w:cs="仿宋"/>
          <w:color w:val="333333"/>
          <w:sz w:val="32"/>
          <w:szCs w:val="32"/>
        </w:rPr>
        <w:t xml:space="preserve"> </w:t>
      </w:r>
      <w:r>
        <w:rPr>
          <w:rFonts w:ascii="仿宋_GB2312" w:eastAsia="仿宋_GB2312" w:cs="仿宋"/>
          <w:b/>
          <w:bCs/>
          <w:color w:val="000000"/>
          <w:kern w:val="0"/>
          <w:sz w:val="32"/>
          <w:szCs w:val="32"/>
        </w:rPr>
        <w:t>2.</w:t>
      </w:r>
      <w:r>
        <w:rPr>
          <w:rFonts w:hint="eastAsia" w:ascii="仿宋_GB2312" w:eastAsia="仿宋_GB2312" w:cs="仿宋"/>
          <w:b/>
          <w:bCs/>
          <w:color w:val="000000"/>
          <w:kern w:val="0"/>
          <w:sz w:val="32"/>
          <w:szCs w:val="32"/>
        </w:rPr>
        <w:t>单位厉行节约</w:t>
      </w:r>
    </w:p>
    <w:p>
      <w:pPr>
        <w:pageBreakBefore w:val="0"/>
        <w:widowControl/>
        <w:kinsoku/>
        <w:wordWrap/>
        <w:overflowPunct/>
        <w:topLinePunct w:val="0"/>
        <w:autoSpaceDE/>
        <w:autoSpaceDN/>
        <w:bidi w:val="0"/>
        <w:adjustRightInd w:val="0"/>
        <w:snapToGrid w:val="0"/>
        <w:spacing w:line="520" w:lineRule="exact"/>
        <w:ind w:firstLine="640" w:firstLineChars="200"/>
        <w:textAlignment w:val="auto"/>
        <w:rPr>
          <w:rFonts w:ascii="仿宋_GB2312" w:eastAsia="仿宋_GB2312" w:cs="仿宋"/>
          <w:color w:val="000000"/>
          <w:kern w:val="0"/>
          <w:sz w:val="32"/>
          <w:szCs w:val="32"/>
        </w:rPr>
      </w:pPr>
      <w:r>
        <w:rPr>
          <w:rFonts w:hint="eastAsia" w:ascii="仿宋_GB2312" w:eastAsia="仿宋_GB2312" w:cs="仿宋"/>
          <w:color w:val="000000"/>
          <w:kern w:val="0"/>
          <w:sz w:val="32"/>
          <w:szCs w:val="32"/>
        </w:rPr>
        <w:t>我单位认真贯彻落实中央和</w:t>
      </w:r>
      <w:r>
        <w:rPr>
          <w:rFonts w:hint="eastAsia" w:ascii="仿宋_GB2312" w:eastAsia="仿宋_GB2312" w:cs="仿宋"/>
          <w:color w:val="000000"/>
          <w:kern w:val="0"/>
          <w:sz w:val="32"/>
          <w:szCs w:val="32"/>
          <w:lang w:eastAsia="zh-CN"/>
        </w:rPr>
        <w:t>省委、省政府</w:t>
      </w:r>
      <w:r>
        <w:rPr>
          <w:rFonts w:hint="eastAsia" w:ascii="仿宋_GB2312" w:eastAsia="仿宋_GB2312" w:cs="仿宋"/>
          <w:color w:val="000000"/>
          <w:kern w:val="0"/>
          <w:sz w:val="32"/>
          <w:szCs w:val="32"/>
        </w:rPr>
        <w:t>相关规定，厉行节约，严格控制因公出国（境）费用、会议费、车辆购置及运行费用和公务接待经费。</w:t>
      </w:r>
      <w:r>
        <w:rPr>
          <w:rFonts w:hint="eastAsia" w:ascii="仿宋_GB2312" w:eastAsia="仿宋_GB2312" w:cs="仿宋"/>
          <w:color w:val="000000"/>
          <w:kern w:val="0"/>
          <w:sz w:val="32"/>
          <w:szCs w:val="32"/>
          <w:lang w:eastAsia="zh-CN"/>
        </w:rPr>
        <w:t>2022</w:t>
      </w:r>
      <w:r>
        <w:rPr>
          <w:rFonts w:hint="eastAsia" w:ascii="仿宋_GB2312" w:eastAsia="仿宋_GB2312" w:cs="仿宋"/>
          <w:color w:val="000000"/>
          <w:kern w:val="0"/>
          <w:sz w:val="32"/>
          <w:szCs w:val="32"/>
        </w:rPr>
        <w:t>年因公出国（境）费用</w:t>
      </w:r>
      <w:r>
        <w:rPr>
          <w:rFonts w:ascii="仿宋_GB2312" w:eastAsia="仿宋_GB2312" w:cs="仿宋"/>
          <w:color w:val="000000"/>
          <w:kern w:val="0"/>
          <w:sz w:val="32"/>
          <w:szCs w:val="32"/>
        </w:rPr>
        <w:t>0</w:t>
      </w:r>
      <w:r>
        <w:rPr>
          <w:rFonts w:hint="eastAsia" w:ascii="仿宋_GB2312" w:eastAsia="仿宋_GB2312" w:cs="仿宋"/>
          <w:color w:val="000000"/>
          <w:kern w:val="0"/>
          <w:sz w:val="32"/>
          <w:szCs w:val="32"/>
        </w:rPr>
        <w:t>元、会议费</w:t>
      </w:r>
      <w:r>
        <w:rPr>
          <w:rFonts w:ascii="仿宋_GB2312" w:eastAsia="仿宋_GB2312" w:cs="仿宋"/>
          <w:color w:val="000000"/>
          <w:kern w:val="0"/>
          <w:sz w:val="32"/>
          <w:szCs w:val="32"/>
        </w:rPr>
        <w:t>0</w:t>
      </w:r>
      <w:r>
        <w:rPr>
          <w:rFonts w:hint="eastAsia" w:ascii="仿宋_GB2312" w:eastAsia="仿宋_GB2312" w:cs="仿宋"/>
          <w:color w:val="000000"/>
          <w:kern w:val="0"/>
          <w:sz w:val="32"/>
          <w:szCs w:val="32"/>
        </w:rPr>
        <w:t>元、车辆购置</w:t>
      </w:r>
      <w:r>
        <w:rPr>
          <w:rFonts w:ascii="仿宋_GB2312" w:eastAsia="仿宋_GB2312" w:cs="仿宋"/>
          <w:color w:val="000000"/>
          <w:kern w:val="0"/>
          <w:sz w:val="32"/>
          <w:szCs w:val="32"/>
        </w:rPr>
        <w:t>0</w:t>
      </w:r>
      <w:r>
        <w:rPr>
          <w:rFonts w:hint="eastAsia" w:ascii="仿宋_GB2312" w:eastAsia="仿宋_GB2312" w:cs="仿宋"/>
          <w:color w:val="000000"/>
          <w:kern w:val="0"/>
          <w:sz w:val="32"/>
          <w:szCs w:val="32"/>
        </w:rPr>
        <w:t>元，公务用车运行费用实际支出</w:t>
      </w:r>
      <w:r>
        <w:rPr>
          <w:rFonts w:hint="eastAsia" w:ascii="仿宋_GB2312" w:eastAsia="仿宋_GB2312" w:cs="仿宋"/>
          <w:color w:val="000000"/>
          <w:kern w:val="0"/>
          <w:sz w:val="32"/>
          <w:szCs w:val="32"/>
          <w:lang w:val="en-US" w:eastAsia="zh-CN"/>
        </w:rPr>
        <w:t>1.99</w:t>
      </w:r>
      <w:r>
        <w:rPr>
          <w:rFonts w:hint="eastAsia" w:ascii="仿宋_GB2312" w:eastAsia="仿宋_GB2312" w:cs="仿宋"/>
          <w:color w:val="000000"/>
          <w:kern w:val="0"/>
          <w:sz w:val="32"/>
          <w:szCs w:val="32"/>
        </w:rPr>
        <w:t>万元、公务接待费实际支出</w:t>
      </w:r>
      <w:r>
        <w:rPr>
          <w:rFonts w:ascii="仿宋_GB2312" w:eastAsia="仿宋_GB2312" w:cs="仿宋"/>
          <w:color w:val="000000"/>
          <w:kern w:val="0"/>
          <w:sz w:val="32"/>
          <w:szCs w:val="32"/>
        </w:rPr>
        <w:t>0.</w:t>
      </w:r>
      <w:r>
        <w:rPr>
          <w:rFonts w:hint="eastAsia" w:ascii="仿宋_GB2312" w:eastAsia="仿宋_GB2312" w:cs="仿宋"/>
          <w:color w:val="000000"/>
          <w:kern w:val="0"/>
          <w:sz w:val="32"/>
          <w:szCs w:val="32"/>
          <w:lang w:val="en-US" w:eastAsia="zh-CN"/>
        </w:rPr>
        <w:t>4</w:t>
      </w:r>
      <w:r>
        <w:rPr>
          <w:rFonts w:hint="eastAsia" w:ascii="仿宋_GB2312" w:eastAsia="仿宋_GB2312" w:cs="仿宋"/>
          <w:color w:val="000000"/>
          <w:kern w:val="0"/>
          <w:sz w:val="32"/>
          <w:szCs w:val="32"/>
        </w:rPr>
        <w:t>万元。</w:t>
      </w:r>
    </w:p>
    <w:p>
      <w:pPr>
        <w:pageBreakBefore w:val="0"/>
        <w:widowControl/>
        <w:kinsoku/>
        <w:wordWrap/>
        <w:overflowPunct/>
        <w:topLinePunct w:val="0"/>
        <w:autoSpaceDE/>
        <w:autoSpaceDN/>
        <w:bidi w:val="0"/>
        <w:adjustRightInd w:val="0"/>
        <w:snapToGrid w:val="0"/>
        <w:spacing w:line="520" w:lineRule="exact"/>
        <w:textAlignment w:val="auto"/>
        <w:rPr>
          <w:rFonts w:ascii="仿宋" w:hAnsi="仿宋" w:eastAsia="仿宋" w:cs="仿宋"/>
          <w:b/>
          <w:bCs/>
          <w:color w:val="000000"/>
          <w:kern w:val="0"/>
          <w:sz w:val="32"/>
          <w:szCs w:val="32"/>
          <w:shd w:val="clear" w:color="auto" w:fill="FFFFFF"/>
        </w:rPr>
      </w:pPr>
      <w:r>
        <w:rPr>
          <w:rFonts w:hint="eastAsia" w:ascii="仿宋" w:hAnsi="仿宋" w:eastAsia="仿宋" w:cs="仿宋"/>
          <w:color w:val="000000"/>
          <w:kern w:val="0"/>
          <w:sz w:val="32"/>
          <w:szCs w:val="32"/>
          <w:shd w:val="clear" w:color="auto" w:fill="FFFFFF"/>
        </w:rPr>
        <w:t>　</w:t>
      </w:r>
      <w:r>
        <w:rPr>
          <w:rFonts w:hint="eastAsia" w:ascii="仿宋_GB2312" w:eastAsia="仿宋_GB2312" w:cs="仿宋"/>
          <w:b/>
          <w:bCs/>
          <w:color w:val="000000"/>
          <w:kern w:val="0"/>
          <w:sz w:val="32"/>
          <w:szCs w:val="32"/>
        </w:rPr>
        <w:t>　</w:t>
      </w:r>
      <w:r>
        <w:rPr>
          <w:rFonts w:ascii="仿宋_GB2312" w:eastAsia="仿宋_GB2312" w:cs="仿宋"/>
          <w:b/>
          <w:bCs/>
          <w:color w:val="000000"/>
          <w:kern w:val="0"/>
          <w:sz w:val="32"/>
          <w:szCs w:val="32"/>
        </w:rPr>
        <w:t>3.</w:t>
      </w:r>
      <w:r>
        <w:rPr>
          <w:rFonts w:hint="eastAsia" w:ascii="仿宋_GB2312" w:eastAsia="仿宋_GB2312" w:cs="仿宋"/>
          <w:b/>
          <w:bCs/>
          <w:color w:val="000000"/>
          <w:kern w:val="0"/>
          <w:sz w:val="32"/>
          <w:szCs w:val="32"/>
        </w:rPr>
        <w:t>单位节能降耗</w:t>
      </w:r>
    </w:p>
    <w:p>
      <w:pPr>
        <w:pageBreakBefore w:val="0"/>
        <w:widowControl/>
        <w:kinsoku/>
        <w:wordWrap/>
        <w:overflowPunct/>
        <w:topLinePunct w:val="0"/>
        <w:autoSpaceDE/>
        <w:autoSpaceDN/>
        <w:bidi w:val="0"/>
        <w:adjustRightInd w:val="0"/>
        <w:snapToGrid w:val="0"/>
        <w:spacing w:line="520" w:lineRule="exact"/>
        <w:ind w:firstLine="640" w:firstLineChars="200"/>
        <w:textAlignment w:val="auto"/>
        <w:rPr>
          <w:rFonts w:ascii="仿宋_GB2312" w:eastAsia="仿宋_GB2312" w:cs="仿宋"/>
          <w:color w:val="000000"/>
          <w:kern w:val="0"/>
          <w:sz w:val="32"/>
          <w:szCs w:val="32"/>
        </w:rPr>
      </w:pPr>
      <w:r>
        <w:rPr>
          <w:rFonts w:hint="eastAsia" w:ascii="仿宋_GB2312" w:eastAsia="仿宋_GB2312" w:cs="仿宋"/>
          <w:color w:val="000000"/>
          <w:kern w:val="0"/>
          <w:sz w:val="32"/>
          <w:szCs w:val="32"/>
        </w:rPr>
        <w:t>严格控制办公用电，</w:t>
      </w:r>
      <w:r>
        <w:rPr>
          <w:rFonts w:hint="eastAsia" w:ascii="仿宋_GB2312" w:eastAsia="仿宋_GB2312" w:cs="仿宋"/>
          <w:color w:val="000000"/>
          <w:kern w:val="0"/>
          <w:sz w:val="32"/>
          <w:szCs w:val="32"/>
          <w:lang w:eastAsia="zh-CN"/>
        </w:rPr>
        <w:t>2022</w:t>
      </w:r>
      <w:r>
        <w:rPr>
          <w:rFonts w:hint="eastAsia" w:ascii="仿宋_GB2312" w:eastAsia="仿宋_GB2312" w:cs="仿宋"/>
          <w:color w:val="000000"/>
          <w:kern w:val="0"/>
          <w:sz w:val="32"/>
          <w:szCs w:val="32"/>
        </w:rPr>
        <w:t>年度电费预算数为</w:t>
      </w:r>
      <w:r>
        <w:rPr>
          <w:rFonts w:hint="eastAsia" w:ascii="仿宋_GB2312" w:eastAsia="仿宋_GB2312" w:cs="仿宋"/>
          <w:color w:val="000000"/>
          <w:kern w:val="0"/>
          <w:sz w:val="32"/>
          <w:szCs w:val="32"/>
          <w:lang w:val="en-US" w:eastAsia="zh-CN"/>
        </w:rPr>
        <w:t>1.9万</w:t>
      </w:r>
      <w:r>
        <w:rPr>
          <w:rFonts w:hint="eastAsia" w:ascii="仿宋_GB2312" w:eastAsia="仿宋_GB2312" w:cs="仿宋"/>
          <w:color w:val="000000"/>
          <w:kern w:val="0"/>
          <w:sz w:val="32"/>
          <w:szCs w:val="32"/>
        </w:rPr>
        <w:t>元，实际支出</w:t>
      </w:r>
      <w:r>
        <w:rPr>
          <w:rFonts w:hint="eastAsia" w:ascii="仿宋_GB2312" w:eastAsia="仿宋_GB2312" w:cs="仿宋"/>
          <w:color w:val="000000"/>
          <w:kern w:val="0"/>
          <w:sz w:val="32"/>
          <w:szCs w:val="32"/>
          <w:lang w:val="en-US" w:eastAsia="zh-CN"/>
        </w:rPr>
        <w:t>1.9万</w:t>
      </w:r>
      <w:r>
        <w:rPr>
          <w:rFonts w:hint="eastAsia" w:ascii="仿宋_GB2312" w:eastAsia="仿宋_GB2312" w:cs="仿宋"/>
          <w:color w:val="000000"/>
          <w:kern w:val="0"/>
          <w:sz w:val="32"/>
          <w:szCs w:val="32"/>
        </w:rPr>
        <w:t>元。</w:t>
      </w:r>
    </w:p>
    <w:p>
      <w:pPr>
        <w:pageBreakBefore w:val="0"/>
        <w:widowControl/>
        <w:kinsoku/>
        <w:wordWrap/>
        <w:overflowPunct/>
        <w:topLinePunct w:val="0"/>
        <w:autoSpaceDE/>
        <w:autoSpaceDN/>
        <w:bidi w:val="0"/>
        <w:adjustRightInd w:val="0"/>
        <w:snapToGrid w:val="0"/>
        <w:spacing w:line="520" w:lineRule="exact"/>
        <w:ind w:firstLine="643" w:firstLineChars="200"/>
        <w:textAlignment w:val="auto"/>
        <w:rPr>
          <w:rFonts w:ascii="楷体_GB2312" w:hAnsi="楷体_GB2312" w:eastAsia="楷体_GB2312" w:cs="楷体_GB2312"/>
          <w:b/>
          <w:bCs/>
          <w:sz w:val="32"/>
          <w:szCs w:val="32"/>
          <w:lang w:val="zh-CN"/>
        </w:rPr>
      </w:pPr>
      <w:r>
        <w:rPr>
          <w:rFonts w:hint="eastAsia" w:ascii="楷体_GB2312" w:hAnsi="楷体_GB2312" w:eastAsia="楷体_GB2312" w:cs="楷体_GB2312"/>
          <w:b/>
          <w:bCs/>
          <w:sz w:val="32"/>
          <w:szCs w:val="32"/>
          <w:lang w:val="zh-CN"/>
        </w:rPr>
        <w:t>（三）综合管理情况</w:t>
      </w:r>
    </w:p>
    <w:p>
      <w:pPr>
        <w:pageBreakBefore w:val="0"/>
        <w:widowControl/>
        <w:kinsoku/>
        <w:wordWrap/>
        <w:overflowPunct/>
        <w:topLinePunct w:val="0"/>
        <w:autoSpaceDE/>
        <w:autoSpaceDN/>
        <w:bidi w:val="0"/>
        <w:adjustRightInd w:val="0"/>
        <w:snapToGrid w:val="0"/>
        <w:spacing w:line="520" w:lineRule="exact"/>
        <w:textAlignment w:val="auto"/>
        <w:rPr>
          <w:rFonts w:ascii="仿宋_GB2312" w:eastAsia="仿宋_GB2312" w:cs="仿宋"/>
          <w:color w:val="000000"/>
          <w:kern w:val="0"/>
          <w:sz w:val="32"/>
          <w:szCs w:val="32"/>
        </w:rPr>
      </w:pPr>
      <w:r>
        <w:rPr>
          <w:rFonts w:ascii="仿宋" w:hAnsi="仿宋" w:eastAsia="仿宋" w:cs="仿宋"/>
          <w:color w:val="333333"/>
          <w:sz w:val="32"/>
          <w:szCs w:val="32"/>
          <w:shd w:val="clear" w:color="auto" w:fill="FFFFFF"/>
        </w:rPr>
        <w:t xml:space="preserve"> </w:t>
      </w:r>
      <w:r>
        <w:rPr>
          <w:rFonts w:hint="eastAsia" w:ascii="仿宋" w:hAnsi="仿宋" w:eastAsia="仿宋" w:cs="仿宋"/>
          <w:color w:val="333333"/>
          <w:sz w:val="32"/>
          <w:szCs w:val="32"/>
          <w:shd w:val="clear" w:color="auto" w:fill="FFFFFF"/>
        </w:rPr>
        <w:t>　</w:t>
      </w:r>
      <w:r>
        <w:rPr>
          <w:rFonts w:ascii="仿宋" w:hAnsi="仿宋" w:eastAsia="仿宋" w:cs="仿宋"/>
          <w:color w:val="333333"/>
          <w:sz w:val="32"/>
          <w:szCs w:val="32"/>
          <w:shd w:val="clear" w:color="auto" w:fill="FFFFFF"/>
        </w:rPr>
        <w:t xml:space="preserve"> </w:t>
      </w:r>
      <w:r>
        <w:rPr>
          <w:rFonts w:hint="eastAsia" w:ascii="仿宋_GB2312" w:eastAsia="仿宋_GB2312" w:cs="仿宋"/>
          <w:color w:val="000000"/>
          <w:kern w:val="0"/>
          <w:sz w:val="32"/>
          <w:szCs w:val="32"/>
        </w:rPr>
        <w:t>我单位财务管理制度健全，执行制度严格合规，会计核算符合相关规定，资金专款专用，资金支付依据和开支标准合法合规，严格执行政府采购。依法接受财政监督管理。</w:t>
      </w:r>
    </w:p>
    <w:p>
      <w:pPr>
        <w:pageBreakBefore w:val="0"/>
        <w:widowControl/>
        <w:kinsoku/>
        <w:wordWrap/>
        <w:overflowPunct/>
        <w:topLinePunct w:val="0"/>
        <w:autoSpaceDE/>
        <w:autoSpaceDN/>
        <w:bidi w:val="0"/>
        <w:adjustRightInd w:val="0"/>
        <w:snapToGrid w:val="0"/>
        <w:spacing w:line="520" w:lineRule="exact"/>
        <w:ind w:firstLine="643" w:firstLineChars="200"/>
        <w:textAlignment w:val="auto"/>
        <w:rPr>
          <w:rFonts w:ascii="楷体_GB2312" w:hAnsi="楷体_GB2312" w:eastAsia="楷体_GB2312" w:cs="楷体_GB2312"/>
          <w:b/>
          <w:bCs/>
          <w:sz w:val="32"/>
          <w:szCs w:val="32"/>
          <w:lang w:val="zh-CN"/>
        </w:rPr>
      </w:pPr>
      <w:r>
        <w:rPr>
          <w:rFonts w:hint="eastAsia" w:ascii="楷体_GB2312" w:hAnsi="楷体_GB2312" w:eastAsia="楷体_GB2312" w:cs="楷体_GB2312"/>
          <w:b/>
          <w:bCs/>
          <w:sz w:val="32"/>
          <w:szCs w:val="32"/>
          <w:lang w:val="zh-CN"/>
        </w:rPr>
        <w:t>（四）整体绩效</w:t>
      </w:r>
    </w:p>
    <w:p>
      <w:pPr>
        <w:pageBreakBefore w:val="0"/>
        <w:widowControl/>
        <w:kinsoku/>
        <w:wordWrap/>
        <w:overflowPunct/>
        <w:topLinePunct w:val="0"/>
        <w:autoSpaceDE/>
        <w:autoSpaceDN/>
        <w:bidi w:val="0"/>
        <w:adjustRightInd w:val="0"/>
        <w:snapToGrid w:val="0"/>
        <w:spacing w:line="520" w:lineRule="exact"/>
        <w:ind w:firstLine="640" w:firstLineChars="200"/>
        <w:textAlignment w:val="auto"/>
        <w:rPr>
          <w:rFonts w:ascii="仿宋_GB2312" w:eastAsia="仿宋_GB2312" w:cs="仿宋"/>
          <w:color w:val="000000"/>
          <w:kern w:val="0"/>
          <w:sz w:val="32"/>
          <w:szCs w:val="32"/>
          <w:lang w:val="zh-CN"/>
        </w:rPr>
      </w:pPr>
      <w:r>
        <w:rPr>
          <w:rFonts w:ascii="仿宋_GB2312" w:eastAsia="仿宋_GB2312" w:cs="仿宋"/>
          <w:color w:val="000000"/>
          <w:kern w:val="0"/>
          <w:sz w:val="32"/>
          <w:szCs w:val="32"/>
        </w:rPr>
        <w:t>1.</w:t>
      </w:r>
      <w:r>
        <w:rPr>
          <w:rFonts w:hint="eastAsia" w:ascii="仿宋_GB2312" w:eastAsia="仿宋_GB2312" w:cs="仿宋"/>
          <w:color w:val="000000"/>
          <w:kern w:val="0"/>
          <w:sz w:val="32"/>
          <w:szCs w:val="32"/>
        </w:rPr>
        <w:t>预算编制：</w:t>
      </w:r>
      <w:r>
        <w:rPr>
          <w:rFonts w:hint="eastAsia" w:ascii="仿宋_GB2312" w:eastAsia="仿宋_GB2312" w:cs="仿宋"/>
          <w:color w:val="000000"/>
          <w:kern w:val="0"/>
          <w:sz w:val="32"/>
          <w:szCs w:val="32"/>
          <w:lang w:val="zh-CN"/>
        </w:rPr>
        <w:t>我单位对严格按照部门是否按照州级部门预算编制通知和有关要求，按时完成基础库、项目库报送工作；预算编制准确；根据对预算草案审查结果进行考核；部门整体绩效目标编制完整、合理；项目绩效目标编制明确、量化；按规定提前下达转移支付；按规定分地区分项目编制专项转移支付。</w:t>
      </w:r>
    </w:p>
    <w:p>
      <w:pPr>
        <w:pageBreakBefore w:val="0"/>
        <w:widowControl/>
        <w:kinsoku/>
        <w:wordWrap/>
        <w:overflowPunct/>
        <w:topLinePunct w:val="0"/>
        <w:autoSpaceDE/>
        <w:autoSpaceDN/>
        <w:bidi w:val="0"/>
        <w:adjustRightInd w:val="0"/>
        <w:snapToGrid w:val="0"/>
        <w:spacing w:line="520" w:lineRule="exact"/>
        <w:ind w:firstLine="640" w:firstLineChars="200"/>
        <w:textAlignment w:val="auto"/>
        <w:rPr>
          <w:rFonts w:ascii="仿宋_GB2312" w:eastAsia="仿宋_GB2312" w:cs="仿宋"/>
          <w:color w:val="000000"/>
          <w:kern w:val="0"/>
          <w:sz w:val="32"/>
          <w:szCs w:val="32"/>
          <w:lang w:val="zh-CN"/>
        </w:rPr>
      </w:pPr>
      <w:r>
        <w:rPr>
          <w:rFonts w:ascii="仿宋_GB2312" w:eastAsia="仿宋_GB2312" w:cs="仿宋"/>
          <w:color w:val="000000"/>
          <w:kern w:val="0"/>
          <w:sz w:val="32"/>
          <w:szCs w:val="32"/>
        </w:rPr>
        <w:t>2.</w:t>
      </w:r>
      <w:r>
        <w:rPr>
          <w:rFonts w:hint="eastAsia" w:ascii="仿宋_GB2312" w:eastAsia="仿宋_GB2312" w:cs="仿宋"/>
          <w:color w:val="000000"/>
          <w:kern w:val="0"/>
          <w:sz w:val="32"/>
          <w:szCs w:val="32"/>
        </w:rPr>
        <w:t>预算执行：</w:t>
      </w:r>
      <w:r>
        <w:rPr>
          <w:rFonts w:hint="eastAsia" w:ascii="仿宋_GB2312" w:eastAsia="仿宋_GB2312" w:cs="仿宋"/>
          <w:color w:val="000000"/>
          <w:kern w:val="0"/>
          <w:sz w:val="32"/>
          <w:szCs w:val="32"/>
          <w:lang w:val="zh-CN"/>
        </w:rPr>
        <w:t>按规定及时分配财力专项预算；按《预算法》规定在一个月内分配上级专款；部门按要求严格预算执行管理；当中期评估调整取消资金与结余注销资金之和为零；严格执行“三公经费”预算。</w:t>
      </w:r>
    </w:p>
    <w:p>
      <w:pPr>
        <w:pageBreakBefore w:val="0"/>
        <w:widowControl/>
        <w:kinsoku/>
        <w:wordWrap/>
        <w:overflowPunct/>
        <w:topLinePunct w:val="0"/>
        <w:autoSpaceDE/>
        <w:autoSpaceDN/>
        <w:bidi w:val="0"/>
        <w:adjustRightInd w:val="0"/>
        <w:snapToGrid w:val="0"/>
        <w:spacing w:line="520" w:lineRule="exact"/>
        <w:ind w:firstLine="640" w:firstLineChars="200"/>
        <w:textAlignment w:val="auto"/>
        <w:rPr>
          <w:rFonts w:ascii="仿宋_GB2312" w:eastAsia="仿宋_GB2312" w:cs="仿宋"/>
          <w:color w:val="000000"/>
          <w:kern w:val="0"/>
          <w:sz w:val="32"/>
          <w:szCs w:val="32"/>
          <w:lang w:val="zh-CN"/>
        </w:rPr>
      </w:pPr>
      <w:r>
        <w:rPr>
          <w:rFonts w:ascii="仿宋_GB2312" w:eastAsia="仿宋_GB2312" w:cs="仿宋"/>
          <w:color w:val="000000"/>
          <w:kern w:val="0"/>
          <w:sz w:val="32"/>
          <w:szCs w:val="32"/>
        </w:rPr>
        <w:t>3.</w:t>
      </w:r>
      <w:r>
        <w:rPr>
          <w:rFonts w:hint="eastAsia" w:ascii="仿宋_GB2312" w:eastAsia="仿宋_GB2312" w:cs="仿宋"/>
          <w:color w:val="000000"/>
          <w:kern w:val="0"/>
          <w:sz w:val="32"/>
          <w:szCs w:val="32"/>
        </w:rPr>
        <w:t>综合管理：</w:t>
      </w:r>
      <w:r>
        <w:rPr>
          <w:rFonts w:hint="eastAsia" w:ascii="仿宋_GB2312" w:eastAsia="仿宋_GB2312" w:cs="仿宋"/>
          <w:color w:val="000000"/>
          <w:kern w:val="0"/>
          <w:sz w:val="32"/>
          <w:szCs w:val="32"/>
          <w:lang w:val="zh-CN"/>
        </w:rPr>
        <w:t>按规定做好政府性债务还本付息工作；按照规定的项目、标准、征收方式执收非税收入，非税收入项目设立的权限和缓减免的依据，对非税收入进行缓减免；及时足额将非税收入缴入财政；实施计划与政府采购预算的一致；执行的实施计划与备案的实施计划的一致；将国有资产纳入资产信息系统管理情况；按要求及时、准确、全面开展资产清查工作情况；上报国有资产报表数据的真实、准确、全面；部门内部控制制度的设置合理和执行严格及时；在财政批复后二十日内向社会公开本部门预算（含所有财政资金安排的“三公”经费、机关运行经费的安排、使用情况等）；在财政部门批复二十日内向社会公开本部门决算（含所有财政资金安排的“三公”经费、机关运行经费的安排、使用情况等）；公开部门整体支出绩效自评报告及其他按要求应公开的绩效信息；实施绩效评价项目资金全覆盖；对下级预算单位开展整体绩效评价；按要求向财政部门报告自评报告等相关绩效信息；按要求针对绩效评价发现问题制定整改措施，并整改落实到位；根据相关自查自纠报告、报表报送时效和质量进行考核；根据检查组提供的工作底稿、检查报告等资料进行考核；根据相关整改报告、凭证依据等相关证明材料进行考核。</w:t>
      </w:r>
    </w:p>
    <w:p>
      <w:pPr>
        <w:pageBreakBefore w:val="0"/>
        <w:widowControl/>
        <w:kinsoku/>
        <w:wordWrap/>
        <w:overflowPunct/>
        <w:topLinePunct w:val="0"/>
        <w:autoSpaceDE/>
        <w:autoSpaceDN/>
        <w:bidi w:val="0"/>
        <w:adjustRightInd w:val="0"/>
        <w:snapToGrid w:val="0"/>
        <w:spacing w:line="520" w:lineRule="exact"/>
        <w:ind w:firstLine="640" w:firstLineChars="200"/>
        <w:textAlignment w:val="auto"/>
        <w:rPr>
          <w:rFonts w:ascii="仿宋_GB2312" w:eastAsia="仿宋_GB2312" w:cs="仿宋"/>
          <w:color w:val="000000"/>
          <w:kern w:val="0"/>
          <w:sz w:val="32"/>
          <w:szCs w:val="32"/>
          <w:lang w:val="zh-CN"/>
        </w:rPr>
      </w:pPr>
      <w:r>
        <w:rPr>
          <w:rFonts w:ascii="仿宋_GB2312" w:eastAsia="仿宋_GB2312" w:cs="仿宋"/>
          <w:color w:val="000000"/>
          <w:kern w:val="0"/>
          <w:sz w:val="32"/>
          <w:szCs w:val="32"/>
        </w:rPr>
        <w:t>4.</w:t>
      </w:r>
      <w:r>
        <w:rPr>
          <w:rFonts w:hint="eastAsia" w:ascii="仿宋_GB2312" w:eastAsia="仿宋_GB2312" w:cs="仿宋"/>
          <w:color w:val="000000"/>
          <w:kern w:val="0"/>
          <w:sz w:val="32"/>
          <w:szCs w:val="32"/>
        </w:rPr>
        <w:t>整体效益：</w:t>
      </w:r>
      <w:r>
        <w:rPr>
          <w:rFonts w:hint="eastAsia" w:ascii="仿宋_GB2312" w:eastAsia="仿宋_GB2312" w:cs="仿宋"/>
          <w:color w:val="000000"/>
          <w:kern w:val="0"/>
          <w:sz w:val="32"/>
          <w:szCs w:val="32"/>
          <w:lang w:val="zh-CN"/>
        </w:rPr>
        <w:t>实施重大项目的经济、社会效益；根据部门职能职责、省级主管部门和州委州政府安排的各项专项工作任务及其他年度重点工作任务等，汇总梳理形成能够量化衡量且全面反映部门职能工作完成情况的若干指标。</w:t>
      </w:r>
    </w:p>
    <w:p>
      <w:pPr>
        <w:pageBreakBefore w:val="0"/>
        <w:widowControl/>
        <w:kinsoku/>
        <w:wordWrap/>
        <w:overflowPunct/>
        <w:topLinePunct w:val="0"/>
        <w:autoSpaceDE/>
        <w:autoSpaceDN/>
        <w:bidi w:val="0"/>
        <w:adjustRightInd w:val="0"/>
        <w:snapToGrid w:val="0"/>
        <w:spacing w:line="520" w:lineRule="exact"/>
        <w:ind w:firstLine="640" w:firstLineChars="200"/>
        <w:textAlignment w:val="auto"/>
        <w:rPr>
          <w:rFonts w:ascii="仿宋_GB2312" w:eastAsia="仿宋_GB2312" w:cs="仿宋"/>
          <w:color w:val="000000"/>
          <w:kern w:val="0"/>
          <w:sz w:val="32"/>
          <w:szCs w:val="32"/>
        </w:rPr>
      </w:pPr>
      <w:r>
        <w:rPr>
          <w:rFonts w:hint="eastAsia" w:ascii="仿宋_GB2312" w:eastAsia="仿宋_GB2312" w:cs="仿宋"/>
          <w:color w:val="000000"/>
          <w:kern w:val="0"/>
          <w:sz w:val="32"/>
          <w:szCs w:val="32"/>
          <w:lang w:val="zh-CN"/>
        </w:rPr>
        <w:t>其职责严格履行其职务，有效提高了畜牧产品安全，受到人民群众高度评价，服务对象满意度高，绩效考核自查评分</w:t>
      </w:r>
      <w:r>
        <w:rPr>
          <w:rFonts w:ascii="仿宋_GB2312" w:eastAsia="仿宋_GB2312" w:cs="仿宋"/>
          <w:color w:val="000000"/>
          <w:kern w:val="0"/>
          <w:sz w:val="32"/>
          <w:szCs w:val="32"/>
        </w:rPr>
        <w:t>95</w:t>
      </w:r>
      <w:r>
        <w:rPr>
          <w:rFonts w:hint="eastAsia" w:ascii="仿宋_GB2312" w:eastAsia="仿宋_GB2312" w:cs="仿宋"/>
          <w:color w:val="000000"/>
          <w:kern w:val="0"/>
          <w:sz w:val="32"/>
          <w:szCs w:val="32"/>
        </w:rPr>
        <w:t>分</w:t>
      </w:r>
      <w:r>
        <w:rPr>
          <w:rFonts w:hint="eastAsia" w:ascii="仿宋_GB2312" w:eastAsia="仿宋_GB2312" w:cs="仿宋"/>
          <w:color w:val="000000"/>
          <w:kern w:val="0"/>
          <w:sz w:val="32"/>
          <w:szCs w:val="32"/>
          <w:lang w:val="zh-CN"/>
        </w:rPr>
        <w:t>。</w:t>
      </w:r>
    </w:p>
    <w:p>
      <w:pPr>
        <w:pageBreakBefore w:val="0"/>
        <w:widowControl/>
        <w:kinsoku/>
        <w:wordWrap/>
        <w:overflowPunct/>
        <w:topLinePunct w:val="0"/>
        <w:autoSpaceDE/>
        <w:autoSpaceDN/>
        <w:bidi w:val="0"/>
        <w:adjustRightInd w:val="0"/>
        <w:snapToGrid w:val="0"/>
        <w:spacing w:line="520" w:lineRule="exact"/>
        <w:ind w:firstLine="640" w:firstLineChars="200"/>
        <w:textAlignment w:val="auto"/>
        <w:rPr>
          <w:rStyle w:val="19"/>
          <w:rFonts w:ascii="黑体" w:eastAsia="黑体"/>
          <w:b w:val="0"/>
        </w:rPr>
      </w:pPr>
      <w:bookmarkStart w:id="80" w:name="_Toc150"/>
      <w:r>
        <w:rPr>
          <w:rStyle w:val="19"/>
          <w:rFonts w:hint="eastAsia" w:ascii="黑体" w:eastAsia="黑体"/>
          <w:b w:val="0"/>
        </w:rPr>
        <w:t>四、评价结论及建议</w:t>
      </w:r>
    </w:p>
    <w:bookmarkEnd w:id="80"/>
    <w:p>
      <w:pPr>
        <w:pageBreakBefore w:val="0"/>
        <w:widowControl/>
        <w:kinsoku/>
        <w:wordWrap/>
        <w:overflowPunct/>
        <w:topLinePunct w:val="0"/>
        <w:autoSpaceDE/>
        <w:autoSpaceDN/>
        <w:bidi w:val="0"/>
        <w:adjustRightInd w:val="0"/>
        <w:snapToGrid w:val="0"/>
        <w:spacing w:line="520" w:lineRule="exact"/>
        <w:ind w:firstLine="643" w:firstLineChars="200"/>
        <w:textAlignment w:val="auto"/>
        <w:rPr>
          <w:rFonts w:ascii="楷体_GB2312" w:hAnsi="楷体_GB2312" w:eastAsia="楷体_GB2312" w:cs="楷体_GB2312"/>
          <w:b/>
          <w:bCs/>
          <w:sz w:val="32"/>
          <w:szCs w:val="32"/>
          <w:lang w:val="zh-CN"/>
        </w:rPr>
      </w:pPr>
      <w:r>
        <w:rPr>
          <w:rFonts w:hint="eastAsia" w:ascii="楷体_GB2312" w:hAnsi="楷体_GB2312" w:eastAsia="楷体_GB2312" w:cs="楷体_GB2312"/>
          <w:b/>
          <w:bCs/>
          <w:sz w:val="32"/>
          <w:szCs w:val="32"/>
          <w:lang w:val="zh-CN"/>
        </w:rPr>
        <w:t>（一）评价结论</w:t>
      </w:r>
    </w:p>
    <w:p>
      <w:pPr>
        <w:pageBreakBefore w:val="0"/>
        <w:widowControl/>
        <w:kinsoku/>
        <w:wordWrap/>
        <w:overflowPunct/>
        <w:topLinePunct w:val="0"/>
        <w:autoSpaceDE/>
        <w:autoSpaceDN/>
        <w:bidi w:val="0"/>
        <w:adjustRightInd w:val="0"/>
        <w:snapToGrid w:val="0"/>
        <w:spacing w:line="520" w:lineRule="exact"/>
        <w:ind w:firstLine="640" w:firstLineChars="200"/>
        <w:textAlignment w:val="auto"/>
        <w:rPr>
          <w:rFonts w:ascii="仿宋_GB2312" w:eastAsia="仿宋_GB2312" w:cs="仿宋"/>
          <w:color w:val="000000"/>
          <w:kern w:val="0"/>
          <w:sz w:val="32"/>
          <w:szCs w:val="32"/>
          <w:lang w:val="zh-CN"/>
        </w:rPr>
      </w:pPr>
      <w:r>
        <w:rPr>
          <w:rFonts w:hint="eastAsia" w:ascii="仿宋_GB2312" w:eastAsia="仿宋_GB2312" w:cs="仿宋"/>
          <w:color w:val="000000"/>
          <w:kern w:val="0"/>
          <w:sz w:val="32"/>
          <w:szCs w:val="32"/>
          <w:lang w:val="zh-CN"/>
        </w:rPr>
        <w:t>我单位2022年部门支出与年初预算基本一致，达到预期绩效目标。其职责严格履行其职务，有效提高了畜牧产品安全，受到人民群众高度评价，服务对象满意度高，绩效考核自查评分</w:t>
      </w:r>
      <w:r>
        <w:rPr>
          <w:rFonts w:hint="eastAsia" w:ascii="仿宋_GB2312" w:eastAsia="仿宋_GB2312" w:cs="仿宋"/>
          <w:color w:val="000000"/>
          <w:kern w:val="0"/>
          <w:sz w:val="32"/>
          <w:szCs w:val="32"/>
          <w:lang w:val="en-US" w:eastAsia="zh-CN"/>
        </w:rPr>
        <w:t>93</w:t>
      </w:r>
      <w:r>
        <w:rPr>
          <w:rFonts w:hint="eastAsia" w:ascii="仿宋_GB2312" w:eastAsia="仿宋_GB2312" w:cs="仿宋"/>
          <w:color w:val="000000"/>
          <w:kern w:val="0"/>
          <w:sz w:val="32"/>
          <w:szCs w:val="32"/>
        </w:rPr>
        <w:t>分</w:t>
      </w:r>
      <w:r>
        <w:rPr>
          <w:rFonts w:hint="eastAsia" w:ascii="仿宋_GB2312" w:eastAsia="仿宋_GB2312" w:cs="仿宋"/>
          <w:color w:val="000000"/>
          <w:kern w:val="0"/>
          <w:sz w:val="32"/>
          <w:szCs w:val="32"/>
          <w:lang w:val="zh-CN"/>
        </w:rPr>
        <w:t>。</w:t>
      </w:r>
    </w:p>
    <w:p>
      <w:pPr>
        <w:pageBreakBefore w:val="0"/>
        <w:widowControl/>
        <w:kinsoku/>
        <w:wordWrap/>
        <w:overflowPunct/>
        <w:topLinePunct w:val="0"/>
        <w:autoSpaceDE/>
        <w:autoSpaceDN/>
        <w:bidi w:val="0"/>
        <w:adjustRightInd w:val="0"/>
        <w:snapToGrid w:val="0"/>
        <w:spacing w:line="520" w:lineRule="exact"/>
        <w:textAlignment w:val="auto"/>
        <w:rPr>
          <w:rFonts w:ascii="仿宋" w:hAnsi="仿宋" w:eastAsia="仿宋" w:cs="仿宋"/>
          <w:b/>
          <w:bCs/>
          <w:color w:val="000000"/>
          <w:kern w:val="0"/>
          <w:sz w:val="32"/>
          <w:szCs w:val="32"/>
          <w:lang w:val="zh-CN"/>
        </w:rPr>
      </w:pPr>
      <w:r>
        <w:rPr>
          <w:rFonts w:hint="eastAsia" w:ascii="仿宋" w:hAnsi="仿宋" w:eastAsia="仿宋" w:cs="仿宋"/>
          <w:color w:val="000000"/>
          <w:kern w:val="0"/>
          <w:sz w:val="32"/>
          <w:szCs w:val="32"/>
          <w:lang w:val="zh-CN"/>
        </w:rPr>
        <w:t>　　</w:t>
      </w:r>
      <w:r>
        <w:rPr>
          <w:rFonts w:hint="eastAsia" w:ascii="楷体_GB2312" w:hAnsi="楷体_GB2312" w:eastAsia="楷体_GB2312" w:cs="楷体_GB2312"/>
          <w:b/>
          <w:bCs/>
          <w:sz w:val="32"/>
          <w:szCs w:val="32"/>
          <w:lang w:val="zh-CN"/>
        </w:rPr>
        <w:t>（二）存在问题</w:t>
      </w:r>
    </w:p>
    <w:p>
      <w:pPr>
        <w:pageBreakBefore w:val="0"/>
        <w:widowControl/>
        <w:kinsoku/>
        <w:wordWrap/>
        <w:overflowPunct/>
        <w:topLinePunct w:val="0"/>
        <w:autoSpaceDE/>
        <w:autoSpaceDN/>
        <w:bidi w:val="0"/>
        <w:adjustRightInd w:val="0"/>
        <w:snapToGrid w:val="0"/>
        <w:spacing w:line="520" w:lineRule="exact"/>
        <w:textAlignment w:val="auto"/>
        <w:rPr>
          <w:rFonts w:ascii="仿宋_GB2312" w:eastAsia="仿宋_GB2312" w:cs="仿宋"/>
          <w:color w:val="000000"/>
          <w:kern w:val="0"/>
          <w:sz w:val="32"/>
          <w:szCs w:val="32"/>
          <w:lang w:val="zh-CN"/>
        </w:rPr>
      </w:pPr>
      <w:r>
        <w:rPr>
          <w:rFonts w:hint="eastAsia" w:ascii="仿宋" w:hAnsi="仿宋" w:eastAsia="仿宋" w:cs="仿宋"/>
          <w:color w:val="333333"/>
          <w:sz w:val="32"/>
          <w:szCs w:val="32"/>
          <w:shd w:val="clear" w:color="auto" w:fill="FFFFFF"/>
        </w:rPr>
        <w:t>　　</w:t>
      </w:r>
      <w:r>
        <w:rPr>
          <w:rFonts w:hint="eastAsia" w:ascii="仿宋_GB2312" w:eastAsia="仿宋_GB2312" w:cs="仿宋"/>
          <w:color w:val="000000"/>
          <w:kern w:val="0"/>
          <w:sz w:val="32"/>
          <w:szCs w:val="32"/>
          <w:lang w:val="zh-CN"/>
        </w:rPr>
        <w:t>预算编制内容还需进一步细化，科目还需要更全面。</w:t>
      </w:r>
    </w:p>
    <w:p>
      <w:pPr>
        <w:pageBreakBefore w:val="0"/>
        <w:widowControl/>
        <w:kinsoku/>
        <w:wordWrap/>
        <w:overflowPunct/>
        <w:topLinePunct w:val="0"/>
        <w:autoSpaceDE/>
        <w:autoSpaceDN/>
        <w:bidi w:val="0"/>
        <w:adjustRightInd w:val="0"/>
        <w:snapToGrid w:val="0"/>
        <w:spacing w:line="520" w:lineRule="exact"/>
        <w:textAlignment w:val="auto"/>
        <w:rPr>
          <w:rFonts w:ascii="仿宋" w:hAnsi="仿宋" w:eastAsia="仿宋" w:cs="仿宋"/>
          <w:b/>
          <w:bCs/>
          <w:color w:val="000000"/>
          <w:kern w:val="0"/>
          <w:sz w:val="32"/>
          <w:szCs w:val="32"/>
          <w:lang w:val="zh-CN"/>
        </w:rPr>
      </w:pPr>
      <w:r>
        <w:rPr>
          <w:rFonts w:hint="eastAsia" w:ascii="仿宋" w:hAnsi="仿宋" w:eastAsia="仿宋" w:cs="仿宋"/>
          <w:b/>
          <w:bCs/>
          <w:color w:val="000000"/>
          <w:kern w:val="0"/>
          <w:sz w:val="32"/>
          <w:szCs w:val="32"/>
          <w:lang w:val="zh-CN"/>
        </w:rPr>
        <w:t>　　</w:t>
      </w:r>
      <w:r>
        <w:rPr>
          <w:rFonts w:hint="eastAsia" w:ascii="楷体_GB2312" w:hAnsi="楷体_GB2312" w:eastAsia="楷体_GB2312" w:cs="楷体_GB2312"/>
          <w:b/>
          <w:bCs/>
          <w:sz w:val="32"/>
          <w:szCs w:val="32"/>
          <w:lang w:val="zh-CN"/>
        </w:rPr>
        <w:t>（三）改进建议</w:t>
      </w:r>
    </w:p>
    <w:p>
      <w:pPr>
        <w:pageBreakBefore w:val="0"/>
        <w:widowControl/>
        <w:kinsoku/>
        <w:wordWrap/>
        <w:overflowPunct/>
        <w:topLinePunct w:val="0"/>
        <w:autoSpaceDE/>
        <w:autoSpaceDN/>
        <w:bidi w:val="0"/>
        <w:adjustRightInd w:val="0"/>
        <w:snapToGrid w:val="0"/>
        <w:spacing w:line="520" w:lineRule="exact"/>
        <w:textAlignment w:val="auto"/>
        <w:rPr>
          <w:rFonts w:ascii="仿宋_GB2312" w:eastAsia="仿宋_GB2312" w:cs="仿宋"/>
          <w:color w:val="000000"/>
          <w:kern w:val="0"/>
          <w:sz w:val="32"/>
          <w:szCs w:val="32"/>
          <w:lang w:val="zh-CN"/>
        </w:rPr>
      </w:pPr>
      <w:r>
        <w:rPr>
          <w:rFonts w:hint="eastAsia" w:ascii="仿宋" w:hAnsi="仿宋" w:eastAsia="仿宋" w:cs="仿宋"/>
          <w:color w:val="333333"/>
          <w:sz w:val="32"/>
          <w:szCs w:val="32"/>
          <w:shd w:val="clear" w:color="auto" w:fill="FFFFFF"/>
        </w:rPr>
        <w:t>　　</w:t>
      </w:r>
      <w:r>
        <w:rPr>
          <w:rFonts w:ascii="仿宋_GB2312" w:eastAsia="仿宋_GB2312" w:cs="仿宋"/>
          <w:color w:val="000000"/>
          <w:kern w:val="0"/>
          <w:sz w:val="32"/>
          <w:szCs w:val="32"/>
        </w:rPr>
        <w:t>1.</w:t>
      </w:r>
      <w:r>
        <w:rPr>
          <w:rFonts w:hint="eastAsia" w:ascii="仿宋_GB2312" w:eastAsia="仿宋_GB2312" w:cs="仿宋"/>
          <w:color w:val="000000"/>
          <w:kern w:val="0"/>
          <w:sz w:val="32"/>
          <w:szCs w:val="32"/>
          <w:lang w:val="zh-CN"/>
        </w:rPr>
        <w:t>遵循先有预算、后有支出的原则，加强财务管理和内部控制监督制度。严禁超预算和无预算安排支出，严格开支范围和标准，严格支出报销审核，不报销任何超范围、超标准的费用。</w:t>
      </w:r>
      <w:r>
        <w:rPr>
          <w:rFonts w:ascii="仿宋_GB2312" w:eastAsia="仿宋_GB2312" w:cs="仿宋"/>
          <w:color w:val="000000"/>
          <w:kern w:val="0"/>
          <w:sz w:val="32"/>
          <w:szCs w:val="32"/>
          <w:lang w:val="zh-CN"/>
        </w:rPr>
        <w:t xml:space="preserve"> </w:t>
      </w:r>
    </w:p>
    <w:p>
      <w:pPr>
        <w:pageBreakBefore w:val="0"/>
        <w:widowControl/>
        <w:kinsoku/>
        <w:wordWrap/>
        <w:overflowPunct/>
        <w:topLinePunct w:val="0"/>
        <w:autoSpaceDE/>
        <w:autoSpaceDN/>
        <w:bidi w:val="0"/>
        <w:adjustRightInd w:val="0"/>
        <w:snapToGrid w:val="0"/>
        <w:spacing w:line="520" w:lineRule="exact"/>
        <w:textAlignment w:val="auto"/>
        <w:rPr>
          <w:rFonts w:ascii="仿宋_GB2312" w:eastAsia="仿宋_GB2312" w:cs="仿宋"/>
          <w:color w:val="000000"/>
          <w:kern w:val="0"/>
          <w:sz w:val="32"/>
          <w:szCs w:val="32"/>
          <w:lang w:val="zh-CN"/>
        </w:rPr>
      </w:pPr>
      <w:r>
        <w:rPr>
          <w:rFonts w:hint="eastAsia" w:ascii="仿宋_GB2312" w:eastAsia="仿宋_GB2312" w:cs="仿宋"/>
          <w:color w:val="000000"/>
          <w:kern w:val="0"/>
          <w:sz w:val="32"/>
          <w:szCs w:val="32"/>
        </w:rPr>
        <w:t>　　</w:t>
      </w:r>
      <w:r>
        <w:rPr>
          <w:rFonts w:ascii="仿宋_GB2312" w:eastAsia="仿宋_GB2312" w:cs="仿宋"/>
          <w:color w:val="000000"/>
          <w:kern w:val="0"/>
          <w:sz w:val="32"/>
          <w:szCs w:val="32"/>
        </w:rPr>
        <w:t>2.</w:t>
      </w:r>
      <w:r>
        <w:rPr>
          <w:rFonts w:hint="eastAsia" w:ascii="仿宋_GB2312" w:eastAsia="仿宋_GB2312" w:cs="仿宋"/>
          <w:color w:val="000000"/>
          <w:kern w:val="0"/>
          <w:sz w:val="32"/>
          <w:szCs w:val="32"/>
          <w:lang w:val="zh-CN"/>
        </w:rPr>
        <w:t>严格控制“三公”经费。认真贯彻落实中央、省委、省政府和县委县政府相关规定，严格“三公”经费支出的审核和审批，合理压缩“三公”经费支出。</w:t>
      </w:r>
    </w:p>
    <w:p>
      <w:pPr>
        <w:keepNext w:val="0"/>
        <w:keepLines w:val="0"/>
        <w:widowControl/>
        <w:suppressLineNumbers w:val="0"/>
        <w:ind w:firstLine="640" w:firstLineChars="200"/>
        <w:jc w:val="both"/>
        <w:rPr>
          <w:rFonts w:hint="eastAsia" w:ascii="仿宋_GB2312" w:eastAsia="仿宋_GB2312" w:cs="仿宋"/>
          <w:color w:val="000000"/>
          <w:kern w:val="0"/>
          <w:sz w:val="32"/>
          <w:szCs w:val="32"/>
          <w:lang w:val="zh-CN"/>
        </w:rPr>
      </w:pPr>
      <w:r>
        <w:rPr>
          <w:rFonts w:ascii="仿宋_GB2312" w:eastAsia="仿宋_GB2312" w:cs="仿宋"/>
          <w:color w:val="000000"/>
          <w:kern w:val="0"/>
          <w:sz w:val="32"/>
          <w:szCs w:val="32"/>
        </w:rPr>
        <w:t>3.</w:t>
      </w:r>
      <w:r>
        <w:rPr>
          <w:rFonts w:hint="eastAsia" w:ascii="仿宋_GB2312" w:eastAsia="仿宋_GB2312" w:cs="仿宋"/>
          <w:color w:val="000000"/>
          <w:kern w:val="0"/>
          <w:sz w:val="32"/>
          <w:szCs w:val="32"/>
          <w:lang w:val="zh-CN"/>
        </w:rPr>
        <w:t>节能降耗，厉行节约，节约能源。</w:t>
      </w:r>
    </w:p>
    <w:p>
      <w:pPr>
        <w:keepNext w:val="0"/>
        <w:keepLines w:val="0"/>
        <w:widowControl/>
        <w:suppressLineNumbers w:val="0"/>
        <w:jc w:val="center"/>
        <w:rPr>
          <w:sz w:val="44"/>
          <w:szCs w:val="44"/>
        </w:rPr>
      </w:pPr>
      <w:r>
        <w:rPr>
          <w:rFonts w:hint="eastAsia" w:ascii="方正小标宋简体" w:hAnsi="方正小标宋简体" w:eastAsia="方正小标宋简体" w:cs="方正小标宋简体"/>
          <w:color w:val="000000"/>
          <w:kern w:val="0"/>
          <w:sz w:val="44"/>
          <w:szCs w:val="44"/>
          <w:lang w:val="en-US" w:eastAsia="zh-CN" w:bidi="ar"/>
        </w:rPr>
        <w:t>2022年专项预算项目支出绩效评价报告</w:t>
      </w:r>
    </w:p>
    <w:p>
      <w:pPr>
        <w:keepNext w:val="0"/>
        <w:keepLines w:val="0"/>
        <w:widowControl/>
        <w:suppressLineNumbers w:val="0"/>
        <w:jc w:val="center"/>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（2022年</w:t>
      </w:r>
      <w:r>
        <w:rPr>
          <w:rFonts w:hint="eastAsia" w:ascii="Times New Roman" w:hAnsi="Times New Roman" w:eastAsia="宋体" w:cs="Times New Roman"/>
          <w:color w:val="000000"/>
          <w:kern w:val="0"/>
          <w:sz w:val="31"/>
          <w:szCs w:val="31"/>
          <w:lang w:val="en-US" w:eastAsia="zh-CN" w:bidi="ar"/>
        </w:rPr>
        <w:t>草原生态补助奖励政策</w:t>
      </w:r>
      <w:r>
        <w:rPr>
          <w:rFonts w:hint="eastAsia" w:ascii="仿宋_GB2312" w:hAnsi="宋体" w:eastAsia="仿宋_GB2312" w:cs="仿宋_GB2312"/>
          <w:color w:val="000000"/>
          <w:kern w:val="0"/>
          <w:sz w:val="31"/>
          <w:szCs w:val="31"/>
          <w:lang w:val="en-US" w:eastAsia="zh-CN" w:bidi="ar"/>
        </w:rPr>
        <w:t>项目）</w:t>
      </w:r>
    </w:p>
    <w:p>
      <w:pPr>
        <w:pStyle w:val="12"/>
        <w:keepNext w:val="0"/>
        <w:keepLines w:val="0"/>
        <w:widowControl/>
        <w:suppressLineNumbers w:val="0"/>
        <w:rPr>
          <w:rFonts w:hint="eastAsia" w:ascii="宋体" w:hAnsi="宋体" w:eastAsia="仿宋_GB2312" w:cs="宋体"/>
          <w:b/>
          <w:bCs/>
          <w:i w:val="0"/>
          <w:iCs w:val="0"/>
          <w:color w:val="auto"/>
          <w:sz w:val="32"/>
          <w:szCs w:val="32"/>
          <w:lang w:val="en-US" w:eastAsia="zh-CN"/>
        </w:rPr>
      </w:pPr>
    </w:p>
    <w:p>
      <w:pPr>
        <w:pStyle w:val="12"/>
        <w:keepNext w:val="0"/>
        <w:keepLines w:val="0"/>
        <w:widowControl/>
        <w:suppressLineNumbers w:val="0"/>
        <w:ind w:firstLine="321" w:firstLineChars="100"/>
        <w:rPr>
          <w:rFonts w:hint="eastAsia" w:ascii="宋体" w:hAnsi="宋体" w:eastAsia="仿宋_GB2312" w:cs="宋体"/>
          <w:b/>
          <w:bCs/>
          <w:i w:val="0"/>
          <w:iCs w:val="0"/>
          <w:color w:val="auto"/>
          <w:sz w:val="32"/>
          <w:szCs w:val="32"/>
          <w:lang w:val="en-US" w:eastAsia="zh-CN"/>
        </w:rPr>
      </w:pPr>
      <w:r>
        <w:rPr>
          <w:rFonts w:hint="eastAsia" w:ascii="宋体" w:hAnsi="宋体" w:eastAsia="仿宋_GB2312" w:cs="宋体"/>
          <w:b/>
          <w:bCs/>
          <w:i w:val="0"/>
          <w:iCs w:val="0"/>
          <w:color w:val="auto"/>
          <w:sz w:val="32"/>
          <w:szCs w:val="32"/>
          <w:lang w:val="en-US" w:eastAsia="zh-CN"/>
        </w:rPr>
        <w:t>一、内容摘要</w:t>
      </w:r>
    </w:p>
    <w:p>
      <w:pPr>
        <w:pStyle w:val="12"/>
        <w:keepNext w:val="0"/>
        <w:keepLines w:val="0"/>
        <w:widowControl/>
        <w:suppressLineNumbers w:val="0"/>
        <w:ind w:left="0" w:firstLine="640"/>
        <w:rPr>
          <w:rFonts w:hint="eastAsia" w:ascii="宋体" w:hAnsi="宋体" w:eastAsia="仿宋_GB2312" w:cs="宋体"/>
          <w:color w:val="auto"/>
          <w:sz w:val="32"/>
          <w:szCs w:val="32"/>
          <w:lang w:val="en-US" w:eastAsia="zh-CN"/>
        </w:rPr>
      </w:pPr>
      <w:r>
        <w:rPr>
          <w:rFonts w:hint="eastAsia" w:ascii="宋体" w:hAnsi="宋体" w:eastAsia="仿宋_GB2312" w:cs="宋体"/>
          <w:color w:val="auto"/>
          <w:sz w:val="32"/>
          <w:szCs w:val="32"/>
          <w:lang w:val="en-US" w:eastAsia="zh-CN"/>
        </w:rPr>
        <w:t>1、项目基本情况</w:t>
      </w:r>
    </w:p>
    <w:p>
      <w:pPr>
        <w:pStyle w:val="12"/>
        <w:keepNext w:val="0"/>
        <w:keepLines w:val="0"/>
        <w:widowControl/>
        <w:suppressLineNumbers w:val="0"/>
        <w:ind w:left="0" w:firstLine="640"/>
        <w:rPr>
          <w:rFonts w:hint="default" w:ascii="宋体" w:hAnsi="宋体" w:eastAsia="仿宋_GB2312" w:cs="宋体"/>
          <w:color w:val="auto"/>
          <w:sz w:val="32"/>
          <w:szCs w:val="32"/>
          <w:lang w:val="en-US" w:eastAsia="zh-CN"/>
        </w:rPr>
      </w:pPr>
      <w:r>
        <w:rPr>
          <w:rFonts w:hint="eastAsia" w:ascii="宋体" w:hAnsi="宋体" w:eastAsia="仿宋_GB2312" w:cs="宋体"/>
          <w:color w:val="auto"/>
          <w:sz w:val="32"/>
          <w:szCs w:val="32"/>
          <w:lang w:val="en-US" w:eastAsia="zh-CN"/>
        </w:rPr>
        <w:t>按照财政部、农业农村部、国家林草局联合印发的《第三轮草原生态保护补助奖励政策实施指导意见》财农〔2021〕82号文件要求，全面实施天然草原家庭承包到户面积281.5万亩，其中实施草原禁牧面积62万亩，兑现禁牧补助资金474.3万元，实施草畜平衡面积219.5万亩，兑现548.75万元</w:t>
      </w:r>
      <w:r>
        <w:rPr>
          <w:rFonts w:hint="eastAsia" w:eastAsia="仿宋_GB2312" w:cs="宋体"/>
          <w:color w:val="auto"/>
          <w:sz w:val="32"/>
          <w:szCs w:val="32"/>
          <w:lang w:val="en-US" w:eastAsia="zh-CN"/>
        </w:rPr>
        <w:t>，</w:t>
      </w:r>
      <w:r>
        <w:rPr>
          <w:rFonts w:hint="eastAsia" w:ascii="宋体" w:hAnsi="宋体" w:eastAsia="仿宋_GB2312" w:cs="宋体"/>
          <w:color w:val="auto"/>
          <w:sz w:val="32"/>
          <w:szCs w:val="32"/>
          <w:lang w:val="en-US" w:eastAsia="zh-CN"/>
        </w:rPr>
        <w:t>该项目</w:t>
      </w:r>
      <w:r>
        <w:rPr>
          <w:rFonts w:hint="eastAsia" w:eastAsia="仿宋_GB2312" w:cs="宋体"/>
          <w:color w:val="auto"/>
          <w:sz w:val="32"/>
          <w:szCs w:val="32"/>
          <w:lang w:val="en-US" w:eastAsia="zh-CN"/>
        </w:rPr>
        <w:t>总</w:t>
      </w:r>
      <w:r>
        <w:rPr>
          <w:rFonts w:hint="eastAsia" w:ascii="宋体" w:hAnsi="宋体" w:eastAsia="仿宋_GB2312" w:cs="宋体"/>
          <w:color w:val="auto"/>
          <w:sz w:val="32"/>
          <w:szCs w:val="32"/>
          <w:lang w:val="en-US" w:eastAsia="zh-CN"/>
        </w:rPr>
        <w:t>资金1023.05万元。</w:t>
      </w:r>
    </w:p>
    <w:p>
      <w:pPr>
        <w:pStyle w:val="12"/>
        <w:keepNext w:val="0"/>
        <w:keepLines w:val="0"/>
        <w:widowControl/>
        <w:suppressLineNumbers w:val="0"/>
        <w:ind w:left="0" w:firstLine="640"/>
        <w:rPr>
          <w:rFonts w:hint="eastAsia" w:ascii="宋体" w:hAnsi="宋体" w:eastAsia="仿宋_GB2312" w:cs="宋体"/>
          <w:color w:val="auto"/>
          <w:sz w:val="32"/>
          <w:szCs w:val="32"/>
          <w:lang w:val="en-US" w:eastAsia="zh-CN"/>
        </w:rPr>
      </w:pPr>
      <w:r>
        <w:rPr>
          <w:rFonts w:hint="eastAsia" w:ascii="宋体" w:hAnsi="宋体" w:eastAsia="仿宋_GB2312" w:cs="宋体"/>
          <w:color w:val="auto"/>
          <w:sz w:val="32"/>
          <w:szCs w:val="32"/>
          <w:lang w:val="en-US" w:eastAsia="zh-CN"/>
        </w:rPr>
        <w:t>2、评价结论</w:t>
      </w:r>
    </w:p>
    <w:p>
      <w:pPr>
        <w:pStyle w:val="12"/>
        <w:keepNext w:val="0"/>
        <w:keepLines w:val="0"/>
        <w:widowControl/>
        <w:suppressLineNumbers w:val="0"/>
        <w:ind w:left="0" w:firstLine="640"/>
        <w:rPr>
          <w:rFonts w:hint="eastAsia" w:ascii="宋体" w:hAnsi="宋体" w:eastAsia="仿宋_GB2312" w:cs="宋体"/>
          <w:color w:val="auto"/>
          <w:sz w:val="32"/>
          <w:szCs w:val="32"/>
          <w:lang w:val="en-US" w:eastAsia="zh-CN"/>
        </w:rPr>
      </w:pPr>
      <w:r>
        <w:rPr>
          <w:rFonts w:hint="eastAsia" w:ascii="宋体" w:hAnsi="宋体" w:eastAsia="仿宋_GB2312" w:cs="宋体"/>
          <w:color w:val="auto"/>
          <w:sz w:val="32"/>
          <w:szCs w:val="32"/>
          <w:lang w:val="en-US" w:eastAsia="zh-CN"/>
        </w:rPr>
        <w:t>经过十余年的草原生态补助项目建设，我县草原生态得到了明显的修复，农牧民对生态保护意识明显增强，牧区生产方式发生可喜转变，基本实现了由传统游牧业向现代草原畜牧业的转型。县域内草原建设基本达到了“草原增绿，牧业增效，牧民增收，田园增美”的预定目标。该政策在广大农牧区已深入民心，是有生命力，可持续长期实施的项目。</w:t>
      </w:r>
    </w:p>
    <w:p>
      <w:pPr>
        <w:pStyle w:val="12"/>
        <w:keepNext w:val="0"/>
        <w:keepLines w:val="0"/>
        <w:widowControl/>
        <w:numPr>
          <w:ilvl w:val="0"/>
          <w:numId w:val="0"/>
        </w:numPr>
        <w:suppressLineNumbers w:val="0"/>
        <w:ind w:firstLine="643" w:firstLineChars="200"/>
        <w:rPr>
          <w:rFonts w:hint="eastAsia" w:ascii="宋体" w:hAnsi="宋体" w:eastAsia="仿宋_GB2312" w:cs="宋体"/>
          <w:b/>
          <w:bCs/>
          <w:color w:val="auto"/>
          <w:sz w:val="32"/>
          <w:szCs w:val="32"/>
          <w:lang w:val="en-US" w:eastAsia="zh-CN"/>
        </w:rPr>
      </w:pPr>
      <w:r>
        <w:rPr>
          <w:rFonts w:hint="eastAsia" w:eastAsia="仿宋_GB2312" w:cs="宋体"/>
          <w:b/>
          <w:bCs/>
          <w:color w:val="auto"/>
          <w:sz w:val="32"/>
          <w:szCs w:val="32"/>
          <w:lang w:val="en-US" w:eastAsia="zh-CN"/>
        </w:rPr>
        <w:t>二、</w:t>
      </w:r>
      <w:r>
        <w:rPr>
          <w:rFonts w:hint="eastAsia" w:ascii="宋体" w:hAnsi="宋体" w:eastAsia="仿宋_GB2312" w:cs="宋体"/>
          <w:b/>
          <w:bCs/>
          <w:color w:val="auto"/>
          <w:sz w:val="32"/>
          <w:szCs w:val="32"/>
          <w:lang w:val="en-US" w:eastAsia="zh-CN"/>
        </w:rPr>
        <w:t>目录</w:t>
      </w:r>
    </w:p>
    <w:p>
      <w:pPr>
        <w:pStyle w:val="12"/>
        <w:keepNext w:val="0"/>
        <w:keepLines w:val="0"/>
        <w:widowControl/>
        <w:numPr>
          <w:ilvl w:val="0"/>
          <w:numId w:val="0"/>
        </w:numPr>
        <w:suppressLineNumbers w:val="0"/>
        <w:ind w:firstLine="640" w:firstLineChars="200"/>
        <w:rPr>
          <w:rFonts w:hint="eastAsia" w:ascii="宋体" w:hAnsi="宋体" w:eastAsia="仿宋_GB2312" w:cs="宋体"/>
          <w:b/>
          <w:bCs/>
          <w:color w:val="auto"/>
          <w:sz w:val="32"/>
          <w:szCs w:val="32"/>
          <w:lang w:val="en-US" w:eastAsia="zh-CN"/>
        </w:rPr>
      </w:pPr>
      <w:r>
        <w:rPr>
          <w:rFonts w:hint="eastAsia" w:eastAsia="仿宋_GB2312" w:cs="宋体"/>
          <w:b w:val="0"/>
          <w:bCs w:val="0"/>
          <w:color w:val="000000" w:themeColor="text1"/>
          <w:sz w:val="32"/>
          <w:szCs w:val="32"/>
          <w:lang w:val="en-US" w:eastAsia="zh-CN"/>
          <w14:textFill>
            <w14:solidFill>
              <w14:schemeClr w14:val="tx1"/>
            </w14:solidFill>
          </w14:textFill>
        </w:rPr>
        <w:t>2022年草原生态补助奖励政策项目总投资1023.05万元，其中禁牧补助474.3万元，</w:t>
      </w:r>
      <w:r>
        <w:rPr>
          <w:rFonts w:hint="eastAsia" w:ascii="宋体" w:hAnsi="宋体" w:eastAsia="仿宋_GB2312" w:cs="宋体"/>
          <w:color w:val="000000" w:themeColor="text1"/>
          <w:sz w:val="32"/>
          <w:szCs w:val="32"/>
          <w:lang w:val="zh-CN" w:eastAsia="zh-CN"/>
          <w14:textFill>
            <w14:solidFill>
              <w14:schemeClr w14:val="tx1"/>
            </w14:solidFill>
          </w14:textFill>
        </w:rPr>
        <w:t>实施草</w:t>
      </w:r>
      <w:r>
        <w:rPr>
          <w:rFonts w:hint="eastAsia" w:ascii="宋体" w:hAnsi="宋体" w:eastAsia="仿宋_GB2312" w:cs="宋体"/>
          <w:color w:val="000000" w:themeColor="text1"/>
          <w:sz w:val="32"/>
          <w:szCs w:val="32"/>
          <w:lang w:val="en-US" w:eastAsia="zh-CN"/>
          <w14:textFill>
            <w14:solidFill>
              <w14:schemeClr w14:val="tx1"/>
            </w14:solidFill>
          </w14:textFill>
        </w:rPr>
        <w:t>原</w:t>
      </w:r>
      <w:r>
        <w:rPr>
          <w:rFonts w:hint="eastAsia" w:ascii="宋体" w:hAnsi="宋体" w:eastAsia="仿宋_GB2312" w:cs="宋体"/>
          <w:color w:val="000000" w:themeColor="text1"/>
          <w:sz w:val="32"/>
          <w:szCs w:val="32"/>
          <w:lang w:val="zh-CN" w:eastAsia="zh-CN"/>
          <w14:textFill>
            <w14:solidFill>
              <w14:schemeClr w14:val="tx1"/>
            </w14:solidFill>
          </w14:textFill>
        </w:rPr>
        <w:t>禁牧 62万亩</w:t>
      </w:r>
      <w:r>
        <w:rPr>
          <w:rFonts w:hint="eastAsia" w:eastAsia="仿宋_GB2312" w:cs="宋体"/>
          <w:color w:val="000000" w:themeColor="text1"/>
          <w:sz w:val="32"/>
          <w:szCs w:val="32"/>
          <w:lang w:val="zh-CN" w:eastAsia="zh-CN"/>
          <w14:textFill>
            <w14:solidFill>
              <w14:schemeClr w14:val="tx1"/>
            </w14:solidFill>
          </w14:textFill>
        </w:rPr>
        <w:t>；</w:t>
      </w:r>
      <w:r>
        <w:rPr>
          <w:rFonts w:hint="eastAsia" w:eastAsia="仿宋_GB2312" w:cs="宋体"/>
          <w:b w:val="0"/>
          <w:bCs w:val="0"/>
          <w:color w:val="000000" w:themeColor="text1"/>
          <w:sz w:val="32"/>
          <w:szCs w:val="32"/>
          <w:lang w:val="en-US" w:eastAsia="zh-CN"/>
          <w14:textFill>
            <w14:solidFill>
              <w14:schemeClr w14:val="tx1"/>
            </w14:solidFill>
          </w14:textFill>
        </w:rPr>
        <w:t>草畜平衡补助资金548.75万元，</w:t>
      </w:r>
      <w:r>
        <w:rPr>
          <w:rFonts w:hint="eastAsia" w:ascii="宋体" w:hAnsi="宋体" w:eastAsia="仿宋_GB2312" w:cs="宋体"/>
          <w:color w:val="000000" w:themeColor="text1"/>
          <w:sz w:val="32"/>
          <w:szCs w:val="32"/>
          <w:lang w:val="zh-CN" w:eastAsia="zh-CN"/>
          <w14:textFill>
            <w14:solidFill>
              <w14:schemeClr w14:val="tx1"/>
            </w14:solidFill>
          </w14:textFill>
        </w:rPr>
        <w:t>实施草畜平衡219.5万亩</w:t>
      </w:r>
      <w:r>
        <w:rPr>
          <w:rFonts w:hint="eastAsia" w:eastAsia="仿宋_GB2312" w:cs="宋体"/>
          <w:b w:val="0"/>
          <w:bCs w:val="0"/>
          <w:color w:val="000000" w:themeColor="text1"/>
          <w:sz w:val="32"/>
          <w:szCs w:val="32"/>
          <w:lang w:val="en-US" w:eastAsia="zh-CN"/>
          <w14:textFill>
            <w14:solidFill>
              <w14:schemeClr w14:val="tx1"/>
            </w14:solidFill>
          </w14:textFill>
        </w:rPr>
        <w:t>。</w:t>
      </w:r>
    </w:p>
    <w:p>
      <w:pPr>
        <w:pStyle w:val="12"/>
        <w:keepNext w:val="0"/>
        <w:keepLines w:val="0"/>
        <w:widowControl/>
        <w:numPr>
          <w:ilvl w:val="0"/>
          <w:numId w:val="4"/>
        </w:numPr>
        <w:suppressLineNumbers w:val="0"/>
        <w:ind w:left="-10" w:leftChars="0" w:firstLine="640" w:firstLineChars="0"/>
        <w:rPr>
          <w:rFonts w:hint="default" w:ascii="宋体" w:hAnsi="宋体" w:eastAsia="仿宋_GB2312" w:cs="宋体"/>
          <w:b w:val="0"/>
          <w:bCs w:val="0"/>
          <w:color w:val="000000" w:themeColor="text1"/>
          <w:sz w:val="32"/>
          <w:szCs w:val="32"/>
          <w:lang w:val="en-US" w:eastAsia="zh-CN"/>
          <w14:textFill>
            <w14:solidFill>
              <w14:schemeClr w14:val="tx1"/>
            </w14:solidFill>
          </w14:textFill>
        </w:rPr>
      </w:pPr>
      <w:r>
        <w:rPr>
          <w:rFonts w:hint="eastAsia" w:ascii="宋体" w:hAnsi="宋体" w:eastAsia="仿宋_GB2312" w:cs="宋体"/>
          <w:b w:val="0"/>
          <w:bCs w:val="0"/>
          <w:color w:val="000000" w:themeColor="text1"/>
          <w:sz w:val="32"/>
          <w:szCs w:val="32"/>
          <w:lang w:val="en-US" w:eastAsia="zh-CN"/>
          <w14:textFill>
            <w14:solidFill>
              <w14:schemeClr w14:val="tx1"/>
            </w14:solidFill>
          </w14:textFill>
        </w:rPr>
        <w:t>评价工作开展及项目情况</w:t>
      </w:r>
    </w:p>
    <w:p>
      <w:pPr>
        <w:pStyle w:val="12"/>
        <w:keepNext w:val="0"/>
        <w:keepLines w:val="0"/>
        <w:widowControl/>
        <w:numPr>
          <w:ilvl w:val="0"/>
          <w:numId w:val="5"/>
        </w:numPr>
        <w:suppressLineNumbers w:val="0"/>
        <w:ind w:left="640" w:leftChars="0"/>
        <w:rPr>
          <w:rFonts w:hint="eastAsia" w:ascii="宋体" w:hAnsi="宋体" w:eastAsia="仿宋_GB2312" w:cs="宋体"/>
          <w:b w:val="0"/>
          <w:bCs w:val="0"/>
          <w:color w:val="000000" w:themeColor="text1"/>
          <w:sz w:val="32"/>
          <w:szCs w:val="32"/>
          <w:lang w:val="en-US" w:eastAsia="zh-CN"/>
          <w14:textFill>
            <w14:solidFill>
              <w14:schemeClr w14:val="tx1"/>
            </w14:solidFill>
          </w14:textFill>
        </w:rPr>
      </w:pPr>
      <w:r>
        <w:rPr>
          <w:rFonts w:hint="eastAsia" w:ascii="宋体" w:hAnsi="宋体" w:eastAsia="仿宋_GB2312" w:cs="宋体"/>
          <w:b w:val="0"/>
          <w:bCs w:val="0"/>
          <w:color w:val="000000" w:themeColor="text1"/>
          <w:sz w:val="32"/>
          <w:szCs w:val="32"/>
          <w:lang w:val="en-US" w:eastAsia="zh-CN"/>
          <w14:textFill>
            <w14:solidFill>
              <w14:schemeClr w14:val="tx1"/>
            </w14:solidFill>
          </w14:textFill>
        </w:rPr>
        <w:t xml:space="preserve">评价结论及绩效分析  </w:t>
      </w:r>
    </w:p>
    <w:p>
      <w:pPr>
        <w:pStyle w:val="12"/>
        <w:keepNext w:val="0"/>
        <w:keepLines w:val="0"/>
        <w:widowControl/>
        <w:numPr>
          <w:ilvl w:val="0"/>
          <w:numId w:val="6"/>
        </w:numPr>
        <w:suppressLineNumbers w:val="0"/>
        <w:ind w:left="630" w:leftChars="0" w:firstLineChars="0"/>
        <w:rPr>
          <w:rFonts w:hint="eastAsia" w:ascii="宋体" w:hAnsi="宋体" w:eastAsia="仿宋_GB2312" w:cs="宋体"/>
          <w:b w:val="0"/>
          <w:bCs w:val="0"/>
          <w:color w:val="000000" w:themeColor="text1"/>
          <w:sz w:val="32"/>
          <w:szCs w:val="32"/>
          <w:lang w:val="en-US" w:eastAsia="zh-CN"/>
          <w14:textFill>
            <w14:solidFill>
              <w14:schemeClr w14:val="tx1"/>
            </w14:solidFill>
          </w14:textFill>
        </w:rPr>
      </w:pPr>
      <w:r>
        <w:rPr>
          <w:rFonts w:hint="eastAsia" w:ascii="宋体" w:hAnsi="宋体" w:eastAsia="仿宋_GB2312" w:cs="宋体"/>
          <w:b w:val="0"/>
          <w:bCs w:val="0"/>
          <w:color w:val="000000" w:themeColor="text1"/>
          <w:sz w:val="32"/>
          <w:szCs w:val="32"/>
          <w:lang w:val="en-US" w:eastAsia="zh-CN"/>
          <w14:textFill>
            <w14:solidFill>
              <w14:schemeClr w14:val="tx1"/>
            </w14:solidFill>
          </w14:textFill>
        </w:rPr>
        <w:t>评价结论</w:t>
      </w:r>
    </w:p>
    <w:p>
      <w:pPr>
        <w:pStyle w:val="12"/>
        <w:keepNext w:val="0"/>
        <w:keepLines w:val="0"/>
        <w:widowControl/>
        <w:numPr>
          <w:ilvl w:val="0"/>
          <w:numId w:val="6"/>
        </w:numPr>
        <w:suppressLineNumbers w:val="0"/>
        <w:ind w:left="630" w:leftChars="0" w:firstLineChars="0"/>
        <w:rPr>
          <w:rFonts w:hint="default" w:ascii="宋体" w:hAnsi="宋体" w:eastAsia="仿宋_GB2312" w:cs="宋体"/>
          <w:b w:val="0"/>
          <w:bCs w:val="0"/>
          <w:color w:val="000000" w:themeColor="text1"/>
          <w:sz w:val="32"/>
          <w:szCs w:val="32"/>
          <w:lang w:val="en-US" w:eastAsia="zh-CN"/>
          <w14:textFill>
            <w14:solidFill>
              <w14:schemeClr w14:val="tx1"/>
            </w14:solidFill>
          </w14:textFill>
        </w:rPr>
      </w:pPr>
      <w:r>
        <w:rPr>
          <w:rFonts w:hint="eastAsia" w:ascii="宋体" w:hAnsi="宋体" w:eastAsia="仿宋_GB2312" w:cs="宋体"/>
          <w:b w:val="0"/>
          <w:bCs w:val="0"/>
          <w:color w:val="000000" w:themeColor="text1"/>
          <w:sz w:val="32"/>
          <w:szCs w:val="32"/>
          <w:lang w:val="en-US" w:eastAsia="zh-CN"/>
          <w14:textFill>
            <w14:solidFill>
              <w14:schemeClr w14:val="tx1"/>
            </w14:solidFill>
          </w14:textFill>
        </w:rPr>
        <w:t>绩效分析</w:t>
      </w:r>
    </w:p>
    <w:p>
      <w:pPr>
        <w:pStyle w:val="12"/>
        <w:keepNext w:val="0"/>
        <w:keepLines w:val="0"/>
        <w:widowControl/>
        <w:suppressLineNumbers w:val="0"/>
        <w:ind w:left="0" w:firstLine="640"/>
        <w:rPr>
          <w:rFonts w:hint="eastAsia" w:ascii="宋体" w:hAnsi="宋体" w:eastAsia="仿宋_GB2312" w:cs="宋体"/>
          <w:b w:val="0"/>
          <w:bCs w:val="0"/>
          <w:color w:val="000000" w:themeColor="text1"/>
          <w:sz w:val="32"/>
          <w:szCs w:val="32"/>
          <w:lang w:val="en-US" w:eastAsia="zh-CN"/>
          <w14:textFill>
            <w14:solidFill>
              <w14:schemeClr w14:val="tx1"/>
            </w14:solidFill>
          </w14:textFill>
        </w:rPr>
      </w:pPr>
      <w:r>
        <w:rPr>
          <w:rFonts w:hint="eastAsia" w:ascii="宋体" w:hAnsi="宋体" w:eastAsia="仿宋_GB2312" w:cs="宋体"/>
          <w:b w:val="0"/>
          <w:bCs w:val="0"/>
          <w:color w:val="000000" w:themeColor="text1"/>
          <w:sz w:val="32"/>
          <w:szCs w:val="32"/>
          <w:lang w:val="en-US" w:eastAsia="zh-CN"/>
          <w14:textFill>
            <w14:solidFill>
              <w14:schemeClr w14:val="tx1"/>
            </w14:solidFill>
          </w14:textFill>
        </w:rPr>
        <w:t>1、项目决策</w:t>
      </w:r>
    </w:p>
    <w:p>
      <w:pPr>
        <w:pStyle w:val="12"/>
        <w:keepNext w:val="0"/>
        <w:keepLines w:val="0"/>
        <w:widowControl/>
        <w:numPr>
          <w:ilvl w:val="0"/>
          <w:numId w:val="0"/>
        </w:numPr>
        <w:suppressLineNumbers w:val="0"/>
        <w:ind w:firstLine="640" w:firstLineChars="200"/>
        <w:rPr>
          <w:rFonts w:hint="eastAsia" w:ascii="宋体" w:hAnsi="宋体" w:eastAsia="仿宋_GB2312" w:cs="宋体"/>
          <w:b w:val="0"/>
          <w:bCs w:val="0"/>
          <w:color w:val="000000" w:themeColor="text1"/>
          <w:sz w:val="32"/>
          <w:szCs w:val="32"/>
          <w:lang w:val="en-US" w:eastAsia="zh-CN"/>
          <w14:textFill>
            <w14:solidFill>
              <w14:schemeClr w14:val="tx1"/>
            </w14:solidFill>
          </w14:textFill>
        </w:rPr>
      </w:pPr>
      <w:r>
        <w:rPr>
          <w:rFonts w:hint="eastAsia" w:ascii="宋体" w:hAnsi="宋体" w:eastAsia="仿宋_GB2312" w:cs="宋体"/>
          <w:b w:val="0"/>
          <w:bCs w:val="0"/>
          <w:color w:val="000000" w:themeColor="text1"/>
          <w:sz w:val="32"/>
          <w:szCs w:val="32"/>
          <w:lang w:val="en-US" w:eastAsia="zh-CN"/>
          <w14:textFill>
            <w14:solidFill>
              <w14:schemeClr w14:val="tx1"/>
            </w14:solidFill>
          </w14:textFill>
        </w:rPr>
        <w:t>2、项目实施</w:t>
      </w:r>
    </w:p>
    <w:p>
      <w:pPr>
        <w:pStyle w:val="12"/>
        <w:keepNext w:val="0"/>
        <w:keepLines w:val="0"/>
        <w:widowControl/>
        <w:suppressLineNumbers w:val="0"/>
        <w:ind w:left="0" w:firstLine="640"/>
        <w:rPr>
          <w:rFonts w:hint="eastAsia" w:ascii="宋体" w:hAnsi="宋体" w:eastAsia="仿宋_GB2312" w:cs="宋体"/>
          <w:b w:val="0"/>
          <w:bCs w:val="0"/>
          <w:color w:val="000000" w:themeColor="text1"/>
          <w:sz w:val="32"/>
          <w:szCs w:val="32"/>
          <w:lang w:val="en-US" w:eastAsia="zh-CN"/>
          <w14:textFill>
            <w14:solidFill>
              <w14:schemeClr w14:val="tx1"/>
            </w14:solidFill>
          </w14:textFill>
        </w:rPr>
      </w:pPr>
      <w:r>
        <w:rPr>
          <w:rFonts w:hint="eastAsia" w:ascii="宋体" w:hAnsi="宋体" w:eastAsia="仿宋_GB2312" w:cs="宋体"/>
          <w:b w:val="0"/>
          <w:bCs w:val="0"/>
          <w:color w:val="000000" w:themeColor="text1"/>
          <w:sz w:val="32"/>
          <w:szCs w:val="32"/>
          <w:lang w:val="en-US" w:eastAsia="zh-CN"/>
          <w14:textFill>
            <w14:solidFill>
              <w14:schemeClr w14:val="tx1"/>
            </w14:solidFill>
          </w14:textFill>
        </w:rPr>
        <w:t>3、项目绩效</w:t>
      </w:r>
    </w:p>
    <w:p>
      <w:pPr>
        <w:pStyle w:val="12"/>
        <w:keepNext w:val="0"/>
        <w:keepLines w:val="0"/>
        <w:widowControl/>
        <w:suppressLineNumbers w:val="0"/>
        <w:ind w:left="0" w:firstLine="640"/>
        <w:rPr>
          <w:rFonts w:hint="eastAsia" w:ascii="宋体" w:hAnsi="宋体" w:eastAsia="仿宋_GB2312" w:cs="宋体"/>
          <w:b w:val="0"/>
          <w:bCs w:val="0"/>
          <w:color w:val="000000" w:themeColor="text1"/>
          <w:sz w:val="32"/>
          <w:szCs w:val="32"/>
          <w:lang w:val="en-US" w:eastAsia="zh-CN"/>
          <w14:textFill>
            <w14:solidFill>
              <w14:schemeClr w14:val="tx1"/>
            </w14:solidFill>
          </w14:textFill>
        </w:rPr>
      </w:pPr>
      <w:r>
        <w:rPr>
          <w:rFonts w:hint="eastAsia" w:ascii="宋体" w:hAnsi="宋体" w:eastAsia="仿宋_GB2312" w:cs="宋体"/>
          <w:b w:val="0"/>
          <w:bCs w:val="0"/>
          <w:color w:val="000000" w:themeColor="text1"/>
          <w:sz w:val="32"/>
          <w:szCs w:val="32"/>
          <w:lang w:val="en-US" w:eastAsia="zh-CN"/>
          <w14:textFill>
            <w14:solidFill>
              <w14:schemeClr w14:val="tx1"/>
            </w14:solidFill>
          </w14:textFill>
        </w:rPr>
        <w:t>（一）项目完成情况</w:t>
      </w:r>
    </w:p>
    <w:p>
      <w:pPr>
        <w:pStyle w:val="12"/>
        <w:keepNext w:val="0"/>
        <w:keepLines w:val="0"/>
        <w:widowControl/>
        <w:suppressLineNumbers w:val="0"/>
        <w:ind w:left="0" w:firstLine="640"/>
        <w:rPr>
          <w:rFonts w:hint="default" w:ascii="宋体" w:hAnsi="宋体" w:eastAsia="仿宋_GB2312" w:cs="宋体"/>
          <w:b w:val="0"/>
          <w:bCs w:val="0"/>
          <w:color w:val="000000" w:themeColor="text1"/>
          <w:sz w:val="32"/>
          <w:szCs w:val="32"/>
          <w:lang w:val="en-US" w:eastAsia="zh-CN"/>
          <w14:textFill>
            <w14:solidFill>
              <w14:schemeClr w14:val="tx1"/>
            </w14:solidFill>
          </w14:textFill>
        </w:rPr>
      </w:pPr>
      <w:r>
        <w:rPr>
          <w:rFonts w:hint="eastAsia" w:ascii="宋体" w:hAnsi="宋体" w:eastAsia="仿宋_GB2312" w:cs="宋体"/>
          <w:b w:val="0"/>
          <w:bCs w:val="0"/>
          <w:color w:val="000000" w:themeColor="text1"/>
          <w:sz w:val="32"/>
          <w:szCs w:val="32"/>
          <w:lang w:val="en-US" w:eastAsia="zh-CN"/>
          <w14:textFill>
            <w14:solidFill>
              <w14:schemeClr w14:val="tx1"/>
            </w14:solidFill>
          </w14:textFill>
        </w:rPr>
        <w:t>（二）项目效益情况</w:t>
      </w:r>
    </w:p>
    <w:p>
      <w:pPr>
        <w:pStyle w:val="12"/>
        <w:keepNext w:val="0"/>
        <w:keepLines w:val="0"/>
        <w:widowControl/>
        <w:numPr>
          <w:ilvl w:val="0"/>
          <w:numId w:val="0"/>
        </w:numPr>
        <w:suppressLineNumbers w:val="0"/>
        <w:ind w:firstLine="640" w:firstLineChars="200"/>
        <w:rPr>
          <w:rFonts w:hint="eastAsia" w:ascii="宋体" w:hAnsi="宋体" w:eastAsia="仿宋_GB2312" w:cs="宋体"/>
          <w:b w:val="0"/>
          <w:bCs w:val="0"/>
          <w:color w:val="000000" w:themeColor="text1"/>
          <w:sz w:val="32"/>
          <w:szCs w:val="32"/>
          <w:lang w:val="en-US" w:eastAsia="zh-CN"/>
          <w14:textFill>
            <w14:solidFill>
              <w14:schemeClr w14:val="tx1"/>
            </w14:solidFill>
          </w14:textFill>
        </w:rPr>
      </w:pPr>
      <w:r>
        <w:rPr>
          <w:rFonts w:hint="eastAsia" w:ascii="宋体" w:hAnsi="宋体" w:eastAsia="仿宋_GB2312" w:cs="宋体"/>
          <w:b w:val="0"/>
          <w:bCs w:val="0"/>
          <w:color w:val="000000" w:themeColor="text1"/>
          <w:sz w:val="32"/>
          <w:szCs w:val="32"/>
          <w:lang w:val="en-US" w:eastAsia="zh-CN"/>
          <w14:textFill>
            <w14:solidFill>
              <w14:schemeClr w14:val="tx1"/>
            </w14:solidFill>
          </w14:textFill>
        </w:rPr>
        <w:t>4、存在主要问题</w:t>
      </w:r>
    </w:p>
    <w:p>
      <w:pPr>
        <w:pStyle w:val="12"/>
        <w:keepNext w:val="0"/>
        <w:keepLines w:val="0"/>
        <w:widowControl/>
        <w:numPr>
          <w:ilvl w:val="0"/>
          <w:numId w:val="0"/>
        </w:numPr>
        <w:suppressLineNumbers w:val="0"/>
        <w:ind w:firstLine="640" w:firstLineChars="200"/>
        <w:rPr>
          <w:rFonts w:hint="eastAsia" w:ascii="宋体" w:hAnsi="宋体" w:eastAsia="仿宋_GB2312" w:cs="宋体"/>
          <w:b w:val="0"/>
          <w:bCs w:val="0"/>
          <w:color w:val="000000" w:themeColor="text1"/>
          <w:sz w:val="32"/>
          <w:szCs w:val="32"/>
          <w:lang w:val="en-US" w:eastAsia="zh-CN"/>
          <w14:textFill>
            <w14:solidFill>
              <w14:schemeClr w14:val="tx1"/>
            </w14:solidFill>
          </w14:textFill>
        </w:rPr>
      </w:pPr>
      <w:r>
        <w:rPr>
          <w:rFonts w:hint="eastAsia" w:ascii="宋体" w:hAnsi="宋体" w:eastAsia="仿宋_GB2312" w:cs="宋体"/>
          <w:b w:val="0"/>
          <w:bCs w:val="0"/>
          <w:color w:val="000000" w:themeColor="text1"/>
          <w:sz w:val="32"/>
          <w:szCs w:val="32"/>
          <w:lang w:val="en-US" w:eastAsia="zh-CN"/>
          <w14:textFill>
            <w14:solidFill>
              <w14:schemeClr w14:val="tx1"/>
            </w14:solidFill>
          </w14:textFill>
        </w:rPr>
        <w:t>5、相关措施建议</w:t>
      </w:r>
    </w:p>
    <w:p>
      <w:pPr>
        <w:pStyle w:val="12"/>
        <w:keepNext w:val="0"/>
        <w:keepLines w:val="0"/>
        <w:widowControl/>
        <w:suppressLineNumbers w:val="0"/>
        <w:ind w:left="0" w:firstLine="640"/>
        <w:rPr>
          <w:rFonts w:hint="eastAsia" w:ascii="宋体" w:hAnsi="宋体" w:eastAsia="仿宋_GB2312" w:cs="宋体"/>
          <w:b/>
          <w:bCs/>
          <w:color w:val="auto"/>
          <w:sz w:val="32"/>
          <w:szCs w:val="32"/>
          <w:lang w:val="en-US" w:eastAsia="zh-CN"/>
        </w:rPr>
      </w:pPr>
      <w:r>
        <w:rPr>
          <w:rFonts w:hint="eastAsia" w:ascii="宋体" w:hAnsi="宋体" w:eastAsia="仿宋_GB2312" w:cs="宋体"/>
          <w:b/>
          <w:bCs/>
          <w:color w:val="auto"/>
          <w:sz w:val="32"/>
          <w:szCs w:val="32"/>
          <w:lang w:val="en-US" w:eastAsia="zh-CN"/>
        </w:rPr>
        <w:t>三、评价工作开展及项目情况</w:t>
      </w:r>
    </w:p>
    <w:p>
      <w:pPr>
        <w:pStyle w:val="12"/>
        <w:keepNext w:val="0"/>
        <w:keepLines w:val="0"/>
        <w:widowControl/>
        <w:suppressLineNumbers w:val="0"/>
        <w:ind w:left="0" w:firstLine="640"/>
        <w:rPr>
          <w:rFonts w:hint="eastAsia" w:ascii="宋体" w:hAnsi="宋体" w:eastAsia="仿宋_GB2312" w:cs="宋体"/>
          <w:color w:val="auto"/>
          <w:sz w:val="32"/>
          <w:szCs w:val="32"/>
          <w:lang w:val="en-US" w:eastAsia="zh-CN"/>
        </w:rPr>
      </w:pPr>
      <w:r>
        <w:rPr>
          <w:rFonts w:hint="eastAsia" w:ascii="宋体" w:hAnsi="宋体" w:eastAsia="仿宋_GB2312" w:cs="宋体"/>
          <w:color w:val="auto"/>
          <w:sz w:val="32"/>
          <w:szCs w:val="32"/>
          <w:lang w:val="en-US" w:eastAsia="zh-CN"/>
        </w:rPr>
        <w:t>草原生态补助奖励政策项目是在全县范围内实施，包含草原禁牧面积62万亩，涉及全县15个乡镇，68个村14934户；草畜平衡实施面积219.5万亩，涉及全县19个乡镇85个村17637户，该项目通过乡村全覆盖自查验收、县级林草部门验收、审核备案的方式，认真组织开展考核验收工作。对完成政策实施的牧户考核验收合格后进行村级公示和县级公告，无异议后拨付资金。县领导小组及时组织财政、畜牧、纪检监察等部门将禁牧补助、草畜平衡奖励资金足额直补兑现到完成任务、履行责任的牧户。</w:t>
      </w:r>
    </w:p>
    <w:p>
      <w:pPr>
        <w:pStyle w:val="12"/>
        <w:keepNext w:val="0"/>
        <w:keepLines w:val="0"/>
        <w:widowControl/>
        <w:suppressLineNumbers w:val="0"/>
        <w:ind w:left="0" w:firstLine="640"/>
        <w:rPr>
          <w:rFonts w:hint="eastAsia" w:ascii="宋体" w:hAnsi="宋体" w:eastAsia="仿宋_GB2312" w:cs="宋体"/>
          <w:b/>
          <w:bCs/>
          <w:color w:val="auto"/>
          <w:sz w:val="32"/>
          <w:szCs w:val="32"/>
          <w:lang w:val="en-US" w:eastAsia="zh-CN"/>
        </w:rPr>
      </w:pPr>
      <w:r>
        <w:rPr>
          <w:rFonts w:hint="eastAsia" w:ascii="宋体" w:hAnsi="宋体" w:eastAsia="仿宋_GB2312" w:cs="宋体"/>
          <w:b/>
          <w:bCs/>
          <w:color w:val="auto"/>
          <w:sz w:val="32"/>
          <w:szCs w:val="32"/>
          <w:lang w:val="en-US" w:eastAsia="zh-CN"/>
        </w:rPr>
        <w:t>四、评价结论及绩效分析</w:t>
      </w:r>
    </w:p>
    <w:p>
      <w:pPr>
        <w:pStyle w:val="12"/>
        <w:keepNext w:val="0"/>
        <w:keepLines w:val="0"/>
        <w:widowControl/>
        <w:suppressLineNumbers w:val="0"/>
        <w:ind w:left="0" w:firstLine="640"/>
        <w:rPr>
          <w:rFonts w:hint="eastAsia" w:ascii="宋体" w:hAnsi="宋体" w:eastAsia="仿宋_GB2312" w:cs="宋体"/>
          <w:color w:val="auto"/>
          <w:sz w:val="32"/>
          <w:szCs w:val="32"/>
          <w:lang w:val="en-US" w:eastAsia="zh-CN"/>
        </w:rPr>
      </w:pPr>
      <w:r>
        <w:rPr>
          <w:rFonts w:hint="eastAsia" w:ascii="宋体" w:hAnsi="宋体" w:eastAsia="仿宋_GB2312" w:cs="宋体"/>
          <w:color w:val="auto"/>
          <w:sz w:val="32"/>
          <w:szCs w:val="32"/>
          <w:lang w:val="en-US" w:eastAsia="zh-CN"/>
        </w:rPr>
        <w:t>（一）评价结论</w:t>
      </w:r>
    </w:p>
    <w:p>
      <w:pPr>
        <w:pStyle w:val="12"/>
        <w:keepNext w:val="0"/>
        <w:keepLines w:val="0"/>
        <w:widowControl/>
        <w:suppressLineNumbers w:val="0"/>
        <w:ind w:left="0" w:firstLine="640"/>
        <w:rPr>
          <w:rFonts w:hint="eastAsia" w:ascii="宋体" w:hAnsi="宋体" w:eastAsia="仿宋_GB2312" w:cs="宋体"/>
          <w:color w:val="auto"/>
          <w:sz w:val="32"/>
          <w:szCs w:val="32"/>
          <w:lang w:val="en-US" w:eastAsia="zh-CN"/>
        </w:rPr>
      </w:pPr>
      <w:r>
        <w:rPr>
          <w:rFonts w:hint="eastAsia" w:ascii="宋体" w:hAnsi="宋体" w:eastAsia="仿宋_GB2312" w:cs="宋体"/>
          <w:color w:val="auto"/>
          <w:sz w:val="32"/>
          <w:szCs w:val="32"/>
          <w:lang w:val="en-US" w:eastAsia="zh-CN"/>
        </w:rPr>
        <w:t>通过项目实施后，年发放牧户补奖资金1023.05万元。年可实现牧民户均政策性增收1521元，人均增收240元。同时，实施草畜平衡，可加快畜群周转，优化畜群结构，减少牲畜因灾死亡，转变生产发展方式，提升草原畜牧业效益，对牧民依靠畜牧产业脱贫增收具有十分重要的支撑作用.</w:t>
      </w:r>
    </w:p>
    <w:p>
      <w:pPr>
        <w:pStyle w:val="12"/>
        <w:keepNext w:val="0"/>
        <w:keepLines w:val="0"/>
        <w:widowControl/>
        <w:suppressLineNumbers w:val="0"/>
        <w:ind w:left="0" w:firstLine="640"/>
        <w:rPr>
          <w:rFonts w:hint="eastAsia" w:ascii="宋体" w:hAnsi="宋体" w:eastAsia="仿宋_GB2312" w:cs="宋体"/>
          <w:color w:val="auto"/>
          <w:sz w:val="32"/>
          <w:szCs w:val="32"/>
          <w:lang w:val="en-US" w:eastAsia="zh-CN"/>
        </w:rPr>
      </w:pPr>
      <w:r>
        <w:rPr>
          <w:rFonts w:hint="eastAsia" w:ascii="宋体" w:hAnsi="宋体" w:eastAsia="仿宋_GB2312" w:cs="宋体"/>
          <w:color w:val="auto"/>
          <w:sz w:val="32"/>
          <w:szCs w:val="32"/>
          <w:lang w:val="en-US" w:eastAsia="zh-CN"/>
        </w:rPr>
        <w:t>（二）绩效分析</w:t>
      </w:r>
    </w:p>
    <w:p>
      <w:pPr>
        <w:pStyle w:val="12"/>
        <w:keepNext w:val="0"/>
        <w:keepLines w:val="0"/>
        <w:widowControl/>
        <w:suppressLineNumbers w:val="0"/>
        <w:ind w:left="0" w:firstLine="640"/>
        <w:rPr>
          <w:rFonts w:hint="eastAsia" w:ascii="宋体" w:hAnsi="宋体" w:eastAsia="仿宋_GB2312" w:cs="宋体"/>
          <w:color w:val="auto"/>
          <w:sz w:val="32"/>
          <w:szCs w:val="32"/>
          <w:lang w:val="en-US" w:eastAsia="zh-CN"/>
        </w:rPr>
      </w:pPr>
      <w:r>
        <w:rPr>
          <w:rFonts w:hint="eastAsia" w:ascii="宋体" w:hAnsi="宋体" w:eastAsia="仿宋_GB2312" w:cs="宋体"/>
          <w:color w:val="auto"/>
          <w:sz w:val="32"/>
          <w:szCs w:val="32"/>
          <w:lang w:val="en-US" w:eastAsia="zh-CN"/>
        </w:rPr>
        <w:t>1.项目决策</w:t>
      </w:r>
    </w:p>
    <w:p>
      <w:pPr>
        <w:pStyle w:val="12"/>
        <w:keepNext w:val="0"/>
        <w:keepLines w:val="0"/>
        <w:widowControl/>
        <w:suppressLineNumbers w:val="0"/>
        <w:ind w:left="0" w:firstLine="640"/>
        <w:rPr>
          <w:rFonts w:hint="eastAsia" w:ascii="宋体" w:hAnsi="宋体" w:eastAsia="仿宋_GB2312" w:cs="宋体"/>
          <w:color w:val="auto"/>
          <w:sz w:val="32"/>
          <w:szCs w:val="32"/>
          <w:lang w:val="en-US" w:eastAsia="zh-CN"/>
        </w:rPr>
      </w:pPr>
      <w:r>
        <w:rPr>
          <w:rFonts w:hint="eastAsia" w:eastAsia="仿宋_GB2312" w:cs="宋体"/>
          <w:color w:val="auto"/>
          <w:sz w:val="32"/>
          <w:szCs w:val="32"/>
          <w:lang w:val="en-US" w:eastAsia="zh-CN"/>
        </w:rPr>
        <w:t>该项目的实施经过了事前评估，符合专项设立的基本规范和程序要求，与部门职责相符，项目设立依据充分，符合省委、省政府重大决策部署和宏观政策规划，与相关部门同类项目或部门内部相关项目不存在重复，项目年度绩效目标与中长期规划一致。规划与现实需求匹配，不存在因规划不够合理导致项目效益欠佳的情况。该项目</w:t>
      </w:r>
      <w:r>
        <w:rPr>
          <w:rFonts w:hint="eastAsia" w:ascii="宋体" w:hAnsi="宋体" w:eastAsia="仿宋_GB2312" w:cs="宋体"/>
          <w:color w:val="auto"/>
          <w:sz w:val="32"/>
          <w:szCs w:val="32"/>
          <w:lang w:val="en-US" w:eastAsia="zh-CN"/>
        </w:rPr>
        <w:t>按照财政部、农业农村部、国家林草局联合印发的《第三轮草原生态保护补助奖励政策实施指导意见》财农〔2021〕82号文件要求，财政厅、农业农村厅、省林草局联合制定了《四川省第三轮草原生态保护补助奖励政策实施方案（2021—2025年）》的通知（川财农〔2021〕129号）和四川省财政厅 四川省农业农村厅《关于提前下达2022年中央财政农业资源及生态保护补助资金的通知》（川财农〔2021〕169号）；《阿坝州财政局 阿坝州农业农村局关于下达2022年中央财政农业资源及生态保护补助资金的通知》（阿州财农〔2021〕98号）相关要求开展草原生态补助奖励政策项目，</w:t>
      </w:r>
      <w:r>
        <w:rPr>
          <w:rFonts w:hint="eastAsia" w:eastAsia="仿宋_GB2312" w:cs="宋体"/>
          <w:color w:val="auto"/>
          <w:sz w:val="32"/>
          <w:szCs w:val="32"/>
          <w:lang w:val="en-US" w:eastAsia="zh-CN"/>
        </w:rPr>
        <w:t>该</w:t>
      </w:r>
      <w:r>
        <w:rPr>
          <w:rFonts w:hint="eastAsia" w:ascii="宋体" w:hAnsi="宋体" w:eastAsia="仿宋_GB2312" w:cs="宋体"/>
          <w:color w:val="auto"/>
          <w:sz w:val="32"/>
          <w:szCs w:val="32"/>
          <w:lang w:val="en-US" w:eastAsia="zh-CN"/>
        </w:rPr>
        <w:t>项目的相关管理制度机制健全完善，在项目执行过程中，</w:t>
      </w:r>
      <w:r>
        <w:rPr>
          <w:rFonts w:hint="eastAsia" w:eastAsia="仿宋_GB2312" w:cs="宋体"/>
          <w:color w:val="auto"/>
          <w:sz w:val="32"/>
          <w:szCs w:val="32"/>
          <w:lang w:val="en-US" w:eastAsia="zh-CN"/>
        </w:rPr>
        <w:t>不</w:t>
      </w:r>
      <w:r>
        <w:rPr>
          <w:rFonts w:hint="eastAsia" w:ascii="宋体" w:hAnsi="宋体" w:eastAsia="仿宋_GB2312" w:cs="宋体"/>
          <w:color w:val="auto"/>
          <w:sz w:val="32"/>
          <w:szCs w:val="32"/>
          <w:lang w:val="en-US" w:eastAsia="zh-CN"/>
        </w:rPr>
        <w:t>存在管理制度有悖于实际的情况，</w:t>
      </w:r>
      <w:r>
        <w:rPr>
          <w:rFonts w:hint="eastAsia" w:eastAsia="仿宋_GB2312" w:cs="宋体"/>
          <w:color w:val="auto"/>
          <w:sz w:val="32"/>
          <w:szCs w:val="32"/>
          <w:lang w:val="en-US" w:eastAsia="zh-CN"/>
        </w:rPr>
        <w:t>不</w:t>
      </w:r>
      <w:r>
        <w:rPr>
          <w:rFonts w:hint="eastAsia" w:ascii="宋体" w:hAnsi="宋体" w:eastAsia="仿宋_GB2312" w:cs="宋体"/>
          <w:color w:val="auto"/>
          <w:sz w:val="32"/>
          <w:szCs w:val="32"/>
          <w:lang w:val="en-US" w:eastAsia="zh-CN"/>
        </w:rPr>
        <w:t>存在难以操作、无法落地、执行不畅的情况，</w:t>
      </w:r>
      <w:r>
        <w:rPr>
          <w:rFonts w:hint="eastAsia" w:eastAsia="仿宋_GB2312" w:cs="宋体"/>
          <w:color w:val="auto"/>
          <w:sz w:val="32"/>
          <w:szCs w:val="32"/>
          <w:lang w:val="en-US" w:eastAsia="zh-CN"/>
        </w:rPr>
        <w:t>能够</w:t>
      </w:r>
      <w:r>
        <w:rPr>
          <w:rFonts w:hint="eastAsia" w:ascii="宋体" w:hAnsi="宋体" w:eastAsia="仿宋_GB2312" w:cs="宋体"/>
          <w:color w:val="auto"/>
          <w:sz w:val="32"/>
          <w:szCs w:val="32"/>
          <w:lang w:val="en-US" w:eastAsia="zh-CN"/>
        </w:rPr>
        <w:t>满足实际需求，动态调整的情况</w:t>
      </w:r>
      <w:r>
        <w:rPr>
          <w:rFonts w:hint="eastAsia" w:eastAsia="仿宋_GB2312" w:cs="宋体"/>
          <w:color w:val="auto"/>
          <w:sz w:val="32"/>
          <w:szCs w:val="32"/>
          <w:lang w:val="en-US" w:eastAsia="zh-CN"/>
        </w:rPr>
        <w:t>。</w:t>
      </w:r>
    </w:p>
    <w:p>
      <w:pPr>
        <w:pStyle w:val="12"/>
        <w:keepNext w:val="0"/>
        <w:keepLines w:val="0"/>
        <w:widowControl/>
        <w:suppressLineNumbers w:val="0"/>
        <w:ind w:left="0" w:firstLine="640"/>
        <w:rPr>
          <w:rFonts w:hint="eastAsia" w:ascii="宋体" w:hAnsi="宋体" w:eastAsia="仿宋_GB2312" w:cs="宋体"/>
          <w:color w:val="auto"/>
          <w:sz w:val="32"/>
          <w:szCs w:val="32"/>
          <w:lang w:val="en-US" w:eastAsia="zh-CN"/>
        </w:rPr>
      </w:pPr>
      <w:r>
        <w:rPr>
          <w:rFonts w:hint="eastAsia" w:ascii="宋体" w:hAnsi="宋体" w:eastAsia="仿宋_GB2312" w:cs="宋体"/>
          <w:color w:val="auto"/>
          <w:sz w:val="32"/>
          <w:szCs w:val="32"/>
          <w:lang w:val="en-US" w:eastAsia="zh-CN"/>
        </w:rPr>
        <w:t>2.项目实施</w:t>
      </w:r>
    </w:p>
    <w:p>
      <w:pPr>
        <w:pStyle w:val="12"/>
        <w:keepNext w:val="0"/>
        <w:keepLines w:val="0"/>
        <w:widowControl/>
        <w:suppressLineNumbers w:val="0"/>
        <w:ind w:left="0" w:firstLine="640"/>
        <w:rPr>
          <w:rFonts w:hint="default" w:ascii="宋体" w:hAnsi="宋体" w:eastAsia="仿宋_GB2312" w:cs="宋体"/>
          <w:color w:val="auto"/>
          <w:sz w:val="32"/>
          <w:szCs w:val="32"/>
          <w:lang w:val="en-US" w:eastAsia="zh-CN"/>
        </w:rPr>
      </w:pPr>
      <w:r>
        <w:rPr>
          <w:rFonts w:hint="eastAsia" w:ascii="宋体" w:hAnsi="宋体" w:eastAsia="仿宋_GB2312" w:cs="宋体"/>
          <w:color w:val="auto"/>
          <w:sz w:val="32"/>
          <w:szCs w:val="32"/>
          <w:lang w:val="en-US" w:eastAsia="zh-CN"/>
        </w:rPr>
        <w:t>实施草原生态补助奖励政策是党和国家的一项重大惠农惠民工程和民生工程，政策性强、涉及面广，必须采取强有力的措施加以保障，确保政策平稳有效运行。</w:t>
      </w:r>
      <w:r>
        <w:rPr>
          <w:rFonts w:hint="eastAsia" w:ascii="宋体" w:hAnsi="宋体" w:eastAsia="仿宋_GB2312" w:cs="宋体"/>
          <w:color w:val="auto"/>
          <w:sz w:val="32"/>
          <w:szCs w:val="32"/>
          <w:lang w:val="zh-CN" w:eastAsia="zh-CN"/>
        </w:rPr>
        <w:t>按照中央和省</w:t>
      </w:r>
      <w:r>
        <w:rPr>
          <w:rFonts w:hint="eastAsia" w:ascii="宋体" w:hAnsi="宋体" w:eastAsia="仿宋_GB2312" w:cs="宋体"/>
          <w:color w:val="auto"/>
          <w:sz w:val="32"/>
          <w:szCs w:val="32"/>
          <w:lang w:val="en-US" w:eastAsia="zh-CN"/>
        </w:rPr>
        <w:t>州关于</w:t>
      </w:r>
      <w:r>
        <w:rPr>
          <w:rFonts w:hint="eastAsia" w:ascii="宋体" w:hAnsi="宋体" w:eastAsia="仿宋_GB2312" w:cs="宋体"/>
          <w:color w:val="auto"/>
          <w:sz w:val="32"/>
          <w:szCs w:val="32"/>
          <w:lang w:val="zh-CN" w:eastAsia="zh-CN"/>
        </w:rPr>
        <w:t>补奖资金管理要求，建立健全资金管理制度，对补奖资金实行专户存储、分项核算、按补助奖励内容分设明细账、专款专用、封闭运行。</w:t>
      </w:r>
      <w:r>
        <w:rPr>
          <w:rFonts w:hint="eastAsia" w:ascii="宋体" w:hAnsi="宋体" w:eastAsia="仿宋_GB2312" w:cs="宋体"/>
          <w:color w:val="auto"/>
          <w:sz w:val="32"/>
          <w:szCs w:val="32"/>
          <w:lang w:val="en-US" w:eastAsia="zh-CN"/>
        </w:rPr>
        <w:t>补奖资金分配结果与规划计划一致，按照规定及时分配并符合相关的财务管理制度。草原生态补助奖励</w:t>
      </w:r>
      <w:r>
        <w:rPr>
          <w:rFonts w:hint="eastAsia" w:ascii="宋体" w:hAnsi="宋体" w:eastAsia="仿宋_GB2312" w:cs="宋体"/>
          <w:color w:val="auto"/>
          <w:sz w:val="32"/>
          <w:szCs w:val="32"/>
          <w:lang w:val="zh-CN" w:eastAsia="zh-CN"/>
        </w:rPr>
        <w:t>资金</w:t>
      </w:r>
      <w:r>
        <w:rPr>
          <w:rFonts w:hint="eastAsia" w:ascii="宋体" w:hAnsi="宋体" w:eastAsia="仿宋_GB2312" w:cs="宋体"/>
          <w:color w:val="auto"/>
          <w:sz w:val="32"/>
          <w:szCs w:val="32"/>
          <w:lang w:val="en-US" w:eastAsia="zh-CN"/>
        </w:rPr>
        <w:t>以社会保障卡</w:t>
      </w:r>
      <w:r>
        <w:rPr>
          <w:rFonts w:hint="eastAsia" w:ascii="宋体" w:hAnsi="宋体" w:eastAsia="仿宋_GB2312" w:cs="宋体"/>
          <w:color w:val="auto"/>
          <w:sz w:val="32"/>
          <w:szCs w:val="32"/>
          <w:lang w:val="zh-CN" w:eastAsia="zh-CN"/>
        </w:rPr>
        <w:t>“一</w:t>
      </w:r>
      <w:r>
        <w:rPr>
          <w:rFonts w:hint="eastAsia" w:ascii="宋体" w:hAnsi="宋体" w:eastAsia="仿宋_GB2312" w:cs="宋体"/>
          <w:color w:val="auto"/>
          <w:sz w:val="32"/>
          <w:szCs w:val="32"/>
          <w:lang w:val="en-US" w:eastAsia="zh-CN"/>
        </w:rPr>
        <w:t>卡通</w:t>
      </w:r>
      <w:r>
        <w:rPr>
          <w:rFonts w:hint="eastAsia" w:ascii="宋体" w:hAnsi="宋体" w:eastAsia="仿宋_GB2312" w:cs="宋体"/>
          <w:color w:val="auto"/>
          <w:sz w:val="32"/>
          <w:szCs w:val="32"/>
          <w:lang w:val="zh-CN" w:eastAsia="zh-CN"/>
        </w:rPr>
        <w:t>”</w:t>
      </w:r>
      <w:r>
        <w:rPr>
          <w:rFonts w:hint="eastAsia" w:ascii="宋体" w:hAnsi="宋体" w:eastAsia="仿宋_GB2312" w:cs="宋体"/>
          <w:color w:val="auto"/>
          <w:sz w:val="32"/>
          <w:szCs w:val="32"/>
          <w:lang w:val="en-US" w:eastAsia="zh-CN"/>
        </w:rPr>
        <w:t>的</w:t>
      </w:r>
      <w:r>
        <w:rPr>
          <w:rFonts w:hint="eastAsia" w:ascii="宋体" w:hAnsi="宋体" w:eastAsia="仿宋_GB2312" w:cs="宋体"/>
          <w:color w:val="auto"/>
          <w:sz w:val="32"/>
          <w:szCs w:val="32"/>
          <w:lang w:val="zh-CN" w:eastAsia="zh-CN"/>
        </w:rPr>
        <w:t>形式</w:t>
      </w:r>
      <w:r>
        <w:rPr>
          <w:rFonts w:hint="eastAsia" w:ascii="宋体" w:hAnsi="宋体" w:eastAsia="仿宋_GB2312" w:cs="宋体"/>
          <w:color w:val="auto"/>
          <w:sz w:val="32"/>
          <w:szCs w:val="32"/>
          <w:lang w:val="en-US" w:eastAsia="zh-CN"/>
        </w:rPr>
        <w:t>通过金保网兑付给</w:t>
      </w:r>
      <w:r>
        <w:rPr>
          <w:rFonts w:hint="eastAsia" w:ascii="宋体" w:hAnsi="宋体" w:eastAsia="仿宋_GB2312" w:cs="宋体"/>
          <w:color w:val="auto"/>
          <w:sz w:val="32"/>
          <w:szCs w:val="32"/>
          <w:lang w:val="zh-CN" w:eastAsia="zh-CN"/>
        </w:rPr>
        <w:t>农牧户，纪委监察进行监督，切实加强资金使用监督管理，确保资金使用安全，发挥最大效益。在全县补奖资金兑现过程中，没有出现骗取、套取、挤占挪用、虚列支出、贪污或其他违规违纪使用资金的现象。</w:t>
      </w:r>
    </w:p>
    <w:p>
      <w:pPr>
        <w:pStyle w:val="12"/>
        <w:keepNext w:val="0"/>
        <w:keepLines w:val="0"/>
        <w:widowControl/>
        <w:suppressLineNumbers w:val="0"/>
        <w:ind w:left="0" w:firstLine="640"/>
        <w:rPr>
          <w:rFonts w:hint="eastAsia" w:ascii="宋体" w:hAnsi="宋体" w:eastAsia="仿宋_GB2312" w:cs="宋体"/>
          <w:color w:val="auto"/>
          <w:sz w:val="32"/>
          <w:szCs w:val="32"/>
          <w:lang w:val="en-US" w:eastAsia="zh-CN"/>
        </w:rPr>
      </w:pPr>
    </w:p>
    <w:p>
      <w:pPr>
        <w:pStyle w:val="12"/>
        <w:keepNext w:val="0"/>
        <w:keepLines w:val="0"/>
        <w:widowControl/>
        <w:suppressLineNumbers w:val="0"/>
        <w:ind w:left="0" w:firstLine="640"/>
        <w:rPr>
          <w:rFonts w:hint="eastAsia" w:ascii="宋体" w:hAnsi="宋体" w:eastAsia="仿宋_GB2312" w:cs="宋体"/>
          <w:color w:val="auto"/>
          <w:sz w:val="32"/>
          <w:szCs w:val="32"/>
          <w:lang w:val="en-US" w:eastAsia="zh-CN"/>
        </w:rPr>
      </w:pPr>
      <w:r>
        <w:rPr>
          <w:rFonts w:hint="eastAsia" w:ascii="宋体" w:hAnsi="宋体" w:eastAsia="仿宋_GB2312" w:cs="宋体"/>
          <w:color w:val="auto"/>
          <w:sz w:val="32"/>
          <w:szCs w:val="32"/>
          <w:lang w:val="en-US" w:eastAsia="zh-CN"/>
        </w:rPr>
        <w:t>3、项目绩效</w:t>
      </w:r>
    </w:p>
    <w:p>
      <w:pPr>
        <w:pStyle w:val="12"/>
        <w:keepNext w:val="0"/>
        <w:keepLines w:val="0"/>
        <w:widowControl/>
        <w:suppressLineNumbers w:val="0"/>
        <w:ind w:left="0" w:firstLine="640"/>
        <w:rPr>
          <w:rFonts w:hint="eastAsia" w:ascii="宋体" w:hAnsi="宋体" w:eastAsia="仿宋_GB2312" w:cs="宋体"/>
          <w:color w:val="auto"/>
          <w:sz w:val="32"/>
          <w:szCs w:val="32"/>
          <w:lang w:val="en-US" w:eastAsia="zh-CN"/>
        </w:rPr>
      </w:pPr>
      <w:r>
        <w:rPr>
          <w:rFonts w:hint="eastAsia" w:ascii="宋体" w:hAnsi="宋体" w:eastAsia="仿宋_GB2312" w:cs="宋体"/>
          <w:color w:val="auto"/>
          <w:sz w:val="32"/>
          <w:szCs w:val="32"/>
          <w:lang w:val="en-US" w:eastAsia="zh-CN"/>
        </w:rPr>
        <w:t>（一）项目完成情况</w:t>
      </w:r>
    </w:p>
    <w:p>
      <w:pPr>
        <w:pStyle w:val="12"/>
        <w:keepNext w:val="0"/>
        <w:keepLines w:val="0"/>
        <w:widowControl/>
        <w:suppressLineNumbers w:val="0"/>
        <w:ind w:left="0" w:firstLine="640"/>
        <w:rPr>
          <w:rFonts w:hint="eastAsia" w:ascii="宋体" w:hAnsi="宋体" w:eastAsia="仿宋_GB2312" w:cs="宋体"/>
          <w:color w:val="auto"/>
          <w:sz w:val="32"/>
          <w:szCs w:val="32"/>
          <w:lang w:val="zh-CN" w:eastAsia="zh-CN"/>
        </w:rPr>
      </w:pPr>
      <w:r>
        <w:rPr>
          <w:rFonts w:hint="eastAsia" w:ascii="宋体" w:hAnsi="宋体" w:eastAsia="仿宋_GB2312" w:cs="宋体"/>
          <w:color w:val="auto"/>
          <w:sz w:val="32"/>
          <w:szCs w:val="32"/>
          <w:lang w:val="zh-CN" w:eastAsia="zh-CN"/>
        </w:rPr>
        <w:t>按照项目实施方案和省州要求，全面完成20</w:t>
      </w:r>
      <w:r>
        <w:rPr>
          <w:rFonts w:hint="eastAsia" w:ascii="宋体" w:hAnsi="宋体" w:eastAsia="仿宋_GB2312" w:cs="宋体"/>
          <w:color w:val="auto"/>
          <w:sz w:val="32"/>
          <w:szCs w:val="32"/>
          <w:lang w:val="en-US" w:eastAsia="zh-CN"/>
        </w:rPr>
        <w:t>22</w:t>
      </w:r>
      <w:r>
        <w:rPr>
          <w:rFonts w:hint="eastAsia" w:ascii="宋体" w:hAnsi="宋体" w:eastAsia="仿宋_GB2312" w:cs="宋体"/>
          <w:color w:val="auto"/>
          <w:sz w:val="32"/>
          <w:szCs w:val="32"/>
          <w:lang w:val="zh-CN" w:eastAsia="zh-CN"/>
        </w:rPr>
        <w:t>年各项</w:t>
      </w:r>
      <w:r>
        <w:rPr>
          <w:rFonts w:hint="eastAsia" w:ascii="宋体" w:hAnsi="宋体" w:eastAsia="仿宋_GB2312" w:cs="宋体"/>
          <w:color w:val="auto"/>
          <w:sz w:val="32"/>
          <w:szCs w:val="32"/>
          <w:lang w:val="en-US" w:eastAsia="zh-CN"/>
        </w:rPr>
        <w:t>草原生态补助</w:t>
      </w:r>
      <w:r>
        <w:rPr>
          <w:rFonts w:hint="eastAsia" w:ascii="宋体" w:hAnsi="宋体" w:eastAsia="仿宋_GB2312" w:cs="宋体"/>
          <w:color w:val="auto"/>
          <w:sz w:val="32"/>
          <w:szCs w:val="32"/>
          <w:lang w:val="zh-CN" w:eastAsia="zh-CN"/>
        </w:rPr>
        <w:t>目标任务。</w:t>
      </w:r>
    </w:p>
    <w:p>
      <w:pPr>
        <w:pStyle w:val="12"/>
        <w:keepNext w:val="0"/>
        <w:keepLines w:val="0"/>
        <w:widowControl/>
        <w:suppressLineNumbers w:val="0"/>
        <w:ind w:left="0" w:firstLine="640"/>
        <w:rPr>
          <w:rFonts w:hint="eastAsia" w:ascii="宋体" w:hAnsi="宋体" w:eastAsia="仿宋_GB2312" w:cs="宋体"/>
          <w:color w:val="auto"/>
          <w:sz w:val="32"/>
          <w:szCs w:val="32"/>
          <w:lang w:val="zh-CN" w:eastAsia="zh-CN"/>
        </w:rPr>
      </w:pPr>
      <w:r>
        <w:rPr>
          <w:rFonts w:hint="eastAsia" w:ascii="宋体" w:hAnsi="宋体" w:eastAsia="仿宋_GB2312" w:cs="宋体"/>
          <w:color w:val="auto"/>
          <w:sz w:val="32"/>
          <w:szCs w:val="32"/>
          <w:lang w:val="zh-CN" w:eastAsia="zh-CN"/>
        </w:rPr>
        <w:t>（</w:t>
      </w:r>
      <w:r>
        <w:rPr>
          <w:rFonts w:hint="eastAsia" w:ascii="宋体" w:hAnsi="宋体" w:eastAsia="仿宋_GB2312" w:cs="宋体"/>
          <w:color w:val="auto"/>
          <w:sz w:val="32"/>
          <w:szCs w:val="32"/>
          <w:lang w:val="en-US" w:eastAsia="zh-CN"/>
        </w:rPr>
        <w:t>1</w:t>
      </w:r>
      <w:r>
        <w:rPr>
          <w:rFonts w:hint="eastAsia" w:ascii="宋体" w:hAnsi="宋体" w:eastAsia="仿宋_GB2312" w:cs="宋体"/>
          <w:color w:val="auto"/>
          <w:sz w:val="32"/>
          <w:szCs w:val="32"/>
          <w:lang w:val="zh-CN" w:eastAsia="zh-CN"/>
        </w:rPr>
        <w:t>）实施草</w:t>
      </w:r>
      <w:r>
        <w:rPr>
          <w:rFonts w:hint="eastAsia" w:ascii="宋体" w:hAnsi="宋体" w:eastAsia="仿宋_GB2312" w:cs="宋体"/>
          <w:color w:val="auto"/>
          <w:sz w:val="32"/>
          <w:szCs w:val="32"/>
          <w:lang w:val="en-US" w:eastAsia="zh-CN"/>
        </w:rPr>
        <w:t>原</w:t>
      </w:r>
      <w:r>
        <w:rPr>
          <w:rFonts w:hint="eastAsia" w:ascii="宋体" w:hAnsi="宋体" w:eastAsia="仿宋_GB2312" w:cs="宋体"/>
          <w:color w:val="auto"/>
          <w:sz w:val="32"/>
          <w:szCs w:val="32"/>
          <w:lang w:val="zh-CN" w:eastAsia="zh-CN"/>
        </w:rPr>
        <w:t>禁牧 62万亩</w:t>
      </w:r>
      <w:r>
        <w:rPr>
          <w:rFonts w:hint="eastAsia" w:eastAsia="仿宋_GB2312" w:cs="宋体"/>
          <w:color w:val="auto"/>
          <w:sz w:val="32"/>
          <w:szCs w:val="32"/>
          <w:lang w:val="zh-CN" w:eastAsia="zh-CN"/>
        </w:rPr>
        <w:t>，</w:t>
      </w:r>
      <w:r>
        <w:rPr>
          <w:rFonts w:hint="eastAsia" w:ascii="宋体" w:hAnsi="宋体" w:eastAsia="仿宋_GB2312" w:cs="宋体"/>
          <w:color w:val="auto"/>
          <w:sz w:val="32"/>
          <w:szCs w:val="32"/>
          <w:lang w:val="zh-CN" w:eastAsia="zh-CN"/>
        </w:rPr>
        <w:t>每亩补助7.</w:t>
      </w:r>
      <w:r>
        <w:rPr>
          <w:rFonts w:hint="eastAsia" w:ascii="宋体" w:hAnsi="宋体" w:eastAsia="仿宋_GB2312" w:cs="宋体"/>
          <w:color w:val="auto"/>
          <w:sz w:val="32"/>
          <w:szCs w:val="32"/>
          <w:lang w:val="en-US" w:eastAsia="zh-CN"/>
        </w:rPr>
        <w:t>65</w:t>
      </w:r>
      <w:r>
        <w:rPr>
          <w:rFonts w:hint="eastAsia" w:ascii="宋体" w:hAnsi="宋体" w:eastAsia="仿宋_GB2312" w:cs="宋体"/>
          <w:color w:val="auto"/>
          <w:sz w:val="32"/>
          <w:szCs w:val="32"/>
          <w:lang w:val="zh-CN" w:eastAsia="zh-CN"/>
        </w:rPr>
        <w:t>元，补助资金</w:t>
      </w:r>
      <w:r>
        <w:rPr>
          <w:rFonts w:hint="eastAsia" w:ascii="宋体" w:hAnsi="宋体" w:eastAsia="仿宋_GB2312" w:cs="宋体"/>
          <w:color w:val="auto"/>
          <w:sz w:val="32"/>
          <w:szCs w:val="32"/>
          <w:lang w:val="en-US" w:eastAsia="zh-CN"/>
        </w:rPr>
        <w:t>474.3</w:t>
      </w:r>
      <w:r>
        <w:rPr>
          <w:rFonts w:hint="eastAsia" w:ascii="宋体" w:hAnsi="宋体" w:eastAsia="仿宋_GB2312" w:cs="宋体"/>
          <w:color w:val="auto"/>
          <w:sz w:val="32"/>
          <w:szCs w:val="32"/>
          <w:lang w:val="zh-CN" w:eastAsia="zh-CN"/>
        </w:rPr>
        <w:t>万元，涉及</w:t>
      </w:r>
      <w:r>
        <w:rPr>
          <w:rFonts w:hint="eastAsia" w:ascii="宋体" w:hAnsi="宋体" w:eastAsia="仿宋_GB2312" w:cs="宋体"/>
          <w:color w:val="auto"/>
          <w:sz w:val="32"/>
          <w:szCs w:val="32"/>
          <w:lang w:val="en-US" w:eastAsia="zh-CN"/>
        </w:rPr>
        <w:t>全县15</w:t>
      </w:r>
      <w:r>
        <w:rPr>
          <w:rFonts w:hint="eastAsia" w:ascii="宋体" w:hAnsi="宋体" w:eastAsia="仿宋_GB2312" w:cs="宋体"/>
          <w:color w:val="auto"/>
          <w:sz w:val="32"/>
          <w:szCs w:val="32"/>
          <w:lang w:val="zh-CN" w:eastAsia="zh-CN"/>
        </w:rPr>
        <w:t>个乡镇</w:t>
      </w:r>
      <w:r>
        <w:rPr>
          <w:rFonts w:hint="eastAsia" w:ascii="宋体" w:hAnsi="宋体" w:eastAsia="仿宋_GB2312" w:cs="宋体"/>
          <w:color w:val="auto"/>
          <w:sz w:val="32"/>
          <w:szCs w:val="32"/>
          <w:lang w:val="en-US" w:eastAsia="zh-CN"/>
        </w:rPr>
        <w:t>14934</w:t>
      </w:r>
      <w:r>
        <w:rPr>
          <w:rFonts w:hint="eastAsia" w:ascii="宋体" w:hAnsi="宋体" w:eastAsia="仿宋_GB2312" w:cs="宋体"/>
          <w:color w:val="auto"/>
          <w:sz w:val="32"/>
          <w:szCs w:val="32"/>
          <w:lang w:val="zh-CN" w:eastAsia="zh-CN"/>
        </w:rPr>
        <w:t>户牧户。</w:t>
      </w:r>
    </w:p>
    <w:p>
      <w:pPr>
        <w:pStyle w:val="12"/>
        <w:keepNext w:val="0"/>
        <w:keepLines w:val="0"/>
        <w:widowControl/>
        <w:suppressLineNumbers w:val="0"/>
        <w:ind w:left="0" w:firstLine="640"/>
        <w:rPr>
          <w:rFonts w:hint="eastAsia" w:ascii="宋体" w:hAnsi="宋体" w:eastAsia="仿宋_GB2312" w:cs="宋体"/>
          <w:color w:val="auto"/>
          <w:sz w:val="32"/>
          <w:szCs w:val="32"/>
          <w:lang w:val="en-US" w:eastAsia="zh-CN"/>
        </w:rPr>
      </w:pPr>
      <w:r>
        <w:rPr>
          <w:rFonts w:hint="eastAsia" w:ascii="宋体" w:hAnsi="宋体" w:eastAsia="仿宋_GB2312" w:cs="宋体"/>
          <w:color w:val="auto"/>
          <w:sz w:val="32"/>
          <w:szCs w:val="32"/>
          <w:lang w:val="zh-CN" w:eastAsia="zh-CN"/>
        </w:rPr>
        <w:t>（</w:t>
      </w:r>
      <w:r>
        <w:rPr>
          <w:rFonts w:hint="eastAsia" w:ascii="宋体" w:hAnsi="宋体" w:eastAsia="仿宋_GB2312" w:cs="宋体"/>
          <w:color w:val="auto"/>
          <w:sz w:val="32"/>
          <w:szCs w:val="32"/>
          <w:lang w:val="en-US" w:eastAsia="zh-CN"/>
        </w:rPr>
        <w:t>2</w:t>
      </w:r>
      <w:r>
        <w:rPr>
          <w:rFonts w:hint="eastAsia" w:ascii="宋体" w:hAnsi="宋体" w:eastAsia="仿宋_GB2312" w:cs="宋体"/>
          <w:color w:val="auto"/>
          <w:sz w:val="32"/>
          <w:szCs w:val="32"/>
          <w:lang w:val="zh-CN" w:eastAsia="zh-CN"/>
        </w:rPr>
        <w:t>）实施草畜平衡219.5万亩，每亩补助</w:t>
      </w:r>
      <w:r>
        <w:rPr>
          <w:rFonts w:hint="eastAsia" w:ascii="宋体" w:hAnsi="宋体" w:eastAsia="仿宋_GB2312" w:cs="宋体"/>
          <w:color w:val="auto"/>
          <w:sz w:val="32"/>
          <w:szCs w:val="32"/>
          <w:lang w:val="en-US" w:eastAsia="zh-CN"/>
        </w:rPr>
        <w:t>2</w:t>
      </w:r>
      <w:r>
        <w:rPr>
          <w:rFonts w:hint="eastAsia" w:ascii="宋体" w:hAnsi="宋体" w:eastAsia="仿宋_GB2312" w:cs="宋体"/>
          <w:color w:val="auto"/>
          <w:sz w:val="32"/>
          <w:szCs w:val="32"/>
          <w:lang w:val="zh-CN" w:eastAsia="zh-CN"/>
        </w:rPr>
        <w:t>.5元，</w:t>
      </w:r>
      <w:r>
        <w:rPr>
          <w:rFonts w:hint="eastAsia" w:ascii="宋体" w:hAnsi="宋体" w:eastAsia="仿宋_GB2312" w:cs="宋体"/>
          <w:color w:val="auto"/>
          <w:sz w:val="32"/>
          <w:szCs w:val="32"/>
          <w:lang w:val="en-US" w:eastAsia="zh-CN"/>
        </w:rPr>
        <w:t>补助</w:t>
      </w:r>
      <w:r>
        <w:rPr>
          <w:rFonts w:hint="eastAsia" w:ascii="宋体" w:hAnsi="宋体" w:eastAsia="仿宋_GB2312" w:cs="宋体"/>
          <w:color w:val="auto"/>
          <w:sz w:val="32"/>
          <w:szCs w:val="32"/>
          <w:lang w:val="zh-CN" w:eastAsia="zh-CN"/>
        </w:rPr>
        <w:t>资金548.75</w:t>
      </w:r>
      <w:r>
        <w:rPr>
          <w:rFonts w:hint="eastAsia" w:eastAsia="仿宋_GB2312" w:cs="宋体"/>
          <w:color w:val="auto"/>
          <w:sz w:val="32"/>
          <w:szCs w:val="32"/>
          <w:lang w:val="zh-CN" w:eastAsia="zh-CN"/>
        </w:rPr>
        <w:t>万元</w:t>
      </w:r>
      <w:r>
        <w:rPr>
          <w:rFonts w:hint="eastAsia" w:ascii="宋体" w:hAnsi="宋体" w:eastAsia="仿宋_GB2312" w:cs="宋体"/>
          <w:color w:val="auto"/>
          <w:sz w:val="32"/>
          <w:szCs w:val="32"/>
          <w:lang w:val="zh-CN" w:eastAsia="zh-CN"/>
        </w:rPr>
        <w:t>，</w:t>
      </w:r>
      <w:r>
        <w:rPr>
          <w:rFonts w:hint="eastAsia" w:ascii="宋体" w:hAnsi="宋体" w:eastAsia="仿宋_GB2312" w:cs="宋体"/>
          <w:color w:val="auto"/>
          <w:sz w:val="32"/>
          <w:szCs w:val="32"/>
          <w:lang w:val="en-US" w:eastAsia="zh-CN"/>
        </w:rPr>
        <w:t>涉及全县19个乡镇17637户牧户。</w:t>
      </w:r>
    </w:p>
    <w:p>
      <w:pPr>
        <w:pStyle w:val="12"/>
        <w:keepNext w:val="0"/>
        <w:keepLines w:val="0"/>
        <w:widowControl/>
        <w:suppressLineNumbers w:val="0"/>
        <w:ind w:left="0" w:firstLine="640"/>
        <w:rPr>
          <w:rFonts w:hint="default" w:ascii="宋体" w:hAnsi="宋体" w:eastAsia="仿宋_GB2312" w:cs="宋体"/>
          <w:color w:val="auto"/>
          <w:sz w:val="32"/>
          <w:szCs w:val="32"/>
          <w:lang w:val="en-US" w:eastAsia="zh-CN"/>
        </w:rPr>
      </w:pPr>
      <w:r>
        <w:rPr>
          <w:rFonts w:hint="eastAsia" w:ascii="宋体" w:hAnsi="宋体" w:eastAsia="仿宋_GB2312" w:cs="宋体"/>
          <w:color w:val="auto"/>
          <w:sz w:val="32"/>
          <w:szCs w:val="32"/>
          <w:lang w:val="en-US" w:eastAsia="zh-CN"/>
        </w:rPr>
        <w:t>2022年草原生态补助奖励政策</w:t>
      </w:r>
      <w:r>
        <w:rPr>
          <w:rFonts w:hint="eastAsia" w:eastAsia="仿宋_GB2312" w:cs="宋体"/>
          <w:color w:val="auto"/>
          <w:sz w:val="32"/>
          <w:szCs w:val="32"/>
          <w:lang w:val="en-US" w:eastAsia="zh-CN"/>
        </w:rPr>
        <w:t>项目</w:t>
      </w:r>
      <w:r>
        <w:rPr>
          <w:rFonts w:hint="eastAsia" w:ascii="宋体" w:hAnsi="宋体" w:eastAsia="仿宋_GB2312" w:cs="宋体"/>
          <w:color w:val="auto"/>
          <w:sz w:val="32"/>
          <w:szCs w:val="32"/>
          <w:lang w:val="en-US" w:eastAsia="zh-CN"/>
        </w:rPr>
        <w:t>全面完成禁牧草原面积62万亩，兑现禁牧补助资金</w:t>
      </w:r>
      <w:r>
        <w:rPr>
          <w:rFonts w:hint="eastAsia" w:eastAsia="仿宋_GB2312" w:cs="宋体"/>
          <w:color w:val="auto"/>
          <w:sz w:val="32"/>
          <w:szCs w:val="32"/>
          <w:lang w:val="en-US" w:eastAsia="zh-CN"/>
        </w:rPr>
        <w:t>474.293461</w:t>
      </w:r>
      <w:r>
        <w:rPr>
          <w:rFonts w:hint="eastAsia" w:ascii="宋体" w:hAnsi="宋体" w:eastAsia="仿宋_GB2312" w:cs="宋体"/>
          <w:color w:val="auto"/>
          <w:sz w:val="32"/>
          <w:szCs w:val="32"/>
          <w:lang w:val="en-US" w:eastAsia="zh-CN"/>
        </w:rPr>
        <w:t>万元，草畜平衡草原面积219.5万亩，兑现</w:t>
      </w:r>
      <w:r>
        <w:rPr>
          <w:rFonts w:hint="eastAsia" w:eastAsia="仿宋_GB2312" w:cs="宋体"/>
          <w:color w:val="auto"/>
          <w:sz w:val="32"/>
          <w:szCs w:val="32"/>
          <w:lang w:val="en-US" w:eastAsia="zh-CN"/>
        </w:rPr>
        <w:t>548.746882</w:t>
      </w:r>
      <w:r>
        <w:rPr>
          <w:rFonts w:hint="eastAsia" w:ascii="宋体" w:hAnsi="宋体" w:eastAsia="仿宋_GB2312" w:cs="宋体"/>
          <w:color w:val="auto"/>
          <w:sz w:val="32"/>
          <w:szCs w:val="32"/>
          <w:lang w:val="en-US" w:eastAsia="zh-CN"/>
        </w:rPr>
        <w:t>万元</w:t>
      </w:r>
      <w:r>
        <w:rPr>
          <w:rFonts w:hint="eastAsia" w:eastAsia="仿宋_GB2312" w:cs="宋体"/>
          <w:color w:val="auto"/>
          <w:sz w:val="32"/>
          <w:szCs w:val="32"/>
          <w:lang w:val="en-US" w:eastAsia="zh-CN"/>
        </w:rPr>
        <w:t>，项目</w:t>
      </w:r>
      <w:r>
        <w:rPr>
          <w:rFonts w:hint="eastAsia" w:ascii="宋体" w:hAnsi="宋体" w:eastAsia="仿宋_GB2312" w:cs="宋体"/>
          <w:color w:val="auto"/>
          <w:sz w:val="32"/>
          <w:szCs w:val="32"/>
          <w:lang w:val="en-US" w:eastAsia="zh-CN"/>
        </w:rPr>
        <w:t>资金</w:t>
      </w:r>
      <w:r>
        <w:rPr>
          <w:rFonts w:hint="eastAsia" w:eastAsia="仿宋_GB2312" w:cs="宋体"/>
          <w:color w:val="auto"/>
          <w:sz w:val="32"/>
          <w:szCs w:val="32"/>
          <w:lang w:val="en-US" w:eastAsia="zh-CN"/>
        </w:rPr>
        <w:t>在通过“一卡通”资格审批系统按照补助标准进行结算时采用四舍五入法只保留两位小数点导致存在结余资金96.57元，该结余资金已收回国库。</w:t>
      </w:r>
    </w:p>
    <w:p>
      <w:pPr>
        <w:pStyle w:val="12"/>
        <w:keepNext w:val="0"/>
        <w:keepLines w:val="0"/>
        <w:widowControl/>
        <w:suppressLineNumbers w:val="0"/>
        <w:ind w:left="0" w:firstLine="640"/>
        <w:rPr>
          <w:rFonts w:hint="eastAsia" w:ascii="宋体" w:hAnsi="宋体" w:eastAsia="仿宋_GB2312" w:cs="宋体"/>
          <w:color w:val="auto"/>
          <w:sz w:val="32"/>
          <w:szCs w:val="32"/>
          <w:lang w:val="en-US" w:eastAsia="zh-CN"/>
        </w:rPr>
      </w:pPr>
      <w:r>
        <w:rPr>
          <w:rFonts w:hint="eastAsia" w:ascii="宋体" w:hAnsi="宋体" w:eastAsia="仿宋_GB2312" w:cs="宋体"/>
          <w:color w:val="auto"/>
          <w:sz w:val="32"/>
          <w:szCs w:val="32"/>
          <w:lang w:val="en-US" w:eastAsia="zh-CN"/>
        </w:rPr>
        <w:t>（二）项目效益情况</w:t>
      </w:r>
    </w:p>
    <w:p>
      <w:pPr>
        <w:pStyle w:val="12"/>
        <w:keepNext w:val="0"/>
        <w:keepLines w:val="0"/>
        <w:widowControl/>
        <w:suppressLineNumbers w:val="0"/>
        <w:ind w:left="0" w:firstLine="640"/>
        <w:rPr>
          <w:rFonts w:hint="eastAsia" w:ascii="宋体" w:hAnsi="宋体" w:eastAsia="仿宋_GB2312" w:cs="宋体"/>
          <w:color w:val="auto"/>
          <w:sz w:val="32"/>
          <w:szCs w:val="32"/>
          <w:lang w:val="en-US" w:eastAsia="zh-CN"/>
        </w:rPr>
      </w:pPr>
      <w:r>
        <w:rPr>
          <w:rFonts w:hint="eastAsia" w:ascii="宋体" w:hAnsi="宋体" w:eastAsia="仿宋_GB2312" w:cs="宋体"/>
          <w:color w:val="auto"/>
          <w:sz w:val="32"/>
          <w:szCs w:val="32"/>
          <w:lang w:val="zh-CN" w:eastAsia="zh-CN"/>
        </w:rPr>
        <w:t>（</w:t>
      </w:r>
      <w:r>
        <w:rPr>
          <w:rFonts w:hint="eastAsia" w:ascii="宋体" w:hAnsi="宋体" w:eastAsia="仿宋_GB2312" w:cs="宋体"/>
          <w:color w:val="auto"/>
          <w:sz w:val="32"/>
          <w:szCs w:val="32"/>
          <w:lang w:val="en-US" w:eastAsia="zh-CN"/>
        </w:rPr>
        <w:t>1</w:t>
      </w:r>
      <w:r>
        <w:rPr>
          <w:rFonts w:hint="eastAsia" w:ascii="宋体" w:hAnsi="宋体" w:eastAsia="仿宋_GB2312" w:cs="宋体"/>
          <w:color w:val="auto"/>
          <w:sz w:val="32"/>
          <w:szCs w:val="32"/>
          <w:lang w:val="zh-CN" w:eastAsia="zh-CN"/>
        </w:rPr>
        <w:t>）</w:t>
      </w:r>
      <w:r>
        <w:rPr>
          <w:rFonts w:hint="eastAsia" w:ascii="宋体" w:hAnsi="宋体" w:eastAsia="仿宋_GB2312" w:cs="宋体"/>
          <w:color w:val="auto"/>
          <w:sz w:val="32"/>
          <w:szCs w:val="32"/>
          <w:lang w:val="en-US" w:eastAsia="zh-CN"/>
        </w:rPr>
        <w:t>经济效益</w:t>
      </w:r>
    </w:p>
    <w:p>
      <w:pPr>
        <w:pStyle w:val="12"/>
        <w:keepNext w:val="0"/>
        <w:keepLines w:val="0"/>
        <w:widowControl/>
        <w:suppressLineNumbers w:val="0"/>
        <w:ind w:left="0" w:firstLine="640"/>
        <w:rPr>
          <w:rFonts w:hint="eastAsia" w:ascii="宋体" w:hAnsi="宋体" w:eastAsia="仿宋_GB2312" w:cs="宋体"/>
          <w:color w:val="auto"/>
          <w:sz w:val="32"/>
          <w:szCs w:val="32"/>
          <w:lang w:val="en-US" w:eastAsia="zh-CN"/>
        </w:rPr>
      </w:pPr>
      <w:r>
        <w:rPr>
          <w:rFonts w:hint="eastAsia" w:ascii="宋体" w:hAnsi="宋体" w:eastAsia="仿宋_GB2312" w:cs="宋体"/>
          <w:color w:val="auto"/>
          <w:sz w:val="32"/>
          <w:szCs w:val="32"/>
          <w:lang w:val="en-US" w:eastAsia="zh-CN"/>
        </w:rPr>
        <w:t>落实新一轮补奖政策，年发放牧户补奖资金1023.05万元。年可实现牧民户均政策性增收1521元，人均增收245元。同时，实施草畜平衡，可加快畜群周转，优化畜群结构，减少牲畜因灾死亡，转变生产发展方式，提升草原畜牧业效益，对牧民依靠畜牧产业脱贫增收具有十分重要的支撑作用。（2</w:t>
      </w:r>
      <w:r>
        <w:rPr>
          <w:rFonts w:hint="eastAsia" w:ascii="宋体" w:hAnsi="宋体" w:eastAsia="仿宋_GB2312" w:cs="宋体"/>
          <w:color w:val="auto"/>
          <w:sz w:val="32"/>
          <w:szCs w:val="32"/>
          <w:lang w:val="zh-CN" w:eastAsia="zh-CN"/>
        </w:rPr>
        <w:t>）</w:t>
      </w:r>
      <w:r>
        <w:rPr>
          <w:rFonts w:hint="eastAsia" w:ascii="宋体" w:hAnsi="宋体" w:eastAsia="仿宋_GB2312" w:cs="宋体"/>
          <w:color w:val="auto"/>
          <w:sz w:val="32"/>
          <w:szCs w:val="32"/>
          <w:lang w:val="en-US" w:eastAsia="zh-CN"/>
        </w:rPr>
        <w:t>社会效益</w:t>
      </w:r>
    </w:p>
    <w:p>
      <w:pPr>
        <w:pStyle w:val="12"/>
        <w:keepNext w:val="0"/>
        <w:keepLines w:val="0"/>
        <w:widowControl/>
        <w:suppressLineNumbers w:val="0"/>
        <w:ind w:left="0" w:firstLine="640"/>
        <w:rPr>
          <w:rFonts w:hint="eastAsia" w:ascii="宋体" w:hAnsi="宋体" w:eastAsia="仿宋_GB2312" w:cs="宋体"/>
          <w:color w:val="auto"/>
          <w:sz w:val="32"/>
          <w:szCs w:val="32"/>
          <w:lang w:val="en-US" w:eastAsia="zh-CN"/>
        </w:rPr>
      </w:pPr>
      <w:r>
        <w:rPr>
          <w:rFonts w:hint="eastAsia" w:ascii="宋体" w:hAnsi="宋体" w:eastAsia="仿宋_GB2312" w:cs="宋体"/>
          <w:color w:val="auto"/>
          <w:sz w:val="32"/>
          <w:szCs w:val="32"/>
          <w:lang w:val="en-US" w:eastAsia="zh-CN"/>
        </w:rPr>
        <w:t>我县属于边远地区、落后地区、生态脆弱区和少数民族集中分布区，也是精准扶贫和全面建成小康社会的重点地区的难点地区。建立草原生态保护补助奖励机制，有利于统筹城乡和区域协调发展，增强牧区发展后劲，对改善牧区牧民生产生活条件，增加牧民收入，提高牧民物质文化生活水平，共享改革发展成果，维护民族团结和牧区和谐稳定，推进生态文明和新牧区建设具有十分重要的作用。</w:t>
      </w:r>
    </w:p>
    <w:p>
      <w:pPr>
        <w:pStyle w:val="12"/>
        <w:keepNext w:val="0"/>
        <w:keepLines w:val="0"/>
        <w:widowControl/>
        <w:suppressLineNumbers w:val="0"/>
        <w:ind w:left="0" w:firstLine="640"/>
        <w:rPr>
          <w:rFonts w:hint="default" w:ascii="宋体" w:hAnsi="宋体" w:eastAsia="仿宋_GB2312" w:cs="宋体"/>
          <w:color w:val="auto"/>
          <w:sz w:val="32"/>
          <w:szCs w:val="32"/>
          <w:lang w:val="en-US" w:eastAsia="zh-CN"/>
        </w:rPr>
      </w:pPr>
      <w:r>
        <w:rPr>
          <w:rFonts w:hint="eastAsia" w:ascii="宋体" w:hAnsi="宋体" w:eastAsia="仿宋_GB2312" w:cs="宋体"/>
          <w:color w:val="auto"/>
          <w:sz w:val="32"/>
          <w:szCs w:val="32"/>
          <w:lang w:val="zh-CN" w:eastAsia="zh-CN"/>
        </w:rPr>
        <w:t>（</w:t>
      </w:r>
      <w:r>
        <w:rPr>
          <w:rFonts w:hint="eastAsia" w:ascii="宋体" w:hAnsi="宋体" w:eastAsia="仿宋_GB2312" w:cs="宋体"/>
          <w:color w:val="auto"/>
          <w:sz w:val="32"/>
          <w:szCs w:val="32"/>
          <w:lang w:val="en-US" w:eastAsia="zh-CN"/>
        </w:rPr>
        <w:t>3</w:t>
      </w:r>
      <w:r>
        <w:rPr>
          <w:rFonts w:hint="eastAsia" w:ascii="宋体" w:hAnsi="宋体" w:eastAsia="仿宋_GB2312" w:cs="宋体"/>
          <w:color w:val="auto"/>
          <w:sz w:val="32"/>
          <w:szCs w:val="32"/>
          <w:lang w:val="zh-CN" w:eastAsia="zh-CN"/>
        </w:rPr>
        <w:t>）</w:t>
      </w:r>
      <w:r>
        <w:rPr>
          <w:rFonts w:hint="eastAsia" w:ascii="宋体" w:hAnsi="宋体" w:eastAsia="仿宋_GB2312" w:cs="宋体"/>
          <w:color w:val="auto"/>
          <w:sz w:val="32"/>
          <w:szCs w:val="32"/>
          <w:lang w:val="en-US" w:eastAsia="zh-CN"/>
        </w:rPr>
        <w:t>生态效益及可持续效益</w:t>
      </w:r>
    </w:p>
    <w:p>
      <w:pPr>
        <w:pStyle w:val="12"/>
        <w:keepNext w:val="0"/>
        <w:keepLines w:val="0"/>
        <w:widowControl/>
        <w:suppressLineNumbers w:val="0"/>
        <w:ind w:left="0" w:firstLine="640"/>
        <w:rPr>
          <w:rFonts w:hint="eastAsia" w:ascii="宋体" w:hAnsi="宋体" w:eastAsia="仿宋_GB2312" w:cs="宋体"/>
          <w:color w:val="auto"/>
          <w:sz w:val="32"/>
          <w:szCs w:val="32"/>
          <w:lang w:val="en-US" w:eastAsia="zh-CN"/>
        </w:rPr>
      </w:pPr>
      <w:r>
        <w:rPr>
          <w:rFonts w:hint="eastAsia" w:ascii="宋体" w:hAnsi="宋体" w:eastAsia="仿宋_GB2312" w:cs="宋体"/>
          <w:color w:val="auto"/>
          <w:sz w:val="32"/>
          <w:szCs w:val="32"/>
          <w:lang w:val="en-US" w:eastAsia="zh-CN"/>
        </w:rPr>
        <w:t>金川县位于长江上游，广袤的草原是青藏高原陆地生态系统的重要组成部分，具有调节气候、涵养水源、保持水土、净化空气、固碳储氮等多种生态功能，贯彻落实草原补奖政策，推行草原禁牧、草畜平衡制度，能有效保护草原资源，改善草原生态环境，促进生态系统的良性循环，为维护草原生态安全起到十分重要的作用。</w:t>
      </w:r>
    </w:p>
    <w:p>
      <w:pPr>
        <w:pStyle w:val="12"/>
        <w:keepNext w:val="0"/>
        <w:keepLines w:val="0"/>
        <w:widowControl/>
        <w:suppressLineNumbers w:val="0"/>
        <w:ind w:left="0" w:firstLine="640"/>
        <w:rPr>
          <w:rFonts w:hint="eastAsia" w:ascii="宋体" w:hAnsi="宋体" w:eastAsia="仿宋_GB2312" w:cs="宋体"/>
          <w:color w:val="auto"/>
          <w:sz w:val="32"/>
          <w:szCs w:val="32"/>
          <w:lang w:val="en-US" w:eastAsia="zh-CN"/>
        </w:rPr>
      </w:pPr>
      <w:r>
        <w:rPr>
          <w:rFonts w:hint="eastAsia" w:ascii="宋体" w:hAnsi="宋体" w:eastAsia="仿宋_GB2312" w:cs="宋体"/>
          <w:color w:val="auto"/>
          <w:sz w:val="32"/>
          <w:szCs w:val="32"/>
          <w:lang w:val="en-US" w:eastAsia="zh-CN"/>
        </w:rPr>
        <w:t>1、蓄水保水，涵养水源。实施草原生态保护补助奖励政策，能抑制温室效应，从而增强应对全球气候变暖的能力，提高草原涵水量，确保青藏高原主要水源供给地安全。</w:t>
      </w:r>
    </w:p>
    <w:p>
      <w:pPr>
        <w:pStyle w:val="12"/>
        <w:keepNext w:val="0"/>
        <w:keepLines w:val="0"/>
        <w:widowControl/>
        <w:suppressLineNumbers w:val="0"/>
        <w:ind w:left="0" w:firstLine="640"/>
        <w:rPr>
          <w:rFonts w:hint="eastAsia" w:ascii="宋体" w:hAnsi="宋体" w:eastAsia="仿宋_GB2312" w:cs="宋体"/>
          <w:color w:val="auto"/>
          <w:sz w:val="32"/>
          <w:szCs w:val="32"/>
          <w:lang w:val="en-US" w:eastAsia="zh-CN"/>
        </w:rPr>
      </w:pPr>
      <w:r>
        <w:rPr>
          <w:rFonts w:hint="eastAsia" w:ascii="宋体" w:hAnsi="宋体" w:eastAsia="仿宋_GB2312" w:cs="宋体"/>
          <w:color w:val="auto"/>
          <w:sz w:val="32"/>
          <w:szCs w:val="32"/>
          <w:lang w:val="en-US" w:eastAsia="zh-CN"/>
        </w:rPr>
        <w:t>2、降低径流，防沙固土。健康的草原植被形成“生物地毯”，大幅度降低地表径流，减轻降水对表层土壤的冲刷，实施草原生态保护补助奖励政策，能有效解决长期导致草原生态恶化的超载过牧问题，草原可得到休养生息，退化得到有效治理，能有效防止风蚀、水蚀对地表的侵害，草原生态恶化现状得到遏制。</w:t>
      </w:r>
    </w:p>
    <w:p>
      <w:pPr>
        <w:pStyle w:val="12"/>
        <w:keepNext w:val="0"/>
        <w:keepLines w:val="0"/>
        <w:widowControl/>
        <w:suppressLineNumbers w:val="0"/>
        <w:ind w:left="0" w:firstLine="640"/>
        <w:rPr>
          <w:rFonts w:hint="eastAsia" w:ascii="宋体" w:hAnsi="宋体" w:eastAsia="仿宋_GB2312" w:cs="宋体"/>
          <w:color w:val="auto"/>
          <w:sz w:val="32"/>
          <w:szCs w:val="32"/>
          <w:lang w:val="en-US" w:eastAsia="zh-CN"/>
        </w:rPr>
      </w:pPr>
      <w:r>
        <w:rPr>
          <w:rFonts w:hint="eastAsia" w:ascii="宋体" w:hAnsi="宋体" w:eastAsia="仿宋_GB2312" w:cs="宋体"/>
          <w:color w:val="auto"/>
          <w:sz w:val="32"/>
          <w:szCs w:val="32"/>
          <w:lang w:val="en-US" w:eastAsia="zh-CN"/>
        </w:rPr>
        <w:t>3、固碳储氮，调节气候。我县草原以高寒草甸草地类为主，单位面积生物产量高，草原固碳储氮能力强，是巨大的天然植被碳库和土壤有机碳库、氮库。实施草原生态保护补助奖励政策，改善草原生态环境，植物可通过光合作用、储氮能力把空气中的二氧化碳和氮气转化为有益人类的有机物，减少空气二氧化碳浓度，有利于降低我州碳排放总量。同时，良好的草原生态系统还具有减缓噪声、释放负氧离子、吸附粉尘、去除空气中的污染物的作用，从而起到改善环境、净化空气、抑制温室效应、调节气候的作用。</w:t>
      </w:r>
    </w:p>
    <w:p>
      <w:pPr>
        <w:pStyle w:val="12"/>
        <w:keepNext w:val="0"/>
        <w:keepLines w:val="0"/>
        <w:widowControl/>
        <w:suppressLineNumbers w:val="0"/>
        <w:ind w:left="0" w:firstLine="640"/>
        <w:rPr>
          <w:rFonts w:hint="eastAsia" w:ascii="宋体" w:hAnsi="宋体" w:eastAsia="仿宋_GB2312" w:cs="宋体"/>
          <w:b/>
          <w:bCs/>
          <w:color w:val="auto"/>
          <w:sz w:val="32"/>
          <w:szCs w:val="32"/>
          <w:lang w:val="en-US" w:eastAsia="zh-CN"/>
        </w:rPr>
      </w:pPr>
      <w:r>
        <w:rPr>
          <w:rFonts w:hint="eastAsia" w:ascii="宋体" w:hAnsi="宋体" w:eastAsia="仿宋_GB2312" w:cs="宋体"/>
          <w:b/>
          <w:bCs/>
          <w:color w:val="auto"/>
          <w:sz w:val="32"/>
          <w:szCs w:val="32"/>
          <w:lang w:val="en-US" w:eastAsia="zh-CN"/>
        </w:rPr>
        <w:t>五、存在主要问题</w:t>
      </w:r>
    </w:p>
    <w:p>
      <w:pPr>
        <w:pStyle w:val="12"/>
        <w:keepNext w:val="0"/>
        <w:keepLines w:val="0"/>
        <w:widowControl/>
        <w:suppressLineNumbers w:val="0"/>
        <w:ind w:left="0" w:firstLine="640"/>
        <w:rPr>
          <w:rFonts w:hint="eastAsia" w:ascii="宋体" w:hAnsi="宋体" w:eastAsia="仿宋_GB2312" w:cs="宋体"/>
          <w:color w:val="auto"/>
          <w:sz w:val="32"/>
          <w:szCs w:val="32"/>
          <w:lang w:val="en-US" w:eastAsia="zh-CN"/>
        </w:rPr>
      </w:pPr>
      <w:r>
        <w:rPr>
          <w:rFonts w:hint="eastAsia" w:ascii="宋体" w:hAnsi="宋体" w:eastAsia="仿宋_GB2312" w:cs="宋体"/>
          <w:color w:val="auto"/>
          <w:sz w:val="32"/>
          <w:szCs w:val="32"/>
          <w:lang w:val="en-US" w:eastAsia="zh-CN"/>
        </w:rPr>
        <w:t>1、补助标准偏低；</w:t>
      </w:r>
    </w:p>
    <w:p>
      <w:pPr>
        <w:pStyle w:val="12"/>
        <w:keepNext w:val="0"/>
        <w:keepLines w:val="0"/>
        <w:widowControl/>
        <w:suppressLineNumbers w:val="0"/>
        <w:ind w:left="0" w:firstLine="640"/>
        <w:rPr>
          <w:rFonts w:hint="eastAsia" w:ascii="宋体" w:hAnsi="宋体" w:eastAsia="仿宋_GB2312" w:cs="宋体"/>
          <w:color w:val="auto"/>
          <w:sz w:val="32"/>
          <w:szCs w:val="32"/>
          <w:lang w:val="en-US" w:eastAsia="zh-CN"/>
        </w:rPr>
      </w:pPr>
      <w:r>
        <w:rPr>
          <w:rFonts w:hint="eastAsia" w:ascii="宋体" w:hAnsi="宋体" w:eastAsia="仿宋_GB2312" w:cs="宋体"/>
          <w:color w:val="auto"/>
          <w:sz w:val="32"/>
          <w:szCs w:val="32"/>
          <w:lang w:val="en-US" w:eastAsia="zh-CN"/>
        </w:rPr>
        <w:t>2、各部门之间职能职责需要进一步捋清。</w:t>
      </w:r>
    </w:p>
    <w:p>
      <w:pPr>
        <w:pStyle w:val="12"/>
        <w:keepNext w:val="0"/>
        <w:keepLines w:val="0"/>
        <w:widowControl/>
        <w:suppressLineNumbers w:val="0"/>
        <w:ind w:left="0" w:firstLine="640"/>
        <w:rPr>
          <w:rFonts w:hint="eastAsia" w:ascii="宋体" w:hAnsi="宋体" w:eastAsia="仿宋_GB2312" w:cs="宋体"/>
          <w:b/>
          <w:bCs/>
          <w:color w:val="auto"/>
          <w:sz w:val="32"/>
          <w:szCs w:val="32"/>
          <w:lang w:val="zh-CN" w:eastAsia="zh-CN"/>
        </w:rPr>
      </w:pPr>
      <w:r>
        <w:rPr>
          <w:rFonts w:hint="eastAsia" w:ascii="宋体" w:hAnsi="宋体" w:eastAsia="仿宋_GB2312" w:cs="宋体"/>
          <w:b/>
          <w:bCs/>
          <w:color w:val="auto"/>
          <w:sz w:val="32"/>
          <w:szCs w:val="32"/>
          <w:lang w:val="en-US" w:eastAsia="zh-CN"/>
        </w:rPr>
        <w:t>六、相关措施建议</w:t>
      </w:r>
    </w:p>
    <w:p>
      <w:pPr>
        <w:pStyle w:val="12"/>
        <w:keepNext w:val="0"/>
        <w:keepLines w:val="0"/>
        <w:widowControl/>
        <w:suppressLineNumbers w:val="0"/>
        <w:ind w:left="0" w:firstLine="640"/>
        <w:rPr>
          <w:rFonts w:hint="default" w:ascii="宋体" w:hAnsi="宋体" w:eastAsia="仿宋_GB2312" w:cs="宋体"/>
          <w:color w:val="auto"/>
          <w:sz w:val="32"/>
          <w:szCs w:val="32"/>
          <w:lang w:val="en-US" w:eastAsia="zh-CN"/>
        </w:rPr>
      </w:pPr>
      <w:r>
        <w:rPr>
          <w:rFonts w:hint="eastAsia" w:ascii="宋体" w:hAnsi="宋体" w:eastAsia="仿宋_GB2312" w:cs="宋体"/>
          <w:color w:val="auto"/>
          <w:sz w:val="32"/>
          <w:szCs w:val="32"/>
          <w:lang w:val="en-US" w:eastAsia="zh-CN"/>
        </w:rPr>
        <w:t>进一步明确各部门相关职责；</w:t>
      </w:r>
    </w:p>
    <w:p>
      <w:pPr>
        <w:pStyle w:val="12"/>
        <w:keepNext w:val="0"/>
        <w:keepLines w:val="0"/>
        <w:widowControl/>
        <w:suppressLineNumbers w:val="0"/>
        <w:ind w:left="0" w:firstLine="640"/>
        <w:rPr>
          <w:rFonts w:hint="default" w:ascii="宋体" w:hAnsi="宋体" w:eastAsia="仿宋_GB2312" w:cs="宋体"/>
          <w:color w:val="auto"/>
          <w:sz w:val="32"/>
          <w:szCs w:val="32"/>
          <w:lang w:val="en-US" w:eastAsia="zh-CN"/>
        </w:rPr>
      </w:pPr>
      <w:r>
        <w:rPr>
          <w:rFonts w:hint="eastAsia" w:ascii="宋体" w:hAnsi="宋体" w:eastAsia="仿宋_GB2312" w:cs="宋体"/>
          <w:color w:val="auto"/>
          <w:sz w:val="32"/>
          <w:szCs w:val="32"/>
          <w:lang w:val="en-US" w:eastAsia="zh-CN"/>
        </w:rPr>
        <w:t>2、建议补奖政策中自然资源部门及时完成所有国土资源的清理，林草部门及时对天然草原进行草原确权，农业部门在以上两项的基础上兑现相关补助。</w:t>
      </w:r>
    </w:p>
    <w:p>
      <w:pPr>
        <w:pageBreakBefore w:val="0"/>
        <w:widowControl/>
        <w:kinsoku/>
        <w:wordWrap/>
        <w:overflowPunct/>
        <w:topLinePunct w:val="0"/>
        <w:autoSpaceDE/>
        <w:autoSpaceDN/>
        <w:bidi w:val="0"/>
        <w:adjustRightInd w:val="0"/>
        <w:snapToGrid w:val="0"/>
        <w:spacing w:line="520" w:lineRule="exact"/>
        <w:ind w:firstLine="640"/>
        <w:textAlignment w:val="auto"/>
        <w:rPr>
          <w:rFonts w:hint="eastAsia" w:ascii="仿宋_GB2312" w:eastAsia="仿宋_GB2312" w:cs="仿宋"/>
          <w:color w:val="000000"/>
          <w:kern w:val="0"/>
          <w:sz w:val="32"/>
          <w:szCs w:val="32"/>
          <w:lang w:val="zh-CN"/>
        </w:rPr>
      </w:pPr>
    </w:p>
    <w:p>
      <w:pPr>
        <w:pageBreakBefore w:val="0"/>
        <w:kinsoku/>
        <w:wordWrap/>
        <w:overflowPunct/>
        <w:topLinePunct w:val="0"/>
        <w:autoSpaceDE/>
        <w:autoSpaceDN/>
        <w:bidi w:val="0"/>
        <w:spacing w:line="520" w:lineRule="exact"/>
        <w:jc w:val="center"/>
        <w:textAlignment w:val="auto"/>
        <w:outlineLvl w:val="0"/>
        <w:rPr>
          <w:rStyle w:val="18"/>
          <w:rFonts w:hint="eastAsia" w:ascii="黑体" w:eastAsia="黑体"/>
          <w:b w:val="0"/>
        </w:rPr>
      </w:pPr>
    </w:p>
    <w:p>
      <w:pPr>
        <w:pageBreakBefore w:val="0"/>
        <w:numPr>
          <w:ilvl w:val="0"/>
          <w:numId w:val="3"/>
        </w:numPr>
        <w:kinsoku/>
        <w:wordWrap/>
        <w:overflowPunct/>
        <w:topLinePunct w:val="0"/>
        <w:autoSpaceDE/>
        <w:autoSpaceDN/>
        <w:bidi w:val="0"/>
        <w:spacing w:line="520" w:lineRule="exact"/>
        <w:ind w:left="0" w:leftChars="0" w:firstLine="660" w:firstLineChars="150"/>
        <w:jc w:val="center"/>
        <w:textAlignment w:val="auto"/>
        <w:outlineLvl w:val="0"/>
        <w:rPr>
          <w:rStyle w:val="18"/>
          <w:rFonts w:hint="eastAsia" w:ascii="黑体" w:eastAsia="黑体"/>
          <w:b w:val="0"/>
        </w:rPr>
      </w:pPr>
      <w:r>
        <w:rPr>
          <w:rStyle w:val="18"/>
          <w:rFonts w:hint="eastAsia" w:ascii="黑体" w:eastAsia="黑体"/>
          <w:b w:val="0"/>
        </w:rPr>
        <w:t>附表</w:t>
      </w:r>
    </w:p>
    <w:p>
      <w:pPr>
        <w:keepNext w:val="0"/>
        <w:keepLines w:val="0"/>
        <w:widowControl/>
        <w:suppressLineNumbers w:val="0"/>
        <w:spacing w:beforeAutospacing="1" w:afterAutospacing="1"/>
        <w:ind w:left="420"/>
        <w:jc w:val="left"/>
        <w:rPr>
          <w:rFonts w:hint="eastAsia" w:ascii="仿宋_GB2312" w:hAnsi="Times New Roman" w:eastAsia="仿宋_GB2312" w:cs="仿宋"/>
          <w:b w:val="0"/>
          <w:bCs w:val="0"/>
          <w:color w:val="000000"/>
          <w:kern w:val="0"/>
          <w:sz w:val="32"/>
          <w:szCs w:val="32"/>
          <w:lang w:val="zh-CN" w:eastAsia="zh-CN" w:bidi="ar-SA"/>
        </w:rPr>
      </w:pPr>
      <w:r>
        <w:rPr>
          <w:rFonts w:hint="eastAsia" w:ascii="仿宋_GB2312" w:hAnsi="Times New Roman" w:eastAsia="仿宋_GB2312" w:cs="仿宋"/>
          <w:b w:val="0"/>
          <w:bCs w:val="0"/>
          <w:color w:val="000000"/>
          <w:kern w:val="0"/>
          <w:sz w:val="32"/>
          <w:szCs w:val="32"/>
          <w:lang w:val="zh-CN" w:eastAsia="zh-CN" w:bidi="ar-SA"/>
        </w:rPr>
        <w:t>一、收入支出决算总表</w:t>
      </w:r>
    </w:p>
    <w:p>
      <w:pPr>
        <w:keepNext w:val="0"/>
        <w:keepLines w:val="0"/>
        <w:widowControl/>
        <w:suppressLineNumbers w:val="0"/>
        <w:spacing w:beforeAutospacing="1" w:afterAutospacing="1"/>
        <w:ind w:left="420"/>
        <w:jc w:val="left"/>
        <w:rPr>
          <w:rFonts w:hint="eastAsia" w:ascii="仿宋_GB2312" w:hAnsi="Times New Roman" w:eastAsia="仿宋_GB2312" w:cs="仿宋"/>
          <w:b w:val="0"/>
          <w:bCs w:val="0"/>
          <w:color w:val="000000"/>
          <w:kern w:val="0"/>
          <w:sz w:val="32"/>
          <w:szCs w:val="32"/>
          <w:lang w:val="zh-CN" w:eastAsia="zh-CN" w:bidi="ar-SA"/>
        </w:rPr>
      </w:pPr>
      <w:r>
        <w:rPr>
          <w:rFonts w:hint="eastAsia" w:ascii="仿宋_GB2312" w:hAnsi="Times New Roman" w:eastAsia="仿宋_GB2312" w:cs="仿宋"/>
          <w:b w:val="0"/>
          <w:bCs w:val="0"/>
          <w:color w:val="000000"/>
          <w:kern w:val="0"/>
          <w:sz w:val="32"/>
          <w:szCs w:val="32"/>
          <w:lang w:val="zh-CN" w:eastAsia="zh-CN" w:bidi="ar-SA"/>
        </w:rPr>
        <w:t>二、收入决算表</w:t>
      </w:r>
    </w:p>
    <w:p>
      <w:pPr>
        <w:keepNext w:val="0"/>
        <w:keepLines w:val="0"/>
        <w:widowControl/>
        <w:suppressLineNumbers w:val="0"/>
        <w:spacing w:beforeAutospacing="1" w:afterAutospacing="1"/>
        <w:ind w:left="420"/>
        <w:jc w:val="left"/>
        <w:rPr>
          <w:rFonts w:hint="eastAsia" w:ascii="仿宋_GB2312" w:hAnsi="Times New Roman" w:eastAsia="仿宋_GB2312" w:cs="仿宋"/>
          <w:b w:val="0"/>
          <w:bCs w:val="0"/>
          <w:color w:val="000000"/>
          <w:kern w:val="0"/>
          <w:sz w:val="32"/>
          <w:szCs w:val="32"/>
          <w:lang w:val="zh-CN" w:eastAsia="zh-CN" w:bidi="ar-SA"/>
        </w:rPr>
      </w:pPr>
      <w:r>
        <w:rPr>
          <w:rFonts w:hint="eastAsia" w:ascii="仿宋_GB2312" w:hAnsi="Times New Roman" w:eastAsia="仿宋_GB2312" w:cs="仿宋"/>
          <w:b w:val="0"/>
          <w:bCs w:val="0"/>
          <w:color w:val="000000"/>
          <w:kern w:val="0"/>
          <w:sz w:val="32"/>
          <w:szCs w:val="32"/>
          <w:lang w:val="zh-CN" w:eastAsia="zh-CN" w:bidi="ar-SA"/>
        </w:rPr>
        <w:t>三、支出决算表</w:t>
      </w:r>
    </w:p>
    <w:p>
      <w:pPr>
        <w:keepNext w:val="0"/>
        <w:keepLines w:val="0"/>
        <w:widowControl/>
        <w:suppressLineNumbers w:val="0"/>
        <w:spacing w:beforeAutospacing="1" w:afterAutospacing="1"/>
        <w:ind w:left="420"/>
        <w:jc w:val="left"/>
        <w:rPr>
          <w:rFonts w:hint="eastAsia" w:ascii="仿宋_GB2312" w:hAnsi="Times New Roman" w:eastAsia="仿宋_GB2312" w:cs="仿宋"/>
          <w:b w:val="0"/>
          <w:bCs w:val="0"/>
          <w:color w:val="000000"/>
          <w:kern w:val="0"/>
          <w:sz w:val="32"/>
          <w:szCs w:val="32"/>
          <w:lang w:val="zh-CN" w:eastAsia="zh-CN" w:bidi="ar-SA"/>
        </w:rPr>
      </w:pPr>
      <w:r>
        <w:rPr>
          <w:rFonts w:hint="eastAsia" w:ascii="仿宋_GB2312" w:hAnsi="Times New Roman" w:eastAsia="仿宋_GB2312" w:cs="仿宋"/>
          <w:b w:val="0"/>
          <w:bCs w:val="0"/>
          <w:color w:val="000000"/>
          <w:kern w:val="0"/>
          <w:sz w:val="32"/>
          <w:szCs w:val="32"/>
          <w:lang w:val="zh-CN" w:eastAsia="zh-CN" w:bidi="ar-SA"/>
        </w:rPr>
        <w:t>四、财政拨款收入支出决算总表</w:t>
      </w:r>
    </w:p>
    <w:p>
      <w:pPr>
        <w:keepNext w:val="0"/>
        <w:keepLines w:val="0"/>
        <w:widowControl/>
        <w:suppressLineNumbers w:val="0"/>
        <w:spacing w:beforeAutospacing="1" w:afterAutospacing="1"/>
        <w:ind w:left="420"/>
        <w:jc w:val="left"/>
        <w:rPr>
          <w:rFonts w:hint="eastAsia" w:ascii="仿宋_GB2312" w:hAnsi="Times New Roman" w:eastAsia="仿宋_GB2312" w:cs="仿宋"/>
          <w:b w:val="0"/>
          <w:bCs w:val="0"/>
          <w:color w:val="000000"/>
          <w:kern w:val="0"/>
          <w:sz w:val="32"/>
          <w:szCs w:val="32"/>
          <w:lang w:val="zh-CN" w:eastAsia="zh-CN" w:bidi="ar-SA"/>
        </w:rPr>
      </w:pPr>
      <w:r>
        <w:rPr>
          <w:rFonts w:hint="eastAsia" w:ascii="仿宋_GB2312" w:hAnsi="Times New Roman" w:eastAsia="仿宋_GB2312" w:cs="仿宋"/>
          <w:b w:val="0"/>
          <w:bCs w:val="0"/>
          <w:color w:val="000000"/>
          <w:kern w:val="0"/>
          <w:sz w:val="32"/>
          <w:szCs w:val="32"/>
          <w:lang w:val="zh-CN" w:eastAsia="zh-CN" w:bidi="ar-SA"/>
        </w:rPr>
        <w:t>五、财政拨款支出决算明细表</w:t>
      </w:r>
    </w:p>
    <w:p>
      <w:pPr>
        <w:keepNext w:val="0"/>
        <w:keepLines w:val="0"/>
        <w:widowControl/>
        <w:suppressLineNumbers w:val="0"/>
        <w:spacing w:beforeAutospacing="1" w:afterAutospacing="1"/>
        <w:ind w:left="420"/>
        <w:jc w:val="left"/>
        <w:rPr>
          <w:rFonts w:hint="eastAsia" w:ascii="仿宋_GB2312" w:hAnsi="Times New Roman" w:eastAsia="仿宋_GB2312" w:cs="仿宋"/>
          <w:b w:val="0"/>
          <w:bCs w:val="0"/>
          <w:color w:val="000000"/>
          <w:kern w:val="0"/>
          <w:sz w:val="32"/>
          <w:szCs w:val="32"/>
          <w:lang w:val="zh-CN" w:eastAsia="zh-CN" w:bidi="ar-SA"/>
        </w:rPr>
      </w:pPr>
      <w:r>
        <w:rPr>
          <w:rFonts w:hint="eastAsia" w:ascii="仿宋_GB2312" w:hAnsi="Times New Roman" w:eastAsia="仿宋_GB2312" w:cs="仿宋"/>
          <w:b w:val="0"/>
          <w:bCs w:val="0"/>
          <w:color w:val="000000"/>
          <w:kern w:val="0"/>
          <w:sz w:val="32"/>
          <w:szCs w:val="32"/>
          <w:lang w:val="zh-CN" w:eastAsia="zh-CN" w:bidi="ar-SA"/>
        </w:rPr>
        <w:t>六、一般公共预算财政拨款支出决算表</w:t>
      </w:r>
    </w:p>
    <w:p>
      <w:pPr>
        <w:keepNext w:val="0"/>
        <w:keepLines w:val="0"/>
        <w:widowControl/>
        <w:suppressLineNumbers w:val="0"/>
        <w:spacing w:beforeAutospacing="1" w:afterAutospacing="1"/>
        <w:ind w:left="420"/>
        <w:jc w:val="left"/>
        <w:rPr>
          <w:rFonts w:hint="eastAsia" w:ascii="仿宋_GB2312" w:hAnsi="Times New Roman" w:eastAsia="仿宋_GB2312" w:cs="仿宋"/>
          <w:b w:val="0"/>
          <w:bCs w:val="0"/>
          <w:color w:val="000000"/>
          <w:kern w:val="0"/>
          <w:sz w:val="32"/>
          <w:szCs w:val="32"/>
          <w:lang w:val="zh-CN" w:eastAsia="zh-CN" w:bidi="ar-SA"/>
        </w:rPr>
      </w:pPr>
      <w:r>
        <w:rPr>
          <w:rFonts w:hint="eastAsia" w:ascii="仿宋_GB2312" w:hAnsi="Times New Roman" w:eastAsia="仿宋_GB2312" w:cs="仿宋"/>
          <w:b w:val="0"/>
          <w:bCs w:val="0"/>
          <w:color w:val="000000"/>
          <w:kern w:val="0"/>
          <w:sz w:val="32"/>
          <w:szCs w:val="32"/>
          <w:lang w:val="zh-CN" w:eastAsia="zh-CN" w:bidi="ar-SA"/>
        </w:rPr>
        <w:t>七、一般公共预算财政拨款支出决算明细表</w:t>
      </w:r>
    </w:p>
    <w:p>
      <w:pPr>
        <w:keepNext w:val="0"/>
        <w:keepLines w:val="0"/>
        <w:widowControl/>
        <w:suppressLineNumbers w:val="0"/>
        <w:spacing w:beforeAutospacing="1" w:afterAutospacing="1"/>
        <w:ind w:left="420"/>
        <w:jc w:val="left"/>
        <w:rPr>
          <w:rFonts w:hint="eastAsia" w:ascii="仿宋_GB2312" w:hAnsi="Times New Roman" w:eastAsia="仿宋_GB2312" w:cs="仿宋"/>
          <w:b w:val="0"/>
          <w:bCs w:val="0"/>
          <w:color w:val="000000"/>
          <w:kern w:val="0"/>
          <w:sz w:val="32"/>
          <w:szCs w:val="32"/>
          <w:lang w:val="zh-CN" w:eastAsia="zh-CN" w:bidi="ar-SA"/>
        </w:rPr>
      </w:pPr>
      <w:r>
        <w:rPr>
          <w:rFonts w:hint="eastAsia" w:ascii="仿宋_GB2312" w:hAnsi="Times New Roman" w:eastAsia="仿宋_GB2312" w:cs="仿宋"/>
          <w:b w:val="0"/>
          <w:bCs w:val="0"/>
          <w:color w:val="000000"/>
          <w:kern w:val="0"/>
          <w:sz w:val="32"/>
          <w:szCs w:val="32"/>
          <w:lang w:val="zh-CN" w:eastAsia="zh-CN" w:bidi="ar-SA"/>
        </w:rPr>
        <w:t>八、一般公共预算财政拨款基本支出决算表</w:t>
      </w:r>
    </w:p>
    <w:p>
      <w:pPr>
        <w:keepNext w:val="0"/>
        <w:keepLines w:val="0"/>
        <w:widowControl/>
        <w:suppressLineNumbers w:val="0"/>
        <w:spacing w:beforeAutospacing="1" w:afterAutospacing="1"/>
        <w:ind w:left="420"/>
        <w:jc w:val="left"/>
        <w:rPr>
          <w:rFonts w:hint="eastAsia" w:ascii="仿宋_GB2312" w:hAnsi="Times New Roman" w:eastAsia="仿宋_GB2312" w:cs="仿宋"/>
          <w:b w:val="0"/>
          <w:bCs w:val="0"/>
          <w:color w:val="000000"/>
          <w:kern w:val="0"/>
          <w:sz w:val="32"/>
          <w:szCs w:val="32"/>
          <w:lang w:val="zh-CN" w:eastAsia="zh-CN" w:bidi="ar-SA"/>
        </w:rPr>
      </w:pPr>
      <w:r>
        <w:rPr>
          <w:rFonts w:hint="eastAsia" w:ascii="仿宋_GB2312" w:hAnsi="Times New Roman" w:eastAsia="仿宋_GB2312" w:cs="仿宋"/>
          <w:b w:val="0"/>
          <w:bCs w:val="0"/>
          <w:color w:val="000000"/>
          <w:kern w:val="0"/>
          <w:sz w:val="32"/>
          <w:szCs w:val="32"/>
          <w:lang w:val="zh-CN" w:eastAsia="zh-CN" w:bidi="ar-SA"/>
        </w:rPr>
        <w:t>九、一般公共预算财政拨款项目支出决算表</w:t>
      </w:r>
    </w:p>
    <w:p>
      <w:pPr>
        <w:keepNext w:val="0"/>
        <w:keepLines w:val="0"/>
        <w:widowControl/>
        <w:suppressLineNumbers w:val="0"/>
        <w:spacing w:beforeAutospacing="1" w:afterAutospacing="1"/>
        <w:ind w:left="420"/>
        <w:jc w:val="left"/>
        <w:rPr>
          <w:rFonts w:hint="eastAsia" w:ascii="仿宋_GB2312" w:hAnsi="Times New Roman" w:eastAsia="仿宋_GB2312" w:cs="仿宋"/>
          <w:b w:val="0"/>
          <w:bCs w:val="0"/>
          <w:color w:val="000000"/>
          <w:kern w:val="0"/>
          <w:sz w:val="32"/>
          <w:szCs w:val="32"/>
          <w:lang w:val="zh-CN" w:eastAsia="zh-CN" w:bidi="ar-SA"/>
        </w:rPr>
      </w:pPr>
      <w:r>
        <w:rPr>
          <w:rFonts w:hint="eastAsia" w:ascii="仿宋_GB2312" w:hAnsi="Times New Roman" w:eastAsia="仿宋_GB2312" w:cs="仿宋"/>
          <w:b w:val="0"/>
          <w:bCs w:val="0"/>
          <w:color w:val="000000"/>
          <w:kern w:val="0"/>
          <w:sz w:val="32"/>
          <w:szCs w:val="32"/>
          <w:lang w:val="zh-CN" w:eastAsia="zh-CN" w:bidi="ar-SA"/>
        </w:rPr>
        <w:t>十、政府性基金预算财政拨款收入支出决算表</w:t>
      </w:r>
    </w:p>
    <w:p>
      <w:pPr>
        <w:keepNext w:val="0"/>
        <w:keepLines w:val="0"/>
        <w:widowControl/>
        <w:suppressLineNumbers w:val="0"/>
        <w:spacing w:beforeAutospacing="1" w:afterAutospacing="1"/>
        <w:ind w:left="420"/>
        <w:jc w:val="left"/>
        <w:rPr>
          <w:rFonts w:hint="eastAsia" w:ascii="仿宋_GB2312" w:hAnsi="Times New Roman" w:eastAsia="仿宋_GB2312" w:cs="仿宋"/>
          <w:b w:val="0"/>
          <w:bCs w:val="0"/>
          <w:color w:val="000000"/>
          <w:kern w:val="0"/>
          <w:sz w:val="32"/>
          <w:szCs w:val="32"/>
          <w:lang w:val="zh-CN" w:eastAsia="zh-CN" w:bidi="ar-SA"/>
        </w:rPr>
      </w:pPr>
      <w:r>
        <w:rPr>
          <w:rFonts w:hint="eastAsia" w:ascii="仿宋_GB2312" w:hAnsi="Times New Roman" w:eastAsia="仿宋_GB2312" w:cs="仿宋"/>
          <w:b w:val="0"/>
          <w:bCs w:val="0"/>
          <w:color w:val="000000"/>
          <w:kern w:val="0"/>
          <w:sz w:val="32"/>
          <w:szCs w:val="32"/>
          <w:lang w:val="zh-CN" w:eastAsia="zh-CN" w:bidi="ar-SA"/>
        </w:rPr>
        <w:t>十一、国有资本经营预算财政拨款收入支出决算表</w:t>
      </w:r>
    </w:p>
    <w:p>
      <w:pPr>
        <w:keepNext w:val="0"/>
        <w:keepLines w:val="0"/>
        <w:widowControl/>
        <w:suppressLineNumbers w:val="0"/>
        <w:spacing w:beforeAutospacing="1" w:afterAutospacing="1"/>
        <w:ind w:left="420"/>
        <w:jc w:val="left"/>
        <w:rPr>
          <w:rFonts w:hint="eastAsia" w:ascii="仿宋_GB2312" w:hAnsi="Times New Roman" w:eastAsia="仿宋_GB2312" w:cs="仿宋"/>
          <w:b w:val="0"/>
          <w:bCs w:val="0"/>
          <w:color w:val="000000"/>
          <w:kern w:val="0"/>
          <w:sz w:val="32"/>
          <w:szCs w:val="32"/>
          <w:lang w:val="zh-CN" w:eastAsia="zh-CN" w:bidi="ar-SA"/>
        </w:rPr>
      </w:pPr>
      <w:r>
        <w:rPr>
          <w:rFonts w:hint="eastAsia" w:ascii="仿宋_GB2312" w:hAnsi="Times New Roman" w:eastAsia="仿宋_GB2312" w:cs="仿宋"/>
          <w:b w:val="0"/>
          <w:bCs w:val="0"/>
          <w:color w:val="000000"/>
          <w:kern w:val="0"/>
          <w:sz w:val="32"/>
          <w:szCs w:val="32"/>
          <w:lang w:val="zh-CN" w:eastAsia="zh-CN" w:bidi="ar-SA"/>
        </w:rPr>
        <w:t>十二、国有资本经营预算财政拨款支出决算表</w:t>
      </w:r>
    </w:p>
    <w:p>
      <w:pPr>
        <w:keepNext w:val="0"/>
        <w:keepLines w:val="0"/>
        <w:widowControl/>
        <w:suppressLineNumbers w:val="0"/>
        <w:spacing w:beforeAutospacing="1" w:afterAutospacing="1"/>
        <w:ind w:left="420"/>
        <w:jc w:val="left"/>
        <w:rPr>
          <w:rFonts w:hint="eastAsia" w:ascii="仿宋_GB2312" w:hAnsi="Times New Roman" w:eastAsia="仿宋_GB2312" w:cs="仿宋"/>
          <w:b w:val="0"/>
          <w:bCs w:val="0"/>
          <w:color w:val="000000"/>
          <w:kern w:val="0"/>
          <w:sz w:val="32"/>
          <w:szCs w:val="32"/>
          <w:lang w:val="zh-CN" w:eastAsia="zh-CN" w:bidi="ar-SA"/>
        </w:rPr>
      </w:pPr>
      <w:r>
        <w:rPr>
          <w:rFonts w:hint="eastAsia" w:ascii="仿宋_GB2312" w:hAnsi="Times New Roman" w:eastAsia="仿宋_GB2312" w:cs="仿宋"/>
          <w:b w:val="0"/>
          <w:bCs w:val="0"/>
          <w:color w:val="000000"/>
          <w:kern w:val="0"/>
          <w:sz w:val="32"/>
          <w:szCs w:val="32"/>
          <w:lang w:val="zh-CN" w:eastAsia="zh-CN" w:bidi="ar-SA"/>
        </w:rPr>
        <w:t>十三、财政拨款“三公”经费支出决算表</w:t>
      </w:r>
    </w:p>
    <w:p>
      <w:pPr>
        <w:pStyle w:val="3"/>
        <w:pageBreakBefore w:val="0"/>
        <w:kinsoku/>
        <w:wordWrap/>
        <w:overflowPunct/>
        <w:topLinePunct w:val="0"/>
        <w:autoSpaceDE/>
        <w:autoSpaceDN/>
        <w:bidi w:val="0"/>
        <w:spacing w:before="0" w:after="0" w:line="520" w:lineRule="exact"/>
        <w:textAlignment w:val="auto"/>
        <w:rPr>
          <w:rFonts w:hint="eastAsia" w:ascii="仿宋_GB2312" w:hAnsi="Times New Roman" w:eastAsia="仿宋_GB2312" w:cs="仿宋"/>
          <w:b w:val="0"/>
          <w:bCs w:val="0"/>
          <w:color w:val="000000"/>
          <w:kern w:val="0"/>
          <w:sz w:val="32"/>
          <w:szCs w:val="32"/>
          <w:lang w:val="zh-CN" w:eastAsia="zh-CN" w:bidi="ar-SA"/>
        </w:rPr>
      </w:pPr>
    </w:p>
    <w:p>
      <w:pPr>
        <w:pageBreakBefore w:val="0"/>
        <w:widowControl/>
        <w:kinsoku/>
        <w:wordWrap/>
        <w:overflowPunct/>
        <w:topLinePunct w:val="0"/>
        <w:autoSpaceDE/>
        <w:autoSpaceDN/>
        <w:bidi w:val="0"/>
        <w:adjustRightInd w:val="0"/>
        <w:snapToGrid w:val="0"/>
        <w:spacing w:line="520" w:lineRule="exact"/>
        <w:textAlignment w:val="auto"/>
        <w:rPr>
          <w:rFonts w:hint="eastAsia" w:ascii="仿宋_GB2312" w:eastAsia="仿宋_GB2312" w:cs="仿宋"/>
          <w:color w:val="000000"/>
          <w:kern w:val="0"/>
          <w:sz w:val="32"/>
          <w:szCs w:val="32"/>
          <w:lang w:val="zh-CN"/>
        </w:rPr>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汉仪旗黑-55简">
    <w:altName w:val="黑体"/>
    <w:panose1 w:val="00020600040101010101"/>
    <w:charset w:val="80"/>
    <w:family w:val="auto"/>
    <w:pitch w:val="default"/>
    <w:sig w:usb0="00000000" w:usb1="00000000" w:usb2="00000000" w:usb3="00000000" w:csb0="00000000" w:csb1="00000000"/>
  </w:font>
  <w:font w:name="Arial">
    <w:panose1 w:val="020B0604020202020204"/>
    <w:charset w:val="00"/>
    <w:family w:val=""/>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rPr>
        <w:lang w:val="zh-CN"/>
      </w:rPr>
      <w:t>2</w:t>
    </w:r>
    <w:r>
      <w:rPr>
        <w:lang w:val="zh-CN"/>
      </w:rPr>
      <w:fldChar w:fldCharType="end"/>
    </w:r>
  </w:p>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CE9C751"/>
    <w:multiLevelType w:val="singleLevel"/>
    <w:tmpl w:val="ACE9C751"/>
    <w:lvl w:ilvl="0" w:tentative="0">
      <w:start w:val="1"/>
      <w:numFmt w:val="chineseCounting"/>
      <w:suff w:val="nothing"/>
      <w:lvlText w:val="（%1）"/>
      <w:lvlJc w:val="left"/>
      <w:pPr>
        <w:ind w:left="630"/>
      </w:pPr>
      <w:rPr>
        <w:rFonts w:hint="eastAsia"/>
      </w:rPr>
    </w:lvl>
  </w:abstractNum>
  <w:abstractNum w:abstractNumId="1">
    <w:nsid w:val="CF652CEC"/>
    <w:multiLevelType w:val="singleLevel"/>
    <w:tmpl w:val="CF652CEC"/>
    <w:lvl w:ilvl="0" w:tentative="0">
      <w:start w:val="9"/>
      <w:numFmt w:val="chineseCounting"/>
      <w:suff w:val="nothing"/>
      <w:lvlText w:val="%1、"/>
      <w:lvlJc w:val="left"/>
      <w:pPr>
        <w:tabs>
          <w:tab w:val="left" w:pos="0"/>
        </w:tabs>
      </w:pPr>
      <w:rPr>
        <w:rFonts w:hint="eastAsia" w:cs="Times New Roman"/>
      </w:rPr>
    </w:lvl>
  </w:abstractNum>
  <w:abstractNum w:abstractNumId="2">
    <w:nsid w:val="E2FA047D"/>
    <w:multiLevelType w:val="singleLevel"/>
    <w:tmpl w:val="E2FA047D"/>
    <w:lvl w:ilvl="0" w:tentative="0">
      <w:start w:val="3"/>
      <w:numFmt w:val="chineseCounting"/>
      <w:suff w:val="space"/>
      <w:lvlText w:val="第%1部分"/>
      <w:lvlJc w:val="left"/>
      <w:pPr>
        <w:tabs>
          <w:tab w:val="left" w:pos="0"/>
        </w:tabs>
      </w:pPr>
      <w:rPr>
        <w:rFonts w:hint="eastAsia" w:cs="Times New Roman"/>
      </w:rPr>
    </w:lvl>
  </w:abstractNum>
  <w:abstractNum w:abstractNumId="3">
    <w:nsid w:val="07F892E8"/>
    <w:multiLevelType w:val="singleLevel"/>
    <w:tmpl w:val="07F892E8"/>
    <w:lvl w:ilvl="0" w:tentative="0">
      <w:start w:val="1"/>
      <w:numFmt w:val="decimal"/>
      <w:suff w:val="nothing"/>
      <w:lvlText w:val="%1、"/>
      <w:lvlJc w:val="left"/>
      <w:pPr>
        <w:ind w:left="-10"/>
      </w:pPr>
    </w:lvl>
  </w:abstractNum>
  <w:abstractNum w:abstractNumId="4">
    <w:nsid w:val="1CEF23CD"/>
    <w:multiLevelType w:val="singleLevel"/>
    <w:tmpl w:val="1CEF23CD"/>
    <w:lvl w:ilvl="0" w:tentative="0">
      <w:start w:val="2"/>
      <w:numFmt w:val="decimal"/>
      <w:suff w:val="nothing"/>
      <w:lvlText w:val="%1、"/>
      <w:lvlJc w:val="left"/>
    </w:lvl>
  </w:abstractNum>
  <w:abstractNum w:abstractNumId="5">
    <w:nsid w:val="3EA822E5"/>
    <w:multiLevelType w:val="singleLevel"/>
    <w:tmpl w:val="3EA822E5"/>
    <w:lvl w:ilvl="0" w:tentative="0">
      <w:start w:val="1"/>
      <w:numFmt w:val="chineseCounting"/>
      <w:suff w:val="space"/>
      <w:lvlText w:val="第%1部分"/>
      <w:lvlJc w:val="left"/>
      <w:rPr>
        <w:rFonts w:hint="eastAsia"/>
      </w:rPr>
    </w:lvl>
  </w:abstractNum>
  <w:num w:numId="1">
    <w:abstractNumId w:val="5"/>
  </w:num>
  <w:num w:numId="2">
    <w:abstractNumId w:val="1"/>
  </w:num>
  <w:num w:numId="3">
    <w:abstractNumId w:val="2"/>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U1MDk4MWIzNDEyODQ2ODg3Y2MxMGQ4ZGYxY2QxN2EifQ=="/>
  </w:docVars>
  <w:rsids>
    <w:rsidRoot w:val="001319CC"/>
    <w:rsid w:val="001319CC"/>
    <w:rsid w:val="00164362"/>
    <w:rsid w:val="001B223C"/>
    <w:rsid w:val="001D225E"/>
    <w:rsid w:val="003A29D8"/>
    <w:rsid w:val="003C62D8"/>
    <w:rsid w:val="00437437"/>
    <w:rsid w:val="004E5522"/>
    <w:rsid w:val="005354C4"/>
    <w:rsid w:val="00591631"/>
    <w:rsid w:val="00712718"/>
    <w:rsid w:val="007414EF"/>
    <w:rsid w:val="007E25F8"/>
    <w:rsid w:val="008C0C20"/>
    <w:rsid w:val="00B33F69"/>
    <w:rsid w:val="00B971C6"/>
    <w:rsid w:val="00C627D4"/>
    <w:rsid w:val="00C7526B"/>
    <w:rsid w:val="00C97568"/>
    <w:rsid w:val="00CF4245"/>
    <w:rsid w:val="00D33343"/>
    <w:rsid w:val="00F74AC9"/>
    <w:rsid w:val="01A3073B"/>
    <w:rsid w:val="01A45E48"/>
    <w:rsid w:val="01BF3F96"/>
    <w:rsid w:val="01FE3B56"/>
    <w:rsid w:val="024C3C84"/>
    <w:rsid w:val="026B74AB"/>
    <w:rsid w:val="029F3BB3"/>
    <w:rsid w:val="02D05560"/>
    <w:rsid w:val="02E132C9"/>
    <w:rsid w:val="03AB08C8"/>
    <w:rsid w:val="03D7756B"/>
    <w:rsid w:val="04063F16"/>
    <w:rsid w:val="041A1188"/>
    <w:rsid w:val="045B6768"/>
    <w:rsid w:val="04C62A98"/>
    <w:rsid w:val="04CE1F73"/>
    <w:rsid w:val="05137986"/>
    <w:rsid w:val="05341DD6"/>
    <w:rsid w:val="054022C8"/>
    <w:rsid w:val="056A57F8"/>
    <w:rsid w:val="05840DC6"/>
    <w:rsid w:val="05871628"/>
    <w:rsid w:val="05DD06BF"/>
    <w:rsid w:val="06344057"/>
    <w:rsid w:val="06A21159"/>
    <w:rsid w:val="06BD229F"/>
    <w:rsid w:val="06BF1771"/>
    <w:rsid w:val="06DB44D3"/>
    <w:rsid w:val="07893255"/>
    <w:rsid w:val="079262EF"/>
    <w:rsid w:val="081672A5"/>
    <w:rsid w:val="0874698D"/>
    <w:rsid w:val="0882554E"/>
    <w:rsid w:val="08860FDC"/>
    <w:rsid w:val="08B80F70"/>
    <w:rsid w:val="094C604C"/>
    <w:rsid w:val="097E5D15"/>
    <w:rsid w:val="098C43AF"/>
    <w:rsid w:val="09A432A2"/>
    <w:rsid w:val="09FE6E56"/>
    <w:rsid w:val="0A2D3298"/>
    <w:rsid w:val="0A397E8E"/>
    <w:rsid w:val="0AB903FE"/>
    <w:rsid w:val="0AE117C1"/>
    <w:rsid w:val="0AE9345B"/>
    <w:rsid w:val="0B5E154E"/>
    <w:rsid w:val="0B9679B3"/>
    <w:rsid w:val="0B9F280D"/>
    <w:rsid w:val="0BB27EF8"/>
    <w:rsid w:val="0BD15D57"/>
    <w:rsid w:val="0C051E3E"/>
    <w:rsid w:val="0CB101B0"/>
    <w:rsid w:val="0CD93263"/>
    <w:rsid w:val="0D0B738F"/>
    <w:rsid w:val="0D3A63F7"/>
    <w:rsid w:val="0D6671EC"/>
    <w:rsid w:val="0D865C6C"/>
    <w:rsid w:val="0DEE2D3E"/>
    <w:rsid w:val="0E4768C0"/>
    <w:rsid w:val="0EA91F58"/>
    <w:rsid w:val="0EF41075"/>
    <w:rsid w:val="0F1C3BF0"/>
    <w:rsid w:val="0F3C6D0D"/>
    <w:rsid w:val="0F4326BC"/>
    <w:rsid w:val="0F4672D5"/>
    <w:rsid w:val="0F4C0664"/>
    <w:rsid w:val="0FEF767D"/>
    <w:rsid w:val="10802373"/>
    <w:rsid w:val="10A047CB"/>
    <w:rsid w:val="10C85AC8"/>
    <w:rsid w:val="11290C5D"/>
    <w:rsid w:val="11541849"/>
    <w:rsid w:val="1209450B"/>
    <w:rsid w:val="12437AFC"/>
    <w:rsid w:val="12525F91"/>
    <w:rsid w:val="12535336"/>
    <w:rsid w:val="12883761"/>
    <w:rsid w:val="12906AB9"/>
    <w:rsid w:val="12B427A8"/>
    <w:rsid w:val="12B46304"/>
    <w:rsid w:val="13367661"/>
    <w:rsid w:val="13451652"/>
    <w:rsid w:val="13567BAE"/>
    <w:rsid w:val="1367623C"/>
    <w:rsid w:val="137D703E"/>
    <w:rsid w:val="14BC5944"/>
    <w:rsid w:val="14DB5974"/>
    <w:rsid w:val="14DE1D5E"/>
    <w:rsid w:val="15225D35"/>
    <w:rsid w:val="153320AA"/>
    <w:rsid w:val="154D25EA"/>
    <w:rsid w:val="1565348A"/>
    <w:rsid w:val="157B75AD"/>
    <w:rsid w:val="15D373E9"/>
    <w:rsid w:val="162E461F"/>
    <w:rsid w:val="16302145"/>
    <w:rsid w:val="169528F0"/>
    <w:rsid w:val="1696434D"/>
    <w:rsid w:val="169E1F61"/>
    <w:rsid w:val="16D72F09"/>
    <w:rsid w:val="16F733EF"/>
    <w:rsid w:val="16F77107"/>
    <w:rsid w:val="172A0249"/>
    <w:rsid w:val="17BE2A62"/>
    <w:rsid w:val="17C422E5"/>
    <w:rsid w:val="17F61289"/>
    <w:rsid w:val="181F06C4"/>
    <w:rsid w:val="18DC4807"/>
    <w:rsid w:val="18F558C8"/>
    <w:rsid w:val="190B50EC"/>
    <w:rsid w:val="19306900"/>
    <w:rsid w:val="197902A7"/>
    <w:rsid w:val="19832ED4"/>
    <w:rsid w:val="19853CE5"/>
    <w:rsid w:val="19D13C3F"/>
    <w:rsid w:val="19E763F9"/>
    <w:rsid w:val="1A1D0C33"/>
    <w:rsid w:val="1A385A6D"/>
    <w:rsid w:val="1A3D6D6A"/>
    <w:rsid w:val="1AB946B2"/>
    <w:rsid w:val="1AC92B69"/>
    <w:rsid w:val="1B1E5A3B"/>
    <w:rsid w:val="1B903686"/>
    <w:rsid w:val="1BDE43F2"/>
    <w:rsid w:val="1BED691D"/>
    <w:rsid w:val="1BEF768A"/>
    <w:rsid w:val="1C291A51"/>
    <w:rsid w:val="1C2A75D8"/>
    <w:rsid w:val="1C876837"/>
    <w:rsid w:val="1CBA6C0D"/>
    <w:rsid w:val="1D70376F"/>
    <w:rsid w:val="1E1660C5"/>
    <w:rsid w:val="1E3649B9"/>
    <w:rsid w:val="1E68193F"/>
    <w:rsid w:val="1E8A5DE0"/>
    <w:rsid w:val="1F240CB5"/>
    <w:rsid w:val="1F394761"/>
    <w:rsid w:val="1FB57B5F"/>
    <w:rsid w:val="203767C6"/>
    <w:rsid w:val="20C51834"/>
    <w:rsid w:val="20DB5779"/>
    <w:rsid w:val="20ED5C34"/>
    <w:rsid w:val="21091F11"/>
    <w:rsid w:val="212925B3"/>
    <w:rsid w:val="215E02EB"/>
    <w:rsid w:val="21843C8D"/>
    <w:rsid w:val="21997739"/>
    <w:rsid w:val="220C2572"/>
    <w:rsid w:val="224B449B"/>
    <w:rsid w:val="2274785E"/>
    <w:rsid w:val="22765384"/>
    <w:rsid w:val="228A0E2F"/>
    <w:rsid w:val="22F520BC"/>
    <w:rsid w:val="240519D5"/>
    <w:rsid w:val="242A28CA"/>
    <w:rsid w:val="24E707BB"/>
    <w:rsid w:val="24EC4023"/>
    <w:rsid w:val="25425A15"/>
    <w:rsid w:val="255850E0"/>
    <w:rsid w:val="26413EFB"/>
    <w:rsid w:val="265C7ECF"/>
    <w:rsid w:val="26C07516"/>
    <w:rsid w:val="27181EA1"/>
    <w:rsid w:val="27545EB0"/>
    <w:rsid w:val="276E51C4"/>
    <w:rsid w:val="278247CB"/>
    <w:rsid w:val="278E6E55"/>
    <w:rsid w:val="27D72D69"/>
    <w:rsid w:val="27D8088F"/>
    <w:rsid w:val="280478D6"/>
    <w:rsid w:val="281F24B4"/>
    <w:rsid w:val="281F64BE"/>
    <w:rsid w:val="28AD1D1C"/>
    <w:rsid w:val="28EC2844"/>
    <w:rsid w:val="28EF5E90"/>
    <w:rsid w:val="29146213"/>
    <w:rsid w:val="2944542C"/>
    <w:rsid w:val="295108F9"/>
    <w:rsid w:val="295959FF"/>
    <w:rsid w:val="29824F56"/>
    <w:rsid w:val="29A56451"/>
    <w:rsid w:val="2A742AF1"/>
    <w:rsid w:val="2A8036E5"/>
    <w:rsid w:val="2ACB70F6"/>
    <w:rsid w:val="2B230073"/>
    <w:rsid w:val="2B560448"/>
    <w:rsid w:val="2B5841C1"/>
    <w:rsid w:val="2BBD04C8"/>
    <w:rsid w:val="2C161986"/>
    <w:rsid w:val="2C293467"/>
    <w:rsid w:val="2C2C2F57"/>
    <w:rsid w:val="2C550700"/>
    <w:rsid w:val="2C6A683B"/>
    <w:rsid w:val="2C732934"/>
    <w:rsid w:val="2CAD4098"/>
    <w:rsid w:val="2CED6B8B"/>
    <w:rsid w:val="2D5664DE"/>
    <w:rsid w:val="2D8D3ECA"/>
    <w:rsid w:val="2D99461C"/>
    <w:rsid w:val="2E2465DC"/>
    <w:rsid w:val="2E2E5FA3"/>
    <w:rsid w:val="2E4E5407"/>
    <w:rsid w:val="2E7A26A0"/>
    <w:rsid w:val="2E7C5F09"/>
    <w:rsid w:val="2E942910"/>
    <w:rsid w:val="2EB060C2"/>
    <w:rsid w:val="2EB37960"/>
    <w:rsid w:val="2F3C0B95"/>
    <w:rsid w:val="2F807842"/>
    <w:rsid w:val="2F947791"/>
    <w:rsid w:val="2F974B8C"/>
    <w:rsid w:val="2FE34275"/>
    <w:rsid w:val="301663F8"/>
    <w:rsid w:val="30C23E8A"/>
    <w:rsid w:val="310426F5"/>
    <w:rsid w:val="310B3A83"/>
    <w:rsid w:val="31975317"/>
    <w:rsid w:val="31C358CE"/>
    <w:rsid w:val="323963CE"/>
    <w:rsid w:val="3249108D"/>
    <w:rsid w:val="32894C60"/>
    <w:rsid w:val="328C5A18"/>
    <w:rsid w:val="331F3816"/>
    <w:rsid w:val="33945556"/>
    <w:rsid w:val="33AB32FB"/>
    <w:rsid w:val="33AD4259"/>
    <w:rsid w:val="33C148CD"/>
    <w:rsid w:val="33F22CD8"/>
    <w:rsid w:val="341C277D"/>
    <w:rsid w:val="34401C96"/>
    <w:rsid w:val="34473024"/>
    <w:rsid w:val="353115DE"/>
    <w:rsid w:val="355359F9"/>
    <w:rsid w:val="359F0C3E"/>
    <w:rsid w:val="35EA59A2"/>
    <w:rsid w:val="36140CE4"/>
    <w:rsid w:val="364F61C0"/>
    <w:rsid w:val="36624145"/>
    <w:rsid w:val="36715F92"/>
    <w:rsid w:val="36A13D54"/>
    <w:rsid w:val="36E56443"/>
    <w:rsid w:val="36FF3742"/>
    <w:rsid w:val="37054AD1"/>
    <w:rsid w:val="37991DE9"/>
    <w:rsid w:val="37A3644D"/>
    <w:rsid w:val="37FC4126"/>
    <w:rsid w:val="38262F51"/>
    <w:rsid w:val="38763ED8"/>
    <w:rsid w:val="39225E0E"/>
    <w:rsid w:val="39616936"/>
    <w:rsid w:val="396901DE"/>
    <w:rsid w:val="39BA4298"/>
    <w:rsid w:val="39CF63B8"/>
    <w:rsid w:val="39D92970"/>
    <w:rsid w:val="3A037CC3"/>
    <w:rsid w:val="3A40479E"/>
    <w:rsid w:val="3A465B2C"/>
    <w:rsid w:val="3AE55345"/>
    <w:rsid w:val="3B041243"/>
    <w:rsid w:val="3B0752BD"/>
    <w:rsid w:val="3B251BE5"/>
    <w:rsid w:val="3B3D6F2F"/>
    <w:rsid w:val="3B675D5A"/>
    <w:rsid w:val="3B766366"/>
    <w:rsid w:val="3BF515B8"/>
    <w:rsid w:val="3C4E0CC8"/>
    <w:rsid w:val="3CAE3557"/>
    <w:rsid w:val="3CCB2319"/>
    <w:rsid w:val="3CD13DD3"/>
    <w:rsid w:val="3D2374F2"/>
    <w:rsid w:val="3D5E00FF"/>
    <w:rsid w:val="3D673DEF"/>
    <w:rsid w:val="3D682EA2"/>
    <w:rsid w:val="3D714C6E"/>
    <w:rsid w:val="3D8E3A72"/>
    <w:rsid w:val="3DCD12AD"/>
    <w:rsid w:val="3DFF227A"/>
    <w:rsid w:val="3E0708BD"/>
    <w:rsid w:val="3E0E5910"/>
    <w:rsid w:val="3E276DD7"/>
    <w:rsid w:val="3E3C1720"/>
    <w:rsid w:val="3E642844"/>
    <w:rsid w:val="3E78202C"/>
    <w:rsid w:val="3F48286B"/>
    <w:rsid w:val="401D732F"/>
    <w:rsid w:val="4071376A"/>
    <w:rsid w:val="411C75E7"/>
    <w:rsid w:val="426A407D"/>
    <w:rsid w:val="4278084D"/>
    <w:rsid w:val="42784CF1"/>
    <w:rsid w:val="44213D09"/>
    <w:rsid w:val="447A4D50"/>
    <w:rsid w:val="44901E7E"/>
    <w:rsid w:val="452B604A"/>
    <w:rsid w:val="459D6275"/>
    <w:rsid w:val="45E5444B"/>
    <w:rsid w:val="45EC0AF4"/>
    <w:rsid w:val="45F22D72"/>
    <w:rsid w:val="464C68B4"/>
    <w:rsid w:val="46D70238"/>
    <w:rsid w:val="47213261"/>
    <w:rsid w:val="479039A2"/>
    <w:rsid w:val="47CB0C99"/>
    <w:rsid w:val="47F170D7"/>
    <w:rsid w:val="484B1BA2"/>
    <w:rsid w:val="486A6E89"/>
    <w:rsid w:val="48AC7A3F"/>
    <w:rsid w:val="4904004D"/>
    <w:rsid w:val="49267254"/>
    <w:rsid w:val="494B2817"/>
    <w:rsid w:val="49575B77"/>
    <w:rsid w:val="49667651"/>
    <w:rsid w:val="49807AD3"/>
    <w:rsid w:val="49B52386"/>
    <w:rsid w:val="49D80E85"/>
    <w:rsid w:val="49F360A6"/>
    <w:rsid w:val="4A2B6BA9"/>
    <w:rsid w:val="4A301A0D"/>
    <w:rsid w:val="4A4F27DB"/>
    <w:rsid w:val="4A653DAC"/>
    <w:rsid w:val="4A9A1CA8"/>
    <w:rsid w:val="4AC96965"/>
    <w:rsid w:val="4ACA1E61"/>
    <w:rsid w:val="4B5C51AF"/>
    <w:rsid w:val="4B9F509C"/>
    <w:rsid w:val="4C640405"/>
    <w:rsid w:val="4C7402D7"/>
    <w:rsid w:val="4CC71FB0"/>
    <w:rsid w:val="4CDB0356"/>
    <w:rsid w:val="4CEA0599"/>
    <w:rsid w:val="4CF92AE4"/>
    <w:rsid w:val="4D6906E5"/>
    <w:rsid w:val="4D88228C"/>
    <w:rsid w:val="4DC30881"/>
    <w:rsid w:val="4DE60D60"/>
    <w:rsid w:val="4DF06083"/>
    <w:rsid w:val="4E067654"/>
    <w:rsid w:val="4E4F17A0"/>
    <w:rsid w:val="4E546612"/>
    <w:rsid w:val="4E9D1D67"/>
    <w:rsid w:val="4EB66F0E"/>
    <w:rsid w:val="4FE614EB"/>
    <w:rsid w:val="502344EE"/>
    <w:rsid w:val="50502E09"/>
    <w:rsid w:val="50FD32EB"/>
    <w:rsid w:val="515A3F3F"/>
    <w:rsid w:val="51917235"/>
    <w:rsid w:val="51EC153D"/>
    <w:rsid w:val="52242CE1"/>
    <w:rsid w:val="522C3939"/>
    <w:rsid w:val="523D2FA1"/>
    <w:rsid w:val="5257793C"/>
    <w:rsid w:val="527612F0"/>
    <w:rsid w:val="52C75604"/>
    <w:rsid w:val="52E837CD"/>
    <w:rsid w:val="53112043"/>
    <w:rsid w:val="532A6BCD"/>
    <w:rsid w:val="532A7941"/>
    <w:rsid w:val="53BA6F17"/>
    <w:rsid w:val="53E24B5F"/>
    <w:rsid w:val="541859EC"/>
    <w:rsid w:val="542B4785"/>
    <w:rsid w:val="54675875"/>
    <w:rsid w:val="54813F77"/>
    <w:rsid w:val="54920F88"/>
    <w:rsid w:val="54AE185A"/>
    <w:rsid w:val="54F2345A"/>
    <w:rsid w:val="54F57D75"/>
    <w:rsid w:val="551D5178"/>
    <w:rsid w:val="55450A62"/>
    <w:rsid w:val="55767857"/>
    <w:rsid w:val="55ED217D"/>
    <w:rsid w:val="55EE7B38"/>
    <w:rsid w:val="560721BC"/>
    <w:rsid w:val="56295335"/>
    <w:rsid w:val="56811F6E"/>
    <w:rsid w:val="56A306FE"/>
    <w:rsid w:val="56B22127"/>
    <w:rsid w:val="56C500AD"/>
    <w:rsid w:val="56DA342C"/>
    <w:rsid w:val="57193F55"/>
    <w:rsid w:val="572C7FDA"/>
    <w:rsid w:val="578B1BF8"/>
    <w:rsid w:val="57A35F14"/>
    <w:rsid w:val="58B33F35"/>
    <w:rsid w:val="58EF7663"/>
    <w:rsid w:val="599B6EA3"/>
    <w:rsid w:val="59B47F65"/>
    <w:rsid w:val="59C0260A"/>
    <w:rsid w:val="59E94913"/>
    <w:rsid w:val="5A004074"/>
    <w:rsid w:val="5A647BDD"/>
    <w:rsid w:val="5A987886"/>
    <w:rsid w:val="5ABD3F7B"/>
    <w:rsid w:val="5AC62645"/>
    <w:rsid w:val="5B2947FA"/>
    <w:rsid w:val="5B2E153D"/>
    <w:rsid w:val="5B527A35"/>
    <w:rsid w:val="5B5E1421"/>
    <w:rsid w:val="5B9C33A6"/>
    <w:rsid w:val="5BDB39B3"/>
    <w:rsid w:val="5BF760FC"/>
    <w:rsid w:val="5BFD2097"/>
    <w:rsid w:val="5C2869E8"/>
    <w:rsid w:val="5CD56B70"/>
    <w:rsid w:val="5D015BB7"/>
    <w:rsid w:val="5D642FA0"/>
    <w:rsid w:val="5EA76E9C"/>
    <w:rsid w:val="5EB10F16"/>
    <w:rsid w:val="5EEC7074"/>
    <w:rsid w:val="5F5A7800"/>
    <w:rsid w:val="5F6B7317"/>
    <w:rsid w:val="5FDA624B"/>
    <w:rsid w:val="5FF7B27A"/>
    <w:rsid w:val="60310494"/>
    <w:rsid w:val="60695F4D"/>
    <w:rsid w:val="606C77EB"/>
    <w:rsid w:val="60830691"/>
    <w:rsid w:val="60A725D1"/>
    <w:rsid w:val="60A76A75"/>
    <w:rsid w:val="60A87C3C"/>
    <w:rsid w:val="60AD717A"/>
    <w:rsid w:val="60C767CF"/>
    <w:rsid w:val="61273712"/>
    <w:rsid w:val="61933119"/>
    <w:rsid w:val="61B210C7"/>
    <w:rsid w:val="61CE3B8D"/>
    <w:rsid w:val="61E33ADD"/>
    <w:rsid w:val="61FC06FB"/>
    <w:rsid w:val="61FD2F5E"/>
    <w:rsid w:val="620C3EF3"/>
    <w:rsid w:val="62285994"/>
    <w:rsid w:val="624520A2"/>
    <w:rsid w:val="62F87114"/>
    <w:rsid w:val="630261E5"/>
    <w:rsid w:val="632C14B3"/>
    <w:rsid w:val="63464323"/>
    <w:rsid w:val="635F7193"/>
    <w:rsid w:val="637140B0"/>
    <w:rsid w:val="637872C1"/>
    <w:rsid w:val="63952BB5"/>
    <w:rsid w:val="63D35E18"/>
    <w:rsid w:val="63E853DA"/>
    <w:rsid w:val="63FA68E9"/>
    <w:rsid w:val="6408168D"/>
    <w:rsid w:val="641327AA"/>
    <w:rsid w:val="641F7B6D"/>
    <w:rsid w:val="647C5B23"/>
    <w:rsid w:val="64960392"/>
    <w:rsid w:val="64B004D2"/>
    <w:rsid w:val="65110961"/>
    <w:rsid w:val="653B42C9"/>
    <w:rsid w:val="654E5362"/>
    <w:rsid w:val="655A5E64"/>
    <w:rsid w:val="65644F35"/>
    <w:rsid w:val="656B674C"/>
    <w:rsid w:val="658E3D60"/>
    <w:rsid w:val="65C94540"/>
    <w:rsid w:val="65DB0248"/>
    <w:rsid w:val="65F5337B"/>
    <w:rsid w:val="664D3C1B"/>
    <w:rsid w:val="66A001EE"/>
    <w:rsid w:val="66AB1545"/>
    <w:rsid w:val="66CD2666"/>
    <w:rsid w:val="67890C82"/>
    <w:rsid w:val="67FE1D18"/>
    <w:rsid w:val="68336E40"/>
    <w:rsid w:val="68680898"/>
    <w:rsid w:val="686B482C"/>
    <w:rsid w:val="68E81A16"/>
    <w:rsid w:val="68F0088D"/>
    <w:rsid w:val="691F1019"/>
    <w:rsid w:val="695F196A"/>
    <w:rsid w:val="6991407E"/>
    <w:rsid w:val="69E20B1E"/>
    <w:rsid w:val="6A2E78BF"/>
    <w:rsid w:val="6A95793E"/>
    <w:rsid w:val="6B1940CB"/>
    <w:rsid w:val="6B27284C"/>
    <w:rsid w:val="6B607F4C"/>
    <w:rsid w:val="6BC54253"/>
    <w:rsid w:val="6C450EF0"/>
    <w:rsid w:val="6CBD4F2A"/>
    <w:rsid w:val="6CDC7AA6"/>
    <w:rsid w:val="6D21195D"/>
    <w:rsid w:val="6D67459B"/>
    <w:rsid w:val="6D7101EF"/>
    <w:rsid w:val="6D9C3F55"/>
    <w:rsid w:val="6DEE5CE3"/>
    <w:rsid w:val="6E9E2179"/>
    <w:rsid w:val="6EAD34A8"/>
    <w:rsid w:val="6ECD3B4B"/>
    <w:rsid w:val="6F810491"/>
    <w:rsid w:val="6FC00F05"/>
    <w:rsid w:val="6FC14D32"/>
    <w:rsid w:val="701337DF"/>
    <w:rsid w:val="702B762D"/>
    <w:rsid w:val="703D6AAE"/>
    <w:rsid w:val="704B744F"/>
    <w:rsid w:val="705F4C76"/>
    <w:rsid w:val="70AB1C6A"/>
    <w:rsid w:val="70DF24EC"/>
    <w:rsid w:val="71A9681B"/>
    <w:rsid w:val="71B96608"/>
    <w:rsid w:val="72021D5D"/>
    <w:rsid w:val="72604CD6"/>
    <w:rsid w:val="728E35F1"/>
    <w:rsid w:val="72E710F8"/>
    <w:rsid w:val="72FC3F68"/>
    <w:rsid w:val="735633B0"/>
    <w:rsid w:val="735A7977"/>
    <w:rsid w:val="7375030D"/>
    <w:rsid w:val="73903399"/>
    <w:rsid w:val="73B057E9"/>
    <w:rsid w:val="73D70FC8"/>
    <w:rsid w:val="73DE4104"/>
    <w:rsid w:val="73EB49FF"/>
    <w:rsid w:val="746A1E3C"/>
    <w:rsid w:val="74931043"/>
    <w:rsid w:val="74D6302D"/>
    <w:rsid w:val="7516167C"/>
    <w:rsid w:val="75536805"/>
    <w:rsid w:val="75823C8D"/>
    <w:rsid w:val="75DE663D"/>
    <w:rsid w:val="76342701"/>
    <w:rsid w:val="76391AC6"/>
    <w:rsid w:val="767825EE"/>
    <w:rsid w:val="767C575E"/>
    <w:rsid w:val="77016F71"/>
    <w:rsid w:val="770865D0"/>
    <w:rsid w:val="770E2413"/>
    <w:rsid w:val="77291B3A"/>
    <w:rsid w:val="77687E39"/>
    <w:rsid w:val="77811976"/>
    <w:rsid w:val="77824A0A"/>
    <w:rsid w:val="779C40BA"/>
    <w:rsid w:val="77BB69FE"/>
    <w:rsid w:val="783C5EB8"/>
    <w:rsid w:val="785E1CB7"/>
    <w:rsid w:val="786646C8"/>
    <w:rsid w:val="78753742"/>
    <w:rsid w:val="78D03B05"/>
    <w:rsid w:val="79627585"/>
    <w:rsid w:val="79B37DE1"/>
    <w:rsid w:val="79CE69C9"/>
    <w:rsid w:val="79FB12E1"/>
    <w:rsid w:val="7A801DA9"/>
    <w:rsid w:val="7AF34939"/>
    <w:rsid w:val="7AF83CFD"/>
    <w:rsid w:val="7B1D7751"/>
    <w:rsid w:val="7B3F69CB"/>
    <w:rsid w:val="7B8836AC"/>
    <w:rsid w:val="7BD227A0"/>
    <w:rsid w:val="7BD858DD"/>
    <w:rsid w:val="7C122766"/>
    <w:rsid w:val="7C1D1542"/>
    <w:rsid w:val="7CAA7279"/>
    <w:rsid w:val="7CCB7772"/>
    <w:rsid w:val="7CF36E72"/>
    <w:rsid w:val="7D126BCC"/>
    <w:rsid w:val="7D3C3975"/>
    <w:rsid w:val="7D652C30"/>
    <w:rsid w:val="7DBF4FA6"/>
    <w:rsid w:val="7DF84014"/>
    <w:rsid w:val="7E1370A0"/>
    <w:rsid w:val="7E4159BB"/>
    <w:rsid w:val="7E4B4A8C"/>
    <w:rsid w:val="7E7C0B04"/>
    <w:rsid w:val="7EA83C8C"/>
    <w:rsid w:val="7EC14B2D"/>
    <w:rsid w:val="7F857B2A"/>
    <w:rsid w:val="7F954211"/>
    <w:rsid w:val="7FFFDD3B"/>
    <w:rsid w:val="B67754F7"/>
    <w:rsid w:val="B7ED8022"/>
    <w:rsid w:val="BFEF1B42"/>
    <w:rsid w:val="CFFEA046"/>
    <w:rsid w:val="DBAF5CE3"/>
    <w:rsid w:val="F50D3CDE"/>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qFormat="1" w:unhideWhenUsed="0" w:uiPriority="99" w:semiHidden="0" w:name="toc 2"/>
    <w:lsdException w:qFormat="1" w:unhideWhenUsed="0" w:uiPriority="9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nhideWhenUsed="0" w:uiPriority="99" w:name="Default Paragraph Font"/>
    <w:lsdException w:qFormat="1" w:unhideWhenUsed="0" w:uiPriority="99" w:semiHidden="0" w:name="Body Text"/>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99"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qFormat="1"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qFormat="1" w:unhideWhenUsed="0" w:uiPriority="0" w:semiHidden="0"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8"/>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29"/>
    <w:qFormat/>
    <w:uiPriority w:val="99"/>
    <w:pPr>
      <w:keepNext/>
      <w:keepLines/>
      <w:spacing w:before="260" w:after="260" w:line="415" w:lineRule="auto"/>
      <w:outlineLvl w:val="1"/>
    </w:pPr>
    <w:rPr>
      <w:rFonts w:ascii="Cambria" w:hAnsi="Cambria"/>
      <w:b/>
      <w:bCs/>
      <w:sz w:val="32"/>
      <w:szCs w:val="32"/>
    </w:rPr>
  </w:style>
  <w:style w:type="paragraph" w:styleId="4">
    <w:name w:val="heading 3"/>
    <w:basedOn w:val="1"/>
    <w:next w:val="1"/>
    <w:link w:val="20"/>
    <w:qFormat/>
    <w:uiPriority w:val="99"/>
    <w:pPr>
      <w:keepNext/>
      <w:keepLines/>
      <w:spacing w:before="260" w:after="260" w:line="415" w:lineRule="auto"/>
      <w:outlineLvl w:val="2"/>
    </w:pPr>
    <w:rPr>
      <w:b/>
      <w:bCs/>
      <w:sz w:val="32"/>
      <w:szCs w:val="32"/>
    </w:rPr>
  </w:style>
  <w:style w:type="character" w:default="1" w:styleId="14">
    <w:name w:val="Default Paragraph Font"/>
    <w:semiHidden/>
    <w:qFormat/>
    <w:uiPriority w:val="99"/>
  </w:style>
  <w:style w:type="table" w:default="1" w:styleId="17">
    <w:name w:val="Normal Table"/>
    <w:semiHidden/>
    <w:unhideWhenUsed/>
    <w:qFormat/>
    <w:uiPriority w:val="99"/>
    <w:tblPr>
      <w:tblLayout w:type="fixed"/>
      <w:tblCellMar>
        <w:top w:w="0" w:type="dxa"/>
        <w:left w:w="108" w:type="dxa"/>
        <w:bottom w:w="0" w:type="dxa"/>
        <w:right w:w="108" w:type="dxa"/>
      </w:tblCellMar>
    </w:tblPr>
  </w:style>
  <w:style w:type="paragraph" w:styleId="5">
    <w:name w:val="Body Text"/>
    <w:basedOn w:val="1"/>
    <w:link w:val="21"/>
    <w:qFormat/>
    <w:uiPriority w:val="99"/>
    <w:pPr>
      <w:spacing w:beforeLines="30"/>
    </w:pPr>
    <w:rPr>
      <w:rFonts w:ascii="仿宋_GB2312" w:eastAsia="仿宋_GB2312"/>
      <w:kern w:val="0"/>
      <w:sz w:val="30"/>
    </w:rPr>
  </w:style>
  <w:style w:type="paragraph" w:styleId="6">
    <w:name w:val="toc 3"/>
    <w:basedOn w:val="1"/>
    <w:next w:val="1"/>
    <w:qFormat/>
    <w:uiPriority w:val="99"/>
    <w:pPr>
      <w:tabs>
        <w:tab w:val="right" w:leader="dot" w:pos="8296"/>
      </w:tabs>
      <w:ind w:left="400" w:leftChars="400"/>
    </w:pPr>
  </w:style>
  <w:style w:type="paragraph" w:styleId="7">
    <w:name w:val="Balloon Text"/>
    <w:basedOn w:val="1"/>
    <w:link w:val="22"/>
    <w:qFormat/>
    <w:uiPriority w:val="99"/>
    <w:rPr>
      <w:sz w:val="18"/>
      <w:szCs w:val="18"/>
    </w:rPr>
  </w:style>
  <w:style w:type="paragraph" w:styleId="8">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24"/>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qFormat/>
    <w:uiPriority w:val="99"/>
    <w:pPr>
      <w:tabs>
        <w:tab w:val="right" w:leader="dot" w:pos="8296"/>
      </w:tabs>
      <w:spacing w:before="93"/>
      <w:jc w:val="center"/>
    </w:pPr>
    <w:rPr>
      <w:rFonts w:ascii="仿宋" w:eastAsia="仿宋"/>
      <w:sz w:val="28"/>
      <w:szCs w:val="28"/>
    </w:rPr>
  </w:style>
  <w:style w:type="paragraph" w:styleId="11">
    <w:name w:val="toc 2"/>
    <w:basedOn w:val="1"/>
    <w:next w:val="1"/>
    <w:qFormat/>
    <w:uiPriority w:val="99"/>
    <w:pPr>
      <w:tabs>
        <w:tab w:val="right" w:leader="dot" w:pos="8296"/>
      </w:tabs>
      <w:ind w:left="200" w:leftChars="200"/>
    </w:pPr>
  </w:style>
  <w:style w:type="paragraph" w:styleId="12">
    <w:name w:val="HTML Preformatted"/>
    <w:basedOn w:val="1"/>
    <w:qFormat/>
    <w:locked/>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Normal (Web)"/>
    <w:basedOn w:val="1"/>
    <w:semiHidden/>
    <w:unhideWhenUsed/>
    <w:qFormat/>
    <w:locked/>
    <w:uiPriority w:val="99"/>
    <w:pPr>
      <w:spacing w:before="0" w:beforeAutospacing="1" w:after="0" w:afterAutospacing="1"/>
      <w:ind w:left="0" w:right="0"/>
      <w:jc w:val="left"/>
    </w:pPr>
    <w:rPr>
      <w:kern w:val="0"/>
      <w:sz w:val="24"/>
      <w:lang w:val="en-US" w:eastAsia="zh-CN" w:bidi="ar"/>
    </w:rPr>
  </w:style>
  <w:style w:type="character" w:styleId="15">
    <w:name w:val="Strong"/>
    <w:basedOn w:val="14"/>
    <w:qFormat/>
    <w:uiPriority w:val="99"/>
    <w:rPr>
      <w:rFonts w:cs="Times New Roman"/>
      <w:b/>
    </w:rPr>
  </w:style>
  <w:style w:type="character" w:styleId="16">
    <w:name w:val="Hyperlink"/>
    <w:basedOn w:val="14"/>
    <w:qFormat/>
    <w:uiPriority w:val="99"/>
    <w:rPr>
      <w:rFonts w:cs="Times New Roman"/>
      <w:color w:val="0000FF"/>
      <w:u w:val="single"/>
    </w:rPr>
  </w:style>
  <w:style w:type="character" w:customStyle="1" w:styleId="18">
    <w:name w:val="Heading 1 Char"/>
    <w:basedOn w:val="14"/>
    <w:link w:val="2"/>
    <w:qFormat/>
    <w:locked/>
    <w:uiPriority w:val="99"/>
    <w:rPr>
      <w:rFonts w:ascii="Times New Roman" w:hAnsi="Times New Roman" w:eastAsia="宋体" w:cs="Times New Roman"/>
      <w:b/>
      <w:bCs/>
      <w:kern w:val="44"/>
      <w:sz w:val="44"/>
      <w:szCs w:val="44"/>
      <w:lang w:val="en-US" w:eastAsia="zh-CN" w:bidi="ar-SA"/>
    </w:rPr>
  </w:style>
  <w:style w:type="character" w:customStyle="1" w:styleId="19">
    <w:name w:val="Heading 2 Char"/>
    <w:basedOn w:val="14"/>
    <w:link w:val="3"/>
    <w:qFormat/>
    <w:locked/>
    <w:uiPriority w:val="99"/>
    <w:rPr>
      <w:rFonts w:ascii="Cambria" w:hAnsi="Cambria" w:eastAsia="宋体" w:cs="Times New Roman"/>
      <w:b/>
      <w:bCs/>
      <w:kern w:val="2"/>
      <w:sz w:val="32"/>
      <w:szCs w:val="32"/>
      <w:lang w:val="en-US" w:eastAsia="zh-CN" w:bidi="ar-SA"/>
    </w:rPr>
  </w:style>
  <w:style w:type="character" w:customStyle="1" w:styleId="20">
    <w:name w:val="Heading 3 Char"/>
    <w:basedOn w:val="14"/>
    <w:link w:val="4"/>
    <w:semiHidden/>
    <w:qFormat/>
    <w:locked/>
    <w:uiPriority w:val="99"/>
    <w:rPr>
      <w:rFonts w:cs="Times New Roman"/>
      <w:b/>
      <w:bCs/>
      <w:sz w:val="32"/>
      <w:szCs w:val="32"/>
    </w:rPr>
  </w:style>
  <w:style w:type="character" w:customStyle="1" w:styleId="21">
    <w:name w:val="Body Text Char"/>
    <w:basedOn w:val="14"/>
    <w:link w:val="5"/>
    <w:qFormat/>
    <w:locked/>
    <w:uiPriority w:val="99"/>
    <w:rPr>
      <w:rFonts w:ascii="Times New Roman" w:hAnsi="Times New Roman" w:cs="Times New Roman"/>
      <w:sz w:val="24"/>
      <w:szCs w:val="24"/>
    </w:rPr>
  </w:style>
  <w:style w:type="character" w:customStyle="1" w:styleId="22">
    <w:name w:val="Balloon Text Char"/>
    <w:basedOn w:val="14"/>
    <w:link w:val="7"/>
    <w:semiHidden/>
    <w:qFormat/>
    <w:locked/>
    <w:uiPriority w:val="99"/>
    <w:rPr>
      <w:rFonts w:cs="Times New Roman"/>
      <w:sz w:val="2"/>
    </w:rPr>
  </w:style>
  <w:style w:type="character" w:customStyle="1" w:styleId="23">
    <w:name w:val="Footer Char"/>
    <w:basedOn w:val="14"/>
    <w:link w:val="8"/>
    <w:qFormat/>
    <w:locked/>
    <w:uiPriority w:val="99"/>
    <w:rPr>
      <w:rFonts w:ascii="Times New Roman" w:hAnsi="Times New Roman" w:cs="Times New Roman"/>
      <w:sz w:val="18"/>
      <w:szCs w:val="18"/>
    </w:rPr>
  </w:style>
  <w:style w:type="character" w:customStyle="1" w:styleId="24">
    <w:name w:val="Header Char"/>
    <w:basedOn w:val="14"/>
    <w:link w:val="9"/>
    <w:qFormat/>
    <w:locked/>
    <w:uiPriority w:val="99"/>
    <w:rPr>
      <w:rFonts w:ascii="Times New Roman" w:hAnsi="Times New Roman" w:cs="Times New Roman"/>
      <w:sz w:val="18"/>
      <w:szCs w:val="18"/>
    </w:rPr>
  </w:style>
  <w:style w:type="paragraph" w:customStyle="1" w:styleId="25">
    <w:name w:val="Default"/>
    <w:qFormat/>
    <w:uiPriority w:val="99"/>
    <w:pPr>
      <w:widowControl w:val="0"/>
      <w:autoSpaceDE w:val="0"/>
      <w:autoSpaceDN w:val="0"/>
      <w:adjustRightInd w:val="0"/>
    </w:pPr>
    <w:rPr>
      <w:rFonts w:ascii="仿宋" w:hAnsi="Times New Roman" w:eastAsia="仿宋" w:cs="仿宋"/>
      <w:color w:val="000000"/>
      <w:kern w:val="0"/>
      <w:sz w:val="24"/>
      <w:szCs w:val="24"/>
      <w:lang w:val="en-US" w:eastAsia="zh-CN" w:bidi="ar-SA"/>
    </w:rPr>
  </w:style>
  <w:style w:type="paragraph" w:styleId="26">
    <w:name w:val="List Paragraph"/>
    <w:basedOn w:val="1"/>
    <w:qFormat/>
    <w:uiPriority w:val="99"/>
    <w:pPr>
      <w:ind w:firstLine="200" w:firstLineChars="200"/>
    </w:pPr>
  </w:style>
  <w:style w:type="paragraph" w:customStyle="1" w:styleId="27">
    <w:name w:val="TOC Heading1"/>
    <w:basedOn w:val="2"/>
    <w:next w:val="1"/>
    <w:qFormat/>
    <w:uiPriority w:val="99"/>
    <w:pPr>
      <w:widowControl/>
      <w:spacing w:before="480" w:after="0" w:line="276" w:lineRule="auto"/>
      <w:jc w:val="left"/>
      <w:outlineLvl w:val="9"/>
    </w:pPr>
    <w:rPr>
      <w:rFonts w:ascii="Cambria" w:hAnsi="Cambria"/>
      <w:color w:val="376092"/>
      <w:kern w:val="0"/>
      <w:sz w:val="28"/>
      <w:szCs w:val="28"/>
    </w:rPr>
  </w:style>
  <w:style w:type="character" w:customStyle="1" w:styleId="28">
    <w:name w:val="标题 1 Char"/>
    <w:basedOn w:val="14"/>
    <w:link w:val="2"/>
    <w:qFormat/>
    <w:uiPriority w:val="0"/>
    <w:rPr>
      <w:rFonts w:ascii="Times New Roman" w:hAnsi="Times New Roman" w:eastAsia="宋体" w:cs="Times New Roman"/>
      <w:b/>
      <w:bCs/>
      <w:kern w:val="44"/>
      <w:sz w:val="44"/>
      <w:szCs w:val="44"/>
      <w:lang w:val="en-US" w:eastAsia="zh-CN" w:bidi="ar-SA"/>
    </w:rPr>
  </w:style>
  <w:style w:type="character" w:customStyle="1" w:styleId="29">
    <w:name w:val="标题 2 Char"/>
    <w:basedOn w:val="14"/>
    <w:link w:val="3"/>
    <w:qFormat/>
    <w:uiPriority w:val="0"/>
    <w:rPr>
      <w:rFonts w:ascii="Cambria" w:hAnsi="Cambria" w:eastAsia="宋体" w:cs="Times New Roman"/>
      <w:b/>
      <w:bCs/>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chart" Target="charts/chart7.xml"/><Relationship Id="rId15" Type="http://schemas.openxmlformats.org/officeDocument/2006/relationships/chart" Target="charts/chart6.xml"/><Relationship Id="rId14" Type="http://schemas.openxmlformats.org/officeDocument/2006/relationships/chart" Target="charts/chart5.xml"/><Relationship Id="rId13" Type="http://schemas.openxmlformats.org/officeDocument/2006/relationships/chart" Target="charts/chart4.xml"/><Relationship Id="rId12" Type="http://schemas.openxmlformats.org/officeDocument/2006/relationships/chart" Target="charts/chart3.xml"/><Relationship Id="rId11" Type="http://schemas.openxmlformats.org/officeDocument/2006/relationships/chart" Target="charts/chart2.xml"/><Relationship Id="rId10" Type="http://schemas.openxmlformats.org/officeDocument/2006/relationships/chart" Target="charts/chart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4" Type="http://schemas.microsoft.com/office/2011/relationships/chartColorStyle" Target="colors2.xml"/><Relationship Id="rId3" Type="http://schemas.microsoft.com/office/2011/relationships/chartStyle" Target="style2.xml"/><Relationship Id="rId2" Type="http://schemas.openxmlformats.org/officeDocument/2006/relationships/themeOverride" Target="../theme/themeOverride2.xml"/><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4" Type="http://schemas.microsoft.com/office/2011/relationships/chartColorStyle" Target="colors1.xml"/><Relationship Id="rId3" Type="http://schemas.microsoft.com/office/2011/relationships/chartStyle" Target="style1.xml"/><Relationship Id="rId2" Type="http://schemas.openxmlformats.org/officeDocument/2006/relationships/themeOverride" Target="../theme/themeOverride1.xml"/><Relationship Id="rId1" Type="http://schemas.openxmlformats.org/officeDocument/2006/relationships/oleObject" Target="&#24037;&#20316;&#31807;1" TargetMode="External"/></Relationships>
</file>

<file path=word/charts/_rels/chart3.xml.rels><?xml version="1.0" encoding="UTF-8" standalone="yes"?>
<Relationships xmlns="http://schemas.openxmlformats.org/package/2006/relationships"><Relationship Id="rId4" Type="http://schemas.microsoft.com/office/2011/relationships/chartColorStyle" Target="colors3.xml"/><Relationship Id="rId3" Type="http://schemas.microsoft.com/office/2011/relationships/chartStyle" Target="style3.xml"/><Relationship Id="rId2" Type="http://schemas.openxmlformats.org/officeDocument/2006/relationships/themeOverride" Target="../theme/themeOverride3.xml"/><Relationship Id="rId1" Type="http://schemas.openxmlformats.org/officeDocument/2006/relationships/oleObject" Target="&#24037;&#20316;&#31807;1" TargetMode="External"/></Relationships>
</file>

<file path=word/charts/_rels/chart4.xml.rels><?xml version="1.0" encoding="UTF-8" standalone="yes"?>
<Relationships xmlns="http://schemas.openxmlformats.org/package/2006/relationships"><Relationship Id="rId4" Type="http://schemas.microsoft.com/office/2011/relationships/chartColorStyle" Target="colors6.xml"/><Relationship Id="rId3" Type="http://schemas.microsoft.com/office/2011/relationships/chartStyle" Target="style6.xml"/><Relationship Id="rId2" Type="http://schemas.openxmlformats.org/officeDocument/2006/relationships/themeOverride" Target="../theme/themeOverride7.xml"/><Relationship Id="rId1" Type="http://schemas.openxmlformats.org/officeDocument/2006/relationships/oleObject" Target="&#24037;&#20316;&#31807;1" TargetMode="External"/></Relationships>
</file>

<file path=word/charts/_rels/chart5.xml.rels><?xml version="1.0" encoding="UTF-8" standalone="yes"?>
<Relationships xmlns="http://schemas.openxmlformats.org/package/2006/relationships"><Relationship Id="rId2" Type="http://schemas.openxmlformats.org/officeDocument/2006/relationships/themeOverride" Target="../theme/themeOverride5.xml"/><Relationship Id="rId1" Type="http://schemas.openxmlformats.org/officeDocument/2006/relationships/oleObject" Target="&#24037;&#20316;&#31807;1" TargetMode="External"/></Relationships>
</file>

<file path=word/charts/_rels/chart6.xml.rels><?xml version="1.0" encoding="UTF-8" standalone="yes"?>
<Relationships xmlns="http://schemas.openxmlformats.org/package/2006/relationships"><Relationship Id="rId4" Type="http://schemas.microsoft.com/office/2011/relationships/chartColorStyle" Target="colors4.xml"/><Relationship Id="rId3" Type="http://schemas.microsoft.com/office/2011/relationships/chartStyle" Target="style4.xml"/><Relationship Id="rId2" Type="http://schemas.openxmlformats.org/officeDocument/2006/relationships/themeOverride" Target="../theme/themeOverride4.xml"/><Relationship Id="rId1" Type="http://schemas.openxmlformats.org/officeDocument/2006/relationships/oleObject" Target="file:///C:\Users\Administrator\Desktop\&#24037;&#20316;&#31807;1.xlsx" TargetMode="External"/></Relationships>
</file>

<file path=word/charts/_rels/chart7.xml.rels><?xml version="1.0" encoding="UTF-8" standalone="yes"?>
<Relationships xmlns="http://schemas.openxmlformats.org/package/2006/relationships"><Relationship Id="rId5" Type="http://schemas.microsoft.com/office/2011/relationships/chartColorStyle" Target="colors5.xml"/><Relationship Id="rId4" Type="http://schemas.microsoft.com/office/2011/relationships/chartStyle" Target="style5.xml"/><Relationship Id="rId3" Type="http://schemas.openxmlformats.org/officeDocument/2006/relationships/image" Target="../media/image1.png"/><Relationship Id="rId2" Type="http://schemas.openxmlformats.org/officeDocument/2006/relationships/themeOverride" Target="../theme/themeOverride6.xml"/><Relationship Id="rId1" Type="http://schemas.openxmlformats.org/officeDocument/2006/relationships/oleObject" Target="file:///C:\Users\Administrator\Desktop\&#24037;&#20316;&#31807;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a:defRPr lang="zh-CN" sz="1400" b="1" i="0" u="none" strike="noStrike" baseline="0">
                <a:gradFill>
                  <a:gsLst>
                    <a:gs pos="0">
                      <a:srgbClr val="7674EB"/>
                    </a:gs>
                    <a:gs pos="100000">
                      <a:srgbClr val="E17CEA"/>
                    </a:gs>
                  </a:gsLst>
                  <a:lin ang="16200000" scaled="0"/>
                </a:gradFill>
                <a:effectLst>
                  <a:outerShdw blurRad="50800" dist="38100" dir="16200000" rotWithShape="0">
                    <a:schemeClr val="bg1">
                      <a:alpha val="100000"/>
                    </a:schemeClr>
                  </a:outerShdw>
                </a:effectLst>
                <a:latin typeface="微软雅黑" panose="020B0503020204020204" charset="-122"/>
                <a:ea typeface="微软雅黑" panose="020B0503020204020204" charset="-122"/>
                <a:cs typeface="微软雅黑" panose="020B0503020204020204" charset="-122"/>
                <a:sym typeface="微软雅黑" panose="020B0503020204020204" charset="-122"/>
              </a:defRPr>
            </a:pPr>
            <a:r>
              <a:t>收支对比</a:t>
            </a:r>
          </a:p>
        </c:rich>
      </c:tx>
      <c:layout>
        <c:manualLayout>
          <c:xMode val="edge"/>
          <c:yMode val="edge"/>
          <c:x val="0.451944444444444"/>
          <c:y val="0.0277777777777778"/>
        </c:manualLayout>
      </c:layout>
      <c:overlay val="0"/>
      <c:spPr>
        <a:noFill/>
        <a:ln>
          <a:noFill/>
        </a:ln>
        <a:effectLst/>
      </c:spPr>
    </c:title>
    <c:autoTitleDeleted val="0"/>
    <c:plotArea>
      <c:layout>
        <c:manualLayout>
          <c:layoutTarget val="inner"/>
          <c:xMode val="edge"/>
          <c:yMode val="edge"/>
          <c:x val="0.122223707069357"/>
          <c:y val="0.27974994418397"/>
          <c:w val="0.80587999465455"/>
          <c:h val="0.577673587854432"/>
        </c:manualLayout>
      </c:layout>
      <c:barChart>
        <c:barDir val="col"/>
        <c:grouping val="clustered"/>
        <c:varyColors val="0"/>
        <c:ser>
          <c:idx val="0"/>
          <c:order val="0"/>
          <c:tx>
            <c:strRef>
              <c:f>[工作簿1]Sheet1!$C$8</c:f>
              <c:strCache>
                <c:ptCount val="1"/>
                <c:pt idx="0">
                  <c:v>收入</c:v>
                </c:pt>
              </c:strCache>
            </c:strRef>
          </c:tx>
          <c:spPr>
            <a:solidFill>
              <a:srgbClr val="9771FF"/>
            </a:solidFill>
            <a:ln w="15875">
              <a:noFill/>
              <a:miter lim="800000"/>
            </a:ln>
            <a:effectLst/>
          </c:spPr>
          <c:invertIfNegative val="0"/>
          <c:dLbls>
            <c:delete val="1"/>
          </c:dLbls>
          <c:cat>
            <c:strRef>
              <c:f>[工作簿1]Sheet1!$D$7:$E$7</c:f>
              <c:strCache>
                <c:ptCount val="2"/>
                <c:pt idx="0">
                  <c:v>2022年</c:v>
                </c:pt>
                <c:pt idx="1">
                  <c:v>2021年</c:v>
                </c:pt>
              </c:strCache>
            </c:strRef>
          </c:cat>
          <c:val>
            <c:numRef>
              <c:f>[工作簿1]Sheet1!$D$8:$E$8</c:f>
              <c:numCache>
                <c:formatCode>0.00_ </c:formatCode>
                <c:ptCount val="2"/>
                <c:pt idx="0">
                  <c:v>1934.92</c:v>
                </c:pt>
                <c:pt idx="1" c:formatCode="General">
                  <c:v>1962.26</c:v>
                </c:pt>
              </c:numCache>
            </c:numRef>
          </c:val>
        </c:ser>
        <c:ser>
          <c:idx val="1"/>
          <c:order val="1"/>
          <c:tx>
            <c:strRef>
              <c:f>[工作簿1]Sheet1!$C$9</c:f>
              <c:strCache>
                <c:ptCount val="1"/>
                <c:pt idx="0">
                  <c:v>支出</c:v>
                </c:pt>
              </c:strCache>
            </c:strRef>
          </c:tx>
          <c:spPr>
            <a:solidFill>
              <a:srgbClr val="64E3D6"/>
            </a:solidFill>
            <a:ln w="15875">
              <a:noFill/>
              <a:miter lim="800000"/>
            </a:ln>
            <a:effectLst/>
          </c:spPr>
          <c:invertIfNegative val="0"/>
          <c:dLbls>
            <c:delete val="1"/>
          </c:dLbls>
          <c:cat>
            <c:strRef>
              <c:f>[工作簿1]Sheet1!$D$7:$E$7</c:f>
              <c:strCache>
                <c:ptCount val="2"/>
                <c:pt idx="0">
                  <c:v>2022年</c:v>
                </c:pt>
                <c:pt idx="1">
                  <c:v>2021年</c:v>
                </c:pt>
              </c:strCache>
            </c:strRef>
          </c:cat>
          <c:val>
            <c:numRef>
              <c:f>[工作簿1]Sheet1!$D$9:$E$9</c:f>
              <c:numCache>
                <c:formatCode>General</c:formatCode>
                <c:ptCount val="2"/>
                <c:pt idx="0">
                  <c:v>1934.92</c:v>
                </c:pt>
                <c:pt idx="1">
                  <c:v>2043.17</c:v>
                </c:pt>
              </c:numCache>
            </c:numRef>
          </c:val>
        </c:ser>
        <c:dLbls>
          <c:showLegendKey val="0"/>
          <c:showVal val="0"/>
          <c:showCatName val="0"/>
          <c:showSerName val="0"/>
          <c:showPercent val="0"/>
          <c:showBubbleSize val="0"/>
        </c:dLbls>
        <c:gapWidth val="214"/>
        <c:overlap val="-22"/>
        <c:axId val="248647413"/>
        <c:axId val="921697544"/>
      </c:barChart>
      <c:catAx>
        <c:axId val="24864741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forceAA="0"/>
          <a:lstStyle/>
          <a:p>
            <a:pPr>
              <a:defRPr lang="zh-CN" sz="900" b="0" i="0" u="none" strike="noStrike"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921697544"/>
        <c:crosses val="autoZero"/>
        <c:auto val="1"/>
        <c:lblAlgn val="ctr"/>
        <c:lblOffset val="100"/>
        <c:noMultiLvlLbl val="0"/>
      </c:catAx>
      <c:valAx>
        <c:axId val="921697544"/>
        <c:scaling>
          <c:orientation val="minMax"/>
        </c:scaling>
        <c:delete val="0"/>
        <c:axPos val="l"/>
        <c:majorGridlines>
          <c:spPr>
            <a:ln w="9525" cap="flat" cmpd="sng" algn="ctr">
              <a:solidFill>
                <a:schemeClr val="tx1">
                  <a:lumMod val="15000"/>
                  <a:lumOff val="85000"/>
                  <a:alpha val="42000"/>
                </a:schemeClr>
              </a:solidFill>
              <a:round/>
            </a:ln>
            <a:effectLst/>
          </c:spPr>
        </c:majorGridlines>
        <c:numFmt formatCode="0.00_ " sourceLinked="1"/>
        <c:majorTickMark val="none"/>
        <c:minorTickMark val="none"/>
        <c:tickLblPos val="nextTo"/>
        <c:spPr>
          <a:noFill/>
          <a:ln>
            <a:noFill/>
          </a:ln>
          <a:effectLst/>
        </c:spPr>
        <c:txPr>
          <a:bodyPr rot="-60000000" spcFirstLastPara="0" vertOverflow="ellipsis" vert="horz" wrap="square" anchor="ctr" anchorCtr="1" forceAA="0"/>
          <a:lstStyle/>
          <a:p>
            <a:pPr>
              <a:defRPr lang="zh-CN" sz="900" b="0" i="0" u="none" strike="noStrike"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248647413"/>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forceAA="0"/>
        <a:lstStyle/>
        <a:p>
          <a:pPr>
            <a:defRPr lang="zh-CN" sz="900" b="0" i="0" u="none" strike="noStrike" baseline="0">
              <a:gradFill>
                <a:gsLst>
                  <a:gs pos="0">
                    <a:srgbClr val="7674EB"/>
                  </a:gs>
                  <a:gs pos="100000">
                    <a:srgbClr val="E17CEA"/>
                  </a:gs>
                </a:gsLst>
                <a:lin ang="16200000" scaled="0"/>
              </a:gra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
    <c:plotVisOnly val="1"/>
    <c:dispBlanksAs val="gap"/>
    <c:showDLblsOverMax val="0"/>
  </c:chart>
  <c:spPr>
    <a:solidFill>
      <a:sysClr val="window" lastClr="FFFFFF">
        <a:lumMod val="95000"/>
      </a:sysClr>
    </a:solidFill>
    <a:ln w="9525" cap="flat" cmpd="sng" algn="ctr">
      <a:noFill/>
      <a:round/>
    </a:ln>
    <a:effectLst/>
  </c:spPr>
  <c:txPr>
    <a:bodyPr/>
    <a:lstStyle/>
    <a:p>
      <a:pPr>
        <a:defRPr lang="zh-CN">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a:defRPr lang="zh-CN" sz="1400" b="0" i="0" u="none" strike="noStrike" kern="1200" spc="0" baseline="0">
                <a:ln>
                  <a:noFill/>
                </a:ln>
                <a:solidFill>
                  <a:srgbClr val="304269"/>
                </a:solidFill>
                <a:latin typeface="汉仪旗黑-55简" panose="00020600040101010101" charset="-128"/>
                <a:ea typeface="汉仪旗黑-55简" panose="00020600040101010101" charset="-128"/>
                <a:cs typeface="汉仪旗黑-55简" panose="00020600040101010101" charset="-128"/>
                <a:sym typeface="汉仪旗黑-55简" panose="00020600040101010101" charset="-128"/>
              </a:defRPr>
            </a:pPr>
            <a:r>
              <a:rPr lang="zh-CN" altLang="en-US"/>
              <a:t>基本支出与项目支出对比</a:t>
            </a:r>
            <a:endParaRPr lang="zh-CN" altLang="en-US"/>
          </a:p>
        </c:rich>
      </c:tx>
      <c:layout/>
      <c:overlay val="0"/>
      <c:spPr>
        <a:noFill/>
        <a:ln>
          <a:noFill/>
        </a:ln>
        <a:effectLst/>
      </c:spPr>
    </c:title>
    <c:autoTitleDeleted val="0"/>
    <c:plotArea>
      <c:layout>
        <c:manualLayout>
          <c:layoutTarget val="inner"/>
          <c:xMode val="edge"/>
          <c:yMode val="edge"/>
          <c:x val="0.29949307551607"/>
          <c:y val="0.171554575523705"/>
          <c:w val="0.37788868565456"/>
          <c:h val="0.637786108048512"/>
        </c:manualLayout>
      </c:layout>
      <c:pieChart>
        <c:varyColors val="1"/>
        <c:ser>
          <c:idx val="0"/>
          <c:order val="0"/>
          <c:spPr>
            <a:ln w="9525">
              <a:solidFill>
                <a:schemeClr val="lt1"/>
              </a:solidFill>
            </a:ln>
            <a:effectLst>
              <a:outerShdw blurRad="50800" dist="38100" dir="2700000" algn="tl" rotWithShape="0">
                <a:srgbClr val="91BED4">
                  <a:alpha val="40000"/>
                </a:srgbClr>
              </a:outerShdw>
            </a:effectLst>
          </c:spPr>
          <c:explosion val="3"/>
          <c:dPt>
            <c:idx val="0"/>
            <c:bubble3D val="0"/>
            <c:spPr>
              <a:solidFill>
                <a:srgbClr val="F7DE6B"/>
              </a:solidFill>
              <a:ln w="9525">
                <a:solidFill>
                  <a:schemeClr val="lt1"/>
                </a:solidFill>
              </a:ln>
              <a:effectLst>
                <a:outerShdw blurRad="50800" dist="38100" dir="2700000" algn="tl" rotWithShape="0">
                  <a:srgbClr val="91BED4">
                    <a:alpha val="40000"/>
                  </a:srgbClr>
                </a:outerShdw>
              </a:effectLst>
            </c:spPr>
          </c:dPt>
          <c:dPt>
            <c:idx val="1"/>
            <c:bubble3D val="0"/>
            <c:spPr>
              <a:solidFill>
                <a:srgbClr val="F8A5BF"/>
              </a:solidFill>
              <a:ln w="9525">
                <a:solidFill>
                  <a:schemeClr val="lt1"/>
                </a:solidFill>
              </a:ln>
              <a:effectLst>
                <a:outerShdw blurRad="50800" dist="38100" dir="2700000" algn="tl" rotWithShape="0">
                  <a:srgbClr val="91BED4">
                    <a:alpha val="40000"/>
                  </a:srgbClr>
                </a:outerShdw>
              </a:effectLst>
            </c:spPr>
          </c:dPt>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1000" b="0" i="0" u="none" strike="noStrike" kern="1200" baseline="0">
                    <a:solidFill>
                      <a:schemeClr val="bg1"/>
                    </a:solidFill>
                    <a:latin typeface="汉仪旗黑-55简" panose="00020600040101010101" charset="-128"/>
                    <a:ea typeface="汉仪旗黑-55简" panose="00020600040101010101" charset="-128"/>
                    <a:cs typeface="汉仪旗黑-55简" panose="00020600040101010101" charset="-128"/>
                    <a:sym typeface="汉仪旗黑-55简" panose="00020600040101010101" charset="-128"/>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[工作簿1]Sheet1!$C$17:$D$17</c:f>
              <c:strCache>
                <c:ptCount val="2"/>
                <c:pt idx="0">
                  <c:v>基本支出</c:v>
                </c:pt>
                <c:pt idx="1">
                  <c:v>项目支出</c:v>
                </c:pt>
              </c:strCache>
            </c:strRef>
          </c:cat>
          <c:val>
            <c:numRef>
              <c:f>[工作簿1]Sheet1!$C$18:$D$18</c:f>
              <c:numCache>
                <c:formatCode>General</c:formatCode>
                <c:ptCount val="2"/>
                <c:pt idx="0">
                  <c:v>806.93</c:v>
                </c:pt>
                <c:pt idx="1">
                  <c:v>1127.99</c:v>
                </c:pt>
              </c:numCache>
            </c:numRef>
          </c:val>
        </c:ser>
        <c:dLbls>
          <c:showLegendKey val="0"/>
          <c:showVal val="0"/>
          <c:showCatName val="0"/>
          <c:showSerName val="0"/>
          <c:showPercent val="1"/>
          <c:showBubbleSize val="0"/>
          <c:showLeaderLines val="1"/>
        </c:dLbls>
        <c:firstSliceAng val="0"/>
      </c:pieChart>
      <c:spPr>
        <a:noFill/>
        <a:ln>
          <a:noFill/>
        </a:ln>
        <a:effectLst>
          <a:glow rad="63500">
            <a:schemeClr val="bg1">
              <a:alpha val="40000"/>
            </a:schemeClr>
          </a:glow>
        </a:effectLst>
      </c:spPr>
    </c:plotArea>
    <c:legend>
      <c:legendPos val="b"/>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65000"/>
                  <a:lumOff val="35000"/>
                </a:schemeClr>
              </a:solidFill>
              <a:latin typeface="汉仪旗黑-55简" panose="00020600040101010101" charset="-128"/>
              <a:ea typeface="汉仪旗黑-55简" panose="00020600040101010101" charset="-128"/>
              <a:cs typeface="汉仪旗黑-55简" panose="00020600040101010101" charset="-128"/>
              <a:sym typeface="汉仪旗黑-55简" panose="00020600040101010101" charset="-128"/>
            </a:defRPr>
          </a:pPr>
        </a:p>
      </c:txPr>
    </c:legend>
    <c:plotVisOnly val="1"/>
    <c:dispBlanksAs val="gap"/>
    <c:showDLblsOverMax val="0"/>
  </c:chart>
  <c:spPr>
    <a:solidFill>
      <a:srgbClr val="4BACC6">
        <a:lumMod val="20000"/>
        <a:lumOff val="80000"/>
      </a:srgbClr>
    </a:solidFill>
    <a:ln w="9525" cap="flat" cmpd="sng" algn="ctr">
      <a:solidFill>
        <a:schemeClr val="tx1">
          <a:lumMod val="15000"/>
          <a:lumOff val="85000"/>
        </a:schemeClr>
      </a:solidFill>
      <a:round/>
    </a:ln>
    <a:effectLst>
      <a:outerShdw blurRad="63500" dist="37357" dir="2700000" sx="0" sy="0" rotWithShape="0">
        <a:scrgbClr r="0" g="0" b="0"/>
      </a:outerShdw>
    </a:effectLst>
  </c:spPr>
  <c:txPr>
    <a:bodyPr/>
    <a:lstStyle/>
    <a:p>
      <a:pPr>
        <a:defRPr lang="zh-CN">
          <a:latin typeface="汉仪旗黑-55简" panose="00020600040101010101" charset="-128"/>
          <a:ea typeface="汉仪旗黑-55简" panose="00020600040101010101" charset="-128"/>
          <a:cs typeface="汉仪旗黑-55简" panose="00020600040101010101" charset="-128"/>
          <a:sym typeface="汉仪旗黑-55简" panose="00020600040101010101" charset="-128"/>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a:defRPr lang="zh-CN" sz="1400" b="1" i="0" u="none" strike="noStrike" baseline="0">
                <a:gradFill>
                  <a:gsLst>
                    <a:gs pos="0">
                      <a:srgbClr val="7674EB"/>
                    </a:gs>
                    <a:gs pos="100000">
                      <a:srgbClr val="E17CEA"/>
                    </a:gs>
                  </a:gsLst>
                  <a:lin ang="16200000" scaled="0"/>
                </a:gradFill>
                <a:effectLst>
                  <a:outerShdw blurRad="50800" dist="38100" dir="16200000" rotWithShape="0">
                    <a:schemeClr val="bg1">
                      <a:alpha val="100000"/>
                    </a:schemeClr>
                  </a:outerShdw>
                </a:effectLst>
                <a:latin typeface="微软雅黑" panose="020B0503020204020204" charset="-122"/>
                <a:ea typeface="微软雅黑" panose="020B0503020204020204" charset="-122"/>
                <a:cs typeface="微软雅黑" panose="020B0503020204020204" charset="-122"/>
                <a:sym typeface="微软雅黑" panose="020B0503020204020204" charset="-122"/>
              </a:defRPr>
            </a:pPr>
            <a:r>
              <a:t>财政拨款收支对比</a:t>
            </a:r>
          </a:p>
        </c:rich>
      </c:tx>
      <c:layout>
        <c:manualLayout>
          <c:xMode val="edge"/>
          <c:yMode val="edge"/>
          <c:x val="0.451944444444444"/>
          <c:y val="0.0277777777777778"/>
        </c:manualLayout>
      </c:layout>
      <c:overlay val="0"/>
      <c:spPr>
        <a:noFill/>
        <a:ln>
          <a:noFill/>
        </a:ln>
        <a:effectLst/>
      </c:spPr>
    </c:title>
    <c:autoTitleDeleted val="0"/>
    <c:plotArea>
      <c:layout>
        <c:manualLayout>
          <c:layoutTarget val="inner"/>
          <c:xMode val="edge"/>
          <c:yMode val="edge"/>
          <c:x val="0.122223707069357"/>
          <c:y val="0.27974994418397"/>
          <c:w val="0.80587999465455"/>
          <c:h val="0.577673587854432"/>
        </c:manualLayout>
      </c:layout>
      <c:barChart>
        <c:barDir val="col"/>
        <c:grouping val="clustered"/>
        <c:varyColors val="0"/>
        <c:ser>
          <c:idx val="0"/>
          <c:order val="0"/>
          <c:tx>
            <c:strRef>
              <c:f>[工作簿1]Sheet1!$C$8</c:f>
              <c:strCache>
                <c:ptCount val="1"/>
                <c:pt idx="0">
                  <c:v>收入</c:v>
                </c:pt>
              </c:strCache>
            </c:strRef>
          </c:tx>
          <c:spPr>
            <a:solidFill>
              <a:srgbClr val="9771FF"/>
            </a:solidFill>
            <a:ln w="15875">
              <a:noFill/>
              <a:miter lim="800000"/>
            </a:ln>
            <a:effectLst/>
          </c:spPr>
          <c:invertIfNegative val="0"/>
          <c:dLbls>
            <c:delete val="1"/>
          </c:dLbls>
          <c:cat>
            <c:strRef>
              <c:f>[工作簿1]Sheet1!$D$7:$E$7</c:f>
              <c:strCache>
                <c:ptCount val="2"/>
                <c:pt idx="0">
                  <c:v>2022年</c:v>
                </c:pt>
                <c:pt idx="1">
                  <c:v>2021年</c:v>
                </c:pt>
              </c:strCache>
            </c:strRef>
          </c:cat>
          <c:val>
            <c:numRef>
              <c:f>[工作簿1]Sheet1!$D$8:$E$8</c:f>
              <c:numCache>
                <c:formatCode>0.00_ </c:formatCode>
                <c:ptCount val="2"/>
                <c:pt idx="0">
                  <c:v>1934.92</c:v>
                </c:pt>
                <c:pt idx="1" c:formatCode="General">
                  <c:v>1962.26</c:v>
                </c:pt>
              </c:numCache>
            </c:numRef>
          </c:val>
        </c:ser>
        <c:ser>
          <c:idx val="1"/>
          <c:order val="1"/>
          <c:tx>
            <c:strRef>
              <c:f>[工作簿1]Sheet1!$C$9</c:f>
              <c:strCache>
                <c:ptCount val="1"/>
                <c:pt idx="0">
                  <c:v>支出</c:v>
                </c:pt>
              </c:strCache>
            </c:strRef>
          </c:tx>
          <c:spPr>
            <a:solidFill>
              <a:srgbClr val="64E3D6"/>
            </a:solidFill>
            <a:ln w="15875">
              <a:noFill/>
              <a:miter lim="800000"/>
            </a:ln>
            <a:effectLst/>
          </c:spPr>
          <c:invertIfNegative val="0"/>
          <c:dLbls>
            <c:delete val="1"/>
          </c:dLbls>
          <c:cat>
            <c:strRef>
              <c:f>[工作簿1]Sheet1!$D$7:$E$7</c:f>
              <c:strCache>
                <c:ptCount val="2"/>
                <c:pt idx="0">
                  <c:v>2022年</c:v>
                </c:pt>
                <c:pt idx="1">
                  <c:v>2021年</c:v>
                </c:pt>
              </c:strCache>
            </c:strRef>
          </c:cat>
          <c:val>
            <c:numRef>
              <c:f>[工作簿1]Sheet1!$D$9:$E$9</c:f>
              <c:numCache>
                <c:formatCode>General</c:formatCode>
                <c:ptCount val="2"/>
                <c:pt idx="0">
                  <c:v>1934.92</c:v>
                </c:pt>
                <c:pt idx="1">
                  <c:v>2043.17</c:v>
                </c:pt>
              </c:numCache>
            </c:numRef>
          </c:val>
        </c:ser>
        <c:dLbls>
          <c:showLegendKey val="0"/>
          <c:showVal val="0"/>
          <c:showCatName val="0"/>
          <c:showSerName val="0"/>
          <c:showPercent val="0"/>
          <c:showBubbleSize val="0"/>
        </c:dLbls>
        <c:gapWidth val="214"/>
        <c:overlap val="-22"/>
        <c:axId val="248647413"/>
        <c:axId val="921697544"/>
      </c:barChart>
      <c:catAx>
        <c:axId val="24864741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forceAA="0"/>
          <a:lstStyle/>
          <a:p>
            <a:pPr>
              <a:defRPr lang="zh-CN" sz="900" b="0" i="0" u="none" strike="noStrike"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921697544"/>
        <c:crosses val="autoZero"/>
        <c:auto val="1"/>
        <c:lblAlgn val="ctr"/>
        <c:lblOffset val="100"/>
        <c:noMultiLvlLbl val="0"/>
      </c:catAx>
      <c:valAx>
        <c:axId val="921697544"/>
        <c:scaling>
          <c:orientation val="minMax"/>
        </c:scaling>
        <c:delete val="0"/>
        <c:axPos val="l"/>
        <c:majorGridlines>
          <c:spPr>
            <a:ln w="9525" cap="flat" cmpd="sng" algn="ctr">
              <a:solidFill>
                <a:schemeClr val="tx1">
                  <a:lumMod val="15000"/>
                  <a:lumOff val="85000"/>
                  <a:alpha val="42000"/>
                </a:schemeClr>
              </a:solidFill>
              <a:round/>
            </a:ln>
            <a:effectLst/>
          </c:spPr>
        </c:majorGridlines>
        <c:numFmt formatCode="0.00_ " sourceLinked="1"/>
        <c:majorTickMark val="none"/>
        <c:minorTickMark val="none"/>
        <c:tickLblPos val="nextTo"/>
        <c:spPr>
          <a:noFill/>
          <a:ln>
            <a:noFill/>
          </a:ln>
          <a:effectLst/>
        </c:spPr>
        <c:txPr>
          <a:bodyPr rot="-60000000" spcFirstLastPara="0" vertOverflow="ellipsis" vert="horz" wrap="square" anchor="ctr" anchorCtr="1" forceAA="0"/>
          <a:lstStyle/>
          <a:p>
            <a:pPr>
              <a:defRPr lang="zh-CN" sz="900" b="0" i="0" u="none" strike="noStrike"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248647413"/>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forceAA="0"/>
        <a:lstStyle/>
        <a:p>
          <a:pPr>
            <a:defRPr lang="zh-CN" sz="900" b="0" i="0" u="none" strike="noStrike" baseline="0">
              <a:gradFill>
                <a:gsLst>
                  <a:gs pos="0">
                    <a:srgbClr val="7674EB"/>
                  </a:gs>
                  <a:gs pos="100000">
                    <a:srgbClr val="E17CEA"/>
                  </a:gs>
                </a:gsLst>
                <a:lin ang="16200000" scaled="0"/>
              </a:gra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
    <c:plotVisOnly val="1"/>
    <c:dispBlanksAs val="gap"/>
    <c:showDLblsOverMax val="0"/>
  </c:chart>
  <c:spPr>
    <a:solidFill>
      <a:srgbClr val="4F81BD">
        <a:lumMod val="20000"/>
        <a:lumOff val="80000"/>
      </a:srgbClr>
    </a:solidFill>
    <a:ln w="9525" cap="flat" cmpd="sng" algn="ctr">
      <a:noFill/>
      <a:round/>
    </a:ln>
    <a:effectLst/>
  </c:spPr>
  <c:txPr>
    <a:bodyPr/>
    <a:lstStyle/>
    <a:p>
      <a:pPr>
        <a:defRPr lang="zh-CN">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3161745492553"/>
          <c:y val="0.269018743109151"/>
          <c:w val="0.802900444212177"/>
          <c:h val="0.631841234840132"/>
        </c:manualLayout>
      </c:layout>
      <c:barChart>
        <c:barDir val="col"/>
        <c:grouping val="clustered"/>
        <c:varyColors val="0"/>
        <c:ser>
          <c:idx val="0"/>
          <c:order val="0"/>
          <c:spPr>
            <a:solidFill>
              <a:srgbClr val="F6D626"/>
            </a:solidFill>
            <a:ln>
              <a:noFill/>
            </a:ln>
            <a:effectLst/>
          </c:spPr>
          <c:invertIfNegative val="0"/>
          <c:dLbls>
            <c:delete val="1"/>
          </c:dLbls>
          <c:cat>
            <c:strRef>
              <c:f>[工作簿1]Sheet1!$A$5:$B$5</c:f>
              <c:strCache>
                <c:ptCount val="2"/>
                <c:pt idx="0">
                  <c:v>2022年</c:v>
                </c:pt>
                <c:pt idx="1">
                  <c:v>2021年</c:v>
                </c:pt>
              </c:strCache>
            </c:strRef>
          </c:cat>
          <c:val>
            <c:numRef>
              <c:f>[工作簿1]Sheet1!$A$6:$B$6</c:f>
              <c:numCache>
                <c:formatCode>0.00_ </c:formatCode>
                <c:ptCount val="2"/>
                <c:pt idx="0">
                  <c:v>1934.92</c:v>
                </c:pt>
                <c:pt idx="1" c:formatCode="General">
                  <c:v>1962.26</c:v>
                </c:pt>
              </c:numCache>
            </c:numRef>
          </c:val>
        </c:ser>
        <c:dLbls>
          <c:showLegendKey val="0"/>
          <c:showVal val="0"/>
          <c:showCatName val="0"/>
          <c:showSerName val="0"/>
          <c:showPercent val="0"/>
          <c:showBubbleSize val="0"/>
        </c:dLbls>
        <c:gapWidth val="281"/>
        <c:overlap val="-35"/>
        <c:axId val="453971972"/>
        <c:axId val="691980854"/>
      </c:barChart>
      <c:catAx>
        <c:axId val="453971972"/>
        <c:scaling>
          <c:orientation val="minMax"/>
        </c:scaling>
        <c:delete val="0"/>
        <c:axPos val="b"/>
        <c:numFmt formatCode="General" sourceLinked="1"/>
        <c:majorTickMark val="none"/>
        <c:minorTickMark val="none"/>
        <c:tickLblPos val="nextTo"/>
        <c:spPr>
          <a:noFill/>
          <a:ln w="9525" cap="flat" cmpd="sng" algn="ctr">
            <a:solidFill>
              <a:sysClr val="window" lastClr="FFFFFF">
                <a:lumMod val="65000"/>
              </a:sysClr>
            </a:solidFill>
            <a:round/>
          </a:ln>
          <a:effectLst/>
        </c:spPr>
        <c:txPr>
          <a:bodyPr rot="-60000000" spcFirstLastPara="0" vertOverflow="ellipsis" vert="horz" wrap="square" anchor="ctr" anchorCtr="1" forceAA="0"/>
          <a:lstStyle/>
          <a:p>
            <a:pPr>
              <a:defRPr lang="zh-CN" sz="900" b="0" i="0" u="none" strike="noStrike" kern="1200" cap="none" spc="0" normalizeH="0" baseline="0">
                <a:solidFill>
                  <a:schemeClr val="bg1">
                    <a:lumMod val="65000"/>
                  </a:schemeClr>
                </a:solidFill>
                <a:uFill>
                  <a:solidFill>
                    <a:schemeClr val="tx1">
                      <a:lumMod val="65000"/>
                      <a:lumOff val="35000"/>
                    </a:schemeClr>
                  </a:solidFill>
                </a:uFill>
                <a:latin typeface="汉仪旗黑-55简" panose="00020600040101010101" charset="-128"/>
                <a:ea typeface="汉仪旗黑-55简" panose="00020600040101010101" charset="-128"/>
                <a:cs typeface="汉仪旗黑-55简" panose="00020600040101010101" charset="-128"/>
                <a:sym typeface="汉仪旗黑-55简" panose="00020600040101010101" charset="-128"/>
              </a:defRPr>
            </a:pPr>
          </a:p>
        </c:txPr>
        <c:crossAx val="691980854"/>
        <c:crosses val="autoZero"/>
        <c:auto val="1"/>
        <c:lblAlgn val="ctr"/>
        <c:lblOffset val="100"/>
        <c:noMultiLvlLbl val="0"/>
      </c:catAx>
      <c:valAx>
        <c:axId val="691980854"/>
        <c:scaling>
          <c:orientation val="minMax"/>
        </c:scaling>
        <c:delete val="0"/>
        <c:axPos val="l"/>
        <c:majorGridlines>
          <c:spPr>
            <a:ln w="12700" cap="flat" cmpd="sng" algn="ctr">
              <a:solidFill>
                <a:sysClr val="window" lastClr="FFFFFF">
                  <a:lumMod val="95000"/>
                </a:sysClr>
              </a:solidFill>
              <a:prstDash val="solid"/>
              <a:round/>
            </a:ln>
            <a:effectLst/>
          </c:spPr>
        </c:majorGridlines>
        <c:numFmt formatCode="0.00_ " sourceLinked="1"/>
        <c:majorTickMark val="out"/>
        <c:minorTickMark val="none"/>
        <c:tickLblPos val="nextTo"/>
        <c:spPr>
          <a:noFill/>
          <a:ln>
            <a:noFill/>
          </a:ln>
          <a:effectLst/>
        </c:spPr>
        <c:txPr>
          <a:bodyPr rot="-60000000" spcFirstLastPara="0" vertOverflow="ellipsis" vert="horz" wrap="square" anchor="ctr" anchorCtr="1" forceAA="0"/>
          <a:lstStyle/>
          <a:p>
            <a:pPr>
              <a:defRPr lang="zh-CN" sz="900" b="0" i="0" u="none" strike="noStrike" kern="1200" baseline="0">
                <a:solidFill>
                  <a:schemeClr val="bg1">
                    <a:lumMod val="65000"/>
                  </a:schemeClr>
                </a:solidFill>
                <a:latin typeface="汉仪旗黑-55简" panose="00020600040101010101" charset="-128"/>
                <a:ea typeface="汉仪旗黑-55简" panose="00020600040101010101" charset="-128"/>
                <a:cs typeface="汉仪旗黑-55简" panose="00020600040101010101" charset="-128"/>
                <a:sym typeface="汉仪旗黑-55简" panose="00020600040101010101" charset="-128"/>
              </a:defRPr>
            </a:pPr>
          </a:p>
        </c:txPr>
        <c:crossAx val="453971972"/>
        <c:crosses val="autoZero"/>
        <c:crossBetween val="between"/>
      </c:valAx>
      <c:spPr>
        <a:noFill/>
        <a:ln>
          <a:noFill/>
        </a:ln>
        <a:effectLst/>
      </c:spPr>
    </c:plotArea>
    <c:legend>
      <c:legendPos val="t"/>
      <c:layout>
        <c:manualLayout>
          <c:xMode val="edge"/>
          <c:yMode val="edge"/>
          <c:x val="0.0573556310425921"/>
          <c:y val="0.133406835722161"/>
        </c:manualLayout>
      </c:layout>
      <c:overlay val="0"/>
      <c:spPr>
        <a:noFill/>
        <a:ln>
          <a:noFill/>
        </a:ln>
        <a:effectLst/>
      </c:spPr>
      <c:txPr>
        <a:bodyPr rot="0" spcFirstLastPara="0" vertOverflow="ellipsis" vert="horz" wrap="square" anchor="ctr" anchorCtr="1" forceAA="0"/>
        <a:lstStyle/>
        <a:p>
          <a:pPr>
            <a:defRPr lang="zh-CN" sz="900" b="0" i="0" u="none" strike="noStrike" kern="1200" cap="none" spc="0" normalizeH="0" baseline="0">
              <a:solidFill>
                <a:schemeClr val="bg1">
                  <a:lumMod val="50000"/>
                </a:schemeClr>
              </a:solidFill>
              <a:uFill>
                <a:solidFill>
                  <a:schemeClr val="tx1">
                    <a:lumMod val="65000"/>
                    <a:lumOff val="35000"/>
                  </a:schemeClr>
                </a:solidFill>
              </a:uFill>
              <a:latin typeface="汉仪旗黑-55简" panose="00020600040101010101" charset="-128"/>
              <a:ea typeface="汉仪旗黑-55简" panose="00020600040101010101" charset="-128"/>
              <a:cs typeface="汉仪旗黑-55简" panose="00020600040101010101" charset="-128"/>
              <a:sym typeface="汉仪旗黑-55简" panose="00020600040101010101" charset="-128"/>
            </a:defRPr>
          </a:pPr>
        </a:p>
      </c:txPr>
    </c:legend>
    <c:plotVisOnly val="1"/>
    <c:dispBlanksAs val="gap"/>
    <c:showDLblsOverMax val="0"/>
  </c:chart>
  <c:spPr>
    <a:solidFill>
      <a:srgbClr val="F79646">
        <a:lumMod val="20000"/>
        <a:lumOff val="80000"/>
      </a:srgbClr>
    </a:solidFill>
    <a:ln w="12700" cap="flat" cmpd="sng" algn="ctr">
      <a:noFill/>
      <a:round/>
    </a:ln>
    <a:effectLst/>
  </c:spPr>
  <c:txPr>
    <a:bodyPr/>
    <a:lstStyle/>
    <a:p>
      <a:pPr>
        <a:defRPr lang="zh-CN">
          <a:solidFill>
            <a:srgbClr val="616161"/>
          </a:solidFill>
          <a:latin typeface="汉仪旗黑-55简" panose="00020600040101010101" charset="-128"/>
          <a:ea typeface="汉仪旗黑-55简" panose="00020600040101010101" charset="-128"/>
          <a:cs typeface="汉仪旗黑-55简" panose="00020600040101010101" charset="-128"/>
          <a:sym typeface="汉仪旗黑-55简" panose="00020600040101010101" charset="-128"/>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0"/>
      <c:spPr>
        <a:noFill/>
        <a:ln>
          <a:noFill/>
        </a:ln>
        <a:effectLst/>
      </c:spPr>
      <c:tx>
        <c:rich>
          <a:bodyPr/>
          <a:lstStyle/>
          <a:p>
            <a:pPr>
              <a:defRPr/>
            </a:pPr>
          </a:p>
        </c:rich>
      </c:tx>
    </c:title>
    <c:autoTitleDeleted val="0"/>
    <c:plotArea>
      <c:layout>
        <c:manualLayout>
          <c:layoutTarget val="inner"/>
          <c:xMode val="edge"/>
          <c:yMode val="edge"/>
          <c:x val="0.2975806874836"/>
          <c:y val="0.164763823595254"/>
          <c:w val="0.376630805562844"/>
          <c:h val="0.642641593910902"/>
        </c:manualLayout>
      </c:layout>
      <c:pieChart>
        <c:varyColors val="1"/>
        <c:ser>
          <c:idx val="0"/>
          <c:order val="0"/>
          <c:spPr>
            <a:ln w="9525">
              <a:solidFill>
                <a:schemeClr val="lt1"/>
              </a:solidFill>
            </a:ln>
            <a:effectLst>
              <a:outerShdw blurRad="50800" dist="38100" dir="2700000" algn="tl" rotWithShape="0">
                <a:srgbClr val="91BED4">
                  <a:alpha val="40000"/>
                </a:srgbClr>
              </a:outerShdw>
            </a:effectLst>
          </c:spPr>
          <c:explosion val="3"/>
          <c:dPt>
            <c:idx val="0"/>
            <c:bubble3D val="0"/>
            <c:spPr>
              <a:solidFill>
                <a:srgbClr val="FF845D"/>
              </a:solidFill>
              <a:ln w="9525">
                <a:solidFill>
                  <a:schemeClr val="lt1"/>
                </a:solidFill>
              </a:ln>
              <a:effectLst>
                <a:outerShdw blurRad="50800" dist="38100" dir="2700000" algn="tl" rotWithShape="0">
                  <a:srgbClr val="91BED4">
                    <a:alpha val="40000"/>
                  </a:srgbClr>
                </a:outerShdw>
              </a:effectLst>
            </c:spPr>
          </c:dPt>
          <c:dPt>
            <c:idx val="1"/>
            <c:bubble3D val="0"/>
            <c:spPr>
              <a:solidFill>
                <a:srgbClr val="FFDF8B"/>
              </a:solidFill>
              <a:ln w="9525">
                <a:solidFill>
                  <a:schemeClr val="lt1"/>
                </a:solidFill>
              </a:ln>
              <a:effectLst>
                <a:outerShdw blurRad="50800" dist="38100" dir="2700000" algn="tl" rotWithShape="0">
                  <a:srgbClr val="91BED4">
                    <a:alpha val="40000"/>
                  </a:srgbClr>
                </a:outerShdw>
              </a:effectLst>
            </c:spPr>
          </c:dPt>
          <c:dPt>
            <c:idx val="2"/>
            <c:bubble3D val="0"/>
            <c:spPr>
              <a:solidFill>
                <a:srgbClr val="B3DFEC"/>
              </a:solidFill>
              <a:ln w="9525">
                <a:solidFill>
                  <a:schemeClr val="lt1"/>
                </a:solidFill>
              </a:ln>
              <a:effectLst>
                <a:outerShdw blurRad="50800" dist="38100" dir="2700000" algn="tl" rotWithShape="0">
                  <a:srgbClr val="91BED4">
                    <a:alpha val="40000"/>
                  </a:srgbClr>
                </a:outerShdw>
              </a:effectLst>
            </c:spPr>
          </c:dPt>
          <c:dPt>
            <c:idx val="3"/>
            <c:bubble3D val="0"/>
            <c:spPr>
              <a:solidFill>
                <a:srgbClr val="BFE482"/>
              </a:solidFill>
              <a:ln w="9525">
                <a:solidFill>
                  <a:schemeClr val="lt1"/>
                </a:solidFill>
              </a:ln>
              <a:effectLst>
                <a:outerShdw blurRad="50800" dist="38100" dir="2700000" algn="tl" rotWithShape="0">
                  <a:srgbClr val="91BED4">
                    <a:alpha val="40000"/>
                  </a:srgbClr>
                </a:outerShdw>
              </a:effectLst>
            </c:spPr>
          </c:dPt>
          <c:dPt>
            <c:idx val="4"/>
            <c:bubble3D val="0"/>
            <c:spPr>
              <a:solidFill>
                <a:schemeClr val="accent5"/>
              </a:solidFill>
              <a:ln w="9525">
                <a:solidFill>
                  <a:schemeClr val="lt1"/>
                </a:solidFill>
              </a:ln>
              <a:effectLst>
                <a:outerShdw blurRad="50800" dist="38100" dir="2700000" algn="tl" rotWithShape="0">
                  <a:srgbClr val="91BED4">
                    <a:alpha val="40000"/>
                  </a:srgbClr>
                </a:outerShdw>
              </a:effectLst>
            </c:spPr>
          </c:dPt>
          <c:dLbls>
            <c:dLbl>
              <c:idx val="2"/>
              <c:layout/>
              <c:numFmt formatCode="General" sourceLinked="1"/>
              <c:spPr>
                <a:noFill/>
                <a:ln>
                  <a:noFill/>
                </a:ln>
                <a:effectLst/>
              </c:spPr>
              <c:txPr>
                <a:bodyPr rot="0" spcFirstLastPara="0" vertOverflow="ellipsis" vert="horz" wrap="square" lIns="38100" tIns="19050" rIns="38100" bIns="19050" anchor="ctr" anchorCtr="1" forceAA="0"/>
                <a:lstStyle/>
                <a:p>
                  <a:pPr>
                    <a:defRPr lang="zh-CN" sz="1000" b="0" i="0" u="none" strike="noStrike" kern="1200" baseline="0">
                      <a:solidFill>
                        <a:schemeClr val="bg1"/>
                      </a:solidFill>
                      <a:latin typeface="汉仪旗黑-55简" panose="00020600040101010101" charset="-128"/>
                      <a:ea typeface="汉仪旗黑-55简" panose="00020600040101010101" charset="-128"/>
                      <a:cs typeface="汉仪旗黑-55简" panose="00020600040101010101" charset="-128"/>
                      <a:sym typeface="汉仪旗黑-55简" panose="00020600040101010101" charset="-128"/>
                    </a:defRPr>
                  </a:pPr>
                </a:p>
              </c:txPr>
              <c:dLblPos val="bestFit"/>
              <c:showLegendKey val="0"/>
              <c:showVal val="0"/>
              <c:showCatName val="0"/>
              <c:showSerName val="0"/>
              <c:showPercent val="1"/>
              <c:showBubbleSize val="0"/>
              <c:extLst>
                <c:ext xmlns:c15="http://schemas.microsoft.com/office/drawing/2012/chart" uri="{CE6537A1-D6FC-4f65-9D91-7224C49458BB}"/>
              </c:extLst>
            </c:dLbl>
            <c:dLbl>
              <c:idx val="3"/>
              <c:layout/>
              <c:numFmt formatCode="General" sourceLinked="1"/>
              <c:spPr>
                <a:noFill/>
                <a:ln>
                  <a:noFill/>
                </a:ln>
                <a:effectLst/>
              </c:spPr>
              <c:txPr>
                <a:bodyPr rot="0" spcFirstLastPara="0" vertOverflow="ellipsis" vert="horz" wrap="square" lIns="38100" tIns="19050" rIns="38100" bIns="19050" anchor="ctr" anchorCtr="1" forceAA="0"/>
                <a:lstStyle/>
                <a:p>
                  <a:pPr>
                    <a:defRPr lang="zh-CN" sz="1000" b="0" i="0" u="none" strike="noStrike" kern="1200" baseline="0">
                      <a:solidFill>
                        <a:schemeClr val="bg1"/>
                      </a:solidFill>
                      <a:latin typeface="汉仪旗黑-55简" panose="00020600040101010101" charset="-128"/>
                      <a:ea typeface="汉仪旗黑-55简" panose="00020600040101010101" charset="-128"/>
                      <a:cs typeface="汉仪旗黑-55简" panose="00020600040101010101" charset="-128"/>
                      <a:sym typeface="汉仪旗黑-55简" panose="00020600040101010101" charset="-128"/>
                    </a:defRPr>
                  </a:pPr>
                </a:p>
              </c:txPr>
              <c:dLblPos val="bestFit"/>
              <c:showLegendKey val="0"/>
              <c:showVal val="0"/>
              <c:showCatName val="0"/>
              <c:showSerName val="0"/>
              <c:showPercent val="1"/>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forceAA="0"/>
              <a:lstStyle/>
              <a:p>
                <a:pPr>
                  <a:defRPr lang="zh-CN" sz="1000" b="0" i="0" u="none" strike="noStrike" kern="1200" baseline="0">
                    <a:solidFill>
                      <a:schemeClr val="bg1"/>
                    </a:solidFill>
                    <a:latin typeface="汉仪旗黑-55简" panose="00020600040101010101" charset="-128"/>
                    <a:ea typeface="汉仪旗黑-55简" panose="00020600040101010101" charset="-128"/>
                    <a:cs typeface="汉仪旗黑-55简" panose="00020600040101010101" charset="-128"/>
                    <a:sym typeface="汉仪旗黑-55简" panose="00020600040101010101" charset="-128"/>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[工作簿1]Sheet1!$B$36:$B$40</c:f>
              <c:strCache>
                <c:ptCount val="5"/>
                <c:pt idx="0">
                  <c:v>教育支出</c:v>
                </c:pt>
                <c:pt idx="1">
                  <c:v>农林水支出</c:v>
                </c:pt>
                <c:pt idx="2">
                  <c:v>社会保障和就业</c:v>
                </c:pt>
                <c:pt idx="3">
                  <c:v>卫生健康支出</c:v>
                </c:pt>
                <c:pt idx="4">
                  <c:v>住房保障支出</c:v>
                </c:pt>
              </c:strCache>
            </c:strRef>
          </c:cat>
          <c:val>
            <c:numRef>
              <c:f>[工作簿1]Sheet1!$C$36:$C$40</c:f>
              <c:numCache>
                <c:formatCode>General</c:formatCode>
                <c:ptCount val="5"/>
                <c:pt idx="0">
                  <c:v>0.5</c:v>
                </c:pt>
                <c:pt idx="1">
                  <c:v>1742.7</c:v>
                </c:pt>
                <c:pt idx="2">
                  <c:v>89.69</c:v>
                </c:pt>
                <c:pt idx="3">
                  <c:v>51.56</c:v>
                </c:pt>
                <c:pt idx="4">
                  <c:v>50.47</c:v>
                </c:pt>
              </c:numCache>
            </c:numRef>
          </c:val>
        </c:ser>
        <c:dLbls>
          <c:showLegendKey val="0"/>
          <c:showVal val="0"/>
          <c:showCatName val="0"/>
          <c:showSerName val="0"/>
          <c:showPercent val="1"/>
          <c:showBubbleSize val="0"/>
          <c:showLeaderLines val="1"/>
        </c:dLbls>
        <c:firstSliceAng val="0"/>
      </c:pieChart>
      <c:spPr>
        <a:noFill/>
        <a:ln>
          <a:noFill/>
        </a:ln>
        <a:effectLst>
          <a:glow rad="63500">
            <a:schemeClr val="bg1">
              <a:alpha val="40000"/>
            </a:schemeClr>
          </a:glow>
        </a:effectLst>
      </c:spPr>
    </c:plotArea>
    <c:legend>
      <c:legendPos val="b"/>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75000"/>
                  <a:lumOff val="25000"/>
                </a:schemeClr>
              </a:solidFill>
              <a:latin typeface="汉仪旗黑-55简" panose="00020600040101010101" charset="-128"/>
              <a:ea typeface="汉仪旗黑-55简" panose="00020600040101010101" charset="-128"/>
              <a:cs typeface="汉仪旗黑-55简" panose="00020600040101010101" charset="-128"/>
              <a:sym typeface="汉仪旗黑-55简" panose="00020600040101010101" charset="-128"/>
            </a:defRPr>
          </a:pPr>
        </a:p>
      </c:txPr>
    </c:legend>
    <c:plotVisOnly val="1"/>
    <c:dispBlanksAs val="gap"/>
    <c:showDLblsOverMax val="0"/>
  </c:chart>
  <c:spPr>
    <a:solidFill>
      <a:srgbClr val="4BACC6">
        <a:lumMod val="60000"/>
        <a:lumOff val="40000"/>
      </a:srgbClr>
    </a:solidFill>
    <a:ln w="9525" cap="flat" cmpd="sng" algn="ctr">
      <a:solidFill>
        <a:schemeClr val="tx1">
          <a:lumMod val="15000"/>
          <a:lumOff val="85000"/>
        </a:schemeClr>
      </a:solidFill>
      <a:prstDash val="solid"/>
      <a:round/>
    </a:ln>
    <a:effectLst>
      <a:outerShdw blurRad="63500" dist="37357" dir="2700000" sx="0" sy="0" rotWithShape="0">
        <a:scrgbClr r="0" g="0" b="0"/>
      </a:outerShdw>
    </a:effectLst>
  </c:spPr>
  <c:txPr>
    <a:bodyPr/>
    <a:lstStyle/>
    <a:p>
      <a:pPr>
        <a:defRPr lang="zh-CN">
          <a:solidFill>
            <a:schemeClr val="bg1"/>
          </a:solidFill>
          <a:latin typeface="汉仪旗黑-55简" panose="00020600040101010101" charset="-128"/>
          <a:ea typeface="汉仪旗黑-55简" panose="00020600040101010101" charset="-128"/>
          <a:cs typeface="汉仪旗黑-55简" panose="00020600040101010101" charset="-128"/>
          <a:sym typeface="汉仪旗黑-55简" panose="00020600040101010101" charset="-128"/>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a:defRPr lang="zh-CN" sz="1400" b="1" i="0" u="none" strike="noStrike" kern="1200" spc="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t>公务用车运行维护费</a:t>
            </a:r>
          </a:p>
        </c:rich>
      </c:tx>
      <c:layout/>
      <c:overlay val="0"/>
      <c:spPr>
        <a:noFill/>
        <a:ln>
          <a:noFill/>
        </a:ln>
        <a:effectLst/>
      </c:spPr>
    </c:title>
    <c:autoTitleDeleted val="0"/>
    <c:plotArea>
      <c:layout>
        <c:manualLayout>
          <c:layoutTarget val="inner"/>
          <c:xMode val="edge"/>
          <c:yMode val="edge"/>
          <c:x val="0.119165424739195"/>
          <c:y val="0.10075062736636"/>
          <c:w val="0.818441801416544"/>
          <c:h val="0.677606608617995"/>
        </c:manualLayout>
      </c:layout>
      <c:barChart>
        <c:barDir val="bar"/>
        <c:grouping val="clustered"/>
        <c:varyColors val="0"/>
        <c:ser>
          <c:idx val="0"/>
          <c:order val="0"/>
          <c:spPr>
            <a:solidFill>
              <a:srgbClr val="FFB800"/>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bg1"/>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[工作簿1.xlsx]Sheet1!$B$44:$C$44</c:f>
              <c:strCache>
                <c:ptCount val="2"/>
                <c:pt idx="0">
                  <c:v>2021年</c:v>
                </c:pt>
                <c:pt idx="1">
                  <c:v>2022年</c:v>
                </c:pt>
              </c:strCache>
            </c:strRef>
          </c:cat>
          <c:val>
            <c:numRef>
              <c:f>[工作簿1.xlsx]Sheet1!$B$45:$C$45</c:f>
              <c:numCache>
                <c:formatCode>General</c:formatCode>
                <c:ptCount val="2"/>
                <c:pt idx="0">
                  <c:v>2</c:v>
                </c:pt>
                <c:pt idx="1">
                  <c:v>1.99</c:v>
                </c:pt>
              </c:numCache>
            </c:numRef>
          </c:val>
        </c:ser>
        <c:dLbls>
          <c:showLegendKey val="0"/>
          <c:showVal val="1"/>
          <c:showCatName val="0"/>
          <c:showSerName val="0"/>
          <c:showPercent val="0"/>
          <c:showBubbleSize val="0"/>
        </c:dLbls>
        <c:gapWidth val="168"/>
        <c:overlap val="-20"/>
        <c:axId val="515876902"/>
        <c:axId val="434422289"/>
      </c:barChart>
      <c:catAx>
        <c:axId val="51587690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434422289"/>
        <c:crosses val="autoZero"/>
        <c:auto val="1"/>
        <c:lblAlgn val="ctr"/>
        <c:lblOffset val="100"/>
        <c:noMultiLvlLbl val="0"/>
      </c:catAx>
      <c:valAx>
        <c:axId val="434422289"/>
        <c:scaling>
          <c:orientation val="minMax"/>
        </c:scaling>
        <c:delete val="1"/>
        <c:axPos val="b"/>
        <c:majorGridlines>
          <c:spPr>
            <a:ln w="9525" cap="flat" cmpd="sng" algn="ctr">
              <a:solidFill>
                <a:schemeClr val="bg1">
                  <a:lumMod val="85000"/>
                  <a:alpha val="48000"/>
                </a:schemeClr>
              </a:solidFill>
              <a:prstDash val="sysDash"/>
              <a:round/>
            </a:ln>
            <a:effectLst/>
          </c:spPr>
        </c:majorGridlines>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15876902"/>
        <c:crosses val="autoZero"/>
        <c:crossBetween val="between"/>
      </c:valAx>
      <c:spPr>
        <a:noFill/>
        <a:ln>
          <a:noFill/>
        </a:ln>
        <a:effectLst/>
      </c:spPr>
    </c:plotArea>
    <c:plotVisOnly val="1"/>
    <c:dispBlanksAs val="gap"/>
    <c:showDLblsOverMax val="0"/>
  </c:chart>
  <c:spPr>
    <a:solidFill>
      <a:srgbClr val="92D050"/>
    </a:solidFill>
    <a:ln w="9525" cap="flat" cmpd="sng" algn="ctr">
      <a:solidFill>
        <a:schemeClr val="tx1">
          <a:lumMod val="15000"/>
          <a:lumOff val="85000"/>
        </a:schemeClr>
      </a:solidFill>
      <a:round/>
    </a:ln>
    <a:effectLst>
      <a:outerShdw blurRad="63500" dist="37357" dir="2700000" sx="0" sy="0" rotWithShape="0">
        <a:scrgbClr r="0" g="0" b="0"/>
      </a:outerShdw>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a:defRPr lang="zh-CN" sz="1400" b="0" i="0" u="none" strike="noStrike" kern="1200" spc="0" baseline="0">
                <a:solidFill>
                  <a:schemeClr val="bg2">
                    <a:lumMod val="50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t>公务接待费</a:t>
            </a:r>
          </a:p>
        </c:rich>
      </c:tx>
      <c:layout/>
      <c:overlay val="0"/>
      <c:spPr>
        <a:noFill/>
        <a:ln>
          <a:noFill/>
        </a:ln>
        <a:effectLst/>
      </c:spPr>
    </c:title>
    <c:autoTitleDeleted val="0"/>
    <c:plotArea>
      <c:layout>
        <c:manualLayout>
          <c:layoutTarget val="inner"/>
          <c:xMode val="edge"/>
          <c:yMode val="edge"/>
          <c:x val="0.113718257908923"/>
          <c:y val="0.252931034482759"/>
          <c:w val="0.771655553979288"/>
          <c:h val="0.599965517241379"/>
        </c:manualLayout>
      </c:layout>
      <c:barChart>
        <c:barDir val="col"/>
        <c:grouping val="clustered"/>
        <c:varyColors val="0"/>
        <c:ser>
          <c:idx val="0"/>
          <c:order val="0"/>
          <c:spPr>
            <a:blipFill rotWithShape="1">
              <a:blip xmlns:r="http://schemas.openxmlformats.org/officeDocument/2006/relationships" r:embed="rId3"/>
              <a:stretch>
                <a:fillRect/>
              </a:stretch>
            </a:blipFill>
            <a:ln>
              <a:noFill/>
            </a:ln>
            <a:effectLst>
              <a:outerShdw blurRad="76200" dir="18900000" sy="23000" kx="-1200000" algn="bl" rotWithShape="0">
                <a:prstClr val="black">
                  <a:alpha val="15000"/>
                </a:prstClr>
              </a:outerShdw>
            </a:effectLst>
          </c:spPr>
          <c:invertIfNegative val="0"/>
          <c:dLbls>
            <c:delete val="1"/>
          </c:dLbls>
          <c:cat>
            <c:strRef>
              <c:f>[工作簿1.xlsx]Sheet1!$B$39:$C$39</c:f>
              <c:strCache>
                <c:ptCount val="2"/>
                <c:pt idx="0">
                  <c:v>2021年</c:v>
                </c:pt>
                <c:pt idx="1">
                  <c:v>2022年</c:v>
                </c:pt>
              </c:strCache>
            </c:strRef>
          </c:cat>
          <c:val>
            <c:numRef>
              <c:f>[工作簿1.xlsx]Sheet1!$B$40:$C$40</c:f>
              <c:numCache>
                <c:formatCode>General</c:formatCode>
                <c:ptCount val="2"/>
                <c:pt idx="0">
                  <c:v>0.08</c:v>
                </c:pt>
                <c:pt idx="1">
                  <c:v>0.16</c:v>
                </c:pt>
              </c:numCache>
            </c:numRef>
          </c:val>
        </c:ser>
        <c:dLbls>
          <c:showLegendKey val="0"/>
          <c:showVal val="0"/>
          <c:showCatName val="0"/>
          <c:showSerName val="0"/>
          <c:showPercent val="0"/>
          <c:showBubbleSize val="0"/>
        </c:dLbls>
        <c:gapWidth val="224"/>
        <c:overlap val="-27"/>
        <c:axId val="484950910"/>
        <c:axId val="645503503"/>
      </c:barChart>
      <c:catAx>
        <c:axId val="484950910"/>
        <c:scaling>
          <c:orientation val="minMax"/>
        </c:scaling>
        <c:delete val="0"/>
        <c:axPos val="b"/>
        <c:numFmt formatCode="General" sourceLinked="1"/>
        <c:majorTickMark val="none"/>
        <c:minorTickMark val="none"/>
        <c:tickLblPos val="nextTo"/>
        <c:spPr>
          <a:noFill/>
          <a:ln w="15875" cap="flat" cmpd="sng" algn="ctr">
            <a:solidFill>
              <a:srgbClr val="9D9D9D"/>
            </a:solidFill>
            <a:round/>
          </a:ln>
          <a:effectLst/>
        </c:spPr>
        <c:txPr>
          <a:bodyPr rot="-60000000" spcFirstLastPara="0" vertOverflow="ellipsis" vert="horz" wrap="square" anchor="ctr" anchorCtr="1" forceAA="0"/>
          <a:lstStyle/>
          <a:p>
            <a:pPr>
              <a:defRPr lang="zh-CN" sz="900" b="0" i="0" u="none" strike="noStrike" kern="1200" baseline="0">
                <a:solidFill>
                  <a:schemeClr val="bg2">
                    <a:lumMod val="50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645503503"/>
        <c:crosses val="autoZero"/>
        <c:auto val="1"/>
        <c:lblAlgn val="ctr"/>
        <c:lblOffset val="100"/>
        <c:noMultiLvlLbl val="0"/>
      </c:catAx>
      <c:valAx>
        <c:axId val="645503503"/>
        <c:scaling>
          <c:orientation val="minMax"/>
        </c:scaling>
        <c:delete val="0"/>
        <c:axPos val="l"/>
        <c:numFmt formatCode="General" sourceLinked="1"/>
        <c:majorTickMark val="none"/>
        <c:minorTickMark val="none"/>
        <c:tickLblPos val="nextTo"/>
        <c:spPr>
          <a:noFill/>
          <a:ln>
            <a:noFill/>
          </a:ln>
          <a:effectLst/>
        </c:spPr>
        <c:txPr>
          <a:bodyPr rot="-60000000" spcFirstLastPara="0" vertOverflow="ellipsis" vert="horz" wrap="square" anchor="ctr" anchorCtr="1" forceAA="0"/>
          <a:lstStyle/>
          <a:p>
            <a:pPr>
              <a:defRPr lang="zh-CN" sz="900" b="0" i="0" u="none" strike="noStrike" kern="1200" baseline="0">
                <a:solidFill>
                  <a:schemeClr val="bg2">
                    <a:lumMod val="50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484950910"/>
        <c:crosses val="autoZero"/>
        <c:crossBetween val="between"/>
      </c:valAx>
      <c:spPr>
        <a:noFill/>
        <a:ln>
          <a:noFill/>
        </a:ln>
        <a:effectLst/>
      </c:spPr>
    </c:plotArea>
    <c:plotVisOnly val="1"/>
    <c:dispBlanksAs val="gap"/>
    <c:showDLblsOverMax val="0"/>
  </c:chart>
  <c:spPr>
    <a:solidFill>
      <a:srgbClr val="4BACC6">
        <a:lumMod val="60000"/>
        <a:lumOff val="40000"/>
      </a:srgbClr>
    </a:solidFill>
    <a:ln w="9525" cap="flat" cmpd="sng" algn="ctr">
      <a:solidFill>
        <a:schemeClr val="bg1">
          <a:lumMod val="75000"/>
        </a:schemeClr>
      </a:solidFill>
      <a:round/>
    </a:ln>
    <a:effectLst>
      <a:outerShdw blurRad="63500" dist="37357" dir="2700000" sx="0" sy="0" rotWithShape="0">
        <a:scrgbClr r="0" g="0" b="0"/>
      </a:outerShdw>
    </a:effectLst>
  </c:spPr>
  <c:txPr>
    <a:bodyPr/>
    <a:lstStyle/>
    <a:p>
      <a:pPr>
        <a:defRPr lang="zh-CN" b="0">
          <a:solidFill>
            <a:schemeClr val="bg2">
              <a:lumMod val="50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6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36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四川省财政厅</Company>
  <Pages>25</Pages>
  <Words>9396</Words>
  <Characters>10224</Characters>
  <Lines>0</Lines>
  <Paragraphs>0</Paragraphs>
  <TotalTime>31</TotalTime>
  <ScaleCrop>false</ScaleCrop>
  <LinksUpToDate>false</LinksUpToDate>
  <CharactersWithSpaces>10415</CharactersWithSpaces>
  <Application>WPS Office_11.1.0.7832_F1E327BC-269C-435d-A152-05C5408002CA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2022-08-16T09:05:00Z</dcterms:created>
  <dc:creator>guixiang1984</dc:creator>
  <cp:lastModifiedBy>Administrator</cp:lastModifiedBy>
  <cp:lastPrinted>2023-09-20T16:56:00Z</cp:lastPrinted>
  <dcterms:modified xsi:type="dcterms:W3CDTF">2023-09-21T02:49:02Z</dcterms:modified>
  <dc:title>2021年度</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2052-11.1.0.7832</vt:lpwstr>
  </property>
  <property fmtid="{D5CDD505-2E9C-101B-9397-08002B2CF9AE}" pid="3" name="ICV">
    <vt:lpwstr>9385A63EA74C49BE8BC9DA295D4F2A70_13</vt:lpwstr>
  </property>
</Properties>
</file>