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3443"/>
      <w:bookmarkStart w:id="4" w:name="_Toc15396475"/>
      <w:bookmarkStart w:id="5" w:name="_Toc15396597"/>
      <w:bookmarkStart w:id="6" w:name="_Toc15377425"/>
      <w:r>
        <w:rPr>
          <w:rFonts w:ascii="黑体" w:eastAsia="黑体"/>
          <w:color w:val="000000"/>
          <w:sz w:val="72"/>
          <w:szCs w:val="72"/>
        </w:rPr>
        <w:t>2021</w:t>
      </w:r>
      <w:r>
        <w:rPr>
          <w:rFonts w:hint="eastAsia" w:ascii="方正小标宋简体" w:eastAsia="方正小标宋简体"/>
          <w:color w:val="000000"/>
          <w:sz w:val="72"/>
          <w:szCs w:val="72"/>
        </w:rPr>
        <w:t>年度</w:t>
      </w:r>
      <w:bookmarkEnd w:id="1"/>
      <w:bookmarkEnd w:id="2"/>
      <w:bookmarkEnd w:id="3"/>
      <w:bookmarkEnd w:id="4"/>
      <w:bookmarkEnd w:id="5"/>
      <w:bookmarkEnd w:id="6"/>
    </w:p>
    <w:bookmarkEnd w:id="0"/>
    <w:p>
      <w:pPr>
        <w:adjustRightInd w:val="0"/>
        <w:snapToGrid w:val="0"/>
        <w:spacing w:line="360" w:lineRule="auto"/>
        <w:jc w:val="center"/>
        <w:outlineLvl w:val="0"/>
        <w:rPr>
          <w:rFonts w:ascii="方正小标宋简体" w:eastAsia="方正小标宋简体"/>
          <w:color w:val="000000"/>
          <w:sz w:val="72"/>
          <w:szCs w:val="72"/>
        </w:rPr>
      </w:pPr>
      <w:bookmarkStart w:id="7" w:name="_Toc15306268"/>
      <w:bookmarkStart w:id="8" w:name="_Toc15377194"/>
      <w:bookmarkStart w:id="9" w:name="_Toc15377426"/>
      <w:bookmarkStart w:id="10" w:name="_Toc11098"/>
      <w:bookmarkStart w:id="11" w:name="_Toc15396598"/>
      <w:bookmarkStart w:id="12" w:name="_Toc15378442"/>
      <w:bookmarkStart w:id="13" w:name="_Toc15396476"/>
      <w:r>
        <w:rPr>
          <w:rFonts w:hint="eastAsia" w:ascii="方正小标宋简体" w:eastAsia="方正小标宋简体"/>
          <w:color w:val="000000"/>
          <w:sz w:val="72"/>
          <w:szCs w:val="72"/>
        </w:rPr>
        <w:t>金川县畜牧兽医服务中心部门决算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w:t>
      </w:r>
      <w:r>
        <w:t>2022</w:t>
      </w:r>
      <w:r>
        <w:rPr>
          <w:rFonts w:hint="eastAsia"/>
        </w:rPr>
        <w:t>年</w:t>
      </w:r>
      <w:r>
        <w:rPr>
          <w:rFonts w:hint="eastAsia"/>
          <w:lang w:val="en-US" w:eastAsia="zh-CN"/>
        </w:rPr>
        <w:t>8</w:t>
      </w:r>
      <w:r>
        <w:rPr>
          <w:rFonts w:hint="eastAsia"/>
        </w:rPr>
        <w:t>月</w:t>
      </w:r>
      <w:r>
        <w:rPr>
          <w:rFonts w:hint="eastAsia"/>
          <w:lang w:val="en-US" w:eastAsia="zh-CN"/>
        </w:rPr>
        <w:t>2</w:t>
      </w:r>
      <w:r>
        <w:t>5</w:t>
      </w:r>
      <w:r>
        <w:rPr>
          <w:rFonts w:hint="eastAsia"/>
        </w:rPr>
        <w:t>日</w:t>
      </w:r>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1"/>
        <w:ind w:left="420"/>
        <w:rPr>
          <w:rFonts w:ascii="仿宋" w:eastAsia="仿宋"/>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eastAsia="仿宋" w:cs="Times New Roman"/>
          <w:bCs/>
          <w:kern w:val="2"/>
          <w:sz w:val="28"/>
          <w:szCs w:val="28"/>
          <w:lang w:val="en-US" w:eastAsia="zh-CN" w:bidi="ar-SA"/>
        </w:rPr>
        <w:t>（一）</w:t>
      </w:r>
      <w:r>
        <w:rPr>
          <w:rFonts w:hint="eastAsia" w:ascii="仿宋" w:hAnsi="Times New Roman" w:eastAsia="仿宋" w:cs="Times New Roman"/>
          <w:bCs/>
          <w:kern w:val="2"/>
          <w:sz w:val="28"/>
          <w:szCs w:val="28"/>
          <w:lang w:val="en-US" w:eastAsia="zh-CN" w:bidi="ar-SA"/>
        </w:rPr>
        <w:t>一般公共预算财政拨款支出决算总体情况</w:t>
      </w:r>
      <w:r>
        <w:rPr>
          <w:rFonts w:hint="eastAsia" w:ascii="仿宋" w:eastAsia="仿宋" w:cs="Times New Roman"/>
          <w:bCs/>
          <w:kern w:val="2"/>
          <w:sz w:val="28"/>
          <w:szCs w:val="28"/>
          <w:lang w:val="en-US" w:eastAsia="zh-CN" w:bidi="ar-SA"/>
        </w:rPr>
        <w:t>..........8</w:t>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（二）一般公共预算财政拨款支出决算结构情况</w:t>
      </w:r>
      <w:r>
        <w:rPr>
          <w:rFonts w:hint="eastAsia" w:ascii="仿宋" w:eastAsia="仿宋" w:cs="Times New Roman"/>
          <w:bCs/>
          <w:kern w:val="2"/>
          <w:sz w:val="28"/>
          <w:szCs w:val="28"/>
          <w:lang w:val="en-US" w:eastAsia="zh-CN" w:bidi="ar-SA"/>
        </w:rPr>
        <w:t>..........9</w:t>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（三）一般公共预算财政拨款支出决算具体情况</w:t>
      </w:r>
      <w:r>
        <w:rPr>
          <w:rFonts w:hint="eastAsia" w:ascii="仿宋" w:eastAsia="仿宋" w:cs="Times New Roman"/>
          <w:bCs/>
          <w:kern w:val="2"/>
          <w:sz w:val="28"/>
          <w:szCs w:val="28"/>
          <w:lang w:val="en-US" w:eastAsia="zh-CN" w:bidi="ar-SA"/>
        </w:rPr>
        <w:t>..........10</w:t>
      </w:r>
    </w:p>
    <w:p>
      <w:pPr>
        <w:pStyle w:val="11"/>
        <w:ind w:left="420"/>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11"/>
        <w:ind w:left="420"/>
        <w:rPr>
          <w:rFonts w:hint="eastAsia" w:ascii="仿宋" w:eastAsia="仿宋"/>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1</w:t>
      </w:r>
    </w:p>
    <w:p>
      <w:pPr>
        <w:pStyle w:val="6"/>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（一）“三公”经费财政拨款支出决算总体情况说明</w:t>
      </w:r>
      <w:r>
        <w:rPr>
          <w:rFonts w:hint="eastAsia" w:ascii="仿宋" w:eastAsia="仿宋" w:cs="Times New Roman"/>
          <w:bCs/>
          <w:kern w:val="2"/>
          <w:sz w:val="28"/>
          <w:szCs w:val="28"/>
          <w:lang w:val="en-US" w:eastAsia="zh-CN" w:bidi="ar-SA"/>
        </w:rPr>
        <w:t>......11</w:t>
      </w:r>
    </w:p>
    <w:p>
      <w:pPr>
        <w:ind w:firstLine="840" w:firstLineChars="300"/>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（二）“三公”经费财政拨款支出决算具体情况说明</w:t>
      </w:r>
      <w:r>
        <w:rPr>
          <w:rFonts w:hint="eastAsia" w:ascii="仿宋" w:eastAsia="仿宋" w:cs="Times New Roman"/>
          <w:bCs/>
          <w:kern w:val="2"/>
          <w:sz w:val="28"/>
          <w:szCs w:val="28"/>
          <w:lang w:val="en-US" w:eastAsia="zh-CN" w:bidi="ar-SA"/>
        </w:rPr>
        <w:t>......12</w:t>
      </w:r>
    </w:p>
    <w:p>
      <w:pPr>
        <w:pStyle w:val="11"/>
        <w:ind w:left="420"/>
        <w:rPr>
          <w:rFonts w:hint="eastAsia" w:ascii="仿宋" w:eastAsia="仿宋" w:cs="Arial"/>
          <w:sz w:val="28"/>
          <w:szCs w:val="28"/>
          <w:lang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3</w:t>
      </w:r>
    </w:p>
    <w:p>
      <w:pPr>
        <w:pStyle w:val="11"/>
        <w:ind w:left="420"/>
        <w:rPr>
          <w:rFonts w:hint="eastAsia" w:ascii="仿宋" w:eastAsia="仿宋"/>
          <w:sz w:val="28"/>
          <w:szCs w:val="28"/>
          <w:lang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ascii="仿宋" w:eastAsia="仿宋"/>
          <w:sz w:val="28"/>
          <w:szCs w:val="28"/>
        </w:rPr>
        <w:t xml:space="preserve"> </w:t>
      </w:r>
      <w:r>
        <w:rPr>
          <w:rFonts w:hint="eastAsia" w:ascii="仿宋" w:eastAsia="仿宋"/>
          <w:sz w:val="28"/>
          <w:szCs w:val="28"/>
        </w:rPr>
        <w:t>国</w:t>
      </w:r>
      <w:r>
        <w:rPr>
          <w:rFonts w:hint="eastAsia" w:ascii="仿宋" w:eastAsia="仿宋"/>
          <w:bCs/>
          <w:sz w:val="28"/>
          <w:szCs w:val="28"/>
        </w:rPr>
        <w:t>有资本经营预算支出决算情况说明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3</w:t>
      </w:r>
    </w:p>
    <w:p>
      <w:pPr>
        <w:pStyle w:val="11"/>
        <w:ind w:left="420"/>
        <w:rPr>
          <w:rFonts w:hint="eastAsia" w:ascii="仿宋" w:eastAsia="仿宋"/>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、其他重要事项的情况说明</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3</w:t>
      </w:r>
    </w:p>
    <w:p>
      <w:pPr>
        <w:pStyle w:val="6"/>
        <w:jc w:val="both"/>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（一）机关运行经费支出情况</w:t>
      </w:r>
      <w:r>
        <w:rPr>
          <w:rFonts w:hint="eastAsia" w:ascii="仿宋" w:hAnsi="Times New Roman" w:eastAsia="仿宋" w:cs="Times New Roman"/>
          <w:bCs/>
          <w:kern w:val="2"/>
          <w:sz w:val="28"/>
          <w:szCs w:val="28"/>
          <w:lang w:val="en-US" w:eastAsia="zh-CN" w:bidi="ar-SA"/>
        </w:rPr>
        <w:tab/>
      </w:r>
      <w:r>
        <w:rPr>
          <w:rFonts w:hint="eastAsia" w:ascii="仿宋" w:eastAsia="仿宋" w:cs="Times New Roman"/>
          <w:bCs/>
          <w:kern w:val="2"/>
          <w:sz w:val="28"/>
          <w:szCs w:val="28"/>
          <w:lang w:val="en-US" w:eastAsia="zh-CN" w:bidi="ar-SA"/>
        </w:rPr>
        <w:t>13</w:t>
      </w:r>
    </w:p>
    <w:p>
      <w:pPr>
        <w:pStyle w:val="6"/>
        <w:jc w:val="both"/>
        <w:rPr>
          <w:rFonts w:hint="eastAsia"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（二）政府采购支出情况</w:t>
      </w:r>
      <w:r>
        <w:rPr>
          <w:rFonts w:hint="eastAsia" w:ascii="仿宋" w:eastAsia="仿宋" w:cs="Times New Roman"/>
          <w:bCs/>
          <w:kern w:val="2"/>
          <w:sz w:val="28"/>
          <w:szCs w:val="28"/>
          <w:lang w:val="en-US" w:eastAsia="zh-CN" w:bidi="ar-SA"/>
        </w:rPr>
        <w:t>.............................</w:t>
      </w:r>
      <w:r>
        <w:rPr>
          <w:rFonts w:hint="eastAsia" w:ascii="仿宋" w:hAnsi="Times New Roman" w:eastAsia="仿宋" w:cs="Times New Roman"/>
          <w:bCs/>
          <w:kern w:val="2"/>
          <w:sz w:val="28"/>
          <w:szCs w:val="28"/>
          <w:lang w:val="en-US" w:eastAsia="zh-CN" w:bidi="ar-SA"/>
        </w:rPr>
        <w:t>1</w:t>
      </w:r>
      <w:r>
        <w:rPr>
          <w:rFonts w:hint="eastAsia" w:ascii="仿宋" w:eastAsia="仿宋" w:cs="Times New Roman"/>
          <w:bCs/>
          <w:kern w:val="2"/>
          <w:sz w:val="28"/>
          <w:szCs w:val="28"/>
          <w:lang w:val="en-US" w:eastAsia="zh-CN" w:bidi="ar-SA"/>
        </w:rPr>
        <w:t>3</w:t>
      </w:r>
    </w:p>
    <w:p>
      <w:pPr>
        <w:pStyle w:val="6"/>
        <w:jc w:val="both"/>
        <w:rPr>
          <w:rFonts w:hint="default" w:ascii="仿宋" w:hAnsi="Times New Roman" w:eastAsia="仿宋" w:cs="Times New Roman"/>
          <w:bCs/>
          <w:kern w:val="2"/>
          <w:sz w:val="28"/>
          <w:szCs w:val="28"/>
          <w:lang w:val="en-US" w:eastAsia="zh-CN" w:bidi="ar-SA"/>
        </w:rPr>
      </w:pPr>
      <w:r>
        <w:rPr>
          <w:rFonts w:hint="eastAsia" w:ascii="仿宋" w:hAnsi="Times New Roman" w:eastAsia="仿宋" w:cs="Times New Roman"/>
          <w:bCs/>
          <w:kern w:val="2"/>
          <w:sz w:val="28"/>
          <w:szCs w:val="28"/>
          <w:lang w:val="en-US" w:eastAsia="zh-CN" w:bidi="ar-SA"/>
        </w:rPr>
        <w:t>（三）国有资产占有使用情况</w:t>
      </w:r>
      <w:r>
        <w:rPr>
          <w:rFonts w:hint="eastAsia" w:ascii="仿宋" w:hAnsi="Times New Roman" w:eastAsia="仿宋" w:cs="Times New Roman"/>
          <w:bCs/>
          <w:kern w:val="2"/>
          <w:sz w:val="28"/>
          <w:szCs w:val="28"/>
          <w:lang w:val="en-US" w:eastAsia="zh-CN" w:bidi="ar-SA"/>
        </w:rPr>
        <w:tab/>
      </w:r>
      <w:r>
        <w:rPr>
          <w:rFonts w:hint="eastAsia" w:ascii="仿宋" w:eastAsia="仿宋" w:cs="Times New Roman"/>
          <w:bCs/>
          <w:kern w:val="2"/>
          <w:sz w:val="28"/>
          <w:szCs w:val="28"/>
          <w:lang w:val="en-US" w:eastAsia="zh-CN" w:bidi="ar-SA"/>
        </w:rPr>
        <w:t>14</w:t>
      </w:r>
    </w:p>
    <w:p>
      <w:pPr>
        <w:pStyle w:val="6"/>
        <w:jc w:val="both"/>
        <w:rPr>
          <w:rFonts w:hint="default"/>
          <w:lang w:val="en-US" w:eastAsia="zh-CN"/>
        </w:rPr>
      </w:pPr>
      <w:r>
        <w:rPr>
          <w:rFonts w:hint="eastAsia" w:ascii="仿宋" w:hAnsi="Times New Roman" w:eastAsia="仿宋" w:cs="Times New Roman"/>
          <w:bCs/>
          <w:kern w:val="2"/>
          <w:sz w:val="28"/>
          <w:szCs w:val="28"/>
          <w:lang w:val="en-US" w:eastAsia="zh-CN" w:bidi="ar-SA"/>
        </w:rPr>
        <w:t>（四）预算绩效管理情况</w:t>
      </w:r>
      <w:r>
        <w:rPr>
          <w:rFonts w:hint="eastAsia" w:ascii="仿宋" w:hAnsi="Times New Roman" w:eastAsia="仿宋" w:cs="Times New Roman"/>
          <w:bCs/>
          <w:kern w:val="2"/>
          <w:sz w:val="28"/>
          <w:szCs w:val="28"/>
          <w:lang w:val="en-US" w:eastAsia="zh-CN" w:bidi="ar-SA"/>
        </w:rPr>
        <w:tab/>
      </w:r>
      <w:r>
        <w:rPr>
          <w:rFonts w:hint="eastAsia" w:ascii="仿宋" w:eastAsia="仿宋" w:cs="Times New Roman"/>
          <w:bCs/>
          <w:kern w:val="2"/>
          <w:sz w:val="28"/>
          <w:szCs w:val="28"/>
          <w:lang w:val="en-US" w:eastAsia="zh-CN" w:bidi="ar-SA"/>
        </w:rPr>
        <w:t>14</w:t>
      </w:r>
    </w:p>
    <w:p>
      <w:pPr>
        <w:pStyle w:val="10"/>
        <w:rPr>
          <w:rFonts w:hint="eastAsia" w:eastAsia="仿宋" w:cs="Arial"/>
          <w:lang w:eastAsia="zh-CN"/>
        </w:rPr>
      </w:pPr>
      <w:r>
        <w:fldChar w:fldCharType="begin"/>
      </w:r>
      <w:r>
        <w:instrText xml:space="preserve"> HYPERLINK \l "_Toc15396613" </w:instrText>
      </w:r>
      <w:r>
        <w:fldChar w:fldCharType="separate"/>
      </w:r>
      <w:r>
        <w:rPr>
          <w:rFonts w:hint="eastAsia"/>
          <w:bCs/>
          <w:kern w:val="44"/>
        </w:rPr>
        <w:t>第三部分</w:t>
      </w:r>
      <w:r>
        <w:t xml:space="preserve"> </w:t>
      </w:r>
      <w:r>
        <w:rPr>
          <w:rFonts w:hint="eastAsia"/>
        </w:rPr>
        <w:t>名</w:t>
      </w:r>
      <w:r>
        <w:rPr>
          <w:rFonts w:hint="eastAsia"/>
          <w:bCs/>
          <w:kern w:val="44"/>
        </w:rPr>
        <w:t>词解释</w:t>
      </w:r>
      <w:r>
        <w:tab/>
      </w:r>
      <w:r>
        <w:t>1</w:t>
      </w:r>
      <w:r>
        <w:fldChar w:fldCharType="end"/>
      </w:r>
      <w:r>
        <w:rPr>
          <w:rFonts w:hint="eastAsia"/>
          <w:lang w:val="en-US" w:eastAsia="zh-CN"/>
        </w:rPr>
        <w:t>7</w:t>
      </w:r>
    </w:p>
    <w:p>
      <w:pPr>
        <w:pStyle w:val="10"/>
        <w:rPr>
          <w:rFonts w:hint="eastAsia" w:eastAsia="仿宋" w:cs="Arial"/>
          <w:lang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t>1</w:t>
      </w:r>
      <w:r>
        <w:fldChar w:fldCharType="end"/>
      </w:r>
      <w:r>
        <w:rPr>
          <w:rFonts w:hint="eastAsia"/>
          <w:lang w:val="en-US" w:eastAsia="zh-CN"/>
        </w:rPr>
        <w:t>9</w:t>
      </w:r>
    </w:p>
    <w:p>
      <w:pPr>
        <w:widowControl/>
        <w:spacing w:line="576" w:lineRule="exact"/>
        <w:ind w:firstLine="210" w:firstLineChars="100"/>
        <w:jc w:val="both"/>
        <w:rPr>
          <w:rFonts w:hint="eastAsia" w:ascii="仿宋" w:eastAsia="仿宋"/>
          <w:sz w:val="28"/>
          <w:szCs w:val="28"/>
          <w:lang w:eastAsia="zh-CN"/>
        </w:rPr>
      </w:pPr>
      <w:r>
        <w:fldChar w:fldCharType="begin"/>
      </w:r>
      <w:r>
        <w:instrText xml:space="preserve"> HYPERLINK \l "_Toc15396615" </w:instrText>
      </w:r>
      <w:r>
        <w:fldChar w:fldCharType="separate"/>
      </w:r>
      <w:r>
        <w:rPr>
          <w:rFonts w:hint="eastAsia" w:ascii="仿宋" w:hAnsi="Times New Roman" w:eastAsia="仿宋" w:cs="Times New Roman"/>
          <w:kern w:val="2"/>
          <w:sz w:val="28"/>
          <w:szCs w:val="28"/>
          <w:lang w:val="en-US" w:eastAsia="zh-CN" w:bidi="ar-SA"/>
        </w:rPr>
        <w:t>金川县畜牧兽医服务中心2021年部门预算整体支出绩效报告</w:t>
      </w:r>
      <w:r>
        <w:rPr>
          <w:rFonts w:hint="eastAsia" w:ascii="仿宋" w:eastAsia="仿宋" w:cs="Times New Roman"/>
          <w:kern w:val="2"/>
          <w:sz w:val="28"/>
          <w:szCs w:val="28"/>
          <w:lang w:val="en-US" w:eastAsia="zh-CN" w:bidi="ar-SA"/>
        </w:rPr>
        <w:t>..</w:t>
      </w:r>
      <w:r>
        <w:rPr>
          <w:rFonts w:ascii="仿宋" w:eastAsia="仿宋"/>
          <w:sz w:val="28"/>
          <w:szCs w:val="28"/>
        </w:rPr>
        <w:tab/>
      </w:r>
      <w:r>
        <w:rPr>
          <w:rFonts w:ascii="仿宋" w:eastAsia="仿宋"/>
          <w:sz w:val="28"/>
          <w:szCs w:val="28"/>
        </w:rPr>
        <w:t>1</w:t>
      </w:r>
      <w:r>
        <w:rPr>
          <w:rFonts w:ascii="仿宋" w:eastAsia="仿宋"/>
          <w:sz w:val="28"/>
          <w:szCs w:val="28"/>
        </w:rPr>
        <w:fldChar w:fldCharType="end"/>
      </w:r>
      <w:r>
        <w:rPr>
          <w:rFonts w:hint="eastAsia" w:ascii="仿宋" w:eastAsia="仿宋"/>
          <w:sz w:val="28"/>
          <w:szCs w:val="28"/>
          <w:lang w:val="en-US" w:eastAsia="zh-CN"/>
        </w:rPr>
        <w:t>9</w:t>
      </w:r>
    </w:p>
    <w:p>
      <w:pPr>
        <w:pStyle w:val="10"/>
        <w:bidi w:val="0"/>
        <w:rPr>
          <w:rFonts w:hint="default"/>
          <w:lang w:val="en-US" w:eastAsia="zh-CN"/>
        </w:rPr>
      </w:pPr>
      <w:r>
        <w:rPr>
          <w:rFonts w:hint="eastAsia"/>
        </w:rPr>
        <w:t>第五部分 附表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一、收入支出决算总表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二、收入决算表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三、支出决算表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四、财政拨款收入支出决算总表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五、财政拨款支出决算明细表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六、一般公共预算财政拨款支出决算表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七、一般公共预算财政拨款支出决算明细表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八、一般公共预算财政拨款基本支出决算表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九、一般公共预算财政拨款项目支出决算表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十、一般公共预算财政拨款“三公”经费支出决算表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十一、政府性基金预算财政拨款收入支出决算表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十二、政府性基金预算财政拨款“三公”经费支出决算表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十三、国有资本经营预算财政拨款支出决算表</w:t>
      </w:r>
      <w:r>
        <w:rPr>
          <w:rFonts w:hint="eastAsia"/>
        </w:rPr>
        <w:tab/>
      </w:r>
      <w:r>
        <w:rPr>
          <w:rFonts w:hint="eastAsia"/>
          <w:lang w:val="en-US" w:eastAsia="zh-CN"/>
        </w:rPr>
        <w:t>30</w:t>
      </w:r>
    </w:p>
    <w:p>
      <w:pPr>
        <w:pStyle w:val="10"/>
        <w:bidi w:val="0"/>
        <w:rPr>
          <w:rFonts w:hint="default"/>
          <w:lang w:val="en-US" w:eastAsia="zh-CN"/>
        </w:rPr>
      </w:pPr>
      <w:r>
        <w:rPr>
          <w:rFonts w:hint="eastAsia"/>
          <w:lang w:val="en-US" w:eastAsia="zh-CN"/>
        </w:rPr>
        <w:t xml:space="preserve">    </w:t>
      </w:r>
      <w:r>
        <w:rPr>
          <w:rFonts w:hint="eastAsia"/>
        </w:rPr>
        <w:t>十四、国有资本经营预算财政拨款支出决算表</w:t>
      </w:r>
      <w:r>
        <w:rPr>
          <w:rFonts w:hint="eastAsia"/>
        </w:rPr>
        <w:tab/>
      </w:r>
      <w:r>
        <w:rPr>
          <w:rFonts w:hint="eastAsia"/>
          <w:lang w:val="en-US" w:eastAsia="zh-CN"/>
        </w:rPr>
        <w:t>30</w:t>
      </w:r>
    </w:p>
    <w:p>
      <w:pPr>
        <w:pStyle w:val="10"/>
        <w:rPr>
          <w:rFonts w:hint="eastAsia"/>
        </w:rPr>
      </w:pP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4" w:name="_Toc15396599"/>
      <w:bookmarkStart w:id="15" w:name="_Toc15377196"/>
      <w:r>
        <w:rPr>
          <w:rFonts w:ascii="黑体" w:eastAsia="黑体"/>
          <w:b/>
        </w:rPr>
        <w:br w:type="page"/>
      </w:r>
    </w:p>
    <w:p>
      <w:pPr>
        <w:pStyle w:val="2"/>
        <w:jc w:val="center"/>
        <w:rPr>
          <w:rFonts w:ascii="黑体" w:eastAsia="黑体"/>
          <w:color w:val="000000"/>
          <w:sz w:val="32"/>
          <w:szCs w:val="32"/>
        </w:rPr>
      </w:pPr>
      <w:bookmarkStart w:id="16" w:name="_Toc21035"/>
      <w:r>
        <w:rPr>
          <w:rFonts w:hint="eastAsia" w:ascii="黑体" w:eastAsia="黑体"/>
          <w:b w:val="0"/>
        </w:rPr>
        <w:t>第一部分</w:t>
      </w:r>
      <w:r>
        <w:rPr>
          <w:rFonts w:ascii="黑体" w:eastAsia="黑体"/>
          <w:b w:val="0"/>
        </w:rPr>
        <w:t xml:space="preserve"> </w:t>
      </w:r>
      <w:r>
        <w:rPr>
          <w:rStyle w:val="16"/>
          <w:rFonts w:hint="eastAsia" w:ascii="黑体" w:eastAsia="黑体"/>
          <w:b w:val="0"/>
          <w:bCs w:val="0"/>
        </w:rPr>
        <w:t>部门概况</w:t>
      </w:r>
      <w:bookmarkEnd w:id="14"/>
      <w:bookmarkEnd w:id="15"/>
      <w:bookmarkEnd w:id="16"/>
    </w:p>
    <w:p>
      <w:pPr>
        <w:pStyle w:val="3"/>
        <w:spacing w:before="0" w:after="0" w:line="240" w:lineRule="auto"/>
        <w:ind w:left="638" w:leftChars="304"/>
        <w:rPr>
          <w:rStyle w:val="17"/>
          <w:rFonts w:ascii="黑体" w:eastAsia="黑体"/>
          <w:b w:val="0"/>
          <w:bCs w:val="0"/>
        </w:rPr>
      </w:pPr>
      <w:bookmarkStart w:id="17" w:name="_Toc15377197"/>
      <w:bookmarkStart w:id="18" w:name="_Toc17689"/>
      <w:bookmarkStart w:id="19" w:name="_Toc15396600"/>
      <w:r>
        <w:rPr>
          <w:rFonts w:hint="eastAsia" w:ascii="黑体" w:eastAsia="黑体"/>
          <w:b w:val="0"/>
          <w:color w:val="000000"/>
        </w:rPr>
        <w:t>一、基</w:t>
      </w:r>
      <w:r>
        <w:rPr>
          <w:rStyle w:val="17"/>
          <w:rFonts w:hint="eastAsia" w:ascii="黑体" w:eastAsia="黑体"/>
          <w:b w:val="0"/>
          <w:bCs w:val="0"/>
        </w:rPr>
        <w:t>本职能及主要工作</w:t>
      </w:r>
      <w:bookmarkEnd w:id="17"/>
      <w:bookmarkEnd w:id="18"/>
      <w:bookmarkEnd w:id="19"/>
      <w:bookmarkStart w:id="20" w:name="_Toc15377198"/>
      <w:bookmarkStart w:id="21" w:name="_Toc15378445"/>
    </w:p>
    <w:p>
      <w:pPr>
        <w:spacing w:line="58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（一）主要职能</w:t>
      </w:r>
      <w:bookmarkEnd w:id="20"/>
      <w:bookmarkEnd w:id="21"/>
      <w:bookmarkStart w:id="22" w:name="_Toc15377199"/>
      <w:bookmarkStart w:id="23" w:name="_Toc15378446"/>
    </w:p>
    <w:p>
      <w:pPr>
        <w:spacing w:line="62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．宣传贯彻执行国家、省、州、县关于畜牧业发展的方针、政策、法律法规。</w:t>
      </w:r>
    </w:p>
    <w:p>
      <w:pPr>
        <w:spacing w:line="6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．对畜牧业生产进行调查研究、统计和分析，并做好发展规划，为县委、县政府决策提供依据。</w:t>
      </w:r>
    </w:p>
    <w:p>
      <w:pPr>
        <w:spacing w:line="62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．依照《中华人民共和国草原法》对全县草业规划、建设、生产使用实施监督管理。</w:t>
      </w:r>
    </w:p>
    <w:p>
      <w:pPr>
        <w:spacing w:line="62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．对全县草场建设、饲草、饲料生产进行技术指导。</w:t>
      </w:r>
    </w:p>
    <w:p>
      <w:pPr>
        <w:spacing w:line="62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．依照《中华人民共和国畜牧法》对全县种畜禽实施监督管理。</w:t>
      </w:r>
    </w:p>
    <w:p>
      <w:pPr>
        <w:spacing w:line="62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．对全县畜、禽品种改良、优良畜、禽品种引进和繁育实施技术指导。</w:t>
      </w:r>
    </w:p>
    <w:p>
      <w:pPr>
        <w:spacing w:line="62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．依照《中华人民共和国动物防疫法》负责本县动物防疫、检疫、动物产品安全监管和畜产品加工企业驻厂检疫等行政执法工作；负责兽医医政和兽药药政管理。</w:t>
      </w:r>
    </w:p>
    <w:p>
      <w:pPr>
        <w:spacing w:line="62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．计划并组织实施全县动物疫病预防工作。</w:t>
      </w:r>
    </w:p>
    <w:p>
      <w:pPr>
        <w:spacing w:line="62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9</w:t>
      </w:r>
      <w:r>
        <w:rPr>
          <w:rFonts w:hint="eastAsia" w:ascii="仿宋_GB2312" w:hAnsi="宋体" w:eastAsia="仿宋_GB2312" w:cs="宋体"/>
          <w:kern w:val="0"/>
          <w:sz w:val="32"/>
          <w:szCs w:val="32"/>
        </w:rPr>
        <w:t>．承担动物疫病监测、诊断、流行病学调查研究、技术推广工作</w:t>
      </w:r>
      <w:r>
        <w:rPr>
          <w:rFonts w:hint="eastAsia" w:ascii="仿宋_GB2312" w:eastAsia="仿宋_GB2312"/>
          <w:sz w:val="32"/>
          <w:szCs w:val="32"/>
        </w:rPr>
        <w:t>，对全县动物疫病防、治进行技术指导和服务</w:t>
      </w:r>
      <w:r>
        <w:rPr>
          <w:rFonts w:hint="eastAsia" w:ascii="仿宋_GB2312" w:hAnsi="宋体" w:eastAsia="仿宋_GB2312" w:cs="宋体"/>
          <w:kern w:val="0"/>
          <w:sz w:val="32"/>
          <w:szCs w:val="32"/>
        </w:rPr>
        <w:t>。</w:t>
      </w:r>
    </w:p>
    <w:p>
      <w:pPr>
        <w:spacing w:line="620" w:lineRule="exact"/>
        <w:ind w:firstLine="640" w:firstLineChars="200"/>
        <w:rPr>
          <w:rFonts w:ascii="仿宋_GB2312" w:eastAsia="仿宋_GB2312"/>
          <w:sz w:val="32"/>
          <w:szCs w:val="32"/>
        </w:rPr>
      </w:pPr>
      <w:r>
        <w:rPr>
          <w:rFonts w:ascii="仿宋_GB2312" w:hAnsi="宋体" w:eastAsia="仿宋_GB2312" w:cs="宋体"/>
          <w:kern w:val="0"/>
          <w:sz w:val="32"/>
          <w:szCs w:val="32"/>
        </w:rPr>
        <w:t>10</w:t>
      </w:r>
      <w:r>
        <w:rPr>
          <w:rFonts w:hint="eastAsia" w:ascii="仿宋_GB2312" w:hAnsi="宋体" w:eastAsia="仿宋_GB2312" w:cs="宋体"/>
          <w:kern w:val="0"/>
          <w:sz w:val="32"/>
          <w:szCs w:val="32"/>
        </w:rPr>
        <w:t>．</w:t>
      </w:r>
      <w:r>
        <w:rPr>
          <w:rFonts w:hint="eastAsia" w:ascii="仿宋_GB2312" w:eastAsia="仿宋_GB2312"/>
          <w:sz w:val="32"/>
          <w:szCs w:val="32"/>
        </w:rPr>
        <w:t>负责乡镇畜牧兽医站的管理和指导。</w:t>
      </w:r>
    </w:p>
    <w:p>
      <w:pPr>
        <w:spacing w:line="58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2021</w:t>
      </w:r>
      <w:r>
        <w:rPr>
          <w:rFonts w:hint="eastAsia" w:ascii="楷体_GB2312" w:hAnsi="楷体_GB2312" w:eastAsia="楷体_GB2312" w:cs="楷体_GB2312"/>
          <w:b/>
          <w:bCs/>
          <w:sz w:val="32"/>
          <w:szCs w:val="32"/>
        </w:rPr>
        <w:t>年重点工作完成情况</w:t>
      </w:r>
      <w:bookmarkEnd w:id="22"/>
      <w:bookmarkEnd w:id="23"/>
    </w:p>
    <w:p>
      <w:pPr>
        <w:snapToGrid w:val="0"/>
        <w:spacing w:line="536" w:lineRule="exact"/>
        <w:ind w:firstLine="640" w:firstLineChars="200"/>
        <w:rPr>
          <w:rFonts w:ascii="仿宋_GB2312" w:eastAsia="仿宋_GB2312"/>
          <w:bCs/>
          <w:color w:val="000000"/>
          <w:sz w:val="32"/>
          <w:szCs w:val="32"/>
        </w:rPr>
      </w:pPr>
      <w:bookmarkStart w:id="24" w:name="_Toc15377200"/>
      <w:bookmarkStart w:id="25" w:name="_Toc15396601"/>
      <w:r>
        <w:rPr>
          <w:rFonts w:ascii="仿宋_GB2312" w:eastAsia="仿宋_GB2312"/>
          <w:bCs/>
          <w:color w:val="000000"/>
          <w:sz w:val="32"/>
          <w:szCs w:val="32"/>
        </w:rPr>
        <w:t>1</w:t>
      </w:r>
      <w:r>
        <w:rPr>
          <w:rFonts w:hint="eastAsia" w:ascii="仿宋_GB2312" w:eastAsia="仿宋_GB2312"/>
          <w:bCs/>
          <w:color w:val="000000"/>
          <w:sz w:val="32"/>
          <w:szCs w:val="32"/>
        </w:rPr>
        <w:t>、完成今年农业资源及生态保护相关工作。</w:t>
      </w:r>
    </w:p>
    <w:p>
      <w:pPr>
        <w:snapToGrid w:val="0"/>
        <w:spacing w:line="53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2</w:t>
      </w:r>
      <w:r>
        <w:rPr>
          <w:rFonts w:hint="eastAsia" w:ascii="仿宋_GB2312" w:eastAsia="仿宋_GB2312"/>
          <w:bCs/>
          <w:color w:val="000000"/>
          <w:sz w:val="32"/>
          <w:szCs w:val="32"/>
        </w:rPr>
        <w:t>、有效发展现代畜牧业，指导和协调畜牧发展保障和服务体系建设。</w:t>
      </w:r>
    </w:p>
    <w:p>
      <w:pPr>
        <w:snapToGrid w:val="0"/>
        <w:spacing w:line="53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3</w:t>
      </w:r>
      <w:r>
        <w:rPr>
          <w:rFonts w:hint="eastAsia" w:ascii="仿宋_GB2312" w:eastAsia="仿宋_GB2312"/>
          <w:bCs/>
          <w:color w:val="000000"/>
          <w:sz w:val="32"/>
          <w:szCs w:val="32"/>
        </w:rPr>
        <w:t>、完成春防工作、寄生虫病的防治，指导和督促全县重大动物疫病防治工作，协调做好疫情监测、控制和组织扑灭疫情。</w:t>
      </w:r>
    </w:p>
    <w:p>
      <w:pPr>
        <w:snapToGrid w:val="0"/>
        <w:spacing w:line="536" w:lineRule="exact"/>
        <w:ind w:firstLine="640" w:firstLineChars="200"/>
        <w:rPr>
          <w:rFonts w:ascii="仿宋_GB2312" w:eastAsia="仿宋_GB2312"/>
          <w:bCs/>
          <w:color w:val="000000"/>
          <w:sz w:val="32"/>
          <w:szCs w:val="32"/>
        </w:rPr>
      </w:pPr>
      <w:r>
        <w:rPr>
          <w:rFonts w:ascii="仿宋_GB2312" w:eastAsia="仿宋_GB2312"/>
          <w:bCs/>
          <w:color w:val="000000"/>
          <w:sz w:val="32"/>
          <w:szCs w:val="32"/>
        </w:rPr>
        <w:t>4</w:t>
      </w:r>
      <w:r>
        <w:rPr>
          <w:rFonts w:hint="eastAsia" w:ascii="仿宋_GB2312" w:eastAsia="仿宋_GB2312"/>
          <w:bCs/>
          <w:color w:val="000000"/>
          <w:sz w:val="32"/>
          <w:szCs w:val="32"/>
        </w:rPr>
        <w:t>、开展新技术、新品种的宣传、试验、示范和推广。</w:t>
      </w:r>
    </w:p>
    <w:p>
      <w:pPr>
        <w:spacing w:line="578" w:lineRule="exact"/>
        <w:ind w:firstLine="640" w:firstLineChars="200"/>
        <w:rPr>
          <w:rStyle w:val="17"/>
          <w:b w:val="0"/>
          <w:bCs w:val="0"/>
        </w:rPr>
      </w:pPr>
      <w:bookmarkStart w:id="26" w:name="_Toc15199"/>
      <w:r>
        <w:rPr>
          <w:rStyle w:val="17"/>
          <w:rFonts w:hint="eastAsia" w:ascii="黑体" w:eastAsia="黑体"/>
          <w:b w:val="0"/>
          <w:bCs w:val="0"/>
        </w:rPr>
        <w:t>二、机构设置</w:t>
      </w:r>
      <w:bookmarkEnd w:id="24"/>
      <w:bookmarkEnd w:id="25"/>
    </w:p>
    <w:bookmarkEnd w:id="26"/>
    <w:p>
      <w:pPr>
        <w:widowControl/>
        <w:ind w:firstLine="640" w:firstLineChars="200"/>
        <w:jc w:val="left"/>
        <w:rPr>
          <w:rFonts w:ascii="黑体" w:eastAsia="黑体"/>
          <w:color w:val="000000"/>
        </w:rPr>
      </w:pPr>
      <w:r>
        <w:rPr>
          <w:rFonts w:hint="eastAsia" w:ascii="仿宋_GB2312" w:eastAsia="仿宋_GB2312"/>
          <w:bCs/>
          <w:color w:val="000000"/>
          <w:sz w:val="32"/>
          <w:szCs w:val="32"/>
        </w:rPr>
        <w:t>金川县畜牧兽医服务中心设</w:t>
      </w:r>
      <w:r>
        <w:rPr>
          <w:rFonts w:hint="eastAsia" w:ascii="仿宋_GB2312" w:eastAsia="仿宋_GB2312"/>
          <w:color w:val="000000"/>
          <w:sz w:val="32"/>
          <w:szCs w:val="32"/>
        </w:rPr>
        <w:t>统一核算机构为</w:t>
      </w:r>
      <w:r>
        <w:rPr>
          <w:rFonts w:ascii="仿宋_GB2312" w:eastAsia="仿宋_GB2312"/>
          <w:color w:val="000000"/>
          <w:sz w:val="32"/>
          <w:szCs w:val="32"/>
        </w:rPr>
        <w:t>1</w:t>
      </w:r>
      <w:r>
        <w:rPr>
          <w:rFonts w:hint="eastAsia" w:ascii="仿宋_GB2312" w:eastAsia="仿宋_GB2312"/>
          <w:color w:val="000000"/>
          <w:sz w:val="32"/>
          <w:szCs w:val="32"/>
        </w:rPr>
        <w:t>个，其中：</w:t>
      </w:r>
      <w:r>
        <w:rPr>
          <w:rFonts w:hint="eastAsia" w:ascii="仿宋" w:hAnsi="仿宋" w:eastAsia="仿宋" w:cs="仿宋"/>
          <w:color w:val="000000"/>
          <w:sz w:val="32"/>
          <w:szCs w:val="32"/>
        </w:rPr>
        <w:t>行政单位</w:t>
      </w:r>
      <w:r>
        <w:rPr>
          <w:rFonts w:ascii="仿宋" w:hAnsi="仿宋" w:eastAsia="仿宋" w:cs="仿宋"/>
          <w:color w:val="000000"/>
          <w:sz w:val="32"/>
          <w:szCs w:val="32"/>
        </w:rPr>
        <w:t>0</w:t>
      </w:r>
      <w:r>
        <w:rPr>
          <w:rFonts w:hint="eastAsia" w:ascii="仿宋" w:hAnsi="仿宋" w:eastAsia="仿宋" w:cs="仿宋"/>
          <w:color w:val="000000"/>
          <w:sz w:val="32"/>
          <w:szCs w:val="32"/>
        </w:rPr>
        <w:t>个，</w:t>
      </w:r>
      <w:r>
        <w:rPr>
          <w:rFonts w:hint="eastAsia" w:ascii="仿宋_GB2312" w:eastAsia="仿宋_GB2312"/>
          <w:color w:val="000000"/>
          <w:sz w:val="32"/>
          <w:szCs w:val="32"/>
        </w:rPr>
        <w:t>事业单位</w:t>
      </w:r>
      <w:r>
        <w:rPr>
          <w:rFonts w:ascii="仿宋_GB2312" w:eastAsia="仿宋_GB2312"/>
          <w:color w:val="000000"/>
          <w:sz w:val="32"/>
          <w:szCs w:val="32"/>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独立编制机构数</w:t>
      </w:r>
      <w:r>
        <w:rPr>
          <w:rFonts w:ascii="仿宋_GB2312" w:eastAsia="仿宋_GB2312"/>
          <w:color w:val="000000"/>
          <w:sz w:val="32"/>
          <w:szCs w:val="32"/>
        </w:rPr>
        <w:t>4</w:t>
      </w:r>
      <w:r>
        <w:rPr>
          <w:rFonts w:hint="eastAsia" w:ascii="仿宋_GB2312" w:eastAsia="仿宋_GB2312"/>
          <w:color w:val="000000"/>
          <w:sz w:val="32"/>
          <w:szCs w:val="32"/>
        </w:rPr>
        <w:t>个，分别为办公室、科教人事股、</w:t>
      </w:r>
      <w:r>
        <w:rPr>
          <w:rFonts w:hint="eastAsia" w:ascii="仿宋_GB2312" w:eastAsia="仿宋_GB2312"/>
          <w:sz w:val="32"/>
          <w:szCs w:val="32"/>
        </w:rPr>
        <w:t>畜禽繁育改良站，县动物防疫监督站。</w:t>
      </w:r>
      <w:bookmarkStart w:id="27" w:name="_Toc15377204"/>
      <w:bookmarkStart w:id="28" w:name="_Toc15396602"/>
    </w:p>
    <w:p>
      <w:pPr>
        <w:pStyle w:val="2"/>
        <w:ind w:right="440"/>
        <w:jc w:val="right"/>
      </w:pPr>
      <w:bookmarkStart w:id="29" w:name="_Toc7113"/>
      <w:r>
        <w:rPr>
          <w:rFonts w:hint="eastAsia" w:ascii="黑体" w:eastAsia="黑体"/>
          <w:b w:val="0"/>
          <w:color w:val="000000"/>
        </w:rPr>
        <w:t>第二部分</w:t>
      </w:r>
      <w:r>
        <w:rPr>
          <w:rFonts w:ascii="黑体" w:eastAsia="黑体"/>
          <w:color w:val="000000"/>
        </w:rPr>
        <w:t xml:space="preserve"> </w:t>
      </w:r>
      <w:r>
        <w:rPr>
          <w:rStyle w:val="16"/>
          <w:rFonts w:ascii="黑体" w:eastAsia="黑体"/>
          <w:b w:val="0"/>
          <w:bCs w:val="0"/>
        </w:rPr>
        <w:t>2021</w:t>
      </w:r>
      <w:r>
        <w:rPr>
          <w:rStyle w:val="16"/>
          <w:rFonts w:hint="eastAsia" w:ascii="黑体" w:eastAsia="黑体"/>
          <w:b w:val="0"/>
          <w:bCs w:val="0"/>
        </w:rPr>
        <w:t>年度部门决算情况说明</w:t>
      </w:r>
      <w:bookmarkEnd w:id="27"/>
      <w:bookmarkEnd w:id="28"/>
      <w:bookmarkEnd w:id="29"/>
    </w:p>
    <w:p>
      <w:pPr>
        <w:pStyle w:val="24"/>
        <w:ind w:firstLine="0" w:firstLineChars="0"/>
        <w:outlineLvl w:val="1"/>
        <w:rPr>
          <w:rStyle w:val="17"/>
          <w:rFonts w:ascii="黑体" w:eastAsia="黑体"/>
          <w:b w:val="0"/>
        </w:rPr>
      </w:pPr>
      <w:bookmarkStart w:id="30" w:name="_Toc15396603"/>
      <w:bookmarkStart w:id="31" w:name="_Toc15377205"/>
      <w:r>
        <w:rPr>
          <w:rFonts w:ascii="黑体" w:eastAsia="黑体"/>
          <w:color w:val="000000"/>
          <w:sz w:val="32"/>
          <w:szCs w:val="32"/>
        </w:rPr>
        <w:t xml:space="preserve">    </w:t>
      </w:r>
      <w:bookmarkStart w:id="32" w:name="_Toc24455"/>
      <w:r>
        <w:rPr>
          <w:rFonts w:hint="eastAsia" w:ascii="黑体" w:eastAsia="黑体"/>
          <w:color w:val="000000"/>
          <w:sz w:val="32"/>
          <w:szCs w:val="32"/>
        </w:rPr>
        <w:t>一、收</w:t>
      </w:r>
      <w:r>
        <w:rPr>
          <w:rStyle w:val="17"/>
          <w:rFonts w:hint="eastAsia" w:ascii="黑体" w:eastAsia="黑体"/>
          <w:b w:val="0"/>
        </w:rPr>
        <w:t>入支出决算总体情况说明</w:t>
      </w:r>
      <w:bookmarkEnd w:id="30"/>
      <w:bookmarkEnd w:id="31"/>
      <w:bookmarkEnd w:id="32"/>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年收入</w:t>
      </w:r>
      <w:r>
        <w:rPr>
          <w:rFonts w:ascii="仿宋_GB2312" w:eastAsia="仿宋_GB2312"/>
          <w:sz w:val="32"/>
          <w:szCs w:val="32"/>
        </w:rPr>
        <w:t>1962.26</w:t>
      </w:r>
      <w:r>
        <w:rPr>
          <w:rFonts w:hint="eastAsia" w:ascii="仿宋_GB2312" w:eastAsia="仿宋_GB2312"/>
          <w:sz w:val="32"/>
          <w:szCs w:val="32"/>
        </w:rPr>
        <w:t>万元，较上年支出减少</w:t>
      </w:r>
      <w:r>
        <w:rPr>
          <w:rFonts w:ascii="仿宋_GB2312" w:eastAsia="仿宋_GB2312"/>
          <w:sz w:val="32"/>
          <w:szCs w:val="32"/>
        </w:rPr>
        <w:t>966.55</w:t>
      </w:r>
      <w:r>
        <w:rPr>
          <w:rFonts w:hint="eastAsia" w:ascii="仿宋_GB2312" w:eastAsia="仿宋_GB2312"/>
          <w:sz w:val="32"/>
          <w:szCs w:val="32"/>
        </w:rPr>
        <w:t>万元。主要原因是机构改革当年部门预算安排资金较上年有所减少。</w:t>
      </w:r>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年总支出</w:t>
      </w:r>
      <w:r>
        <w:rPr>
          <w:rFonts w:ascii="仿宋_GB2312" w:eastAsia="仿宋_GB2312"/>
          <w:sz w:val="32"/>
          <w:szCs w:val="32"/>
        </w:rPr>
        <w:t>2043.17</w:t>
      </w:r>
      <w:r>
        <w:rPr>
          <w:rFonts w:hint="eastAsia" w:ascii="仿宋_GB2312" w:eastAsia="仿宋_GB2312"/>
          <w:sz w:val="32"/>
          <w:szCs w:val="32"/>
        </w:rPr>
        <w:t>万元，较上年支出减少</w:t>
      </w:r>
      <w:r>
        <w:rPr>
          <w:rFonts w:ascii="仿宋_GB2312" w:eastAsia="仿宋_GB2312"/>
          <w:sz w:val="32"/>
          <w:szCs w:val="32"/>
        </w:rPr>
        <w:t>786.52</w:t>
      </w:r>
      <w:r>
        <w:rPr>
          <w:rFonts w:hint="eastAsia" w:ascii="仿宋_GB2312" w:eastAsia="仿宋_GB2312"/>
          <w:sz w:val="32"/>
          <w:szCs w:val="32"/>
        </w:rPr>
        <w:t>万元。主要原因一是当年部门预算安排资金较上年有所减少；二是</w:t>
      </w:r>
      <w:r>
        <w:rPr>
          <w:rFonts w:ascii="仿宋_GB2312" w:eastAsia="仿宋_GB2312"/>
          <w:sz w:val="32"/>
          <w:szCs w:val="32"/>
        </w:rPr>
        <w:t>2021</w:t>
      </w:r>
      <w:r>
        <w:rPr>
          <w:rFonts w:hint="eastAsia" w:ascii="仿宋_GB2312" w:eastAsia="仿宋_GB2312"/>
          <w:sz w:val="32"/>
          <w:szCs w:val="32"/>
        </w:rPr>
        <w:t>年支出包含了上年结转项目。</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420" w:firstLineChars="200"/>
        <w:rPr>
          <w:rFonts w:ascii="仿宋_GB2312" w:eastAsia="仿宋_GB2312"/>
          <w:spacing w:val="-2"/>
          <w:sz w:val="32"/>
          <w:szCs w:val="32"/>
        </w:rPr>
      </w:pPr>
      <w:r>
        <w:drawing>
          <wp:anchor distT="0" distB="0" distL="114300" distR="114300" simplePos="0" relativeHeight="251659264" behindDoc="0" locked="0" layoutInCell="1" allowOverlap="1">
            <wp:simplePos x="0" y="0"/>
            <wp:positionH relativeFrom="column">
              <wp:posOffset>357505</wp:posOffset>
            </wp:positionH>
            <wp:positionV relativeFrom="paragraph">
              <wp:posOffset>76200</wp:posOffset>
            </wp:positionV>
            <wp:extent cx="4572000" cy="1731010"/>
            <wp:effectExtent l="4445" t="4445" r="10795" b="1714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黑体" w:eastAsia="黑体"/>
          <w:color w:val="000000"/>
          <w:sz w:val="32"/>
          <w:szCs w:val="32"/>
        </w:rPr>
      </w:pPr>
      <w:bookmarkStart w:id="33" w:name="_Toc15377206"/>
      <w:bookmarkStart w:id="34" w:name="_Toc15396604"/>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Style w:val="17"/>
          <w:rFonts w:ascii="黑体" w:eastAsia="黑体"/>
          <w:b w:val="0"/>
        </w:rPr>
      </w:pPr>
      <w:r>
        <w:rPr>
          <w:rFonts w:hint="eastAsia" w:ascii="黑体" w:eastAsia="黑体"/>
          <w:color w:val="000000"/>
          <w:sz w:val="32"/>
          <w:szCs w:val="32"/>
        </w:rPr>
        <w:t>二、收入决</w:t>
      </w:r>
      <w:r>
        <w:rPr>
          <w:rStyle w:val="17"/>
          <w:rFonts w:hint="eastAsia" w:ascii="黑体" w:eastAsia="黑体"/>
          <w:b w:val="0"/>
        </w:rPr>
        <w:t>算情况说明</w:t>
      </w:r>
      <w:bookmarkEnd w:id="33"/>
      <w:bookmarkEnd w:id="34"/>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年总收入</w:t>
      </w:r>
      <w:r>
        <w:rPr>
          <w:rFonts w:ascii="仿宋_GB2312" w:eastAsia="仿宋_GB2312"/>
          <w:sz w:val="32"/>
          <w:szCs w:val="32"/>
        </w:rPr>
        <w:t>1962.26</w:t>
      </w:r>
      <w:r>
        <w:rPr>
          <w:rFonts w:hint="eastAsia" w:ascii="仿宋_GB2312" w:eastAsia="仿宋_GB2312"/>
          <w:sz w:val="32"/>
          <w:szCs w:val="32"/>
        </w:rPr>
        <w:t>万元，其中：一般公共预算财政拨款收入</w:t>
      </w:r>
      <w:r>
        <w:rPr>
          <w:rFonts w:ascii="仿宋_GB2312" w:eastAsia="仿宋_GB2312"/>
          <w:sz w:val="32"/>
          <w:szCs w:val="32"/>
        </w:rPr>
        <w:t>1962.26</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；政府性基金预算财政拨款收入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；国有资本经营预算财政拨款收入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；事业收入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；附属单位上缴收入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；其他收入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spacing w:line="600" w:lineRule="exact"/>
        <w:ind w:firstLine="640" w:firstLineChars="200"/>
        <w:outlineLvl w:val="1"/>
        <w:rPr>
          <w:rStyle w:val="17"/>
          <w:rFonts w:ascii="黑体" w:eastAsia="黑体"/>
          <w:b w:val="0"/>
        </w:rPr>
      </w:pPr>
      <w:bookmarkStart w:id="35" w:name="_Toc15377207"/>
      <w:bookmarkStart w:id="36" w:name="_Toc15396605"/>
      <w:bookmarkStart w:id="37" w:name="_Toc6474"/>
      <w:r>
        <w:rPr>
          <w:rFonts w:hint="eastAsia" w:ascii="黑体" w:eastAsia="黑体"/>
          <w:color w:val="000000"/>
          <w:sz w:val="32"/>
          <w:szCs w:val="32"/>
        </w:rPr>
        <w:t>三、支出决</w:t>
      </w:r>
      <w:r>
        <w:rPr>
          <w:rStyle w:val="17"/>
          <w:rFonts w:hint="eastAsia" w:ascii="黑体" w:eastAsia="黑体"/>
          <w:b w:val="0"/>
        </w:rPr>
        <w:t>算情况说明</w:t>
      </w:r>
      <w:bookmarkEnd w:id="35"/>
      <w:bookmarkEnd w:id="36"/>
      <w:bookmarkEnd w:id="37"/>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年本年总支出</w:t>
      </w:r>
      <w:r>
        <w:rPr>
          <w:rFonts w:ascii="仿宋_GB2312" w:eastAsia="仿宋_GB2312"/>
          <w:sz w:val="32"/>
          <w:szCs w:val="32"/>
        </w:rPr>
        <w:t>2043.17</w:t>
      </w:r>
      <w:r>
        <w:rPr>
          <w:rFonts w:hint="eastAsia" w:ascii="仿宋_GB2312" w:eastAsia="仿宋_GB2312"/>
          <w:sz w:val="32"/>
          <w:szCs w:val="32"/>
        </w:rPr>
        <w:t>万元，其中：基本支出</w:t>
      </w:r>
      <w:r>
        <w:rPr>
          <w:rFonts w:ascii="仿宋_GB2312" w:eastAsia="仿宋_GB2312"/>
          <w:sz w:val="32"/>
          <w:szCs w:val="32"/>
        </w:rPr>
        <w:t>712.15</w:t>
      </w:r>
      <w:r>
        <w:rPr>
          <w:rFonts w:hint="eastAsia" w:ascii="仿宋_GB2312" w:eastAsia="仿宋_GB2312"/>
          <w:sz w:val="32"/>
          <w:szCs w:val="32"/>
        </w:rPr>
        <w:t>万元，占</w:t>
      </w:r>
      <w:r>
        <w:rPr>
          <w:rFonts w:ascii="仿宋_GB2312" w:eastAsia="仿宋_GB2312"/>
          <w:sz w:val="32"/>
          <w:szCs w:val="32"/>
        </w:rPr>
        <w:t>34.88%</w:t>
      </w:r>
      <w:r>
        <w:rPr>
          <w:rFonts w:hint="eastAsia" w:ascii="仿宋_GB2312" w:eastAsia="仿宋_GB2312"/>
          <w:sz w:val="32"/>
          <w:szCs w:val="32"/>
        </w:rPr>
        <w:t>；项目支出</w:t>
      </w:r>
      <w:r>
        <w:rPr>
          <w:rFonts w:ascii="仿宋_GB2312" w:eastAsia="仿宋_GB2312"/>
          <w:sz w:val="32"/>
          <w:szCs w:val="32"/>
        </w:rPr>
        <w:t>1331.02</w:t>
      </w:r>
      <w:r>
        <w:rPr>
          <w:rFonts w:hint="eastAsia" w:ascii="仿宋_GB2312" w:eastAsia="仿宋_GB2312"/>
          <w:sz w:val="32"/>
          <w:szCs w:val="32"/>
        </w:rPr>
        <w:t>万元，占</w:t>
      </w:r>
      <w:r>
        <w:rPr>
          <w:rFonts w:ascii="仿宋_GB2312" w:eastAsia="仿宋_GB2312"/>
          <w:sz w:val="32"/>
          <w:szCs w:val="32"/>
        </w:rPr>
        <w:t>65.12%</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；经营支出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；对附属单位补助支出</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271145</wp:posOffset>
            </wp:positionH>
            <wp:positionV relativeFrom="paragraph">
              <wp:posOffset>-1557655</wp:posOffset>
            </wp:positionV>
            <wp:extent cx="4572000" cy="1838960"/>
            <wp:effectExtent l="4445" t="4445" r="10795" b="1587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ascii="黑体" w:eastAsia="黑体"/>
          <w:color w:val="000000"/>
          <w:sz w:val="32"/>
          <w:szCs w:val="32"/>
        </w:rPr>
      </w:pPr>
      <w:bookmarkStart w:id="38" w:name="_Toc15377208"/>
      <w:bookmarkStart w:id="39" w:name="_Toc15396606"/>
    </w:p>
    <w:p>
      <w:pPr>
        <w:spacing w:line="600" w:lineRule="exact"/>
        <w:ind w:firstLine="640" w:firstLineChars="200"/>
        <w:outlineLvl w:val="1"/>
        <w:rPr>
          <w:rStyle w:val="17"/>
          <w:rFonts w:ascii="黑体" w:eastAsia="黑体"/>
          <w:b w:val="0"/>
        </w:rPr>
      </w:pPr>
      <w:bookmarkStart w:id="40" w:name="_Toc320"/>
      <w:r>
        <w:rPr>
          <w:rFonts w:hint="eastAsia" w:ascii="黑体" w:eastAsia="黑体"/>
          <w:color w:val="000000"/>
          <w:sz w:val="32"/>
          <w:szCs w:val="32"/>
        </w:rPr>
        <w:t>四、财</w:t>
      </w:r>
      <w:r>
        <w:rPr>
          <w:rStyle w:val="17"/>
          <w:rFonts w:hint="eastAsia" w:ascii="黑体" w:eastAsia="黑体"/>
          <w:b w:val="0"/>
        </w:rPr>
        <w:t>政拨款收入支出决算总体情况说明</w:t>
      </w:r>
      <w:bookmarkEnd w:id="38"/>
      <w:bookmarkEnd w:id="39"/>
      <w:bookmarkEnd w:id="40"/>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年财政拨款收入</w:t>
      </w:r>
      <w:r>
        <w:rPr>
          <w:rFonts w:ascii="仿宋_GB2312" w:eastAsia="仿宋_GB2312"/>
          <w:sz w:val="32"/>
          <w:szCs w:val="32"/>
        </w:rPr>
        <w:t>1962.26</w:t>
      </w:r>
      <w:r>
        <w:rPr>
          <w:rFonts w:hint="eastAsia" w:ascii="仿宋_GB2312" w:eastAsia="仿宋_GB2312"/>
          <w:sz w:val="32"/>
          <w:szCs w:val="32"/>
        </w:rPr>
        <w:t>万元。与</w:t>
      </w:r>
      <w:r>
        <w:rPr>
          <w:rFonts w:ascii="仿宋_GB2312" w:eastAsia="仿宋_GB2312"/>
          <w:sz w:val="32"/>
          <w:szCs w:val="32"/>
        </w:rPr>
        <w:t>2020</w:t>
      </w:r>
      <w:r>
        <w:rPr>
          <w:rFonts w:hint="eastAsia" w:ascii="仿宋_GB2312" w:eastAsia="仿宋_GB2312"/>
          <w:sz w:val="32"/>
          <w:szCs w:val="32"/>
        </w:rPr>
        <w:t>年相比，一般公共预算财政拨款收入较上年减少</w:t>
      </w:r>
      <w:r>
        <w:rPr>
          <w:rFonts w:ascii="仿宋_GB2312" w:eastAsia="仿宋_GB2312"/>
          <w:sz w:val="32"/>
          <w:szCs w:val="32"/>
        </w:rPr>
        <w:t>996.55</w:t>
      </w:r>
      <w:r>
        <w:rPr>
          <w:rFonts w:hint="eastAsia" w:ascii="仿宋_GB2312" w:eastAsia="仿宋_GB2312"/>
          <w:sz w:val="32"/>
          <w:szCs w:val="32"/>
        </w:rPr>
        <w:t>万元，减少</w:t>
      </w:r>
      <w:r>
        <w:rPr>
          <w:rFonts w:ascii="仿宋_GB2312" w:eastAsia="仿宋_GB2312"/>
          <w:sz w:val="32"/>
          <w:szCs w:val="32"/>
        </w:rPr>
        <w:t>33.68%</w:t>
      </w:r>
      <w:r>
        <w:rPr>
          <w:rFonts w:hint="eastAsia" w:ascii="仿宋_GB2312" w:eastAsia="仿宋_GB2312"/>
          <w:sz w:val="32"/>
          <w:szCs w:val="32"/>
        </w:rPr>
        <w:t>。减少的主要原因是机构改革当年部门预算安排资金较上年有所减少。</w:t>
      </w:r>
      <w:r>
        <w:rPr>
          <w:rFonts w:ascii="仿宋_GB2312" w:eastAsia="仿宋_GB2312"/>
          <w:sz w:val="32"/>
          <w:szCs w:val="32"/>
        </w:rPr>
        <w:t>2021</w:t>
      </w:r>
      <w:r>
        <w:rPr>
          <w:rFonts w:hint="eastAsia" w:ascii="仿宋_GB2312" w:eastAsia="仿宋_GB2312"/>
          <w:sz w:val="32"/>
          <w:szCs w:val="32"/>
        </w:rPr>
        <w:t>年财政拨款支出</w:t>
      </w:r>
      <w:r>
        <w:rPr>
          <w:rFonts w:ascii="仿宋_GB2312" w:eastAsia="仿宋_GB2312"/>
          <w:sz w:val="32"/>
          <w:szCs w:val="32"/>
        </w:rPr>
        <w:t>2043.17</w:t>
      </w:r>
      <w:r>
        <w:rPr>
          <w:rFonts w:hint="eastAsia" w:ascii="仿宋_GB2312" w:eastAsia="仿宋_GB2312"/>
          <w:sz w:val="32"/>
          <w:szCs w:val="32"/>
        </w:rPr>
        <w:t>万元，较上年支出减少</w:t>
      </w:r>
      <w:r>
        <w:rPr>
          <w:rFonts w:ascii="仿宋_GB2312" w:eastAsia="仿宋_GB2312"/>
          <w:sz w:val="32"/>
          <w:szCs w:val="32"/>
        </w:rPr>
        <w:t>786.52</w:t>
      </w:r>
      <w:r>
        <w:rPr>
          <w:rFonts w:hint="eastAsia" w:ascii="仿宋_GB2312" w:eastAsia="仿宋_GB2312"/>
          <w:sz w:val="32"/>
          <w:szCs w:val="32"/>
        </w:rPr>
        <w:t>万元，减少</w:t>
      </w:r>
      <w:r>
        <w:rPr>
          <w:rFonts w:ascii="仿宋_GB2312" w:eastAsia="仿宋_GB2312"/>
          <w:sz w:val="32"/>
          <w:szCs w:val="32"/>
        </w:rPr>
        <w:t>27.79%</w:t>
      </w:r>
      <w:r>
        <w:rPr>
          <w:rFonts w:hint="eastAsia" w:ascii="仿宋_GB2312" w:eastAsia="仿宋_GB2312"/>
          <w:sz w:val="32"/>
          <w:szCs w:val="32"/>
        </w:rPr>
        <w:t>。减少的主要原因是机构改革当年部门预算安排资金较上年有所减少。</w:t>
      </w:r>
    </w:p>
    <w:p>
      <w:pPr>
        <w:spacing w:line="600" w:lineRule="exact"/>
        <w:ind w:firstLine="420" w:firstLineChars="200"/>
        <w:rPr>
          <w:rFonts w:ascii="黑体" w:eastAsia="黑体"/>
          <w:color w:val="000000"/>
          <w:sz w:val="32"/>
          <w:szCs w:val="32"/>
        </w:rPr>
      </w:pPr>
      <w:bookmarkStart w:id="41" w:name="_Toc15396607"/>
      <w:bookmarkStart w:id="42" w:name="_Toc15377209"/>
      <w:r>
        <w:drawing>
          <wp:anchor distT="0" distB="0" distL="114300" distR="114300" simplePos="0" relativeHeight="251661312" behindDoc="0" locked="0" layoutInCell="1" allowOverlap="1">
            <wp:simplePos x="0" y="0"/>
            <wp:positionH relativeFrom="column">
              <wp:posOffset>418465</wp:posOffset>
            </wp:positionH>
            <wp:positionV relativeFrom="paragraph">
              <wp:posOffset>73660</wp:posOffset>
            </wp:positionV>
            <wp:extent cx="4572000" cy="1628775"/>
            <wp:effectExtent l="4445" t="4445" r="10795" b="12700"/>
            <wp:wrapNone/>
            <wp:docPr id="3" name="图片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ind w:firstLine="640" w:firstLineChars="200"/>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640" w:firstLineChars="200"/>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41"/>
      <w:bookmarkEnd w:id="42"/>
    </w:p>
    <w:p>
      <w:pPr>
        <w:spacing w:line="580" w:lineRule="exact"/>
        <w:ind w:firstLine="642" w:firstLineChars="200"/>
        <w:rPr>
          <w:rFonts w:ascii="楷体_GB2312" w:hAnsi="楷体_GB2312" w:eastAsia="楷体_GB2312" w:cs="楷体_GB2312"/>
          <w:b/>
          <w:bCs/>
          <w:sz w:val="32"/>
          <w:szCs w:val="32"/>
        </w:rPr>
      </w:pPr>
      <w:bookmarkStart w:id="43" w:name="_Toc15377210"/>
      <w:r>
        <w:rPr>
          <w:rFonts w:hint="eastAsia" w:ascii="楷体_GB2312" w:hAnsi="楷体_GB2312" w:eastAsia="楷体_GB2312" w:cs="楷体_GB2312"/>
          <w:b/>
          <w:bCs/>
          <w:sz w:val="32"/>
          <w:szCs w:val="32"/>
        </w:rPr>
        <w:t>（一）一般公共预算财政拨款支出决算总体情况</w:t>
      </w:r>
      <w:bookmarkEnd w:id="43"/>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年总支出</w:t>
      </w:r>
      <w:r>
        <w:rPr>
          <w:rFonts w:ascii="仿宋_GB2312" w:eastAsia="仿宋_GB2312"/>
          <w:sz w:val="32"/>
          <w:szCs w:val="32"/>
        </w:rPr>
        <w:t>2043.17</w:t>
      </w:r>
      <w:r>
        <w:rPr>
          <w:rFonts w:hint="eastAsia" w:ascii="仿宋_GB2312" w:eastAsia="仿宋_GB2312"/>
          <w:sz w:val="32"/>
          <w:szCs w:val="32"/>
        </w:rPr>
        <w:t>万元，较上年支出减少</w:t>
      </w:r>
      <w:r>
        <w:rPr>
          <w:rFonts w:ascii="仿宋_GB2312" w:eastAsia="仿宋_GB2312"/>
          <w:sz w:val="32"/>
          <w:szCs w:val="32"/>
        </w:rPr>
        <w:t>786.52</w:t>
      </w:r>
      <w:r>
        <w:rPr>
          <w:rFonts w:hint="eastAsia" w:ascii="仿宋_GB2312" w:eastAsia="仿宋_GB2312"/>
          <w:sz w:val="32"/>
          <w:szCs w:val="32"/>
        </w:rPr>
        <w:t>万元。主要原因一是当年部门预算安排资金较上年有所减少；二是</w:t>
      </w:r>
      <w:r>
        <w:rPr>
          <w:rFonts w:ascii="仿宋_GB2312" w:eastAsia="仿宋_GB2312"/>
          <w:sz w:val="32"/>
          <w:szCs w:val="32"/>
        </w:rPr>
        <w:t>2021</w:t>
      </w:r>
      <w:r>
        <w:rPr>
          <w:rFonts w:hint="eastAsia" w:ascii="仿宋_GB2312" w:eastAsia="仿宋_GB2312"/>
          <w:sz w:val="32"/>
          <w:szCs w:val="32"/>
        </w:rPr>
        <w:t>年支出包含了上年结转项目。</w:t>
      </w:r>
    </w:p>
    <w:p>
      <w:pPr>
        <w:spacing w:line="620" w:lineRule="exact"/>
        <w:ind w:firstLine="420" w:firstLineChars="200"/>
        <w:rPr>
          <w:rFonts w:ascii="仿宋_GB2312" w:eastAsia="仿宋_GB2312"/>
          <w:sz w:val="32"/>
          <w:szCs w:val="32"/>
        </w:rPr>
      </w:pPr>
      <w:r>
        <w:drawing>
          <wp:anchor distT="0" distB="0" distL="114300" distR="114300" simplePos="0" relativeHeight="251662336" behindDoc="0" locked="0" layoutInCell="1" allowOverlap="1">
            <wp:simplePos x="0" y="0"/>
            <wp:positionH relativeFrom="column">
              <wp:posOffset>427355</wp:posOffset>
            </wp:positionH>
            <wp:positionV relativeFrom="paragraph">
              <wp:posOffset>90805</wp:posOffset>
            </wp:positionV>
            <wp:extent cx="4572000" cy="1768475"/>
            <wp:effectExtent l="4445" t="4445" r="10795" b="1016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20" w:lineRule="exact"/>
        <w:ind w:firstLine="640" w:firstLineChars="200"/>
        <w:rPr>
          <w:rFonts w:ascii="仿宋_GB2312" w:eastAsia="仿宋_GB2312"/>
          <w:sz w:val="32"/>
          <w:szCs w:val="32"/>
        </w:rPr>
      </w:pPr>
    </w:p>
    <w:p>
      <w:pPr>
        <w:spacing w:line="620" w:lineRule="exact"/>
        <w:ind w:firstLine="640" w:firstLineChars="200"/>
        <w:rPr>
          <w:rFonts w:ascii="仿宋_GB2312" w:eastAsia="仿宋_GB2312"/>
          <w:sz w:val="32"/>
          <w:szCs w:val="32"/>
        </w:rPr>
      </w:pPr>
    </w:p>
    <w:p>
      <w:pPr>
        <w:spacing w:line="620" w:lineRule="exact"/>
        <w:ind w:firstLine="640" w:firstLineChars="200"/>
        <w:rPr>
          <w:rFonts w:ascii="仿宋_GB2312" w:eastAsia="仿宋_GB2312"/>
          <w:sz w:val="32"/>
          <w:szCs w:val="32"/>
        </w:rPr>
      </w:pPr>
    </w:p>
    <w:p>
      <w:pPr>
        <w:spacing w:line="580" w:lineRule="exact"/>
        <w:ind w:firstLine="642" w:firstLineChars="200"/>
        <w:rPr>
          <w:rFonts w:hint="eastAsia" w:ascii="楷体_GB2312" w:hAnsi="楷体_GB2312" w:eastAsia="楷体_GB2312" w:cs="楷体_GB2312"/>
          <w:b/>
          <w:bCs/>
          <w:sz w:val="32"/>
          <w:szCs w:val="32"/>
        </w:rPr>
      </w:pPr>
      <w:bookmarkStart w:id="44" w:name="_Toc15377211"/>
    </w:p>
    <w:p>
      <w:pPr>
        <w:spacing w:line="58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（二）一般公共预算财政拨款支出决算结构情况</w:t>
      </w:r>
      <w:bookmarkEnd w:id="44"/>
    </w:p>
    <w:p>
      <w:pPr>
        <w:spacing w:line="62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年一般公共预算财政拨款支出</w:t>
      </w:r>
      <w:r>
        <w:rPr>
          <w:rFonts w:ascii="仿宋_GB2312" w:eastAsia="仿宋_GB2312"/>
          <w:sz w:val="32"/>
          <w:szCs w:val="32"/>
        </w:rPr>
        <w:t>2043.17</w:t>
      </w:r>
      <w:r>
        <w:rPr>
          <w:rFonts w:hint="eastAsia" w:ascii="仿宋_GB2312" w:eastAsia="仿宋_GB2312"/>
          <w:sz w:val="32"/>
          <w:szCs w:val="32"/>
        </w:rPr>
        <w:t>万元，主要用于以下方面：</w:t>
      </w:r>
      <w:r>
        <w:rPr>
          <w:rFonts w:hint="eastAsia" w:ascii="仿宋_GB2312" w:eastAsia="仿宋_GB2312"/>
          <w:b/>
          <w:bCs/>
          <w:sz w:val="32"/>
          <w:szCs w:val="32"/>
        </w:rPr>
        <w:t>教育支出（类）</w:t>
      </w:r>
      <w:r>
        <w:rPr>
          <w:rFonts w:hint="eastAsia" w:ascii="仿宋_GB2312" w:eastAsia="仿宋_GB2312"/>
          <w:sz w:val="32"/>
          <w:szCs w:val="32"/>
        </w:rPr>
        <w:t>支出</w:t>
      </w:r>
      <w:r>
        <w:rPr>
          <w:rFonts w:ascii="仿宋_GB2312" w:eastAsia="仿宋_GB2312"/>
          <w:sz w:val="32"/>
          <w:szCs w:val="32"/>
        </w:rPr>
        <w:t>0.5</w:t>
      </w:r>
      <w:r>
        <w:rPr>
          <w:rFonts w:hint="eastAsia" w:ascii="仿宋_GB2312" w:eastAsia="仿宋_GB2312"/>
          <w:sz w:val="32"/>
          <w:szCs w:val="32"/>
        </w:rPr>
        <w:t>万元，占</w:t>
      </w:r>
      <w:r>
        <w:rPr>
          <w:rFonts w:ascii="仿宋_GB2312" w:eastAsia="仿宋_GB2312"/>
          <w:sz w:val="32"/>
          <w:szCs w:val="32"/>
        </w:rPr>
        <w:t>0.03%</w:t>
      </w:r>
      <w:r>
        <w:rPr>
          <w:rFonts w:hint="eastAsia" w:ascii="仿宋_GB2312" w:eastAsia="仿宋_GB2312"/>
          <w:sz w:val="32"/>
          <w:szCs w:val="32"/>
        </w:rPr>
        <w:t>；</w:t>
      </w:r>
      <w:r>
        <w:rPr>
          <w:rFonts w:hint="eastAsia" w:ascii="仿宋_GB2312" w:eastAsia="仿宋_GB2312"/>
          <w:b/>
          <w:bCs/>
          <w:sz w:val="32"/>
          <w:szCs w:val="32"/>
        </w:rPr>
        <w:t>农林水支出（类）</w:t>
      </w:r>
      <w:r>
        <w:rPr>
          <w:rFonts w:hint="eastAsia" w:ascii="仿宋_GB2312" w:eastAsia="仿宋_GB2312"/>
          <w:sz w:val="32"/>
          <w:szCs w:val="32"/>
        </w:rPr>
        <w:t>支出</w:t>
      </w:r>
      <w:r>
        <w:rPr>
          <w:rFonts w:ascii="仿宋_GB2312" w:eastAsia="仿宋_GB2312"/>
          <w:sz w:val="32"/>
          <w:szCs w:val="32"/>
        </w:rPr>
        <w:t>1833.1</w:t>
      </w:r>
      <w:r>
        <w:rPr>
          <w:rFonts w:hint="eastAsia" w:ascii="仿宋_GB2312" w:eastAsia="仿宋_GB2312"/>
          <w:sz w:val="32"/>
          <w:szCs w:val="32"/>
          <w:lang w:val="en-US" w:eastAsia="zh-CN"/>
        </w:rPr>
        <w:t>2</w:t>
      </w:r>
      <w:r>
        <w:rPr>
          <w:rFonts w:hint="eastAsia" w:ascii="仿宋_GB2312" w:eastAsia="仿宋_GB2312"/>
          <w:sz w:val="32"/>
          <w:szCs w:val="32"/>
        </w:rPr>
        <w:t>万元，占</w:t>
      </w:r>
      <w:r>
        <w:rPr>
          <w:rFonts w:ascii="仿宋_GB2312" w:eastAsia="仿宋_GB2312"/>
          <w:sz w:val="32"/>
          <w:szCs w:val="32"/>
        </w:rPr>
        <w:t>89.72%</w:t>
      </w:r>
      <w:r>
        <w:rPr>
          <w:rFonts w:hint="eastAsia" w:ascii="仿宋_GB2312" w:eastAsia="仿宋_GB2312"/>
          <w:sz w:val="32"/>
          <w:szCs w:val="32"/>
        </w:rPr>
        <w:t>；</w:t>
      </w:r>
      <w:r>
        <w:rPr>
          <w:rFonts w:hint="eastAsia" w:ascii="仿宋_GB2312" w:eastAsia="仿宋_GB2312"/>
          <w:b/>
          <w:bCs/>
          <w:sz w:val="32"/>
          <w:szCs w:val="32"/>
        </w:rPr>
        <w:t>社会保障和就业（类）</w:t>
      </w:r>
      <w:r>
        <w:rPr>
          <w:rFonts w:hint="eastAsia" w:ascii="仿宋_GB2312" w:eastAsia="仿宋_GB2312"/>
          <w:sz w:val="32"/>
          <w:szCs w:val="32"/>
        </w:rPr>
        <w:t>支出</w:t>
      </w:r>
      <w:r>
        <w:rPr>
          <w:rFonts w:ascii="仿宋_GB2312" w:eastAsia="仿宋_GB2312"/>
          <w:sz w:val="32"/>
          <w:szCs w:val="32"/>
        </w:rPr>
        <w:t>69.32</w:t>
      </w:r>
      <w:r>
        <w:rPr>
          <w:rFonts w:hint="eastAsia" w:ascii="仿宋_GB2312" w:eastAsia="仿宋_GB2312"/>
          <w:sz w:val="32"/>
          <w:szCs w:val="32"/>
        </w:rPr>
        <w:t>万元，占</w:t>
      </w:r>
      <w:r>
        <w:rPr>
          <w:rFonts w:ascii="仿宋_GB2312" w:eastAsia="仿宋_GB2312"/>
          <w:sz w:val="32"/>
          <w:szCs w:val="32"/>
        </w:rPr>
        <w:t>3.4%</w:t>
      </w:r>
      <w:r>
        <w:rPr>
          <w:rFonts w:hint="eastAsia" w:ascii="仿宋_GB2312" w:eastAsia="仿宋_GB2312"/>
          <w:sz w:val="32"/>
          <w:szCs w:val="32"/>
        </w:rPr>
        <w:t>；</w:t>
      </w:r>
      <w:r>
        <w:rPr>
          <w:rFonts w:hint="eastAsia" w:ascii="仿宋_GB2312" w:eastAsia="仿宋_GB2312"/>
          <w:b/>
          <w:bCs/>
          <w:sz w:val="32"/>
          <w:szCs w:val="32"/>
        </w:rPr>
        <w:t>卫生健康支出</w:t>
      </w:r>
      <w:r>
        <w:rPr>
          <w:rFonts w:ascii="仿宋_GB2312" w:eastAsia="仿宋_GB2312"/>
          <w:sz w:val="32"/>
          <w:szCs w:val="32"/>
        </w:rPr>
        <w:t>94.44</w:t>
      </w:r>
      <w:r>
        <w:rPr>
          <w:rFonts w:hint="eastAsia" w:ascii="仿宋_GB2312" w:eastAsia="仿宋_GB2312"/>
          <w:sz w:val="32"/>
          <w:szCs w:val="32"/>
        </w:rPr>
        <w:t>万元，占</w:t>
      </w:r>
      <w:r>
        <w:rPr>
          <w:rFonts w:ascii="仿宋_GB2312" w:eastAsia="仿宋_GB2312"/>
          <w:sz w:val="32"/>
          <w:szCs w:val="32"/>
        </w:rPr>
        <w:t>4.6%</w:t>
      </w:r>
      <w:r>
        <w:rPr>
          <w:rFonts w:hint="eastAsia" w:ascii="仿宋_GB2312" w:eastAsia="仿宋_GB2312"/>
          <w:sz w:val="32"/>
          <w:szCs w:val="32"/>
        </w:rPr>
        <w:t>；</w:t>
      </w:r>
      <w:r>
        <w:rPr>
          <w:rFonts w:hint="eastAsia" w:ascii="仿宋_GB2312" w:eastAsia="仿宋_GB2312"/>
          <w:b/>
          <w:bCs/>
          <w:sz w:val="32"/>
          <w:szCs w:val="32"/>
        </w:rPr>
        <w:t>住房保障支出</w:t>
      </w:r>
      <w:r>
        <w:rPr>
          <w:rFonts w:ascii="仿宋_GB2312" w:eastAsia="仿宋_GB2312"/>
          <w:sz w:val="32"/>
          <w:szCs w:val="32"/>
        </w:rPr>
        <w:t>45.77</w:t>
      </w:r>
      <w:r>
        <w:rPr>
          <w:rFonts w:hint="eastAsia" w:ascii="仿宋_GB2312" w:eastAsia="仿宋_GB2312"/>
          <w:sz w:val="32"/>
          <w:szCs w:val="32"/>
        </w:rPr>
        <w:t>万元，占</w:t>
      </w:r>
      <w:r>
        <w:rPr>
          <w:rFonts w:ascii="仿宋_GB2312" w:eastAsia="仿宋_GB2312"/>
          <w:sz w:val="32"/>
          <w:szCs w:val="32"/>
        </w:rPr>
        <w:t>2.25%</w:t>
      </w:r>
      <w:r>
        <w:rPr>
          <w:rFonts w:hint="eastAsia" w:ascii="仿宋_GB2312" w:eastAsia="仿宋_GB2312"/>
          <w:sz w:val="32"/>
          <w:szCs w:val="32"/>
        </w:rPr>
        <w:t>。</w:t>
      </w:r>
    </w:p>
    <w:p>
      <w:pPr>
        <w:spacing w:line="600" w:lineRule="exact"/>
        <w:ind w:firstLine="5460" w:firstLineChars="2600"/>
        <w:outlineLvl w:val="2"/>
        <w:rPr>
          <w:rFonts w:ascii="仿宋" w:eastAsia="仿宋"/>
          <w:b/>
          <w:color w:val="000000"/>
          <w:sz w:val="32"/>
          <w:szCs w:val="32"/>
        </w:rPr>
      </w:pPr>
      <w:bookmarkStart w:id="45" w:name="_Toc15378460"/>
      <w:bookmarkStart w:id="46" w:name="_Toc15377213"/>
      <w:bookmarkStart w:id="47" w:name="_Toc15377444"/>
      <w:r>
        <w:drawing>
          <wp:anchor distT="0" distB="0" distL="114300" distR="114300" simplePos="0" relativeHeight="251663360" behindDoc="0" locked="0" layoutInCell="1" allowOverlap="1">
            <wp:simplePos x="0" y="0"/>
            <wp:positionH relativeFrom="column">
              <wp:posOffset>518795</wp:posOffset>
            </wp:positionH>
            <wp:positionV relativeFrom="paragraph">
              <wp:posOffset>115570</wp:posOffset>
            </wp:positionV>
            <wp:extent cx="4572000" cy="1828800"/>
            <wp:effectExtent l="4445" t="4445" r="10795" b="10795"/>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tabs>
          <w:tab w:val="left" w:pos="533"/>
        </w:tabs>
        <w:spacing w:line="600" w:lineRule="exact"/>
        <w:outlineLvl w:val="2"/>
        <w:rPr>
          <w:rFonts w:ascii="仿宋" w:eastAsia="仿宋"/>
          <w:b/>
          <w:color w:val="000000"/>
          <w:sz w:val="32"/>
          <w:szCs w:val="32"/>
        </w:rPr>
      </w:pPr>
    </w:p>
    <w:p>
      <w:pPr>
        <w:spacing w:line="600" w:lineRule="exact"/>
        <w:ind w:firstLine="8352" w:firstLineChars="2600"/>
        <w:outlineLvl w:val="2"/>
        <w:rPr>
          <w:rFonts w:ascii="仿宋" w:eastAsia="仿宋"/>
          <w:b/>
          <w:color w:val="000000"/>
          <w:sz w:val="32"/>
          <w:szCs w:val="32"/>
        </w:rPr>
      </w:pPr>
    </w:p>
    <w:p>
      <w:pPr>
        <w:spacing w:line="600" w:lineRule="exact"/>
        <w:ind w:firstLine="8352" w:firstLineChars="2600"/>
        <w:outlineLvl w:val="2"/>
        <w:rPr>
          <w:rFonts w:ascii="仿宋" w:eastAsia="仿宋"/>
          <w:b/>
          <w:color w:val="000000"/>
          <w:sz w:val="32"/>
          <w:szCs w:val="32"/>
        </w:rPr>
      </w:pPr>
    </w:p>
    <w:p>
      <w:pPr>
        <w:spacing w:line="600" w:lineRule="exact"/>
        <w:ind w:firstLine="8352" w:firstLineChars="2600"/>
        <w:outlineLvl w:val="2"/>
        <w:rPr>
          <w:rFonts w:ascii="仿宋" w:eastAsia="仿宋"/>
          <w:b/>
          <w:color w:val="000000"/>
          <w:sz w:val="32"/>
          <w:szCs w:val="32"/>
        </w:rPr>
      </w:pPr>
    </w:p>
    <w:p>
      <w:pPr>
        <w:spacing w:line="600" w:lineRule="exact"/>
        <w:ind w:firstLine="8352" w:firstLineChars="2600"/>
        <w:outlineLvl w:val="2"/>
        <w:rPr>
          <w:rFonts w:ascii="仿宋" w:eastAsia="仿宋"/>
          <w:b/>
          <w:color w:val="000000"/>
          <w:sz w:val="32"/>
          <w:szCs w:val="32"/>
        </w:rPr>
      </w:pPr>
    </w:p>
    <w:p>
      <w:pPr>
        <w:spacing w:line="580" w:lineRule="exact"/>
        <w:ind w:firstLine="642" w:firstLineChars="200"/>
        <w:rPr>
          <w:rFonts w:ascii="楷体_GB2312" w:hAnsi="楷体_GB2312" w:eastAsia="楷体_GB2312" w:cs="楷体_GB2312"/>
          <w:b/>
          <w:bCs/>
          <w:sz w:val="32"/>
          <w:szCs w:val="32"/>
        </w:rPr>
      </w:pPr>
      <w:bookmarkStart w:id="48" w:name="_Toc15377212"/>
      <w:r>
        <w:rPr>
          <w:rFonts w:hint="eastAsia" w:ascii="楷体_GB2312" w:hAnsi="楷体_GB2312" w:eastAsia="楷体_GB2312" w:cs="楷体_GB2312"/>
          <w:b/>
          <w:bCs/>
          <w:sz w:val="32"/>
          <w:szCs w:val="32"/>
        </w:rPr>
        <w:t>（三）一般公共预算财政拨款支出决算具体情况</w:t>
      </w:r>
      <w:bookmarkEnd w:id="48"/>
    </w:p>
    <w:p>
      <w:pPr>
        <w:spacing w:line="600" w:lineRule="exact"/>
        <w:outlineLvl w:val="2"/>
        <w:rPr>
          <w:rFonts w:ascii="仿宋" w:eastAsia="仿宋"/>
          <w:bCs/>
          <w:color w:val="000000"/>
          <w:sz w:val="32"/>
          <w:szCs w:val="32"/>
        </w:rPr>
      </w:pPr>
      <w:r>
        <w:rPr>
          <w:rFonts w:ascii="仿宋" w:eastAsia="仿宋"/>
          <w:bCs/>
          <w:color w:val="000000"/>
          <w:sz w:val="32"/>
          <w:szCs w:val="32"/>
        </w:rPr>
        <w:t xml:space="preserve">    </w:t>
      </w:r>
      <w:bookmarkStart w:id="49" w:name="_Toc21545"/>
      <w:r>
        <w:rPr>
          <w:rFonts w:ascii="仿宋" w:eastAsia="仿宋"/>
          <w:bCs/>
          <w:color w:val="000000"/>
          <w:sz w:val="32"/>
          <w:szCs w:val="32"/>
        </w:rPr>
        <w:t>2021</w:t>
      </w:r>
      <w:r>
        <w:rPr>
          <w:rFonts w:hint="eastAsia" w:ascii="仿宋" w:eastAsia="仿宋"/>
          <w:bCs/>
          <w:color w:val="000000"/>
          <w:sz w:val="32"/>
          <w:szCs w:val="32"/>
        </w:rPr>
        <w:t>年一般公共预算数为</w:t>
      </w:r>
      <w:r>
        <w:rPr>
          <w:rFonts w:ascii="仿宋_GB2312" w:eastAsia="仿宋_GB2312"/>
          <w:color w:val="000000"/>
          <w:sz w:val="32"/>
          <w:szCs w:val="32"/>
        </w:rPr>
        <w:t>1962.26</w:t>
      </w:r>
      <w:r>
        <w:rPr>
          <w:rFonts w:hint="eastAsia" w:ascii="仿宋" w:eastAsia="仿宋"/>
          <w:bCs/>
          <w:color w:val="000000"/>
          <w:sz w:val="32"/>
          <w:szCs w:val="32"/>
        </w:rPr>
        <w:t>万元，财政应返还额度为</w:t>
      </w:r>
      <w:r>
        <w:rPr>
          <w:rFonts w:ascii="仿宋" w:eastAsia="仿宋"/>
          <w:bCs/>
          <w:color w:val="000000"/>
          <w:sz w:val="32"/>
          <w:szCs w:val="32"/>
        </w:rPr>
        <w:t>80.91</w:t>
      </w:r>
      <w:r>
        <w:rPr>
          <w:rFonts w:hint="eastAsia" w:ascii="仿宋" w:eastAsia="仿宋"/>
          <w:bCs/>
          <w:color w:val="000000"/>
          <w:sz w:val="32"/>
          <w:szCs w:val="32"/>
        </w:rPr>
        <w:t>万元，支出决算数为</w:t>
      </w:r>
      <w:r>
        <w:rPr>
          <w:rFonts w:ascii="仿宋_GB2312" w:eastAsia="仿宋_GB2312"/>
          <w:color w:val="000000"/>
          <w:sz w:val="32"/>
          <w:szCs w:val="32"/>
        </w:rPr>
        <w:t>2043.17</w:t>
      </w:r>
      <w:r>
        <w:rPr>
          <w:rFonts w:hint="eastAsia" w:ascii="仿宋" w:eastAsia="仿宋"/>
          <w:bCs/>
          <w:color w:val="000000"/>
          <w:sz w:val="32"/>
          <w:szCs w:val="32"/>
        </w:rPr>
        <w:t>万元，完</w:t>
      </w:r>
      <w:r>
        <w:rPr>
          <w:rStyle w:val="14"/>
          <w:rFonts w:hint="eastAsia" w:ascii="仿宋" w:eastAsia="仿宋"/>
          <w:b w:val="0"/>
          <w:bCs/>
          <w:color w:val="000000"/>
          <w:sz w:val="32"/>
          <w:szCs w:val="32"/>
        </w:rPr>
        <w:t>成预算</w:t>
      </w:r>
      <w:r>
        <w:rPr>
          <w:rStyle w:val="14"/>
          <w:rFonts w:ascii="仿宋" w:eastAsia="仿宋"/>
          <w:b w:val="0"/>
          <w:bCs/>
          <w:color w:val="000000"/>
          <w:sz w:val="32"/>
          <w:szCs w:val="32"/>
        </w:rPr>
        <w:t>100%</w:t>
      </w:r>
      <w:r>
        <w:rPr>
          <w:rStyle w:val="14"/>
          <w:rFonts w:hint="eastAsia" w:ascii="仿宋" w:eastAsia="仿宋"/>
          <w:b w:val="0"/>
          <w:bCs/>
          <w:color w:val="000000"/>
          <w:sz w:val="32"/>
          <w:szCs w:val="32"/>
        </w:rPr>
        <w:t>。结转下年</w:t>
      </w:r>
      <w:r>
        <w:rPr>
          <w:rStyle w:val="14"/>
          <w:rFonts w:ascii="仿宋" w:eastAsia="仿宋"/>
          <w:b w:val="0"/>
          <w:bCs/>
          <w:color w:val="000000"/>
          <w:sz w:val="32"/>
          <w:szCs w:val="32"/>
        </w:rPr>
        <w:t>0</w:t>
      </w:r>
      <w:r>
        <w:rPr>
          <w:rStyle w:val="14"/>
          <w:rFonts w:hint="eastAsia" w:ascii="仿宋" w:eastAsia="仿宋"/>
          <w:b w:val="0"/>
          <w:bCs/>
          <w:color w:val="000000"/>
          <w:sz w:val="32"/>
          <w:szCs w:val="32"/>
        </w:rPr>
        <w:t>万元。其中：</w:t>
      </w:r>
      <w:bookmarkEnd w:id="45"/>
      <w:bookmarkEnd w:id="46"/>
      <w:bookmarkEnd w:id="47"/>
      <w:bookmarkEnd w:id="49"/>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农林水支出（类）农业农村（款）事业运行（项）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565.44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农林水支出（类）农业农村（款）病虫害控制（项）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61.87</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 xml:space="preserve"> 3. </w:t>
      </w:r>
      <w:r>
        <w:rPr>
          <w:rFonts w:hint="eastAsia" w:ascii="仿宋_GB2312" w:eastAsia="仿宋_GB2312"/>
          <w:color w:val="000000"/>
          <w:sz w:val="32"/>
          <w:szCs w:val="32"/>
        </w:rPr>
        <w:t>社会保障和就业（类）行政事业单位离退休（款）机关事业单位基本养老保险缴费支出（项）</w:t>
      </w:r>
      <w:r>
        <w:rPr>
          <w:rFonts w:hint="eastAsia" w:ascii="仿宋_GB2312" w:eastAsia="仿宋_GB2312"/>
          <w:color w:val="000000"/>
          <w:sz w:val="32"/>
          <w:szCs w:val="32"/>
          <w:lang w:eastAsia="zh-CN"/>
        </w:rPr>
        <w:t>：</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46.22</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社会保障和就业（类）行政事业单位离退休（款）机关事业单位基本职业年金缴费支出（项）：支出决算为</w:t>
      </w:r>
      <w:r>
        <w:rPr>
          <w:rFonts w:ascii="仿宋_GB2312" w:eastAsia="仿宋_GB2312"/>
          <w:color w:val="000000"/>
          <w:sz w:val="32"/>
          <w:szCs w:val="32"/>
        </w:rPr>
        <w:t>23.11</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卫生健康支出（类）行政事业单位医疗（款）行政单位医疗（项）：支出决算为</w:t>
      </w:r>
      <w:r>
        <w:rPr>
          <w:rFonts w:ascii="仿宋_GB2312" w:eastAsia="仿宋_GB2312"/>
          <w:color w:val="000000"/>
          <w:sz w:val="32"/>
          <w:szCs w:val="32"/>
        </w:rPr>
        <w:t>20.4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6.</w:t>
      </w:r>
      <w:r>
        <w:rPr>
          <w:rFonts w:hint="eastAsia" w:ascii="仿宋_GB2312" w:eastAsia="仿宋_GB2312"/>
          <w:color w:val="000000"/>
          <w:sz w:val="32"/>
          <w:szCs w:val="32"/>
        </w:rPr>
        <w:t>卫生健康支出（类）行政事业单位医疗（款）其他行政事业单位医疗支出（项）：支出决算为</w:t>
      </w:r>
      <w:r>
        <w:rPr>
          <w:rFonts w:ascii="仿宋_GB2312" w:eastAsia="仿宋_GB2312"/>
          <w:color w:val="000000"/>
          <w:sz w:val="32"/>
          <w:szCs w:val="32"/>
        </w:rPr>
        <w:t>11.21</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bookmarkStart w:id="50" w:name="_Toc15396608"/>
      <w:bookmarkStart w:id="51" w:name="_Toc15377214"/>
      <w:r>
        <w:rPr>
          <w:rFonts w:ascii="仿宋_GB2312" w:eastAsia="仿宋_GB2312"/>
          <w:color w:val="000000"/>
          <w:sz w:val="32"/>
          <w:szCs w:val="32"/>
        </w:rPr>
        <w:t>7.</w:t>
      </w:r>
      <w:r>
        <w:rPr>
          <w:rFonts w:hint="eastAsia" w:ascii="仿宋_GB2312" w:eastAsia="仿宋_GB2312"/>
          <w:color w:val="000000"/>
          <w:sz w:val="32"/>
          <w:szCs w:val="32"/>
        </w:rPr>
        <w:t>住房保障（类）住房改革支出（款）住房公积金（项）：支出决算为</w:t>
      </w:r>
      <w:r>
        <w:rPr>
          <w:rFonts w:ascii="仿宋_GB2312" w:eastAsia="仿宋_GB2312"/>
          <w:color w:val="000000"/>
          <w:sz w:val="32"/>
          <w:szCs w:val="32"/>
        </w:rPr>
        <w:t>45.77</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ind w:firstLine="645"/>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农林水支出（类）农业农村（款）农业生产发展（项）：支出决算为</w:t>
      </w:r>
      <w:r>
        <w:rPr>
          <w:rFonts w:ascii="仿宋_GB2312" w:eastAsia="仿宋_GB2312"/>
          <w:color w:val="000000"/>
          <w:sz w:val="32"/>
          <w:szCs w:val="32"/>
        </w:rPr>
        <w:t>51.03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农林水支出（类）农业农村（款）农业资源保护修复与利用（项）：支出决算为</w:t>
      </w:r>
      <w:r>
        <w:rPr>
          <w:rFonts w:ascii="仿宋_GB2312" w:eastAsia="仿宋_GB2312"/>
          <w:color w:val="000000"/>
          <w:sz w:val="32"/>
          <w:szCs w:val="32"/>
        </w:rPr>
        <w:t>1028.13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农林水支出（类）农业农村（款）其他农业农村支出（项）：支出决算为</w:t>
      </w:r>
      <w:r>
        <w:rPr>
          <w:rFonts w:ascii="仿宋_GB2312" w:eastAsia="仿宋_GB2312"/>
          <w:color w:val="000000"/>
          <w:sz w:val="32"/>
          <w:szCs w:val="32"/>
        </w:rPr>
        <w:t>88.37</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农林水支出（类）普惠金融发展支出（款）农业保险保费补贴（项）：支出决算为</w:t>
      </w:r>
      <w:r>
        <w:rPr>
          <w:rFonts w:ascii="仿宋_GB2312" w:eastAsia="仿宋_GB2312"/>
          <w:color w:val="000000"/>
          <w:sz w:val="32"/>
          <w:szCs w:val="32"/>
        </w:rPr>
        <w:t>38.29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教育支出（类）进修及培训（款）培训支出（项）：支出决算为</w:t>
      </w:r>
      <w:r>
        <w:rPr>
          <w:rFonts w:ascii="仿宋_GB2312" w:eastAsia="仿宋_GB2312"/>
          <w:color w:val="000000"/>
          <w:sz w:val="32"/>
          <w:szCs w:val="32"/>
        </w:rPr>
        <w:t>0.5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卫生健康支出（类）公共卫生（款）重大公共卫生服务（项）：支出决算为</w:t>
      </w:r>
      <w:r>
        <w:rPr>
          <w:rFonts w:ascii="仿宋_GB2312" w:eastAsia="仿宋_GB2312"/>
          <w:color w:val="000000"/>
          <w:sz w:val="32"/>
          <w:szCs w:val="32"/>
        </w:rPr>
        <w:t>62.83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，决算数等于预算数。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50"/>
      <w:bookmarkEnd w:id="51"/>
      <w:r>
        <w:rPr>
          <w:rStyle w:val="17"/>
          <w:rFonts w:ascii="黑体" w:eastAsia="黑体"/>
          <w:b w:val="0"/>
        </w:rPr>
        <w:tab/>
      </w:r>
    </w:p>
    <w:p>
      <w:pPr>
        <w:spacing w:line="536" w:lineRule="exact"/>
        <w:ind w:firstLine="645"/>
        <w:rPr>
          <w:rFonts w:ascii="仿宋_GB2312" w:eastAsia="仿宋_GB2312"/>
          <w:color w:val="000000"/>
          <w:sz w:val="32"/>
          <w:szCs w:val="32"/>
        </w:rPr>
      </w:pPr>
      <w:bookmarkStart w:id="52" w:name="_Toc15377215"/>
      <w:bookmarkStart w:id="53" w:name="_Toc15396609"/>
      <w:r>
        <w:rPr>
          <w:rFonts w:ascii="仿宋_GB2312" w:eastAsia="仿宋_GB2312"/>
          <w:color w:val="000000"/>
          <w:sz w:val="32"/>
          <w:szCs w:val="32"/>
        </w:rPr>
        <w:t>2021</w:t>
      </w:r>
      <w:r>
        <w:rPr>
          <w:rFonts w:hint="eastAsia" w:ascii="仿宋_GB2312" w:eastAsia="仿宋_GB2312"/>
          <w:color w:val="000000"/>
          <w:sz w:val="32"/>
          <w:szCs w:val="32"/>
        </w:rPr>
        <w:t>年度一般公共预算财政拨款基本支出</w:t>
      </w:r>
      <w:r>
        <w:rPr>
          <w:rFonts w:ascii="仿宋_GB2312" w:eastAsia="仿宋_GB2312"/>
          <w:color w:val="000000"/>
          <w:sz w:val="32"/>
          <w:szCs w:val="32"/>
        </w:rPr>
        <w:t>712.</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万元，其中：</w:t>
      </w:r>
    </w:p>
    <w:p>
      <w:pPr>
        <w:spacing w:line="536" w:lineRule="exact"/>
        <w:ind w:firstLine="645"/>
        <w:rPr>
          <w:rFonts w:ascii="仿宋_GB2312" w:eastAsia="仿宋_GB2312"/>
          <w:color w:val="000000"/>
          <w:sz w:val="32"/>
          <w:szCs w:val="32"/>
        </w:rPr>
      </w:pPr>
      <w:r>
        <w:rPr>
          <w:rFonts w:hint="eastAsia" w:ascii="仿宋_GB2312" w:eastAsia="仿宋_GB2312"/>
          <w:color w:val="000000"/>
          <w:sz w:val="32"/>
          <w:szCs w:val="32"/>
        </w:rPr>
        <w:t>人员经费</w:t>
      </w:r>
      <w:r>
        <w:rPr>
          <w:rFonts w:ascii="仿宋_GB2312" w:eastAsia="仿宋_GB2312"/>
          <w:color w:val="000000"/>
          <w:sz w:val="32"/>
          <w:szCs w:val="32"/>
        </w:rPr>
        <w:t>680.</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万元，主要包括：基本工资</w:t>
      </w:r>
      <w:r>
        <w:rPr>
          <w:rFonts w:ascii="仿宋_GB2312" w:eastAsia="仿宋_GB2312"/>
          <w:color w:val="000000"/>
          <w:sz w:val="32"/>
          <w:szCs w:val="32"/>
        </w:rPr>
        <w:t>123.76</w:t>
      </w:r>
      <w:r>
        <w:rPr>
          <w:rFonts w:hint="eastAsia" w:ascii="仿宋_GB2312" w:eastAsia="仿宋_GB2312"/>
          <w:color w:val="000000"/>
          <w:sz w:val="32"/>
          <w:szCs w:val="32"/>
        </w:rPr>
        <w:t>万元、津贴补贴</w:t>
      </w:r>
      <w:r>
        <w:rPr>
          <w:rFonts w:ascii="仿宋_GB2312" w:eastAsia="仿宋_GB2312"/>
          <w:color w:val="000000"/>
          <w:sz w:val="32"/>
          <w:szCs w:val="32"/>
        </w:rPr>
        <w:t>85.41</w:t>
      </w:r>
      <w:r>
        <w:rPr>
          <w:rFonts w:hint="eastAsia" w:ascii="仿宋_GB2312" w:eastAsia="仿宋_GB2312"/>
          <w:color w:val="000000"/>
          <w:sz w:val="32"/>
          <w:szCs w:val="32"/>
        </w:rPr>
        <w:t>万元、奖金</w:t>
      </w:r>
      <w:r>
        <w:rPr>
          <w:rFonts w:ascii="仿宋_GB2312" w:eastAsia="仿宋_GB2312"/>
          <w:color w:val="000000"/>
          <w:sz w:val="32"/>
          <w:szCs w:val="32"/>
        </w:rPr>
        <w:t>10.64</w:t>
      </w:r>
      <w:r>
        <w:rPr>
          <w:rFonts w:hint="eastAsia" w:ascii="仿宋_GB2312" w:eastAsia="仿宋_GB2312"/>
          <w:color w:val="000000"/>
          <w:sz w:val="32"/>
          <w:szCs w:val="32"/>
        </w:rPr>
        <w:t>万元、绩效工资</w:t>
      </w:r>
      <w:r>
        <w:rPr>
          <w:rFonts w:ascii="仿宋_GB2312" w:eastAsia="仿宋_GB2312"/>
          <w:color w:val="000000"/>
          <w:sz w:val="32"/>
          <w:szCs w:val="32"/>
        </w:rPr>
        <w:t>76.27</w:t>
      </w:r>
      <w:r>
        <w:rPr>
          <w:rFonts w:hint="eastAsia" w:ascii="仿宋_GB2312" w:eastAsia="仿宋_GB2312"/>
          <w:color w:val="000000"/>
          <w:sz w:val="32"/>
          <w:szCs w:val="32"/>
        </w:rPr>
        <w:t>万元、机关事业单位基本养老保险缴费</w:t>
      </w:r>
      <w:r>
        <w:rPr>
          <w:rFonts w:ascii="仿宋_GB2312" w:eastAsia="仿宋_GB2312"/>
          <w:color w:val="000000"/>
          <w:sz w:val="32"/>
          <w:szCs w:val="32"/>
        </w:rPr>
        <w:t>46.22</w:t>
      </w:r>
      <w:r>
        <w:rPr>
          <w:rFonts w:hint="eastAsia" w:ascii="仿宋_GB2312" w:eastAsia="仿宋_GB2312"/>
          <w:color w:val="000000"/>
          <w:sz w:val="32"/>
          <w:szCs w:val="32"/>
        </w:rPr>
        <w:t>万元、职业年金缴费</w:t>
      </w:r>
      <w:r>
        <w:rPr>
          <w:rFonts w:ascii="仿宋_GB2312" w:eastAsia="仿宋_GB2312"/>
          <w:color w:val="000000"/>
          <w:sz w:val="32"/>
          <w:szCs w:val="32"/>
        </w:rPr>
        <w:t>23.11</w:t>
      </w:r>
      <w:r>
        <w:rPr>
          <w:rFonts w:hint="eastAsia" w:ascii="仿宋_GB2312" w:eastAsia="仿宋_GB2312"/>
          <w:color w:val="000000"/>
          <w:sz w:val="32"/>
          <w:szCs w:val="32"/>
        </w:rPr>
        <w:t>万元、职工医疗</w:t>
      </w:r>
      <w:r>
        <w:rPr>
          <w:rFonts w:ascii="仿宋_GB2312" w:eastAsia="仿宋_GB2312"/>
          <w:color w:val="000000"/>
          <w:sz w:val="32"/>
          <w:szCs w:val="32"/>
        </w:rPr>
        <w:t>20.4</w:t>
      </w:r>
      <w:r>
        <w:rPr>
          <w:rFonts w:hint="eastAsia" w:ascii="仿宋_GB2312" w:eastAsia="仿宋_GB2312"/>
          <w:color w:val="000000"/>
          <w:sz w:val="32"/>
          <w:szCs w:val="32"/>
        </w:rPr>
        <w:t>万元，其他社会保障缴费</w:t>
      </w:r>
      <w:r>
        <w:rPr>
          <w:rFonts w:ascii="仿宋_GB2312" w:eastAsia="仿宋_GB2312"/>
          <w:color w:val="000000"/>
          <w:sz w:val="32"/>
          <w:szCs w:val="32"/>
        </w:rPr>
        <w:t>15.81</w:t>
      </w:r>
      <w:r>
        <w:rPr>
          <w:rFonts w:hint="eastAsia" w:ascii="仿宋_GB2312" w:eastAsia="仿宋_GB2312"/>
          <w:color w:val="000000"/>
          <w:sz w:val="32"/>
          <w:szCs w:val="32"/>
        </w:rPr>
        <w:t>万元、其他工资福利支出</w:t>
      </w:r>
      <w:r>
        <w:rPr>
          <w:rFonts w:ascii="仿宋_GB2312" w:eastAsia="仿宋_GB2312"/>
          <w:color w:val="000000"/>
          <w:sz w:val="32"/>
          <w:szCs w:val="32"/>
        </w:rPr>
        <w:t>0</w:t>
      </w:r>
      <w:r>
        <w:rPr>
          <w:rFonts w:hint="eastAsia" w:ascii="仿宋_GB2312" w:eastAsia="仿宋_GB2312"/>
          <w:color w:val="000000"/>
          <w:sz w:val="32"/>
          <w:szCs w:val="32"/>
        </w:rPr>
        <w:t>万元、离休费</w:t>
      </w:r>
      <w:r>
        <w:rPr>
          <w:rFonts w:ascii="仿宋_GB2312" w:eastAsia="仿宋_GB2312"/>
          <w:color w:val="000000"/>
          <w:sz w:val="32"/>
          <w:szCs w:val="32"/>
        </w:rPr>
        <w:t>0</w:t>
      </w:r>
      <w:r>
        <w:rPr>
          <w:rFonts w:hint="eastAsia" w:ascii="仿宋_GB2312" w:eastAsia="仿宋_GB2312"/>
          <w:color w:val="000000"/>
          <w:sz w:val="32"/>
          <w:szCs w:val="32"/>
        </w:rPr>
        <w:t>万元、退休费</w:t>
      </w:r>
      <w:r>
        <w:rPr>
          <w:rFonts w:ascii="仿宋_GB2312" w:eastAsia="仿宋_GB2312"/>
          <w:color w:val="000000"/>
          <w:sz w:val="32"/>
          <w:szCs w:val="32"/>
        </w:rPr>
        <w:t>0</w:t>
      </w:r>
      <w:r>
        <w:rPr>
          <w:rFonts w:hint="eastAsia" w:ascii="仿宋_GB2312" w:eastAsia="仿宋_GB2312"/>
          <w:color w:val="000000"/>
          <w:sz w:val="32"/>
          <w:szCs w:val="32"/>
        </w:rPr>
        <w:t>万元、抚恤金</w:t>
      </w:r>
      <w:r>
        <w:rPr>
          <w:rFonts w:ascii="仿宋_GB2312" w:eastAsia="仿宋_GB2312"/>
          <w:color w:val="000000"/>
          <w:sz w:val="32"/>
          <w:szCs w:val="32"/>
        </w:rPr>
        <w:t>0</w:t>
      </w:r>
      <w:r>
        <w:rPr>
          <w:rFonts w:hint="eastAsia" w:ascii="仿宋_GB2312" w:eastAsia="仿宋_GB2312"/>
          <w:color w:val="000000"/>
          <w:sz w:val="32"/>
          <w:szCs w:val="32"/>
        </w:rPr>
        <w:t>万元、生活补助</w:t>
      </w:r>
      <w:r>
        <w:rPr>
          <w:rFonts w:ascii="仿宋_GB2312" w:eastAsia="仿宋_GB2312"/>
          <w:color w:val="000000"/>
          <w:sz w:val="32"/>
          <w:szCs w:val="32"/>
        </w:rPr>
        <w:t>57.11</w:t>
      </w:r>
      <w:r>
        <w:rPr>
          <w:rFonts w:hint="eastAsia" w:ascii="仿宋_GB2312" w:eastAsia="仿宋_GB2312"/>
          <w:color w:val="000000"/>
          <w:sz w:val="32"/>
          <w:szCs w:val="32"/>
        </w:rPr>
        <w:t>万元、医疗费</w:t>
      </w:r>
      <w:r>
        <w:rPr>
          <w:rFonts w:ascii="仿宋_GB2312" w:eastAsia="仿宋_GB2312"/>
          <w:color w:val="000000"/>
          <w:sz w:val="32"/>
          <w:szCs w:val="32"/>
        </w:rPr>
        <w:t>0</w:t>
      </w:r>
      <w:r>
        <w:rPr>
          <w:rFonts w:hint="eastAsia" w:ascii="仿宋_GB2312" w:eastAsia="仿宋_GB2312"/>
          <w:color w:val="000000"/>
          <w:sz w:val="32"/>
          <w:szCs w:val="32"/>
        </w:rPr>
        <w:t>万元、奖励金</w:t>
      </w:r>
      <w:r>
        <w:rPr>
          <w:rFonts w:ascii="仿宋_GB2312" w:eastAsia="仿宋_GB2312"/>
          <w:color w:val="000000"/>
          <w:sz w:val="32"/>
          <w:szCs w:val="32"/>
        </w:rPr>
        <w:t>175.99</w:t>
      </w:r>
      <w:r>
        <w:rPr>
          <w:rFonts w:hint="eastAsia" w:ascii="仿宋_GB2312" w:eastAsia="仿宋_GB2312"/>
          <w:color w:val="000000"/>
          <w:sz w:val="32"/>
          <w:szCs w:val="32"/>
        </w:rPr>
        <w:t>万元、住房公积金</w:t>
      </w:r>
      <w:r>
        <w:rPr>
          <w:rFonts w:ascii="仿宋_GB2312" w:eastAsia="仿宋_GB2312"/>
          <w:color w:val="000000"/>
          <w:sz w:val="32"/>
          <w:szCs w:val="32"/>
        </w:rPr>
        <w:t>45.77</w:t>
      </w:r>
      <w:r>
        <w:rPr>
          <w:rFonts w:hint="eastAsia" w:ascii="仿宋_GB2312" w:eastAsia="仿宋_GB2312"/>
          <w:color w:val="000000"/>
          <w:sz w:val="32"/>
          <w:szCs w:val="32"/>
        </w:rPr>
        <w:t>万元、购房补贴</w:t>
      </w:r>
      <w:r>
        <w:rPr>
          <w:rFonts w:ascii="仿宋_GB2312" w:eastAsia="仿宋_GB2312"/>
          <w:color w:val="000000"/>
          <w:sz w:val="32"/>
          <w:szCs w:val="32"/>
        </w:rPr>
        <w:t>0</w:t>
      </w:r>
      <w:r>
        <w:rPr>
          <w:rFonts w:hint="eastAsia" w:ascii="仿宋_GB2312" w:eastAsia="仿宋_GB2312"/>
          <w:color w:val="000000"/>
          <w:sz w:val="32"/>
          <w:szCs w:val="32"/>
        </w:rPr>
        <w:t>万元等。</w:t>
      </w:r>
    </w:p>
    <w:p>
      <w:pPr>
        <w:spacing w:line="536" w:lineRule="exact"/>
        <w:ind w:firstLine="645"/>
        <w:rPr>
          <w:rFonts w:ascii="仿宋_GB2312" w:eastAsia="仿宋_GB2312"/>
          <w:color w:val="000000"/>
          <w:sz w:val="32"/>
          <w:szCs w:val="32"/>
        </w:rPr>
      </w:pPr>
      <w:r>
        <w:rPr>
          <w:rFonts w:hint="eastAsia" w:ascii="仿宋_GB2312" w:eastAsia="仿宋_GB2312"/>
          <w:color w:val="000000"/>
          <w:sz w:val="32"/>
          <w:szCs w:val="32"/>
        </w:rPr>
        <w:t>日常公用经费</w:t>
      </w:r>
      <w:r>
        <w:rPr>
          <w:rFonts w:ascii="仿宋_GB2312" w:eastAsia="仿宋_GB2312"/>
          <w:color w:val="000000"/>
          <w:sz w:val="32"/>
          <w:szCs w:val="32"/>
        </w:rPr>
        <w:t>3</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lang w:val="en-US" w:eastAsia="zh-CN"/>
        </w:rPr>
        <w:t>65</w:t>
      </w:r>
      <w:r>
        <w:rPr>
          <w:rFonts w:hint="eastAsia" w:ascii="仿宋_GB2312" w:eastAsia="仿宋_GB2312"/>
          <w:color w:val="000000"/>
          <w:sz w:val="32"/>
          <w:szCs w:val="32"/>
        </w:rPr>
        <w:t>万元，主要包括：办公费</w:t>
      </w:r>
      <w:r>
        <w:rPr>
          <w:rFonts w:ascii="仿宋_GB2312" w:eastAsia="仿宋_GB2312"/>
          <w:color w:val="000000"/>
          <w:sz w:val="32"/>
          <w:szCs w:val="32"/>
        </w:rPr>
        <w:t>4.2</w:t>
      </w:r>
      <w:r>
        <w:rPr>
          <w:rFonts w:hint="eastAsia" w:ascii="仿宋_GB2312" w:eastAsia="仿宋_GB2312"/>
          <w:color w:val="000000"/>
          <w:sz w:val="32"/>
          <w:szCs w:val="32"/>
        </w:rPr>
        <w:t>万元、印刷费</w:t>
      </w:r>
      <w:r>
        <w:rPr>
          <w:rFonts w:ascii="仿宋_GB2312" w:eastAsia="仿宋_GB2312"/>
          <w:color w:val="000000"/>
          <w:sz w:val="32"/>
          <w:szCs w:val="32"/>
        </w:rPr>
        <w:t>0</w:t>
      </w:r>
      <w:r>
        <w:rPr>
          <w:rFonts w:hint="eastAsia" w:ascii="仿宋_GB2312" w:eastAsia="仿宋_GB2312"/>
          <w:color w:val="000000"/>
          <w:sz w:val="32"/>
          <w:szCs w:val="32"/>
        </w:rPr>
        <w:t>万元、咨询费</w:t>
      </w:r>
      <w:r>
        <w:rPr>
          <w:rFonts w:ascii="仿宋_GB2312" w:eastAsia="仿宋_GB2312"/>
          <w:color w:val="000000"/>
          <w:sz w:val="32"/>
          <w:szCs w:val="32"/>
        </w:rPr>
        <w:t>0</w:t>
      </w:r>
      <w:r>
        <w:rPr>
          <w:rFonts w:hint="eastAsia" w:ascii="仿宋_GB2312" w:eastAsia="仿宋_GB2312"/>
          <w:color w:val="000000"/>
          <w:sz w:val="32"/>
          <w:szCs w:val="32"/>
        </w:rPr>
        <w:t>万元、水费</w:t>
      </w:r>
      <w:r>
        <w:rPr>
          <w:rFonts w:ascii="仿宋_GB2312" w:eastAsia="仿宋_GB2312"/>
          <w:color w:val="000000"/>
          <w:sz w:val="32"/>
          <w:szCs w:val="32"/>
        </w:rPr>
        <w:t>0</w:t>
      </w:r>
      <w:r>
        <w:rPr>
          <w:rFonts w:hint="eastAsia" w:ascii="仿宋_GB2312" w:eastAsia="仿宋_GB2312"/>
          <w:color w:val="000000"/>
          <w:sz w:val="32"/>
          <w:szCs w:val="32"/>
        </w:rPr>
        <w:t>万元、电费</w:t>
      </w:r>
      <w:r>
        <w:rPr>
          <w:rFonts w:ascii="仿宋_GB2312" w:eastAsia="仿宋_GB2312"/>
          <w:color w:val="000000"/>
          <w:sz w:val="32"/>
          <w:szCs w:val="32"/>
        </w:rPr>
        <w:t>0</w:t>
      </w:r>
      <w:r>
        <w:rPr>
          <w:rFonts w:hint="eastAsia" w:ascii="仿宋_GB2312" w:eastAsia="仿宋_GB2312"/>
          <w:color w:val="000000"/>
          <w:sz w:val="32"/>
          <w:szCs w:val="32"/>
        </w:rPr>
        <w:t>万元、邮电费</w:t>
      </w:r>
      <w:r>
        <w:rPr>
          <w:rFonts w:ascii="仿宋_GB2312" w:eastAsia="仿宋_GB2312"/>
          <w:color w:val="000000"/>
          <w:sz w:val="32"/>
          <w:szCs w:val="32"/>
        </w:rPr>
        <w:t>2.71</w:t>
      </w:r>
      <w:r>
        <w:rPr>
          <w:rFonts w:hint="eastAsia" w:ascii="仿宋_GB2312" w:eastAsia="仿宋_GB2312"/>
          <w:color w:val="000000"/>
          <w:sz w:val="32"/>
          <w:szCs w:val="32"/>
        </w:rPr>
        <w:t>万元、取暖费</w:t>
      </w:r>
      <w:r>
        <w:rPr>
          <w:rFonts w:ascii="仿宋_GB2312" w:eastAsia="仿宋_GB2312"/>
          <w:color w:val="000000"/>
          <w:sz w:val="32"/>
          <w:szCs w:val="32"/>
        </w:rPr>
        <w:t>0</w:t>
      </w:r>
      <w:r>
        <w:rPr>
          <w:rFonts w:hint="eastAsia" w:ascii="仿宋_GB2312" w:eastAsia="仿宋_GB2312"/>
          <w:color w:val="000000"/>
          <w:sz w:val="32"/>
          <w:szCs w:val="32"/>
        </w:rPr>
        <w:t>万元、物业管理费</w:t>
      </w:r>
      <w:r>
        <w:rPr>
          <w:rFonts w:ascii="仿宋_GB2312" w:eastAsia="仿宋_GB2312"/>
          <w:color w:val="000000"/>
          <w:sz w:val="32"/>
          <w:szCs w:val="32"/>
        </w:rPr>
        <w:t>0</w:t>
      </w:r>
      <w:r>
        <w:rPr>
          <w:rFonts w:hint="eastAsia" w:ascii="仿宋_GB2312" w:eastAsia="仿宋_GB2312"/>
          <w:color w:val="000000"/>
          <w:sz w:val="32"/>
          <w:szCs w:val="32"/>
        </w:rPr>
        <w:t>万元、差旅费</w:t>
      </w:r>
      <w:r>
        <w:rPr>
          <w:rFonts w:ascii="仿宋_GB2312" w:eastAsia="仿宋_GB2312"/>
          <w:color w:val="000000"/>
          <w:sz w:val="32"/>
          <w:szCs w:val="32"/>
        </w:rPr>
        <w:t>9.16</w:t>
      </w:r>
      <w:r>
        <w:rPr>
          <w:rFonts w:hint="eastAsia" w:ascii="仿宋_GB2312" w:eastAsia="仿宋_GB2312"/>
          <w:color w:val="000000"/>
          <w:sz w:val="32"/>
          <w:szCs w:val="32"/>
        </w:rPr>
        <w:t>万元、因公出国（境）费用</w:t>
      </w:r>
      <w:r>
        <w:rPr>
          <w:rFonts w:ascii="仿宋_GB2312" w:eastAsia="仿宋_GB2312"/>
          <w:color w:val="000000"/>
          <w:sz w:val="32"/>
          <w:szCs w:val="32"/>
        </w:rPr>
        <w:t>0</w:t>
      </w:r>
      <w:r>
        <w:rPr>
          <w:rFonts w:hint="eastAsia" w:ascii="仿宋_GB2312" w:eastAsia="仿宋_GB2312"/>
          <w:color w:val="000000"/>
          <w:sz w:val="32"/>
          <w:szCs w:val="32"/>
        </w:rPr>
        <w:t>万元、维修（护）费</w:t>
      </w:r>
      <w:r>
        <w:rPr>
          <w:rFonts w:ascii="仿宋_GB2312" w:eastAsia="仿宋_GB2312"/>
          <w:color w:val="000000"/>
          <w:sz w:val="32"/>
          <w:szCs w:val="32"/>
        </w:rPr>
        <w:t>0</w:t>
      </w:r>
      <w:r>
        <w:rPr>
          <w:rFonts w:hint="eastAsia" w:ascii="仿宋_GB2312" w:eastAsia="仿宋_GB2312"/>
          <w:color w:val="000000"/>
          <w:sz w:val="32"/>
          <w:szCs w:val="32"/>
        </w:rPr>
        <w:t>万元、会议费</w:t>
      </w:r>
      <w:r>
        <w:rPr>
          <w:rFonts w:ascii="仿宋_GB2312" w:eastAsia="仿宋_GB2312"/>
          <w:color w:val="000000"/>
          <w:sz w:val="32"/>
          <w:szCs w:val="32"/>
        </w:rPr>
        <w:t>0</w:t>
      </w:r>
      <w:r>
        <w:rPr>
          <w:rFonts w:hint="eastAsia" w:ascii="仿宋_GB2312" w:eastAsia="仿宋_GB2312"/>
          <w:color w:val="000000"/>
          <w:sz w:val="32"/>
          <w:szCs w:val="32"/>
        </w:rPr>
        <w:t>万元、培训费</w:t>
      </w:r>
      <w:r>
        <w:rPr>
          <w:rFonts w:ascii="仿宋_GB2312" w:eastAsia="仿宋_GB2312"/>
          <w:color w:val="000000"/>
          <w:sz w:val="32"/>
          <w:szCs w:val="32"/>
        </w:rPr>
        <w:t>0.51</w:t>
      </w:r>
      <w:r>
        <w:rPr>
          <w:rFonts w:hint="eastAsia" w:ascii="仿宋_GB2312" w:eastAsia="仿宋_GB2312"/>
          <w:color w:val="000000"/>
          <w:sz w:val="32"/>
          <w:szCs w:val="32"/>
        </w:rPr>
        <w:t>万元、公务接待费</w:t>
      </w:r>
      <w:r>
        <w:rPr>
          <w:rFonts w:ascii="仿宋_GB2312" w:eastAsia="仿宋_GB2312"/>
          <w:color w:val="000000"/>
          <w:sz w:val="32"/>
          <w:szCs w:val="32"/>
        </w:rPr>
        <w:t>0.08</w:t>
      </w:r>
      <w:r>
        <w:rPr>
          <w:rFonts w:hint="eastAsia" w:ascii="仿宋_GB2312" w:eastAsia="仿宋_GB2312"/>
          <w:color w:val="000000"/>
          <w:sz w:val="32"/>
          <w:szCs w:val="32"/>
        </w:rPr>
        <w:t>万元、劳务费</w:t>
      </w:r>
      <w:r>
        <w:rPr>
          <w:rFonts w:ascii="仿宋_GB2312" w:eastAsia="仿宋_GB2312"/>
          <w:color w:val="000000"/>
          <w:sz w:val="32"/>
          <w:szCs w:val="32"/>
        </w:rPr>
        <w:t>9</w:t>
      </w:r>
      <w:r>
        <w:rPr>
          <w:rFonts w:hint="eastAsia" w:ascii="仿宋_GB2312" w:eastAsia="仿宋_GB2312"/>
          <w:color w:val="000000"/>
          <w:sz w:val="32"/>
          <w:szCs w:val="32"/>
        </w:rPr>
        <w:t>万元、委托业务费</w:t>
      </w:r>
      <w:r>
        <w:rPr>
          <w:rFonts w:ascii="仿宋_GB2312" w:eastAsia="仿宋_GB2312"/>
          <w:color w:val="000000"/>
          <w:sz w:val="32"/>
          <w:szCs w:val="32"/>
        </w:rPr>
        <w:t>0</w:t>
      </w:r>
      <w:r>
        <w:rPr>
          <w:rFonts w:hint="eastAsia" w:ascii="仿宋_GB2312" w:eastAsia="仿宋_GB2312"/>
          <w:color w:val="000000"/>
          <w:sz w:val="32"/>
          <w:szCs w:val="32"/>
        </w:rPr>
        <w:t>万元、福利费</w:t>
      </w:r>
      <w:r>
        <w:rPr>
          <w:rFonts w:ascii="仿宋_GB2312" w:eastAsia="仿宋_GB2312"/>
          <w:color w:val="000000"/>
          <w:sz w:val="32"/>
          <w:szCs w:val="32"/>
        </w:rPr>
        <w:t>0.5</w:t>
      </w:r>
      <w:r>
        <w:rPr>
          <w:rFonts w:hint="eastAsia" w:ascii="仿宋_GB2312" w:eastAsia="仿宋_GB2312"/>
          <w:color w:val="000000"/>
          <w:sz w:val="32"/>
          <w:szCs w:val="32"/>
        </w:rPr>
        <w:t>万元、公务用车运行维护费</w:t>
      </w:r>
      <w:r>
        <w:rPr>
          <w:rFonts w:ascii="仿宋_GB2312" w:eastAsia="仿宋_GB2312"/>
          <w:color w:val="000000"/>
          <w:sz w:val="32"/>
          <w:szCs w:val="32"/>
        </w:rPr>
        <w:t>2</w:t>
      </w:r>
      <w:r>
        <w:rPr>
          <w:rFonts w:hint="eastAsia" w:ascii="仿宋_GB2312" w:eastAsia="仿宋_GB2312"/>
          <w:color w:val="000000"/>
          <w:sz w:val="32"/>
          <w:szCs w:val="32"/>
        </w:rPr>
        <w:t>万元、其他交通费</w:t>
      </w:r>
      <w:r>
        <w:rPr>
          <w:rFonts w:ascii="仿宋_GB2312" w:eastAsia="仿宋_GB2312"/>
          <w:color w:val="000000"/>
          <w:sz w:val="32"/>
          <w:szCs w:val="32"/>
        </w:rPr>
        <w:t>4</w:t>
      </w:r>
      <w:r>
        <w:rPr>
          <w:rFonts w:hint="eastAsia" w:ascii="仿宋_GB2312" w:eastAsia="仿宋_GB2312"/>
          <w:color w:val="000000"/>
          <w:sz w:val="32"/>
          <w:szCs w:val="32"/>
        </w:rPr>
        <w:t>万元、税金及附加费用</w:t>
      </w:r>
      <w:r>
        <w:rPr>
          <w:rFonts w:ascii="仿宋_GB2312" w:eastAsia="仿宋_GB2312"/>
          <w:color w:val="000000"/>
          <w:sz w:val="32"/>
          <w:szCs w:val="32"/>
        </w:rPr>
        <w:t>0</w:t>
      </w:r>
      <w:r>
        <w:rPr>
          <w:rFonts w:hint="eastAsia" w:ascii="仿宋_GB2312" w:eastAsia="仿宋_GB2312"/>
          <w:color w:val="000000"/>
          <w:sz w:val="32"/>
          <w:szCs w:val="32"/>
        </w:rPr>
        <w:t>万元、其他商品和服务支出</w:t>
      </w:r>
      <w:r>
        <w:rPr>
          <w:rFonts w:ascii="仿宋_GB2312" w:eastAsia="仿宋_GB2312"/>
          <w:color w:val="000000"/>
          <w:sz w:val="32"/>
          <w:szCs w:val="32"/>
        </w:rPr>
        <w:t>0</w:t>
      </w:r>
      <w:r>
        <w:rPr>
          <w:rFonts w:hint="eastAsia" w:ascii="仿宋_GB2312" w:eastAsia="仿宋_GB2312"/>
          <w:color w:val="000000"/>
          <w:sz w:val="32"/>
          <w:szCs w:val="32"/>
        </w:rPr>
        <w:t>万元、办公设备购置</w:t>
      </w:r>
      <w:r>
        <w:rPr>
          <w:rFonts w:ascii="仿宋_GB2312" w:eastAsia="仿宋_GB2312"/>
          <w:color w:val="000000"/>
          <w:sz w:val="32"/>
          <w:szCs w:val="32"/>
        </w:rPr>
        <w:t>0</w:t>
      </w:r>
      <w:r>
        <w:rPr>
          <w:rFonts w:hint="eastAsia" w:ascii="仿宋_GB2312" w:eastAsia="仿宋_GB2312"/>
          <w:color w:val="000000"/>
          <w:sz w:val="32"/>
          <w:szCs w:val="32"/>
        </w:rPr>
        <w:t>万元、专用设备购置</w:t>
      </w:r>
      <w:r>
        <w:rPr>
          <w:rFonts w:ascii="仿宋_GB2312" w:eastAsia="仿宋_GB2312"/>
          <w:color w:val="000000"/>
          <w:sz w:val="32"/>
          <w:szCs w:val="32"/>
        </w:rPr>
        <w:t>0</w:t>
      </w:r>
      <w:r>
        <w:rPr>
          <w:rFonts w:hint="eastAsia" w:ascii="仿宋_GB2312" w:eastAsia="仿宋_GB2312"/>
          <w:color w:val="000000"/>
          <w:sz w:val="32"/>
          <w:szCs w:val="32"/>
        </w:rPr>
        <w:t>万元、信息网络及软件购置更新</w:t>
      </w:r>
      <w:r>
        <w:rPr>
          <w:rFonts w:ascii="仿宋_GB2312" w:eastAsia="仿宋_GB2312"/>
          <w:color w:val="000000"/>
          <w:sz w:val="32"/>
          <w:szCs w:val="32"/>
        </w:rPr>
        <w:t>0</w:t>
      </w:r>
      <w:r>
        <w:rPr>
          <w:rFonts w:hint="eastAsia" w:ascii="仿宋_GB2312" w:eastAsia="仿宋_GB2312"/>
          <w:color w:val="000000"/>
          <w:sz w:val="32"/>
          <w:szCs w:val="32"/>
        </w:rPr>
        <w:t>万元、其他资本性支出</w:t>
      </w:r>
      <w:r>
        <w:rPr>
          <w:rFonts w:ascii="仿宋_GB2312" w:eastAsia="仿宋_GB2312"/>
          <w:color w:val="000000"/>
          <w:sz w:val="32"/>
          <w:szCs w:val="32"/>
        </w:rPr>
        <w:t>0</w:t>
      </w:r>
      <w:r>
        <w:rPr>
          <w:rFonts w:hint="eastAsia" w:ascii="仿宋_GB2312" w:eastAsia="仿宋_GB2312"/>
          <w:color w:val="000000"/>
          <w:sz w:val="32"/>
          <w:szCs w:val="32"/>
        </w:rPr>
        <w:t>万元等。</w:t>
      </w:r>
    </w:p>
    <w:p>
      <w:pPr>
        <w:spacing w:line="600" w:lineRule="exact"/>
        <w:ind w:firstLine="640" w:firstLineChars="200"/>
        <w:outlineLvl w:val="1"/>
        <w:rPr>
          <w:rStyle w:val="17"/>
          <w:rFonts w:ascii="黑体" w:eastAsia="黑体"/>
          <w:b w:val="0"/>
        </w:rPr>
      </w:pPr>
      <w:bookmarkStart w:id="54" w:name="_Toc15914"/>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52"/>
      <w:bookmarkEnd w:id="53"/>
      <w:bookmarkEnd w:id="54"/>
    </w:p>
    <w:p>
      <w:pPr>
        <w:spacing w:line="580" w:lineRule="exact"/>
        <w:ind w:firstLine="642" w:firstLineChars="200"/>
        <w:rPr>
          <w:rFonts w:ascii="楷体_GB2312" w:hAnsi="楷体_GB2312" w:eastAsia="楷体_GB2312" w:cs="楷体_GB2312"/>
          <w:b/>
          <w:bCs/>
          <w:sz w:val="32"/>
          <w:szCs w:val="32"/>
        </w:rPr>
      </w:pPr>
      <w:bookmarkStart w:id="55" w:name="_Toc15377216"/>
      <w:r>
        <w:rPr>
          <w:rFonts w:hint="eastAsia" w:ascii="楷体_GB2312" w:hAnsi="楷体_GB2312" w:eastAsia="楷体_GB2312" w:cs="楷体_GB2312"/>
          <w:b/>
          <w:bCs/>
          <w:sz w:val="32"/>
          <w:szCs w:val="32"/>
        </w:rPr>
        <w:t>（一）“三公”经费财政拨款支出决算总体情况说明</w:t>
      </w:r>
      <w:bookmarkEnd w:id="55"/>
    </w:p>
    <w:p>
      <w:pPr>
        <w:spacing w:line="536" w:lineRule="exact"/>
        <w:ind w:firstLine="640"/>
        <w:rPr>
          <w:rFonts w:ascii="仿宋_GB2312" w:eastAsia="仿宋_GB2312"/>
          <w:color w:val="000000"/>
          <w:sz w:val="32"/>
          <w:szCs w:val="32"/>
        </w:rPr>
      </w:pPr>
      <w:bookmarkStart w:id="56" w:name="_Toc15377217"/>
      <w:r>
        <w:rPr>
          <w:rFonts w:ascii="仿宋_GB2312" w:eastAsia="仿宋_GB2312"/>
          <w:color w:val="000000"/>
          <w:sz w:val="32"/>
          <w:szCs w:val="32"/>
        </w:rPr>
        <w:t>2021</w:t>
      </w:r>
      <w:r>
        <w:rPr>
          <w:rFonts w:hint="eastAsia" w:ascii="仿宋_GB2312" w:eastAsia="仿宋_GB2312"/>
          <w:color w:val="000000"/>
          <w:sz w:val="32"/>
          <w:szCs w:val="32"/>
        </w:rPr>
        <w:t>年度“三公”经费财政拨款支出决算为</w:t>
      </w:r>
      <w:r>
        <w:rPr>
          <w:rFonts w:ascii="仿宋_GB2312" w:eastAsia="仿宋_GB2312"/>
          <w:color w:val="000000"/>
          <w:sz w:val="32"/>
          <w:szCs w:val="32"/>
        </w:rPr>
        <w:t>2.08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预算为</w:t>
      </w:r>
      <w:r>
        <w:rPr>
          <w:rFonts w:hint="eastAsia" w:ascii="仿宋_GB2312" w:eastAsia="仿宋_GB2312"/>
          <w:color w:val="000000"/>
          <w:sz w:val="32"/>
          <w:szCs w:val="32"/>
          <w:lang w:val="en-US" w:eastAsia="zh-CN"/>
        </w:rPr>
        <w:t>2.08万元，</w:t>
      </w:r>
      <w:r>
        <w:rPr>
          <w:rFonts w:hint="eastAsia" w:ascii="仿宋_GB2312" w:eastAsia="仿宋_GB2312"/>
          <w:color w:val="000000"/>
          <w:sz w:val="32"/>
          <w:szCs w:val="32"/>
        </w:rPr>
        <w:t>完成预算</w:t>
      </w:r>
      <w:r>
        <w:rPr>
          <w:rFonts w:ascii="仿宋_GB2312" w:eastAsia="仿宋_GB2312"/>
          <w:color w:val="000000"/>
          <w:sz w:val="32"/>
          <w:szCs w:val="32"/>
        </w:rPr>
        <w:t>100%</w:t>
      </w:r>
      <w:r>
        <w:rPr>
          <w:rFonts w:hint="eastAsia" w:ascii="仿宋_GB2312" w:eastAsia="仿宋_GB2312"/>
          <w:color w:val="000000"/>
          <w:sz w:val="32"/>
          <w:szCs w:val="32"/>
        </w:rPr>
        <w:t>。</w:t>
      </w:r>
    </w:p>
    <w:p>
      <w:pPr>
        <w:spacing w:line="58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（二）“三公”经费财政拨款支出决算具体情况说明</w:t>
      </w:r>
      <w:bookmarkEnd w:id="56"/>
    </w:p>
    <w:p>
      <w:pPr>
        <w:spacing w:line="53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年度“三公”经费财政拨款支出决算中，因公出国（境）费支出决算</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；公务用车购置及运行维护费支出决算</w:t>
      </w:r>
      <w:r>
        <w:rPr>
          <w:rFonts w:ascii="仿宋_GB2312" w:eastAsia="仿宋_GB2312"/>
          <w:color w:val="000000"/>
          <w:sz w:val="32"/>
          <w:szCs w:val="32"/>
        </w:rPr>
        <w:t>2</w:t>
      </w:r>
      <w:r>
        <w:rPr>
          <w:rFonts w:hint="eastAsia" w:ascii="仿宋_GB2312" w:eastAsia="仿宋_GB2312"/>
          <w:color w:val="000000"/>
          <w:sz w:val="32"/>
          <w:szCs w:val="32"/>
        </w:rPr>
        <w:t>万元，占</w:t>
      </w:r>
      <w:r>
        <w:rPr>
          <w:rFonts w:ascii="仿宋_GB2312" w:eastAsia="仿宋_GB2312"/>
          <w:color w:val="000000"/>
          <w:sz w:val="32"/>
          <w:szCs w:val="32"/>
        </w:rPr>
        <w:t>96.15%</w:t>
      </w:r>
      <w:r>
        <w:rPr>
          <w:rFonts w:hint="eastAsia" w:ascii="仿宋_GB2312" w:eastAsia="仿宋_GB2312"/>
          <w:color w:val="000000"/>
          <w:sz w:val="32"/>
          <w:szCs w:val="32"/>
        </w:rPr>
        <w:t>；公务接待费支出决算</w:t>
      </w:r>
      <w:r>
        <w:rPr>
          <w:rFonts w:ascii="仿宋_GB2312" w:eastAsia="仿宋_GB2312"/>
          <w:color w:val="000000"/>
          <w:sz w:val="32"/>
          <w:szCs w:val="32"/>
        </w:rPr>
        <w:t>0.08</w:t>
      </w:r>
      <w:r>
        <w:rPr>
          <w:rFonts w:hint="eastAsia" w:ascii="仿宋_GB2312" w:eastAsia="仿宋_GB2312"/>
          <w:color w:val="000000"/>
          <w:sz w:val="32"/>
          <w:szCs w:val="32"/>
        </w:rPr>
        <w:t>万元，占</w:t>
      </w:r>
      <w:r>
        <w:rPr>
          <w:rFonts w:ascii="仿宋_GB2312" w:eastAsia="仿宋_GB2312"/>
          <w:color w:val="000000"/>
          <w:sz w:val="32"/>
          <w:szCs w:val="32"/>
        </w:rPr>
        <w:t>3.85%</w:t>
      </w:r>
      <w:r>
        <w:rPr>
          <w:rFonts w:hint="eastAsia" w:ascii="仿宋_GB2312" w:eastAsia="仿宋_GB2312"/>
          <w:color w:val="000000"/>
          <w:sz w:val="32"/>
          <w:szCs w:val="32"/>
        </w:rPr>
        <w:t>。具体情况如下：</w:t>
      </w:r>
    </w:p>
    <w:p>
      <w:pPr>
        <w:spacing w:line="536"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536" w:lineRule="exact"/>
        <w:ind w:firstLine="640"/>
        <w:rPr>
          <w:rFonts w:ascii="仿宋_GB2312" w:eastAsia="仿宋_GB2312"/>
          <w:b/>
          <w:color w:val="000000"/>
          <w:sz w:val="32"/>
          <w:szCs w:val="32"/>
        </w:rPr>
      </w:pPr>
      <w:r>
        <w:rPr>
          <w:rFonts w:hint="eastAsia" w:ascii="仿宋_GB2312" w:eastAsia="仿宋_GB2312"/>
          <w:color w:val="000000"/>
          <w:sz w:val="32"/>
          <w:szCs w:val="32"/>
        </w:rPr>
        <w:t>因公出国（境）支出决算比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536" w:lineRule="exact"/>
        <w:ind w:firstLine="642" w:firstLineChars="20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default" w:ascii="仿宋_GB2312" w:eastAsia="仿宋_GB2312"/>
          <w:color w:val="000000"/>
          <w:sz w:val="32"/>
          <w:szCs w:val="32"/>
        </w:rPr>
        <w:t>2</w:t>
      </w:r>
      <w:r>
        <w:rPr>
          <w:rFonts w:hint="eastAsia" w:ascii="仿宋_GB2312" w:eastAsia="仿宋_GB2312"/>
          <w:color w:val="000000"/>
          <w:sz w:val="32"/>
          <w:szCs w:val="32"/>
        </w:rPr>
        <w:t>万元。其中：</w:t>
      </w:r>
    </w:p>
    <w:p>
      <w:pPr>
        <w:spacing w:line="536" w:lineRule="exact"/>
        <w:ind w:firstLine="642" w:firstLineChars="20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1</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53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2</w:t>
      </w:r>
      <w:r>
        <w:rPr>
          <w:rFonts w:hint="eastAsia" w:ascii="仿宋_GB2312" w:eastAsia="仿宋_GB2312"/>
          <w:color w:val="000000"/>
          <w:sz w:val="32"/>
          <w:szCs w:val="32"/>
        </w:rPr>
        <w:t>万元。主要用于日常办公所需的公务用车燃料费、维修费、过路过桥费、保险费等支出。</w:t>
      </w:r>
    </w:p>
    <w:p>
      <w:pPr>
        <w:spacing w:line="536" w:lineRule="exact"/>
        <w:ind w:firstLine="640"/>
        <w:rPr>
          <w:rFonts w:ascii="仿宋_GB2312" w:eastAsia="仿宋_GB2312"/>
          <w:color w:val="000000"/>
          <w:sz w:val="32"/>
          <w:szCs w:val="32"/>
        </w:rPr>
      </w:pP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0.46</w:t>
      </w:r>
      <w:r>
        <w:rPr>
          <w:rFonts w:hint="eastAsia" w:ascii="仿宋_GB2312" w:eastAsia="仿宋_GB2312"/>
          <w:color w:val="000000"/>
          <w:sz w:val="32"/>
          <w:szCs w:val="32"/>
        </w:rPr>
        <w:t>万元，下降</w:t>
      </w:r>
      <w:r>
        <w:rPr>
          <w:rFonts w:ascii="仿宋_GB2312" w:eastAsia="仿宋_GB2312"/>
          <w:color w:val="000000"/>
          <w:sz w:val="32"/>
          <w:szCs w:val="32"/>
        </w:rPr>
        <w:t>18.7%</w:t>
      </w:r>
      <w:r>
        <w:rPr>
          <w:rFonts w:hint="eastAsia" w:ascii="仿宋_GB2312" w:eastAsia="仿宋_GB2312"/>
          <w:color w:val="000000"/>
          <w:sz w:val="32"/>
          <w:szCs w:val="32"/>
        </w:rPr>
        <w:t>。主要原因是严格管理公务用车运行。</w:t>
      </w:r>
    </w:p>
    <w:p>
      <w:pPr>
        <w:spacing w:line="536" w:lineRule="exact"/>
        <w:rPr>
          <w:rFonts w:ascii="仿宋_GB2312" w:eastAsia="仿宋_GB2312"/>
          <w:color w:val="000000"/>
          <w:sz w:val="32"/>
          <w:szCs w:val="32"/>
        </w:rPr>
      </w:pPr>
      <w:r>
        <w:drawing>
          <wp:anchor distT="0" distB="0" distL="114300" distR="114300" simplePos="0" relativeHeight="251664384" behindDoc="0" locked="0" layoutInCell="1" allowOverlap="1">
            <wp:simplePos x="0" y="0"/>
            <wp:positionH relativeFrom="column">
              <wp:posOffset>325755</wp:posOffset>
            </wp:positionH>
            <wp:positionV relativeFrom="paragraph">
              <wp:posOffset>179705</wp:posOffset>
            </wp:positionV>
            <wp:extent cx="4572000" cy="1638300"/>
            <wp:effectExtent l="4445" t="4445" r="10795" b="18415"/>
            <wp:wrapNone/>
            <wp:docPr id="6"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rPr>
          <w:rFonts w:ascii="仿宋_GB2312" w:eastAsia="仿宋_GB2312"/>
          <w:b/>
          <w:color w:val="000000"/>
          <w:sz w:val="32"/>
          <w:szCs w:val="32"/>
        </w:rPr>
      </w:pPr>
    </w:p>
    <w:p>
      <w:pPr>
        <w:spacing w:line="536"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0.08</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3</w:t>
      </w:r>
      <w:r>
        <w:rPr>
          <w:rFonts w:hint="eastAsia" w:ascii="仿宋_GB2312" w:eastAsia="仿宋_GB2312"/>
          <w:color w:val="000000"/>
          <w:sz w:val="32"/>
          <w:szCs w:val="32"/>
        </w:rPr>
        <w:t>批次，</w:t>
      </w:r>
      <w:r>
        <w:rPr>
          <w:rFonts w:ascii="仿宋_GB2312" w:eastAsia="仿宋_GB2312"/>
          <w:color w:val="000000"/>
          <w:sz w:val="32"/>
          <w:szCs w:val="32"/>
        </w:rPr>
        <w:t>11</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0.08</w:t>
      </w:r>
      <w:r>
        <w:rPr>
          <w:rFonts w:hint="eastAsia" w:ascii="仿宋_GB2312" w:eastAsia="仿宋_GB2312"/>
          <w:color w:val="000000"/>
          <w:sz w:val="32"/>
          <w:szCs w:val="32"/>
        </w:rPr>
        <w:t>万元。</w:t>
      </w: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r>
        <w:drawing>
          <wp:anchor distT="0" distB="0" distL="114300" distR="114300" simplePos="0" relativeHeight="251665408" behindDoc="0" locked="0" layoutInCell="1" allowOverlap="1">
            <wp:simplePos x="0" y="0"/>
            <wp:positionH relativeFrom="column">
              <wp:posOffset>278130</wp:posOffset>
            </wp:positionH>
            <wp:positionV relativeFrom="paragraph">
              <wp:posOffset>29210</wp:posOffset>
            </wp:positionV>
            <wp:extent cx="4572000" cy="1629410"/>
            <wp:effectExtent l="4445" t="4445" r="10795" b="12065"/>
            <wp:wrapNone/>
            <wp:docPr id="7"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Fonts w:ascii="仿宋_GB2312" w:eastAsia="仿宋_GB2312"/>
          <w:color w:val="000000"/>
          <w:sz w:val="32"/>
          <w:szCs w:val="32"/>
        </w:rPr>
      </w:pPr>
      <w:bookmarkStart w:id="57" w:name="_Toc1421"/>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End w:id="57"/>
      <w:bookmarkStart w:id="58" w:name="_Toc15377218"/>
      <w:bookmarkStart w:id="59" w:name="_Toc15396610"/>
    </w:p>
    <w:p>
      <w:pPr>
        <w:spacing w:line="600" w:lineRule="exact"/>
        <w:ind w:firstLine="640"/>
        <w:outlineLvl w:val="1"/>
        <w:rPr>
          <w:rStyle w:val="17"/>
          <w:rFonts w:ascii="黑体" w:eastAsia="黑体"/>
        </w:rPr>
      </w:pPr>
      <w:bookmarkStart w:id="60" w:name="_Toc1438"/>
      <w:r>
        <w:rPr>
          <w:rFonts w:hint="eastAsia" w:ascii="黑体" w:eastAsia="黑体"/>
          <w:color w:val="000000"/>
          <w:sz w:val="32"/>
          <w:szCs w:val="32"/>
        </w:rPr>
        <w:t>八、</w:t>
      </w:r>
      <w:r>
        <w:rPr>
          <w:rStyle w:val="17"/>
          <w:rFonts w:hint="eastAsia" w:ascii="黑体" w:eastAsia="黑体"/>
          <w:b w:val="0"/>
        </w:rPr>
        <w:t>政府性基金预算支出决算情况说明</w:t>
      </w:r>
      <w:bookmarkEnd w:id="58"/>
      <w:bookmarkEnd w:id="59"/>
      <w:bookmarkEnd w:id="6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1"/>
        </w:numPr>
        <w:spacing w:line="600" w:lineRule="exact"/>
        <w:ind w:firstLine="640"/>
        <w:outlineLvl w:val="1"/>
        <w:rPr>
          <w:rStyle w:val="17"/>
          <w:rFonts w:ascii="黑体" w:eastAsia="黑体"/>
          <w:b w:val="0"/>
        </w:rPr>
      </w:pPr>
      <w:bookmarkStart w:id="61" w:name="_Toc15396611"/>
      <w:bookmarkStart w:id="62" w:name="_Toc3946"/>
      <w:bookmarkStart w:id="63" w:name="_Toc15377219"/>
      <w:r>
        <w:rPr>
          <w:rStyle w:val="17"/>
          <w:rFonts w:hint="eastAsia" w:ascii="黑体" w:eastAsia="黑体"/>
          <w:b w:val="0"/>
        </w:rPr>
        <w:t>国有资本经营预算支出决算情况说明</w:t>
      </w:r>
      <w:bookmarkEnd w:id="61"/>
      <w:bookmarkEnd w:id="62"/>
      <w:bookmarkEnd w:id="6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outlineLvl w:val="1"/>
        <w:rPr>
          <w:rStyle w:val="17"/>
          <w:rFonts w:ascii="黑体" w:eastAsia="黑体"/>
        </w:rPr>
      </w:pPr>
      <w:bookmarkStart w:id="64" w:name="_Toc15377221"/>
      <w:bookmarkStart w:id="65" w:name="_Toc20625"/>
      <w:bookmarkStart w:id="66" w:name="_Toc15396612"/>
      <w:r>
        <w:rPr>
          <w:rFonts w:hint="eastAsia" w:ascii="黑体" w:eastAsia="黑体"/>
          <w:color w:val="000000"/>
          <w:sz w:val="32"/>
          <w:szCs w:val="32"/>
        </w:rPr>
        <w:t>十</w:t>
      </w:r>
      <w:r>
        <w:rPr>
          <w:rStyle w:val="17"/>
          <w:rFonts w:hint="eastAsia" w:ascii="黑体" w:eastAsia="黑体"/>
        </w:rPr>
        <w:t>、</w:t>
      </w:r>
      <w:r>
        <w:rPr>
          <w:rStyle w:val="17"/>
          <w:rFonts w:hint="eastAsia" w:ascii="黑体" w:eastAsia="黑体"/>
          <w:b w:val="0"/>
        </w:rPr>
        <w:t>其他重要事项的情况说明</w:t>
      </w:r>
      <w:bookmarkEnd w:id="64"/>
      <w:bookmarkEnd w:id="65"/>
      <w:bookmarkEnd w:id="66"/>
    </w:p>
    <w:p>
      <w:pPr>
        <w:spacing w:line="580" w:lineRule="exact"/>
        <w:ind w:firstLine="642" w:firstLineChars="200"/>
        <w:rPr>
          <w:rFonts w:ascii="楷体_GB2312" w:hAnsi="楷体_GB2312" w:eastAsia="楷体_GB2312" w:cs="楷体_GB2312"/>
          <w:b/>
          <w:bCs/>
          <w:sz w:val="32"/>
          <w:szCs w:val="32"/>
        </w:rPr>
      </w:pPr>
      <w:bookmarkStart w:id="67" w:name="_Toc15377222"/>
      <w:r>
        <w:rPr>
          <w:rFonts w:hint="eastAsia" w:ascii="楷体_GB2312" w:hAnsi="楷体_GB2312" w:eastAsia="楷体_GB2312" w:cs="楷体_GB2312"/>
          <w:b/>
          <w:bCs/>
          <w:sz w:val="32"/>
          <w:szCs w:val="32"/>
        </w:rPr>
        <w:t>（一）机关运行经费支出情况</w:t>
      </w:r>
      <w:bookmarkEnd w:id="67"/>
    </w:p>
    <w:p>
      <w:pPr>
        <w:spacing w:line="580" w:lineRule="exact"/>
        <w:ind w:firstLine="640" w:firstLineChars="200"/>
        <w:rPr>
          <w:rFonts w:hint="eastAsia" w:ascii="仿宋_GB2312" w:eastAsia="仿宋_GB2312"/>
          <w:sz w:val="32"/>
          <w:szCs w:val="32"/>
        </w:rPr>
      </w:pPr>
      <w:bookmarkStart w:id="68" w:name="_Toc15377223"/>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年，机关运行经费支出</w:t>
      </w:r>
      <w:r>
        <w:rPr>
          <w:rFonts w:hint="eastAsia" w:ascii="仿宋_GB2312" w:eastAsia="仿宋_GB2312"/>
          <w:sz w:val="32"/>
          <w:szCs w:val="32"/>
          <w:lang w:val="en-US" w:eastAsia="zh-CN"/>
        </w:rPr>
        <w:t>31.65</w:t>
      </w:r>
      <w:r>
        <w:rPr>
          <w:rFonts w:hint="eastAsia" w:ascii="仿宋_GB2312" w:eastAsia="仿宋_GB2312"/>
          <w:sz w:val="32"/>
          <w:szCs w:val="32"/>
        </w:rPr>
        <w:t>万元，比</w:t>
      </w:r>
      <w:r>
        <w:rPr>
          <w:rFonts w:hint="eastAsia" w:ascii="仿宋_GB2312" w:eastAsia="仿宋_GB2312"/>
          <w:sz w:val="32"/>
          <w:szCs w:val="32"/>
          <w:lang w:val="en-US" w:eastAsia="zh-CN"/>
        </w:rPr>
        <w:t>2020</w:t>
      </w:r>
      <w:r>
        <w:rPr>
          <w:rFonts w:hint="eastAsia" w:ascii="仿宋_GB2312" w:eastAsia="仿宋_GB2312"/>
          <w:sz w:val="32"/>
          <w:szCs w:val="32"/>
        </w:rPr>
        <w:t>年减少</w:t>
      </w:r>
      <w:r>
        <w:rPr>
          <w:rFonts w:hint="eastAsia" w:ascii="仿宋_GB2312" w:eastAsia="仿宋_GB2312"/>
          <w:sz w:val="32"/>
          <w:szCs w:val="32"/>
          <w:lang w:val="en-US" w:eastAsia="zh-CN"/>
        </w:rPr>
        <w:t>47.39</w:t>
      </w:r>
      <w:r>
        <w:rPr>
          <w:rFonts w:hint="eastAsia" w:ascii="仿宋_GB2312" w:eastAsia="仿宋_GB2312"/>
          <w:sz w:val="32"/>
          <w:szCs w:val="32"/>
        </w:rPr>
        <w:t>万元，下降</w:t>
      </w:r>
      <w:r>
        <w:rPr>
          <w:rFonts w:hint="eastAsia" w:ascii="仿宋_GB2312" w:eastAsia="仿宋_GB2312"/>
          <w:sz w:val="32"/>
          <w:szCs w:val="32"/>
          <w:lang w:val="en-US" w:eastAsia="zh-CN"/>
        </w:rPr>
        <w:t>149.73</w:t>
      </w:r>
      <w:r>
        <w:rPr>
          <w:rFonts w:hint="eastAsia" w:ascii="仿宋_GB2312" w:eastAsia="仿宋_GB2312"/>
          <w:sz w:val="32"/>
          <w:szCs w:val="32"/>
        </w:rPr>
        <w:t>%。主要原因是</w:t>
      </w:r>
      <w:r>
        <w:rPr>
          <w:rFonts w:hint="eastAsia" w:ascii="仿宋_GB2312" w:eastAsia="仿宋_GB2312"/>
          <w:sz w:val="32"/>
          <w:szCs w:val="32"/>
          <w:lang w:eastAsia="zh-CN"/>
        </w:rPr>
        <w:t>机构改革人员减少；</w:t>
      </w:r>
      <w:r>
        <w:rPr>
          <w:rFonts w:hint="eastAsia" w:ascii="仿宋_GB2312" w:eastAsia="仿宋_GB2312"/>
          <w:sz w:val="32"/>
          <w:szCs w:val="32"/>
          <w:lang w:val="en-US" w:eastAsia="zh-CN"/>
        </w:rPr>
        <w:t>加之严控经费、疫情防控等影响，差旅费和公务用车运行费等有所下降。</w:t>
      </w:r>
    </w:p>
    <w:p>
      <w:pPr>
        <w:spacing w:line="58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（二）政府采购支出情况</w:t>
      </w:r>
      <w:bookmarkEnd w:id="68"/>
    </w:p>
    <w:p>
      <w:pPr>
        <w:spacing w:line="536" w:lineRule="exact"/>
        <w:ind w:firstLine="640" w:firstLineChars="200"/>
        <w:rPr>
          <w:rFonts w:ascii="仿宋_GB2312" w:eastAsia="仿宋_GB2312"/>
          <w:color w:val="000000"/>
          <w:sz w:val="32"/>
          <w:szCs w:val="32"/>
        </w:rPr>
      </w:pPr>
      <w:bookmarkStart w:id="69" w:name="_Toc15377224"/>
      <w:r>
        <w:rPr>
          <w:rFonts w:ascii="仿宋_GB2312" w:eastAsia="仿宋_GB2312"/>
          <w:color w:val="000000"/>
          <w:sz w:val="32"/>
          <w:szCs w:val="32"/>
        </w:rPr>
        <w:t>2021</w:t>
      </w:r>
      <w:r>
        <w:rPr>
          <w:rFonts w:hint="eastAsia" w:ascii="仿宋_GB2312" w:eastAsia="仿宋_GB2312"/>
          <w:color w:val="000000"/>
          <w:sz w:val="32"/>
          <w:szCs w:val="32"/>
        </w:rPr>
        <w:t>年度，政府采购支出总额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bookmarkEnd w:id="69"/>
    </w:p>
    <w:p>
      <w:pPr>
        <w:autoSpaceDE w:val="0"/>
        <w:autoSpaceDN w:val="0"/>
        <w:adjustRightInd w:val="0"/>
        <w:spacing w:line="536" w:lineRule="exact"/>
        <w:ind w:firstLine="640" w:firstLineChars="200"/>
        <w:jc w:val="left"/>
        <w:rPr>
          <w:rFonts w:hint="eastAsia" w:ascii="仿宋_GB2312" w:eastAsia="仿宋_GB2312"/>
          <w:color w:val="000000"/>
          <w:sz w:val="32"/>
          <w:szCs w:val="32"/>
        </w:rPr>
      </w:pPr>
      <w:bookmarkStart w:id="70" w:name="_Toc15396613"/>
      <w:bookmarkStart w:id="71" w:name="_Toc15377225"/>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1</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1</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pStyle w:val="24"/>
        <w:numPr>
          <w:ilvl w:val="0"/>
          <w:numId w:val="0"/>
        </w:numPr>
        <w:spacing w:line="580" w:lineRule="exact"/>
        <w:ind w:left="709" w:leftChars="0"/>
        <w:rPr>
          <w:rFonts w:hint="eastAsia" w:ascii="楷体_GB2312" w:hAnsi="楷体_GB2312" w:eastAsia="楷体_GB2312" w:cs="楷体_GB2312"/>
          <w:b/>
          <w:bCs/>
          <w:kern w:val="2"/>
          <w:sz w:val="32"/>
          <w:szCs w:val="32"/>
          <w:lang w:val="en-US" w:eastAsia="zh-CN" w:bidi="ar-SA"/>
        </w:rPr>
      </w:pPr>
      <w:bookmarkStart w:id="72" w:name="_Toc28157"/>
      <w:r>
        <w:rPr>
          <w:rFonts w:hint="eastAsia" w:ascii="楷体_GB2312" w:hAnsi="楷体_GB2312" w:eastAsia="楷体_GB2312" w:cs="楷体_GB2312"/>
          <w:b/>
          <w:bCs/>
          <w:kern w:val="2"/>
          <w:sz w:val="32"/>
          <w:szCs w:val="32"/>
          <w:lang w:val="en-US" w:eastAsia="zh-CN" w:bidi="ar-SA"/>
        </w:rPr>
        <w:t>（四）预算绩效情况说明</w:t>
      </w:r>
    </w:p>
    <w:bookmarkEnd w:id="72"/>
    <w:p>
      <w:pPr>
        <w:spacing w:line="580" w:lineRule="exact"/>
        <w:ind w:firstLine="642" w:firstLineChars="200"/>
        <w:rPr>
          <w:rFonts w:ascii="楷体_GB2312" w:hAnsi="楷体_GB2312" w:eastAsia="楷体_GB2312" w:cs="楷体_GB2312"/>
          <w:b/>
          <w:bCs/>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绩效目标管理情况</w:t>
      </w:r>
    </w:p>
    <w:p>
      <w:pPr>
        <w:spacing w:line="53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w:t>
      </w:r>
      <w:r>
        <w:rPr>
          <w:rFonts w:ascii="仿宋_GB2312" w:eastAsia="仿宋_GB2312"/>
          <w:color w:val="000000"/>
          <w:sz w:val="32"/>
          <w:szCs w:val="32"/>
        </w:rPr>
        <w:t>2021</w:t>
      </w:r>
      <w:r>
        <w:rPr>
          <w:rFonts w:hint="eastAsia" w:ascii="仿宋_GB2312" w:eastAsia="仿宋_GB2312"/>
          <w:color w:val="000000"/>
          <w:sz w:val="32"/>
          <w:szCs w:val="32"/>
        </w:rPr>
        <w:t>年部门预算整体支出和部门项目支出开展了绩效目标管理，共编制绩效目标</w:t>
      </w:r>
      <w:r>
        <w:rPr>
          <w:rFonts w:ascii="仿宋_GB2312" w:eastAsia="仿宋_GB2312"/>
          <w:color w:val="000000"/>
          <w:sz w:val="32"/>
          <w:szCs w:val="32"/>
        </w:rPr>
        <w:t>2</w:t>
      </w:r>
      <w:r>
        <w:rPr>
          <w:rFonts w:hint="eastAsia" w:ascii="仿宋_GB2312" w:eastAsia="仿宋_GB2312"/>
          <w:color w:val="000000"/>
          <w:sz w:val="32"/>
          <w:szCs w:val="32"/>
        </w:rPr>
        <w:t>个。</w:t>
      </w:r>
    </w:p>
    <w:p>
      <w:pPr>
        <w:spacing w:line="580" w:lineRule="exact"/>
        <w:ind w:firstLine="642" w:firstLineChars="200"/>
        <w:rPr>
          <w:rFonts w:ascii="楷体_GB2312" w:hAnsi="楷体_GB2312" w:eastAsia="楷体_GB2312" w:cs="楷体_GB2312"/>
          <w:b/>
          <w:bCs/>
          <w:sz w:val="32"/>
          <w:szCs w:val="32"/>
        </w:rPr>
      </w:pPr>
      <w:r>
        <w:rPr>
          <w:rFonts w:hint="eastAsia" w:ascii="仿宋_GB2312" w:eastAsia="仿宋_GB2312"/>
          <w:b/>
          <w:color w:val="000000"/>
          <w:sz w:val="32"/>
          <w:szCs w:val="32"/>
          <w:lang w:val="en-US" w:eastAsia="zh-CN"/>
        </w:rPr>
        <w:t>2、部门整体支出绩效自评开展情况</w:t>
      </w:r>
    </w:p>
    <w:p>
      <w:pPr>
        <w:spacing w:line="536" w:lineRule="exact"/>
        <w:ind w:firstLine="640" w:firstLineChars="200"/>
        <w:rPr>
          <w:rFonts w:ascii="黑体" w:hAnsi="黑体" w:eastAsia="黑体"/>
          <w:color w:val="000000"/>
          <w:sz w:val="32"/>
          <w:szCs w:val="32"/>
        </w:rPr>
      </w:pPr>
      <w:r>
        <w:rPr>
          <w:rFonts w:hint="eastAsia" w:ascii="仿宋_GB2312" w:eastAsia="仿宋_GB2312"/>
          <w:color w:val="000000"/>
          <w:sz w:val="32"/>
          <w:szCs w:val="32"/>
        </w:rPr>
        <w:t>按照预算绩效管理要求，本部门对</w:t>
      </w:r>
      <w:r>
        <w:rPr>
          <w:rFonts w:ascii="仿宋_GB2312" w:eastAsia="仿宋_GB2312"/>
          <w:color w:val="000000"/>
          <w:sz w:val="32"/>
          <w:szCs w:val="32"/>
        </w:rPr>
        <w:t>2021</w:t>
      </w:r>
      <w:r>
        <w:rPr>
          <w:rFonts w:hint="eastAsia" w:ascii="仿宋_GB2312" w:eastAsia="仿宋_GB2312"/>
          <w:color w:val="000000"/>
          <w:sz w:val="32"/>
          <w:szCs w:val="32"/>
        </w:rPr>
        <w:t>年整体支出开展绩效自评，自评得分</w:t>
      </w:r>
      <w:r>
        <w:rPr>
          <w:rFonts w:ascii="仿宋_GB2312" w:eastAsia="仿宋_GB2312"/>
          <w:color w:val="000000"/>
          <w:sz w:val="32"/>
          <w:szCs w:val="32"/>
        </w:rPr>
        <w:t>87</w:t>
      </w:r>
      <w:r>
        <w:rPr>
          <w:rFonts w:hint="eastAsia" w:ascii="仿宋_GB2312" w:eastAsia="仿宋_GB2312"/>
          <w:color w:val="000000"/>
          <w:sz w:val="32"/>
          <w:szCs w:val="32"/>
        </w:rPr>
        <w:t>分。</w:t>
      </w:r>
    </w:p>
    <w:p>
      <w:pPr>
        <w:spacing w:line="536" w:lineRule="exact"/>
        <w:jc w:val="center"/>
        <w:rPr>
          <w:rFonts w:ascii="黑体" w:hAnsi="黑体" w:eastAsia="黑体"/>
          <w:color w:val="000000"/>
          <w:sz w:val="32"/>
          <w:szCs w:val="32"/>
        </w:rPr>
      </w:pPr>
      <w:r>
        <w:rPr>
          <w:rFonts w:ascii="黑体" w:hAnsi="黑体" w:eastAsia="黑体"/>
          <w:color w:val="000000"/>
          <w:sz w:val="32"/>
          <w:szCs w:val="32"/>
        </w:rPr>
        <w:t>2021</w:t>
      </w:r>
      <w:r>
        <w:rPr>
          <w:rFonts w:hint="eastAsia" w:ascii="黑体" w:hAnsi="黑体" w:eastAsia="黑体"/>
          <w:color w:val="000000"/>
          <w:sz w:val="32"/>
          <w:szCs w:val="32"/>
        </w:rPr>
        <w:t>年部门整体支出绩效评价得分表</w:t>
      </w:r>
    </w:p>
    <w:p>
      <w:pPr>
        <w:spacing w:line="536" w:lineRule="exact"/>
        <w:jc w:val="center"/>
        <w:rPr>
          <w:rFonts w:ascii="黑体" w:hAnsi="黑体" w:eastAsia="黑体"/>
          <w:color w:val="000000"/>
          <w:sz w:val="32"/>
          <w:szCs w:val="32"/>
        </w:rPr>
      </w:pPr>
    </w:p>
    <w:tbl>
      <w:tblPr>
        <w:tblStyle w:val="12"/>
        <w:tblW w:w="0" w:type="auto"/>
        <w:jc w:val="center"/>
        <w:tblLayout w:type="fixed"/>
        <w:tblCellMar>
          <w:top w:w="0" w:type="dxa"/>
          <w:left w:w="108" w:type="dxa"/>
          <w:bottom w:w="0" w:type="dxa"/>
          <w:right w:w="108" w:type="dxa"/>
        </w:tblCellMar>
      </w:tblPr>
      <w:tblGrid>
        <w:gridCol w:w="1490"/>
        <w:gridCol w:w="1986"/>
        <w:gridCol w:w="3567"/>
        <w:gridCol w:w="1275"/>
      </w:tblGrid>
      <w:tr>
        <w:tblPrEx>
          <w:tblCellMar>
            <w:top w:w="0" w:type="dxa"/>
            <w:left w:w="108" w:type="dxa"/>
            <w:bottom w:w="0" w:type="dxa"/>
            <w:right w:w="108" w:type="dxa"/>
          </w:tblCellMar>
        </w:tblPrEx>
        <w:trPr>
          <w:trHeight w:val="45" w:hRule="atLeast"/>
          <w:jc w:val="center"/>
        </w:trPr>
        <w:tc>
          <w:tcPr>
            <w:tcW w:w="1490" w:type="dxa"/>
            <w:tcBorders>
              <w:top w:val="single" w:color="auto" w:sz="4" w:space="0"/>
              <w:left w:val="single" w:color="auto" w:sz="4" w:space="0"/>
              <w:bottom w:val="single" w:color="auto" w:sz="4" w:space="0"/>
              <w:right w:val="single" w:color="auto" w:sz="4" w:space="0"/>
            </w:tcBorders>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一级指标</w:t>
            </w:r>
          </w:p>
        </w:tc>
        <w:tc>
          <w:tcPr>
            <w:tcW w:w="1986" w:type="dxa"/>
            <w:tcBorders>
              <w:top w:val="single" w:color="auto" w:sz="4" w:space="0"/>
              <w:left w:val="nil"/>
              <w:bottom w:val="single" w:color="auto" w:sz="4" w:space="0"/>
              <w:right w:val="single" w:color="auto" w:sz="4" w:space="0"/>
            </w:tcBorders>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二级指标</w:t>
            </w:r>
          </w:p>
        </w:tc>
        <w:tc>
          <w:tcPr>
            <w:tcW w:w="3567" w:type="dxa"/>
            <w:tcBorders>
              <w:top w:val="single" w:color="auto" w:sz="4" w:space="0"/>
              <w:left w:val="nil"/>
              <w:bottom w:val="single" w:color="auto" w:sz="4" w:space="0"/>
              <w:right w:val="single" w:color="auto" w:sz="4" w:space="0"/>
            </w:tcBorders>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275" w:type="dxa"/>
            <w:tcBorders>
              <w:top w:val="single" w:color="auto" w:sz="4" w:space="0"/>
              <w:left w:val="nil"/>
              <w:bottom w:val="single" w:color="auto" w:sz="4" w:space="0"/>
              <w:right w:val="single" w:color="auto" w:sz="4" w:space="0"/>
            </w:tcBorders>
            <w:noWrap/>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45" w:hRule="atLeast"/>
          <w:jc w:val="center"/>
        </w:trPr>
        <w:tc>
          <w:tcPr>
            <w:tcW w:w="1490"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部门决策（</w:t>
            </w:r>
            <w:r>
              <w:rPr>
                <w:rFonts w:ascii="宋体" w:hAnsi="宋体" w:cs="宋体"/>
                <w:color w:val="000000"/>
                <w:kern w:val="0"/>
                <w:sz w:val="20"/>
                <w:szCs w:val="20"/>
              </w:rPr>
              <w:t>25</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目标任务（</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相关性（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明确性（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4</w:t>
            </w:r>
          </w:p>
        </w:tc>
      </w:tr>
      <w:tr>
        <w:tblPrEx>
          <w:tblCellMar>
            <w:top w:w="0" w:type="dxa"/>
            <w:left w:w="108" w:type="dxa"/>
            <w:bottom w:w="0" w:type="dxa"/>
            <w:right w:w="108" w:type="dxa"/>
          </w:tblCellMar>
        </w:tblPrEx>
        <w:trPr>
          <w:trHeight w:val="90"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合理性（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测算依据（</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目标管理（</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专项资金分配时限（</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省级财力专项预算分配时限（</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中央专款分配合规率（</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绩效监控（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预算执行进度监控（</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绩效目标动态监控（</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非税收入执收情况（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非税收入征收情况（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非税收入上缴情况（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资产管理信息化情况（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行政事业单位资产报告情况（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资产管理与预算管理相结合（</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p>
        </w:tc>
        <w:tc>
          <w:tcPr>
            <w:tcW w:w="1986"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内部控制制度健全完整（</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绩效评价开展（</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评价结果应用（</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cs="宋体"/>
                <w:color w:val="000000"/>
                <w:kern w:val="0"/>
                <w:sz w:val="20"/>
                <w:szCs w:val="20"/>
              </w:rPr>
              <w:t>2</w:t>
            </w:r>
          </w:p>
        </w:tc>
      </w:tr>
      <w:tr>
        <w:tblPrEx>
          <w:tblCellMar>
            <w:top w:w="0" w:type="dxa"/>
            <w:left w:w="108" w:type="dxa"/>
            <w:bottom w:w="0" w:type="dxa"/>
            <w:right w:w="108" w:type="dxa"/>
          </w:tblCellMar>
        </w:tblPrEx>
        <w:trPr>
          <w:trHeight w:val="935" w:hRule="atLeast"/>
          <w:jc w:val="center"/>
        </w:trPr>
        <w:tc>
          <w:tcPr>
            <w:tcW w:w="1490"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部门绩效情况（</w:t>
            </w:r>
            <w:r>
              <w:rPr>
                <w:rFonts w:ascii="宋体" w:hAnsi="宋体" w:cs="宋体"/>
                <w:color w:val="000000"/>
                <w:kern w:val="0"/>
                <w:sz w:val="20"/>
                <w:szCs w:val="20"/>
              </w:rPr>
              <w:t>45</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履职成效（</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567" w:type="dxa"/>
            <w:tcBorders>
              <w:top w:val="single" w:color="auto" w:sz="4" w:space="0"/>
              <w:left w:val="single" w:color="auto" w:sz="4" w:space="0"/>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部门特性指标</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16</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可持续发展能力（</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567" w:type="dxa"/>
            <w:tcBorders>
              <w:top w:val="single" w:color="auto" w:sz="4" w:space="0"/>
              <w:left w:val="single" w:color="auto" w:sz="4" w:space="0"/>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重点改革（重点工作）完成情况（</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single" w:color="auto" w:sz="4" w:space="0"/>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科技（制度、方法、机制等）创新（</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人才培养（</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满意度（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协作部门满意度（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管理对象满意度（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131" w:hRule="atLeast"/>
          <w:jc w:val="center"/>
        </w:trPr>
        <w:tc>
          <w:tcPr>
            <w:tcW w:w="1490"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社会公众满意度（</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bl>
    <w:p>
      <w:pPr>
        <w:spacing w:line="536" w:lineRule="exact"/>
        <w:rPr>
          <w:rFonts w:ascii="仿宋_GB2312" w:eastAsia="仿宋_GB2312"/>
          <w:b/>
          <w:color w:val="000000"/>
          <w:sz w:val="32"/>
          <w:szCs w:val="32"/>
        </w:rPr>
      </w:pPr>
    </w:p>
    <w:p>
      <w:pPr>
        <w:spacing w:line="580" w:lineRule="exact"/>
        <w:ind w:firstLine="642" w:firstLineChars="200"/>
        <w:rPr>
          <w:rFonts w:hint="eastAsia" w:ascii="仿宋_GB2312" w:eastAsia="仿宋_GB2312"/>
          <w:b/>
          <w:color w:val="000000"/>
          <w:sz w:val="32"/>
          <w:szCs w:val="32"/>
          <w:lang w:val="en-US" w:eastAsia="zh-CN"/>
        </w:rPr>
      </w:pPr>
      <w:r>
        <w:rPr>
          <w:rFonts w:hint="eastAsia" w:ascii="仿宋_GB2312" w:eastAsia="仿宋_GB2312"/>
          <w:b/>
          <w:color w:val="000000"/>
          <w:sz w:val="32"/>
          <w:szCs w:val="32"/>
          <w:lang w:val="en-US" w:eastAsia="zh-CN"/>
        </w:rPr>
        <w:t>3、部门项目绩效评价开展情况</w:t>
      </w:r>
    </w:p>
    <w:p>
      <w:pPr>
        <w:spacing w:line="536" w:lineRule="exact"/>
        <w:ind w:firstLine="640" w:firstLineChars="200"/>
        <w:rPr>
          <w:rFonts w:ascii="黑体" w:hAnsi="黑体" w:eastAsia="黑体"/>
          <w:color w:val="000000"/>
          <w:sz w:val="32"/>
          <w:szCs w:val="32"/>
        </w:rPr>
      </w:pPr>
      <w:r>
        <w:rPr>
          <w:rFonts w:hint="eastAsia" w:ascii="仿宋_GB2312" w:eastAsia="仿宋_GB2312"/>
          <w:color w:val="000000"/>
          <w:sz w:val="32"/>
          <w:szCs w:val="32"/>
        </w:rPr>
        <w:t>本部门对项目开展了支出绩效评价，得分为</w:t>
      </w:r>
      <w:r>
        <w:rPr>
          <w:rFonts w:ascii="仿宋_GB2312" w:eastAsia="仿宋_GB2312"/>
          <w:color w:val="000000"/>
          <w:sz w:val="32"/>
          <w:szCs w:val="32"/>
        </w:rPr>
        <w:t>87</w:t>
      </w:r>
      <w:r>
        <w:rPr>
          <w:rFonts w:hint="eastAsia" w:ascii="仿宋_GB2312" w:eastAsia="仿宋_GB2312"/>
          <w:color w:val="000000"/>
          <w:sz w:val="32"/>
          <w:szCs w:val="32"/>
        </w:rPr>
        <w:t>分。</w:t>
      </w:r>
    </w:p>
    <w:p>
      <w:pPr>
        <w:spacing w:line="536" w:lineRule="exact"/>
        <w:jc w:val="center"/>
        <w:rPr>
          <w:rFonts w:ascii="黑体" w:hAnsi="黑体" w:eastAsia="黑体"/>
          <w:color w:val="000000"/>
          <w:sz w:val="32"/>
          <w:szCs w:val="32"/>
        </w:rPr>
      </w:pPr>
      <w:r>
        <w:rPr>
          <w:rFonts w:ascii="黑体" w:hAnsi="黑体" w:eastAsia="黑体"/>
          <w:color w:val="000000"/>
          <w:sz w:val="32"/>
          <w:szCs w:val="32"/>
        </w:rPr>
        <w:t>2021</w:t>
      </w:r>
      <w:r>
        <w:rPr>
          <w:rFonts w:hint="eastAsia" w:ascii="黑体" w:hAnsi="黑体" w:eastAsia="黑体"/>
          <w:color w:val="000000"/>
          <w:sz w:val="32"/>
          <w:szCs w:val="32"/>
        </w:rPr>
        <w:t>年项目支出绩效评价得分表</w:t>
      </w:r>
    </w:p>
    <w:p>
      <w:pPr>
        <w:spacing w:line="536" w:lineRule="exact"/>
        <w:jc w:val="center"/>
        <w:rPr>
          <w:rFonts w:ascii="黑体" w:hAnsi="黑体" w:eastAsia="黑体"/>
          <w:color w:val="000000"/>
          <w:sz w:val="32"/>
          <w:szCs w:val="32"/>
        </w:rPr>
      </w:pPr>
    </w:p>
    <w:tbl>
      <w:tblPr>
        <w:tblStyle w:val="12"/>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854"/>
        <w:gridCol w:w="3103"/>
        <w:gridCol w:w="1150"/>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单位名称</w:t>
            </w:r>
          </w:p>
        </w:tc>
        <w:tc>
          <w:tcPr>
            <w:tcW w:w="7259" w:type="dxa"/>
            <w:gridSpan w:val="4"/>
            <w:noWrap/>
            <w:vAlign w:val="center"/>
          </w:tcPr>
          <w:p>
            <w:pPr>
              <w:widowControl/>
              <w:spacing w:line="536" w:lineRule="exact"/>
              <w:jc w:val="center"/>
              <w:rPr>
                <w:rFonts w:ascii="宋体" w:cs="宋体"/>
                <w:b/>
                <w:bCs/>
                <w:color w:val="000000"/>
                <w:kern w:val="0"/>
                <w:sz w:val="18"/>
                <w:szCs w:val="18"/>
              </w:rPr>
            </w:pPr>
            <w:r>
              <w:rPr>
                <w:rFonts w:hint="eastAsia" w:ascii="宋体" w:hAnsi="宋体" w:cs="宋体"/>
                <w:b/>
                <w:bCs/>
                <w:color w:val="000000"/>
                <w:kern w:val="0"/>
                <w:sz w:val="18"/>
                <w:szCs w:val="18"/>
              </w:rPr>
              <w:t>金川县畜牧兽医服务中心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w:t>
            </w:r>
          </w:p>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1854"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w:t>
            </w:r>
          </w:p>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3103"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150"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分值</w:t>
            </w:r>
          </w:p>
        </w:tc>
        <w:tc>
          <w:tcPr>
            <w:tcW w:w="1152" w:type="dxa"/>
            <w:noWrap/>
            <w:vAlign w:val="center"/>
          </w:tcPr>
          <w:p>
            <w:pPr>
              <w:widowControl/>
              <w:spacing w:line="536" w:lineRule="exact"/>
              <w:jc w:val="center"/>
              <w:rPr>
                <w:rFonts w:asci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项目决策</w:t>
            </w:r>
          </w:p>
        </w:tc>
        <w:tc>
          <w:tcPr>
            <w:tcW w:w="1854"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科学决策</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必要性</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（政策依据）</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2"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可行性</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（政策完善）</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绩效目标</w:t>
            </w:r>
            <w:r>
              <w:rPr>
                <w:rFonts w:ascii="宋体" w:hAnsi="宋体" w:cs="宋体"/>
                <w:color w:val="000000"/>
                <w:kern w:val="0"/>
                <w:sz w:val="20"/>
                <w:szCs w:val="20"/>
              </w:rPr>
              <w:t xml:space="preserve">    </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明确性</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合理性</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项目管理</w:t>
            </w:r>
          </w:p>
        </w:tc>
        <w:tc>
          <w:tcPr>
            <w:tcW w:w="1854"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7</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资金管理</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资金分配</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textDirection w:val="tbRlV"/>
            <w:vAlign w:val="center"/>
          </w:tcPr>
          <w:p>
            <w:pPr>
              <w:widowControl/>
              <w:spacing w:line="536" w:lineRule="exact"/>
              <w:jc w:val="center"/>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资金使用</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项目执行</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执行规范</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（特性指标</w:t>
            </w:r>
            <w:r>
              <w:rPr>
                <w:rFonts w:ascii="宋体" w:hAnsi="宋体" w:cs="宋体"/>
                <w:color w:val="000000"/>
                <w:kern w:val="0"/>
                <w:sz w:val="20"/>
                <w:szCs w:val="20"/>
              </w:rPr>
              <w:t>70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项目绩效</w:t>
            </w:r>
            <w:r>
              <w:rPr>
                <w:rFonts w:ascii="宋体" w:hAnsi="宋体" w:cs="宋体"/>
                <w:color w:val="000000"/>
                <w:kern w:val="0"/>
                <w:sz w:val="20"/>
                <w:szCs w:val="20"/>
              </w:rPr>
              <w:t xml:space="preserve">  </w:t>
            </w:r>
          </w:p>
        </w:tc>
        <w:tc>
          <w:tcPr>
            <w:tcW w:w="1854"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项目完成</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完成数量</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完成质量</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152" w:type="dxa"/>
            <w:noWrap/>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完成时效</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完成成本</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restart"/>
            <w:noWrap/>
            <w:textDirection w:val="tbRlV"/>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50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项目效益</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经济效益（可选项）</w:t>
            </w:r>
          </w:p>
        </w:tc>
        <w:tc>
          <w:tcPr>
            <w:tcW w:w="1150" w:type="dxa"/>
            <w:vMerge w:val="restart"/>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40</w:t>
            </w:r>
          </w:p>
        </w:tc>
        <w:tc>
          <w:tcPr>
            <w:tcW w:w="1152" w:type="dxa"/>
            <w:vMerge w:val="restart"/>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社会效益（可选项）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vAlign w:val="center"/>
          </w:tcPr>
          <w:p>
            <w:pPr>
              <w:widowControl/>
              <w:spacing w:line="536" w:lineRule="exact"/>
              <w:jc w:val="center"/>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生态效益（可选项）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可持续效益（可选项）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公平效率（可选项）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使用效率（可选项）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服务对象满意度</w:t>
            </w:r>
            <w:r>
              <w:rPr>
                <w:rFonts w:ascii="宋体" w:hAnsi="宋体" w:cs="宋体"/>
                <w:color w:val="000000"/>
                <w:kern w:val="0"/>
                <w:sz w:val="20"/>
                <w:szCs w:val="20"/>
              </w:rPr>
              <w:t xml:space="preserve">    </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10</w:t>
            </w:r>
          </w:p>
        </w:tc>
        <w:tc>
          <w:tcPr>
            <w:tcW w:w="1152" w:type="dxa"/>
            <w:noWrap/>
          </w:tcPr>
          <w:p>
            <w:pPr>
              <w:widowControl/>
              <w:spacing w:line="536" w:lineRule="exact"/>
              <w:jc w:val="center"/>
              <w:rPr>
                <w:rFonts w:ascii="宋体" w:cs="宋体"/>
                <w:color w:val="000000"/>
                <w:kern w:val="0"/>
                <w:sz w:val="15"/>
                <w:szCs w:val="15"/>
              </w:rPr>
            </w:pPr>
            <w:r>
              <w:rPr>
                <w:rFonts w:ascii="宋体" w:cs="宋体"/>
                <w:color w:val="000000"/>
                <w:kern w:val="0"/>
                <w:sz w:val="15"/>
                <w:szCs w:val="15"/>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20" w:type="dxa"/>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总分</w:t>
            </w:r>
          </w:p>
        </w:tc>
        <w:tc>
          <w:tcPr>
            <w:tcW w:w="7259" w:type="dxa"/>
            <w:gridSpan w:val="4"/>
            <w:noWrap/>
            <w:vAlign w:val="center"/>
          </w:tcPr>
          <w:p>
            <w:pPr>
              <w:widowControl/>
              <w:spacing w:line="536" w:lineRule="exact"/>
              <w:jc w:val="center"/>
              <w:rPr>
                <w:rFonts w:ascii="宋体" w:cs="宋体"/>
                <w:color w:val="000000"/>
                <w:kern w:val="0"/>
                <w:sz w:val="15"/>
                <w:szCs w:val="15"/>
              </w:rPr>
            </w:pPr>
            <w:r>
              <w:rPr>
                <w:rFonts w:ascii="宋体" w:cs="宋体"/>
                <w:color w:val="000000"/>
                <w:kern w:val="0"/>
                <w:sz w:val="15"/>
                <w:szCs w:val="15"/>
              </w:rPr>
              <w:t>87</w:t>
            </w:r>
          </w:p>
        </w:tc>
      </w:tr>
    </w:tbl>
    <w:p>
      <w:pPr>
        <w:numPr>
          <w:ilvl w:val="0"/>
          <w:numId w:val="0"/>
        </w:numPr>
        <w:spacing w:line="580" w:lineRule="exact"/>
        <w:ind w:firstLine="642" w:firstLineChars="200"/>
        <w:rPr>
          <w:rFonts w:ascii="楷体_GB2312" w:hAnsi="楷体_GB2312" w:eastAsia="楷体_GB2312" w:cs="楷体_GB2312"/>
          <w:b/>
          <w:bCs/>
          <w:sz w:val="32"/>
          <w:szCs w:val="32"/>
        </w:rPr>
      </w:pPr>
      <w:r>
        <w:rPr>
          <w:rFonts w:hint="eastAsia" w:ascii="仿宋_GB2312" w:eastAsia="仿宋_GB2312"/>
          <w:b/>
          <w:color w:val="000000"/>
          <w:sz w:val="32"/>
          <w:szCs w:val="32"/>
          <w:lang w:val="en-US" w:eastAsia="zh-CN"/>
        </w:rPr>
        <w:t>4、绩效目标设置情况</w:t>
      </w:r>
    </w:p>
    <w:p>
      <w:pPr>
        <w:spacing w:line="580" w:lineRule="exact"/>
        <w:ind w:firstLine="640" w:firstLineChars="200"/>
        <w:rPr>
          <w:rFonts w:hint="eastAsia" w:ascii="仿宋_GB2312" w:eastAsia="仿宋_GB2312"/>
          <w:color w:val="000000"/>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《金川县畜牧兽医服务中心</w:t>
      </w:r>
      <w:r>
        <w:rPr>
          <w:rFonts w:ascii="仿宋_GB2312" w:eastAsia="仿宋_GB2312"/>
          <w:sz w:val="32"/>
          <w:szCs w:val="32"/>
        </w:rPr>
        <w:t>2021</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autoSpaceDE w:val="0"/>
        <w:autoSpaceDN w:val="0"/>
        <w:adjustRightInd w:val="0"/>
        <w:spacing w:line="536" w:lineRule="exact"/>
        <w:ind w:firstLine="640" w:firstLineChars="200"/>
        <w:jc w:val="center"/>
        <w:rPr>
          <w:rFonts w:ascii="仿宋_GB2312" w:eastAsia="仿宋_GB2312"/>
          <w:color w:val="000000"/>
          <w:sz w:val="32"/>
          <w:szCs w:val="32"/>
        </w:rPr>
      </w:pPr>
    </w:p>
    <w:p>
      <w:pPr>
        <w:numPr>
          <w:ilvl w:val="0"/>
          <w:numId w:val="2"/>
        </w:numPr>
        <w:spacing w:line="600" w:lineRule="exact"/>
        <w:ind w:firstLine="662" w:firstLineChars="150"/>
        <w:jc w:val="center"/>
        <w:outlineLvl w:val="0"/>
        <w:rPr>
          <w:rStyle w:val="16"/>
          <w:rFonts w:ascii="黑体" w:eastAsia="黑体"/>
          <w:b w:val="0"/>
        </w:rPr>
      </w:pPr>
      <w:bookmarkStart w:id="73" w:name="_Toc5986"/>
      <w:r>
        <w:rPr>
          <w:rFonts w:hint="eastAsia" w:ascii="黑体" w:eastAsia="黑体"/>
          <w:b/>
          <w:color w:val="000000"/>
          <w:sz w:val="44"/>
          <w:szCs w:val="44"/>
        </w:rPr>
        <w:t>名</w:t>
      </w:r>
      <w:r>
        <w:rPr>
          <w:rStyle w:val="16"/>
          <w:rFonts w:hint="eastAsia" w:ascii="黑体" w:eastAsia="黑体"/>
          <w:b w:val="0"/>
        </w:rPr>
        <w:t>词解释</w:t>
      </w:r>
      <w:bookmarkEnd w:id="70"/>
      <w:bookmarkEnd w:id="71"/>
      <w:bookmarkEnd w:id="73"/>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s="仿宋"/>
          <w:color w:val="000000"/>
          <w:kern w:val="0"/>
          <w:sz w:val="32"/>
          <w:szCs w:val="32"/>
        </w:rPr>
        <w:t>一般公共服务（类）相关机构事务（款）行政运行（项）：指行政单位的基本支出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s="仿宋"/>
          <w:color w:val="000000"/>
          <w:kern w:val="0"/>
          <w:sz w:val="32"/>
          <w:szCs w:val="32"/>
        </w:rPr>
        <w:t>一般公共服务（类）相关机构事务（款）一般行政管理事务（项）：</w:t>
      </w:r>
      <w:r>
        <w:rPr>
          <w:rFonts w:hint="eastAsia" w:ascii="仿宋_GB2312" w:eastAsia="仿宋_GB2312"/>
          <w:color w:val="000000"/>
          <w:sz w:val="32"/>
          <w:szCs w:val="32"/>
        </w:rPr>
        <w:t>指反映行政单位未单独设置</w:t>
      </w:r>
      <w:r>
        <w:rPr>
          <w:rFonts w:hint="eastAsia" w:ascii="仿宋_GB2312" w:eastAsia="仿宋_GB2312"/>
          <w:color w:val="000000"/>
          <w:sz w:val="32"/>
          <w:szCs w:val="32"/>
          <w:lang w:eastAsia="zh-CN"/>
        </w:rPr>
        <w:t>项级</w:t>
      </w:r>
      <w:r>
        <w:rPr>
          <w:rFonts w:hint="eastAsia" w:ascii="仿宋_GB2312" w:eastAsia="仿宋_GB2312"/>
          <w:color w:val="000000"/>
          <w:sz w:val="32"/>
          <w:szCs w:val="32"/>
        </w:rPr>
        <w:t>科目的其他项目支出。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除上述项目以外用于教育管理事务方面的支出。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黑体" w:eastAsia="黑体"/>
          <w:color w:val="000000"/>
          <w:sz w:val="44"/>
          <w:szCs w:val="44"/>
        </w:rPr>
      </w:pPr>
      <w:r>
        <w:rPr>
          <w:rFonts w:ascii="仿宋_GB2312" w:eastAsia="仿宋_GB2312"/>
          <w:sz w:val="32"/>
          <w:szCs w:val="32"/>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4" w:name="_Toc15396614"/>
      <w:bookmarkStart w:id="75" w:name="_Toc15377226"/>
    </w:p>
    <w:p>
      <w:pPr>
        <w:spacing w:line="600" w:lineRule="exact"/>
        <w:outlineLvl w:val="0"/>
        <w:rPr>
          <w:rFonts w:ascii="黑体" w:eastAsia="黑体"/>
          <w:color w:val="000000"/>
          <w:sz w:val="44"/>
          <w:szCs w:val="44"/>
        </w:rPr>
      </w:pPr>
    </w:p>
    <w:p>
      <w:pPr>
        <w:numPr>
          <w:ilvl w:val="0"/>
          <w:numId w:val="2"/>
        </w:numPr>
        <w:spacing w:line="600" w:lineRule="exact"/>
        <w:ind w:firstLine="660" w:firstLineChars="150"/>
        <w:jc w:val="center"/>
        <w:outlineLvl w:val="0"/>
        <w:rPr>
          <w:rStyle w:val="16"/>
          <w:rFonts w:ascii="黑体" w:eastAsia="黑体"/>
          <w:b w:val="0"/>
        </w:rPr>
      </w:pPr>
      <w:bookmarkStart w:id="76" w:name="_Toc31479"/>
      <w:r>
        <w:rPr>
          <w:rStyle w:val="16"/>
          <w:rFonts w:hint="eastAsia" w:ascii="黑体" w:eastAsia="黑体"/>
          <w:b w:val="0"/>
        </w:rPr>
        <w:t>附件</w:t>
      </w:r>
      <w:bookmarkEnd w:id="74"/>
      <w:bookmarkEnd w:id="76"/>
    </w:p>
    <w:p>
      <w:pPr>
        <w:outlineLvl w:val="0"/>
        <w:rPr>
          <w:rStyle w:val="16"/>
          <w:rFonts w:ascii="黑体" w:eastAsia="黑体"/>
          <w:b w:val="0"/>
        </w:rPr>
      </w:pPr>
    </w:p>
    <w:bookmarkEnd w:id="75"/>
    <w:p>
      <w:pPr>
        <w:widowControl/>
        <w:spacing w:line="576"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金川县畜牧兽医服务中心</w:t>
      </w:r>
    </w:p>
    <w:p>
      <w:pPr>
        <w:widowControl/>
        <w:spacing w:line="576" w:lineRule="exact"/>
        <w:jc w:val="center"/>
        <w:rPr>
          <w:rFonts w:ascii="方正小标宋简体" w:hAnsi="宋体" w:eastAsia="方正小标宋简体" w:cs="方正小标宋简体"/>
          <w:sz w:val="44"/>
          <w:szCs w:val="44"/>
        </w:rPr>
      </w:pPr>
      <w:r>
        <w:rPr>
          <w:rFonts w:ascii="方正小标宋简体" w:hAnsi="宋体" w:eastAsia="方正小标宋简体" w:cs="方正小标宋简体"/>
          <w:sz w:val="44"/>
          <w:szCs w:val="44"/>
        </w:rPr>
        <w:t>2021</w:t>
      </w:r>
      <w:r>
        <w:rPr>
          <w:rFonts w:hint="eastAsia" w:ascii="方正小标宋简体" w:hAnsi="宋体" w:eastAsia="方正小标宋简体" w:cs="方正小标宋简体"/>
          <w:sz w:val="44"/>
          <w:szCs w:val="44"/>
        </w:rPr>
        <w:t>年部门预算整体支出绩效报告</w:t>
      </w:r>
    </w:p>
    <w:p>
      <w:pPr>
        <w:widowControl/>
        <w:spacing w:line="576" w:lineRule="exact"/>
        <w:rPr>
          <w:rFonts w:ascii="方正小标宋简体" w:hAnsi="宋体" w:eastAsia="方正小标宋简体" w:cs="方正小标宋简体"/>
          <w:sz w:val="44"/>
          <w:szCs w:val="44"/>
        </w:rPr>
      </w:pPr>
    </w:p>
    <w:p>
      <w:pPr>
        <w:spacing w:line="576" w:lineRule="exact"/>
        <w:rPr>
          <w:rFonts w:ascii="仿宋_GB2312" w:eastAsia="仿宋_GB2312" w:cs="仿宋"/>
          <w:color w:val="000000"/>
          <w:kern w:val="0"/>
          <w:sz w:val="32"/>
          <w:szCs w:val="32"/>
        </w:rPr>
      </w:pPr>
      <w:r>
        <w:rPr>
          <w:rFonts w:ascii="仿宋" w:hAnsi="仿宋" w:eastAsia="仿宋" w:cs="仿宋"/>
          <w:color w:val="000000"/>
          <w:kern w:val="0"/>
          <w:sz w:val="32"/>
          <w:szCs w:val="32"/>
          <w:shd w:val="clear" w:color="auto" w:fill="FFFFFF"/>
        </w:rPr>
        <w:t xml:space="preserve">   </w:t>
      </w:r>
      <w:r>
        <w:rPr>
          <w:rFonts w:ascii="仿宋_GB2312" w:eastAsia="仿宋_GB2312" w:cs="仿宋"/>
          <w:color w:val="000000"/>
          <w:kern w:val="0"/>
          <w:sz w:val="32"/>
          <w:szCs w:val="32"/>
        </w:rPr>
        <w:t xml:space="preserve"> </w:t>
      </w:r>
      <w:r>
        <w:rPr>
          <w:rFonts w:hint="eastAsia" w:ascii="仿宋_GB2312" w:eastAsia="仿宋_GB2312" w:cs="仿宋"/>
          <w:color w:val="000000"/>
          <w:kern w:val="0"/>
          <w:sz w:val="32"/>
          <w:szCs w:val="32"/>
        </w:rPr>
        <w:t>根据《金川县财政局关于开展</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年部门、政策和项目支出绩效评价工作的通知》（金财监绩〔</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26</w:t>
      </w:r>
      <w:r>
        <w:rPr>
          <w:rFonts w:hint="eastAsia" w:ascii="仿宋_GB2312" w:eastAsia="仿宋_GB2312" w:cs="仿宋"/>
          <w:color w:val="000000"/>
          <w:kern w:val="0"/>
          <w:sz w:val="32"/>
          <w:szCs w:val="32"/>
        </w:rPr>
        <w:t>号）文件要求，为深入贯彻落实财政部《项目支出绩效评价管理办法》（财预〔</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10</w:t>
      </w:r>
      <w:r>
        <w:rPr>
          <w:rFonts w:hint="eastAsia" w:ascii="仿宋_GB2312" w:eastAsia="仿宋_GB2312" w:cs="仿宋"/>
          <w:color w:val="000000"/>
          <w:kern w:val="0"/>
          <w:sz w:val="32"/>
          <w:szCs w:val="32"/>
        </w:rPr>
        <w:t>号）、《财政厅关于开展</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年部门、政策和项目支出绩效评价工作的通知》（川财绩〔</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6</w:t>
      </w:r>
      <w:r>
        <w:rPr>
          <w:rFonts w:hint="eastAsia" w:ascii="仿宋_GB2312" w:eastAsia="仿宋_GB2312" w:cs="仿宋"/>
          <w:color w:val="000000"/>
          <w:kern w:val="0"/>
          <w:sz w:val="32"/>
          <w:szCs w:val="32"/>
        </w:rPr>
        <w:t>号）和《阿坝州财政局关于开展</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年部门、政策和项目支出绩效评价工作的通知》（阿州财监绩〔</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w:t>
      </w:r>
      <w:r>
        <w:rPr>
          <w:rFonts w:ascii="仿宋_GB2312" w:eastAsia="仿宋_GB2312" w:cs="仿宋"/>
          <w:color w:val="000000"/>
          <w:kern w:val="0"/>
          <w:sz w:val="32"/>
          <w:szCs w:val="32"/>
        </w:rPr>
        <w:t>11</w:t>
      </w:r>
      <w:r>
        <w:rPr>
          <w:rFonts w:hint="eastAsia" w:ascii="仿宋_GB2312" w:eastAsia="仿宋_GB2312" w:cs="仿宋"/>
          <w:color w:val="000000"/>
          <w:kern w:val="0"/>
          <w:sz w:val="32"/>
          <w:szCs w:val="32"/>
        </w:rPr>
        <w:t>号）文件要求，结合金川县畜牧兽医服务中心的实际，领导高度重视，认真开展部门预算支出绩效自评工作，现将</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年部门预算支出绩效自评工作报告如下：</w:t>
      </w:r>
    </w:p>
    <w:p>
      <w:pPr>
        <w:widowControl/>
        <w:adjustRightInd w:val="0"/>
        <w:snapToGrid w:val="0"/>
        <w:spacing w:line="576" w:lineRule="exact"/>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rPr>
        <w:t>　　</w:t>
      </w:r>
      <w:bookmarkStart w:id="77" w:name="_Toc12662"/>
      <w:r>
        <w:rPr>
          <w:rStyle w:val="17"/>
          <w:rFonts w:hint="eastAsia" w:ascii="黑体" w:eastAsia="黑体"/>
          <w:b w:val="0"/>
        </w:rPr>
        <w:t>一、</w:t>
      </w:r>
      <w:r>
        <w:rPr>
          <w:rStyle w:val="17"/>
          <w:rFonts w:hint="eastAsia" w:ascii="黑体" w:eastAsia="黑体"/>
          <w:b w:val="0"/>
          <w:lang w:val="zh-CN"/>
        </w:rPr>
        <w:t>部门（单位）概况</w:t>
      </w:r>
      <w:bookmarkEnd w:id="77"/>
    </w:p>
    <w:p>
      <w:pPr>
        <w:widowControl/>
        <w:adjustRightInd w:val="0"/>
        <w:snapToGrid w:val="0"/>
        <w:spacing w:line="576" w:lineRule="exact"/>
        <w:rPr>
          <w:rFonts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（一）机构组成</w:t>
      </w:r>
    </w:p>
    <w:p>
      <w:pPr>
        <w:spacing w:line="576"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县畜牧兽医服务中心属独立编制机构和独立核算的事业单位。</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年末独立编制机构</w:t>
      </w:r>
      <w:r>
        <w:rPr>
          <w:rFonts w:ascii="仿宋_GB2312" w:eastAsia="仿宋_GB2312" w:cs="仿宋"/>
          <w:color w:val="000000"/>
          <w:kern w:val="0"/>
          <w:sz w:val="32"/>
          <w:szCs w:val="32"/>
        </w:rPr>
        <w:t>4</w:t>
      </w:r>
      <w:r>
        <w:rPr>
          <w:rFonts w:hint="eastAsia" w:ascii="仿宋_GB2312" w:eastAsia="仿宋_GB2312" w:cs="仿宋"/>
          <w:color w:val="000000"/>
          <w:kern w:val="0"/>
          <w:sz w:val="32"/>
          <w:szCs w:val="32"/>
        </w:rPr>
        <w:t>个，独立核算机构</w:t>
      </w:r>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个。</w:t>
      </w:r>
    </w:p>
    <w:p>
      <w:pPr>
        <w:widowControl/>
        <w:adjustRightInd w:val="0"/>
        <w:snapToGrid w:val="0"/>
        <w:spacing w:line="576" w:lineRule="exact"/>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（二）机构职能</w:t>
      </w:r>
    </w:p>
    <w:p>
      <w:pPr>
        <w:spacing w:line="576"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金川县畜牧兽医服务中心隶属农业部门，单位性质为事业，实行事业单位会计制度。</w:t>
      </w:r>
      <w:r>
        <w:rPr>
          <w:rFonts w:ascii="仿宋_GB2312" w:eastAsia="仿宋_GB2312" w:cs="仿宋"/>
          <w:color w:val="000000"/>
          <w:kern w:val="0"/>
          <w:sz w:val="32"/>
          <w:szCs w:val="32"/>
        </w:rPr>
        <w:t> </w:t>
      </w:r>
      <w:r>
        <w:rPr>
          <w:rFonts w:hint="eastAsia" w:ascii="仿宋_GB2312" w:eastAsia="仿宋_GB2312" w:cs="仿宋"/>
          <w:color w:val="000000"/>
          <w:kern w:val="0"/>
          <w:sz w:val="32"/>
          <w:szCs w:val="32"/>
        </w:rPr>
        <w:t>基本职能为：拟订全县畜牧、兽医和草业发展的政策、法规、规划、计划，并组织实施；负责指导畜牧业规模化养殖、标准化生产和产业化经营，引导畜牧产业结构的调整、畜牧业资源的有效配置和产品品质的改善；负责地方畜禽遗传资源的保护利用和外引良种的管理，组织开展畜禽新品种繁育和生产新技术的推广；负责饲草资源开发及草地建设、保护和监理工作；负责畜产品质量安全监督管理工作，组织开展畜产品质量安全监督管理，指导畜牧生产环境保护与治理；负责全县动物防疫、检疫、兽医医政、兽药药政及畜牧兽医器械管理工作；负责动物疫病监测及预警预报工作；负责兽药、饲料及畜产品质量安全监督抽检工作；负责动物卫生监督执法管理工作；负责畜牧兽医体系建设和管理工作，承担全县畜牧兽医人才开发工作；组织开展畜牧兽医交流与合作；负责农业巡防工作；负责生猪定点屠宰监督管理；承担上级交办的其他事项。</w:t>
      </w:r>
    </w:p>
    <w:p>
      <w:pPr>
        <w:pStyle w:val="5"/>
        <w:adjustRightInd w:val="0"/>
        <w:snapToGrid w:val="0"/>
        <w:spacing w:before="93" w:line="576" w:lineRule="exact"/>
        <w:rPr>
          <w:rFonts w:ascii="仿宋" w:hAnsi="仿宋" w:eastAsia="仿宋" w:cs="仿宋"/>
          <w:b/>
          <w:bCs/>
          <w:color w:val="000000"/>
          <w:sz w:val="32"/>
          <w:szCs w:val="32"/>
          <w:lang w:val="zh-CN"/>
        </w:rPr>
      </w:pPr>
      <w:r>
        <w:rPr>
          <w:rFonts w:hint="eastAsia" w:ascii="仿宋" w:hAnsi="仿宋" w:eastAsia="仿宋" w:cs="仿宋"/>
          <w:color w:val="000000"/>
          <w:sz w:val="32"/>
          <w:szCs w:val="32"/>
          <w:lang w:val="zh-CN"/>
        </w:rPr>
        <w:t>　　</w:t>
      </w:r>
      <w:r>
        <w:rPr>
          <w:rFonts w:hint="eastAsia" w:ascii="楷体_GB2312" w:hAnsi="楷体_GB2312" w:eastAsia="楷体_GB2312" w:cs="楷体_GB2312"/>
          <w:b/>
          <w:bCs/>
          <w:kern w:val="2"/>
          <w:sz w:val="32"/>
          <w:szCs w:val="32"/>
          <w:lang w:val="zh-CN"/>
        </w:rPr>
        <w:t>（三）人员概况</w:t>
      </w:r>
    </w:p>
    <w:p>
      <w:pPr>
        <w:spacing w:line="576"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年年末实有在职</w:t>
      </w:r>
      <w:r>
        <w:rPr>
          <w:rFonts w:ascii="仿宋_GB2312" w:eastAsia="仿宋_GB2312" w:cs="仿宋"/>
          <w:color w:val="000000"/>
          <w:kern w:val="0"/>
          <w:sz w:val="32"/>
          <w:szCs w:val="32"/>
        </w:rPr>
        <w:t>35</w:t>
      </w:r>
      <w:r>
        <w:rPr>
          <w:rFonts w:hint="eastAsia" w:ascii="仿宋_GB2312" w:eastAsia="仿宋_GB2312" w:cs="仿宋"/>
          <w:color w:val="000000"/>
          <w:kern w:val="0"/>
          <w:sz w:val="32"/>
          <w:szCs w:val="32"/>
        </w:rPr>
        <w:t>人，事业人员</w:t>
      </w:r>
      <w:r>
        <w:rPr>
          <w:rFonts w:ascii="仿宋_GB2312" w:eastAsia="仿宋_GB2312" w:cs="仿宋"/>
          <w:color w:val="000000"/>
          <w:kern w:val="0"/>
          <w:sz w:val="32"/>
          <w:szCs w:val="32"/>
        </w:rPr>
        <w:t>35</w:t>
      </w:r>
      <w:r>
        <w:rPr>
          <w:rFonts w:hint="eastAsia" w:ascii="仿宋_GB2312" w:eastAsia="仿宋_GB2312" w:cs="仿宋"/>
          <w:color w:val="000000"/>
          <w:kern w:val="0"/>
          <w:sz w:val="32"/>
          <w:szCs w:val="32"/>
        </w:rPr>
        <w:t>人。</w:t>
      </w:r>
    </w:p>
    <w:p>
      <w:pPr>
        <w:widowControl/>
        <w:adjustRightInd w:val="0"/>
        <w:snapToGrid w:val="0"/>
        <w:spacing w:line="576" w:lineRule="exact"/>
        <w:rPr>
          <w:rFonts w:ascii="仿宋" w:hAnsi="仿宋" w:eastAsia="仿宋" w:cs="仿宋"/>
          <w:b/>
          <w:bCs/>
          <w:color w:val="000000"/>
          <w:kern w:val="0"/>
          <w:sz w:val="32"/>
          <w:szCs w:val="32"/>
        </w:rPr>
      </w:pPr>
      <w:r>
        <w:rPr>
          <w:rFonts w:hint="eastAsia" w:ascii="仿宋" w:hAnsi="仿宋" w:eastAsia="仿宋" w:cs="仿宋"/>
          <w:color w:val="000000"/>
          <w:kern w:val="0"/>
          <w:sz w:val="32"/>
          <w:szCs w:val="32"/>
        </w:rPr>
        <w:t>　</w:t>
      </w:r>
      <w:bookmarkStart w:id="78" w:name="_Toc8360"/>
      <w:r>
        <w:rPr>
          <w:rStyle w:val="17"/>
          <w:rFonts w:hint="eastAsia" w:ascii="黑体" w:eastAsia="黑体"/>
          <w:b w:val="0"/>
        </w:rPr>
        <w:t>　二、部门财政资金收支情况</w:t>
      </w:r>
      <w:bookmarkEnd w:id="78"/>
    </w:p>
    <w:p>
      <w:pPr>
        <w:widowControl/>
        <w:adjustRightInd w:val="0"/>
        <w:snapToGrid w:val="0"/>
        <w:spacing w:line="576" w:lineRule="exact"/>
        <w:rPr>
          <w:rFonts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仿宋" w:hAnsi="仿宋" w:eastAsia="仿宋" w:cs="仿宋"/>
          <w:b/>
          <w:bCs/>
          <w:color w:val="000000"/>
          <w:kern w:val="0"/>
          <w:sz w:val="32"/>
          <w:szCs w:val="32"/>
          <w:lang w:val="zh-CN"/>
        </w:rPr>
        <w:t>　</w:t>
      </w:r>
      <w:r>
        <w:rPr>
          <w:rFonts w:hint="eastAsia" w:ascii="楷体_GB2312" w:hAnsi="楷体_GB2312" w:eastAsia="楷体_GB2312" w:cs="楷体_GB2312"/>
          <w:b/>
          <w:bCs/>
          <w:sz w:val="32"/>
          <w:szCs w:val="32"/>
          <w:lang w:val="zh-CN"/>
        </w:rPr>
        <w:t>（一）部门财政资金收入情况</w:t>
      </w:r>
    </w:p>
    <w:p>
      <w:pPr>
        <w:spacing w:line="576"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年度当年收入</w:t>
      </w:r>
      <w:r>
        <w:rPr>
          <w:rFonts w:ascii="仿宋_GB2312" w:eastAsia="仿宋_GB2312" w:cs="仿宋"/>
          <w:color w:val="000000"/>
          <w:kern w:val="0"/>
          <w:sz w:val="32"/>
          <w:szCs w:val="32"/>
        </w:rPr>
        <w:t>1962.26</w:t>
      </w:r>
      <w:r>
        <w:rPr>
          <w:rFonts w:hint="eastAsia" w:ascii="仿宋_GB2312" w:eastAsia="仿宋_GB2312" w:cs="仿宋"/>
          <w:color w:val="000000"/>
          <w:kern w:val="0"/>
          <w:sz w:val="32"/>
          <w:szCs w:val="32"/>
        </w:rPr>
        <w:t>万元，年初财政拨款结转</w:t>
      </w:r>
      <w:r>
        <w:rPr>
          <w:rFonts w:ascii="仿宋_GB2312" w:eastAsia="仿宋_GB2312" w:cs="仿宋"/>
          <w:color w:val="000000"/>
          <w:kern w:val="0"/>
          <w:sz w:val="32"/>
          <w:szCs w:val="32"/>
        </w:rPr>
        <w:t>80.91</w:t>
      </w:r>
      <w:r>
        <w:rPr>
          <w:rFonts w:hint="eastAsia" w:ascii="仿宋_GB2312" w:eastAsia="仿宋_GB2312" w:cs="仿宋"/>
          <w:color w:val="000000"/>
          <w:kern w:val="0"/>
          <w:sz w:val="32"/>
          <w:szCs w:val="32"/>
        </w:rPr>
        <w:t>万元，共计</w:t>
      </w:r>
      <w:r>
        <w:rPr>
          <w:rFonts w:ascii="仿宋_GB2312" w:eastAsia="仿宋_GB2312" w:cs="仿宋"/>
          <w:color w:val="000000"/>
          <w:kern w:val="0"/>
          <w:sz w:val="32"/>
          <w:szCs w:val="32"/>
        </w:rPr>
        <w:t>2043.17</w:t>
      </w:r>
      <w:r>
        <w:rPr>
          <w:rFonts w:hint="eastAsia" w:ascii="仿宋_GB2312" w:eastAsia="仿宋_GB2312" w:cs="仿宋"/>
          <w:color w:val="000000"/>
          <w:kern w:val="0"/>
          <w:sz w:val="32"/>
          <w:szCs w:val="32"/>
        </w:rPr>
        <w:t>万元。</w:t>
      </w:r>
    </w:p>
    <w:p>
      <w:pPr>
        <w:widowControl/>
        <w:adjustRightInd w:val="0"/>
        <w:snapToGrid w:val="0"/>
        <w:spacing w:line="576" w:lineRule="exact"/>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　　</w:t>
      </w:r>
      <w:r>
        <w:rPr>
          <w:rFonts w:hint="eastAsia" w:ascii="楷体_GB2312" w:hAnsi="楷体_GB2312" w:eastAsia="楷体_GB2312" w:cs="楷体_GB2312"/>
          <w:b/>
          <w:bCs/>
          <w:sz w:val="32"/>
          <w:szCs w:val="32"/>
          <w:lang w:val="zh-CN"/>
        </w:rPr>
        <w:t>（二）部门财政资金支出情况</w:t>
      </w:r>
    </w:p>
    <w:p>
      <w:pPr>
        <w:spacing w:line="576" w:lineRule="exact"/>
        <w:rPr>
          <w:rFonts w:ascii="仿宋_GB2312" w:eastAsia="仿宋_GB2312" w:cs="仿宋"/>
          <w:color w:val="000000"/>
          <w:kern w:val="0"/>
          <w:sz w:val="32"/>
          <w:szCs w:val="32"/>
        </w:rPr>
      </w:pPr>
      <w:r>
        <w:rPr>
          <w:rFonts w:hint="eastAsia" w:ascii="仿宋" w:hAnsi="仿宋" w:eastAsia="仿宋" w:cs="仿宋"/>
          <w:color w:val="000000"/>
          <w:kern w:val="0"/>
          <w:sz w:val="32"/>
          <w:szCs w:val="32"/>
          <w:shd w:val="clear" w:color="auto" w:fill="FFFFFF"/>
        </w:rPr>
        <w:t>　　</w:t>
      </w:r>
      <w:r>
        <w:rPr>
          <w:rFonts w:ascii="仿宋_GB2312" w:eastAsia="仿宋_GB2312" w:cs="仿宋"/>
          <w:color w:val="000000"/>
          <w:kern w:val="0"/>
          <w:sz w:val="32"/>
          <w:szCs w:val="32"/>
        </w:rPr>
        <w:t xml:space="preserve"> 2021</w:t>
      </w:r>
      <w:r>
        <w:rPr>
          <w:rFonts w:hint="eastAsia" w:ascii="仿宋_GB2312" w:eastAsia="仿宋_GB2312" w:cs="仿宋"/>
          <w:color w:val="000000"/>
          <w:kern w:val="0"/>
          <w:sz w:val="32"/>
          <w:szCs w:val="32"/>
        </w:rPr>
        <w:t>年度财政资金支出</w:t>
      </w:r>
      <w:r>
        <w:rPr>
          <w:rFonts w:ascii="仿宋_GB2312" w:eastAsia="仿宋_GB2312" w:cs="仿宋"/>
          <w:color w:val="000000"/>
          <w:kern w:val="0"/>
          <w:sz w:val="32"/>
          <w:szCs w:val="32"/>
        </w:rPr>
        <w:t>2043.17</w:t>
      </w:r>
      <w:r>
        <w:rPr>
          <w:rFonts w:hint="eastAsia" w:ascii="仿宋_GB2312" w:eastAsia="仿宋_GB2312" w:cs="仿宋"/>
          <w:color w:val="000000"/>
          <w:kern w:val="0"/>
          <w:sz w:val="32"/>
          <w:szCs w:val="32"/>
        </w:rPr>
        <w:t>万元，其中人员经费</w:t>
      </w:r>
      <w:r>
        <w:rPr>
          <w:rFonts w:ascii="仿宋_GB2312" w:eastAsia="仿宋_GB2312" w:cs="仿宋"/>
          <w:color w:val="000000"/>
          <w:kern w:val="0"/>
          <w:sz w:val="32"/>
          <w:szCs w:val="32"/>
        </w:rPr>
        <w:t>680.</w:t>
      </w:r>
      <w:r>
        <w:rPr>
          <w:rFonts w:hint="eastAsia" w:ascii="仿宋_GB2312" w:eastAsia="仿宋_GB2312" w:cs="仿宋"/>
          <w:color w:val="000000"/>
          <w:kern w:val="0"/>
          <w:sz w:val="32"/>
          <w:szCs w:val="32"/>
          <w:lang w:val="en-US" w:eastAsia="zh-CN"/>
        </w:rPr>
        <w:t>50</w:t>
      </w:r>
      <w:r>
        <w:rPr>
          <w:rFonts w:hint="eastAsia" w:ascii="仿宋_GB2312" w:eastAsia="仿宋_GB2312" w:cs="仿宋"/>
          <w:color w:val="000000"/>
          <w:kern w:val="0"/>
          <w:sz w:val="32"/>
          <w:szCs w:val="32"/>
        </w:rPr>
        <w:t>万元，日常公用经费</w:t>
      </w:r>
      <w:r>
        <w:rPr>
          <w:rFonts w:ascii="仿宋_GB2312" w:eastAsia="仿宋_GB2312" w:cs="仿宋"/>
          <w:color w:val="000000"/>
          <w:kern w:val="0"/>
          <w:sz w:val="32"/>
          <w:szCs w:val="32"/>
        </w:rPr>
        <w:t>3</w:t>
      </w:r>
      <w:r>
        <w:rPr>
          <w:rFonts w:hint="eastAsia" w:ascii="仿宋_GB2312" w:eastAsia="仿宋_GB2312" w:cs="仿宋"/>
          <w:color w:val="000000"/>
          <w:kern w:val="0"/>
          <w:sz w:val="32"/>
          <w:szCs w:val="32"/>
          <w:lang w:val="en-US" w:eastAsia="zh-CN"/>
        </w:rPr>
        <w:t>1</w:t>
      </w:r>
      <w:r>
        <w:rPr>
          <w:rFonts w:ascii="仿宋_GB2312" w:eastAsia="仿宋_GB2312" w:cs="仿宋"/>
          <w:color w:val="000000"/>
          <w:kern w:val="0"/>
          <w:sz w:val="32"/>
          <w:szCs w:val="32"/>
        </w:rPr>
        <w:t>.</w:t>
      </w:r>
      <w:r>
        <w:rPr>
          <w:rFonts w:hint="eastAsia" w:ascii="仿宋_GB2312" w:eastAsia="仿宋_GB2312" w:cs="仿宋"/>
          <w:color w:val="000000"/>
          <w:kern w:val="0"/>
          <w:sz w:val="32"/>
          <w:szCs w:val="32"/>
          <w:lang w:val="en-US" w:eastAsia="zh-CN"/>
        </w:rPr>
        <w:t>65</w:t>
      </w:r>
      <w:r>
        <w:rPr>
          <w:rFonts w:hint="eastAsia" w:ascii="仿宋_GB2312" w:eastAsia="仿宋_GB2312" w:cs="仿宋"/>
          <w:color w:val="000000"/>
          <w:kern w:val="0"/>
          <w:sz w:val="32"/>
          <w:szCs w:val="32"/>
        </w:rPr>
        <w:t>万元，项目资金支出</w:t>
      </w:r>
      <w:r>
        <w:rPr>
          <w:rFonts w:ascii="仿宋_GB2312" w:eastAsia="仿宋_GB2312" w:cs="仿宋"/>
          <w:color w:val="000000"/>
          <w:kern w:val="0"/>
          <w:sz w:val="32"/>
          <w:szCs w:val="32"/>
        </w:rPr>
        <w:t>133</w:t>
      </w:r>
      <w:r>
        <w:rPr>
          <w:rFonts w:hint="eastAsia" w:ascii="仿宋_GB2312" w:eastAsia="仿宋_GB2312" w:cs="仿宋"/>
          <w:color w:val="000000"/>
          <w:kern w:val="0"/>
          <w:sz w:val="32"/>
          <w:szCs w:val="32"/>
          <w:lang w:val="en-US" w:eastAsia="zh-CN"/>
        </w:rPr>
        <w:t>1</w:t>
      </w:r>
      <w:r>
        <w:rPr>
          <w:rFonts w:ascii="仿宋_GB2312" w:eastAsia="仿宋_GB2312" w:cs="仿宋"/>
          <w:color w:val="000000"/>
          <w:kern w:val="0"/>
          <w:sz w:val="32"/>
          <w:szCs w:val="32"/>
        </w:rPr>
        <w:t>.</w:t>
      </w:r>
      <w:r>
        <w:rPr>
          <w:rFonts w:hint="eastAsia" w:ascii="仿宋_GB2312" w:eastAsia="仿宋_GB2312" w:cs="仿宋"/>
          <w:color w:val="000000"/>
          <w:kern w:val="0"/>
          <w:sz w:val="32"/>
          <w:szCs w:val="32"/>
          <w:lang w:val="en-US" w:eastAsia="zh-CN"/>
        </w:rPr>
        <w:t>0</w:t>
      </w:r>
      <w:r>
        <w:rPr>
          <w:rFonts w:ascii="仿宋_GB2312" w:eastAsia="仿宋_GB2312" w:cs="仿宋"/>
          <w:color w:val="000000"/>
          <w:kern w:val="0"/>
          <w:sz w:val="32"/>
          <w:szCs w:val="32"/>
        </w:rPr>
        <w:t>2</w:t>
      </w:r>
      <w:r>
        <w:rPr>
          <w:rFonts w:hint="eastAsia" w:ascii="仿宋_GB2312" w:eastAsia="仿宋_GB2312" w:cs="仿宋"/>
          <w:color w:val="000000"/>
          <w:kern w:val="0"/>
          <w:sz w:val="32"/>
          <w:szCs w:val="32"/>
        </w:rPr>
        <w:t>万元。　　</w:t>
      </w:r>
    </w:p>
    <w:p>
      <w:pPr>
        <w:widowControl/>
        <w:adjustRightInd w:val="0"/>
        <w:snapToGrid w:val="0"/>
        <w:spacing w:line="576" w:lineRule="exact"/>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　　</w:t>
      </w:r>
      <w:bookmarkStart w:id="79" w:name="_Toc14466"/>
      <w:r>
        <w:rPr>
          <w:rStyle w:val="17"/>
          <w:rFonts w:hint="eastAsia" w:ascii="黑体" w:eastAsia="黑体"/>
          <w:b w:val="0"/>
        </w:rPr>
        <w:t>三、部门财政支出管理情况</w:t>
      </w:r>
      <w:bookmarkEnd w:id="79"/>
    </w:p>
    <w:p>
      <w:pPr>
        <w:widowControl/>
        <w:adjustRightInd w:val="0"/>
        <w:snapToGrid w:val="0"/>
        <w:spacing w:line="576"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（一）预算编制情况</w:t>
      </w:r>
    </w:p>
    <w:p>
      <w:pPr>
        <w:widowControl/>
        <w:adjustRightInd w:val="0"/>
        <w:snapToGrid w:val="0"/>
        <w:spacing w:line="576" w:lineRule="exact"/>
        <w:ind w:firstLine="720"/>
        <w:rPr>
          <w:rFonts w:ascii="仿宋" w:hAnsi="仿宋" w:eastAsia="仿宋" w:cs="仿宋"/>
          <w:color w:val="333333"/>
          <w:sz w:val="32"/>
          <w:szCs w:val="32"/>
          <w:shd w:val="clear" w:color="auto" w:fill="FFFFFF"/>
        </w:rPr>
      </w:pP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年预算编制严格按照县级部门预算编制通知和有关要求，遵守国家编制的原则，按时完成</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年预算编制工作，并按时提交部门预算报告，预算编制全面、科学。</w:t>
      </w:r>
    </w:p>
    <w:p>
      <w:pPr>
        <w:widowControl/>
        <w:adjustRightInd w:val="0"/>
        <w:snapToGrid w:val="0"/>
        <w:spacing w:line="576" w:lineRule="exact"/>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（二）执行管理情况</w:t>
      </w:r>
    </w:p>
    <w:p>
      <w:pPr>
        <w:widowControl/>
        <w:adjustRightInd w:val="0"/>
        <w:snapToGrid w:val="0"/>
        <w:spacing w:line="576" w:lineRule="exact"/>
        <w:rPr>
          <w:rFonts w:ascii="仿宋_GB2312" w:eastAsia="仿宋_GB2312" w:cs="仿宋"/>
          <w:color w:val="000000"/>
          <w:kern w:val="0"/>
          <w:sz w:val="32"/>
          <w:szCs w:val="32"/>
        </w:rPr>
      </w:pPr>
      <w:r>
        <w:rPr>
          <w:rFonts w:hint="eastAsia" w:ascii="仿宋" w:hAnsi="仿宋" w:eastAsia="仿宋" w:cs="仿宋"/>
          <w:color w:val="333333"/>
          <w:sz w:val="32"/>
          <w:szCs w:val="32"/>
        </w:rPr>
        <w:t>　　</w:t>
      </w:r>
      <w:r>
        <w:rPr>
          <w:rFonts w:ascii="仿宋" w:hAnsi="仿宋" w:eastAsia="仿宋" w:cs="仿宋"/>
          <w:color w:val="333333"/>
          <w:sz w:val="32"/>
          <w:szCs w:val="32"/>
        </w:rPr>
        <w:t xml:space="preserve"> </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年预算编制严格按照县级部门预算编制通知和有关要求，遵守国家编制的原则，按时完成</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年预算编制工作，并按时提交部门预算报告，预算编制全面、科学。中央转移支付资金按时到位，我单位按计划进行资金使用。</w:t>
      </w:r>
    </w:p>
    <w:p>
      <w:pPr>
        <w:widowControl/>
        <w:adjustRightInd w:val="0"/>
        <w:snapToGrid w:val="0"/>
        <w:spacing w:line="576" w:lineRule="exact"/>
        <w:rPr>
          <w:rFonts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　　</w:t>
      </w:r>
      <w:r>
        <w:rPr>
          <w:rFonts w:ascii="仿宋_GB2312" w:eastAsia="仿宋_GB2312" w:cs="仿宋"/>
          <w:b/>
          <w:bCs/>
          <w:color w:val="000000"/>
          <w:kern w:val="0"/>
          <w:sz w:val="32"/>
          <w:szCs w:val="32"/>
        </w:rPr>
        <w:t>1.</w:t>
      </w:r>
      <w:r>
        <w:rPr>
          <w:rFonts w:hint="eastAsia" w:ascii="仿宋_GB2312" w:eastAsia="仿宋_GB2312" w:cs="仿宋"/>
          <w:b/>
          <w:bCs/>
          <w:color w:val="000000"/>
          <w:kern w:val="0"/>
          <w:sz w:val="32"/>
          <w:szCs w:val="32"/>
        </w:rPr>
        <w:t>事业运转保障</w:t>
      </w:r>
    </w:p>
    <w:p>
      <w:pPr>
        <w:widowControl/>
        <w:adjustRightInd w:val="0"/>
        <w:snapToGrid w:val="0"/>
        <w:spacing w:line="576" w:lineRule="exact"/>
        <w:rPr>
          <w:rFonts w:ascii="仿宋_GB2312" w:eastAsia="仿宋_GB2312" w:cs="仿宋"/>
          <w:color w:val="000000"/>
          <w:kern w:val="0"/>
          <w:sz w:val="32"/>
          <w:szCs w:val="32"/>
        </w:rPr>
      </w:pPr>
      <w:r>
        <w:rPr>
          <w:rFonts w:ascii="仿宋" w:hAnsi="仿宋" w:eastAsia="仿宋" w:cs="仿宋"/>
          <w:color w:val="333333"/>
          <w:sz w:val="32"/>
          <w:szCs w:val="32"/>
          <w:shd w:val="clear" w:color="auto" w:fill="FFFFFF"/>
        </w:rPr>
        <w:t xml:space="preserve">    </w:t>
      </w:r>
      <w:r>
        <w:rPr>
          <w:rFonts w:hint="eastAsia" w:ascii="仿宋_GB2312" w:eastAsia="仿宋_GB2312" w:cs="仿宋"/>
          <w:color w:val="000000"/>
          <w:kern w:val="0"/>
          <w:sz w:val="32"/>
          <w:szCs w:val="32"/>
        </w:rPr>
        <w:t>财政拨款安排支出主要用于保障单位正常运转、完成日常工作任务、处置突发事件等工作。</w:t>
      </w:r>
      <w:r>
        <w:rPr>
          <w:rFonts w:ascii="仿宋_GB2312" w:eastAsia="仿宋_GB2312" w:cs="仿宋"/>
          <w:color w:val="000000"/>
          <w:kern w:val="0"/>
          <w:sz w:val="32"/>
          <w:szCs w:val="32"/>
        </w:rPr>
        <w:t xml:space="preserve"> </w:t>
      </w:r>
    </w:p>
    <w:p>
      <w:pPr>
        <w:widowControl/>
        <w:adjustRightInd w:val="0"/>
        <w:snapToGrid w:val="0"/>
        <w:spacing w:line="576" w:lineRule="exact"/>
        <w:rPr>
          <w:rFonts w:ascii="仿宋_GB2312" w:eastAsia="仿宋_GB2312" w:cs="仿宋"/>
          <w:color w:val="000000"/>
          <w:kern w:val="0"/>
          <w:sz w:val="32"/>
          <w:szCs w:val="32"/>
        </w:rPr>
      </w:pPr>
      <w:r>
        <w:rPr>
          <w:rFonts w:ascii="仿宋_GB2312" w:eastAsia="仿宋_GB2312" w:cs="仿宋"/>
          <w:color w:val="000000"/>
          <w:kern w:val="0"/>
          <w:sz w:val="32"/>
          <w:szCs w:val="32"/>
        </w:rPr>
        <w:t xml:space="preserve">    </w:t>
      </w:r>
      <w:r>
        <w:rPr>
          <w:rFonts w:hint="eastAsia" w:ascii="仿宋_GB2312" w:eastAsia="仿宋_GB2312" w:cs="仿宋"/>
          <w:color w:val="000000"/>
          <w:kern w:val="0"/>
          <w:sz w:val="32"/>
          <w:szCs w:val="32"/>
        </w:rPr>
        <w:t>基本支出用于保障单位正常运转的日常支出，包括基本工资、津贴补贴等人员经费以及办公费、印刷费、水电费、公务用运行费等日常公用经费。</w:t>
      </w:r>
      <w:r>
        <w:rPr>
          <w:rFonts w:ascii="仿宋_GB2312" w:eastAsia="仿宋_GB2312" w:cs="仿宋"/>
          <w:color w:val="000000"/>
          <w:kern w:val="0"/>
          <w:sz w:val="32"/>
          <w:szCs w:val="32"/>
        </w:rPr>
        <w:t xml:space="preserve"> </w:t>
      </w:r>
    </w:p>
    <w:p>
      <w:pPr>
        <w:widowControl/>
        <w:adjustRightInd w:val="0"/>
        <w:snapToGrid w:val="0"/>
        <w:spacing w:line="576"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项目支出，用于保障单位各项项目支出，做到专款专用。</w:t>
      </w:r>
      <w:r>
        <w:rPr>
          <w:rFonts w:ascii="仿宋_GB2312" w:eastAsia="仿宋_GB2312" w:cs="仿宋"/>
          <w:color w:val="000000"/>
          <w:kern w:val="0"/>
          <w:sz w:val="32"/>
          <w:szCs w:val="32"/>
        </w:rPr>
        <w:t xml:space="preserve"> </w:t>
      </w:r>
    </w:p>
    <w:p>
      <w:pPr>
        <w:widowControl/>
        <w:adjustRightInd w:val="0"/>
        <w:snapToGrid w:val="0"/>
        <w:spacing w:line="576" w:lineRule="exact"/>
        <w:ind w:firstLine="640" w:firstLineChars="200"/>
        <w:rPr>
          <w:rFonts w:ascii="仿宋_GB2312" w:eastAsia="仿宋_GB2312" w:cs="仿宋"/>
          <w:b/>
          <w:bCs/>
          <w:color w:val="000000"/>
          <w:kern w:val="0"/>
          <w:sz w:val="32"/>
          <w:szCs w:val="32"/>
        </w:rPr>
      </w:pPr>
      <w:r>
        <w:rPr>
          <w:rFonts w:ascii="仿宋" w:hAnsi="仿宋" w:eastAsia="仿宋" w:cs="仿宋"/>
          <w:color w:val="333333"/>
          <w:sz w:val="32"/>
          <w:szCs w:val="32"/>
        </w:rPr>
        <w:t xml:space="preserve"> </w:t>
      </w:r>
      <w:r>
        <w:rPr>
          <w:rFonts w:ascii="仿宋_GB2312" w:eastAsia="仿宋_GB2312" w:cs="仿宋"/>
          <w:b/>
          <w:bCs/>
          <w:color w:val="000000"/>
          <w:kern w:val="0"/>
          <w:sz w:val="32"/>
          <w:szCs w:val="32"/>
        </w:rPr>
        <w:t>2.</w:t>
      </w:r>
      <w:r>
        <w:rPr>
          <w:rFonts w:hint="eastAsia" w:ascii="仿宋_GB2312" w:eastAsia="仿宋_GB2312" w:cs="仿宋"/>
          <w:b/>
          <w:bCs/>
          <w:color w:val="000000"/>
          <w:kern w:val="0"/>
          <w:sz w:val="32"/>
          <w:szCs w:val="32"/>
        </w:rPr>
        <w:t>单位厉行节约</w:t>
      </w:r>
    </w:p>
    <w:p>
      <w:pPr>
        <w:widowControl/>
        <w:adjustRightInd w:val="0"/>
        <w:snapToGrid w:val="0"/>
        <w:spacing w:line="576"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我单位认真贯彻落实中央和</w:t>
      </w:r>
      <w:r>
        <w:rPr>
          <w:rFonts w:hint="eastAsia" w:ascii="仿宋_GB2312" w:eastAsia="仿宋_GB2312" w:cs="仿宋"/>
          <w:color w:val="000000"/>
          <w:kern w:val="0"/>
          <w:sz w:val="32"/>
          <w:szCs w:val="32"/>
          <w:lang w:eastAsia="zh-CN"/>
        </w:rPr>
        <w:t>省委、省政府</w:t>
      </w:r>
      <w:r>
        <w:rPr>
          <w:rFonts w:hint="eastAsia" w:ascii="仿宋_GB2312" w:eastAsia="仿宋_GB2312" w:cs="仿宋"/>
          <w:color w:val="000000"/>
          <w:kern w:val="0"/>
          <w:sz w:val="32"/>
          <w:szCs w:val="32"/>
        </w:rPr>
        <w:t>相关规定，厉行节约，严格控制因公出国（境）费用、会议费、车辆购置及运行费用和公务接待经费。</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年因公出国（境）费用</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元、会议费</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元、车辆购置</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元，公务用车运行费用实际支出</w:t>
      </w:r>
      <w:r>
        <w:rPr>
          <w:rFonts w:ascii="仿宋_GB2312" w:eastAsia="仿宋_GB2312" w:cs="仿宋"/>
          <w:color w:val="000000"/>
          <w:kern w:val="0"/>
          <w:sz w:val="32"/>
          <w:szCs w:val="32"/>
        </w:rPr>
        <w:t>2</w:t>
      </w:r>
      <w:r>
        <w:rPr>
          <w:rFonts w:hint="eastAsia" w:ascii="仿宋_GB2312" w:eastAsia="仿宋_GB2312" w:cs="仿宋"/>
          <w:color w:val="000000"/>
          <w:kern w:val="0"/>
          <w:sz w:val="32"/>
          <w:szCs w:val="32"/>
        </w:rPr>
        <w:t>万元、公务接待费实际支出</w:t>
      </w:r>
      <w:r>
        <w:rPr>
          <w:rFonts w:ascii="仿宋_GB2312" w:eastAsia="仿宋_GB2312" w:cs="仿宋"/>
          <w:color w:val="000000"/>
          <w:kern w:val="0"/>
          <w:sz w:val="32"/>
          <w:szCs w:val="32"/>
        </w:rPr>
        <w:t>0.08</w:t>
      </w:r>
      <w:r>
        <w:rPr>
          <w:rFonts w:hint="eastAsia" w:ascii="仿宋_GB2312" w:eastAsia="仿宋_GB2312" w:cs="仿宋"/>
          <w:color w:val="000000"/>
          <w:kern w:val="0"/>
          <w:sz w:val="32"/>
          <w:szCs w:val="32"/>
        </w:rPr>
        <w:t>万元</w:t>
      </w:r>
      <w:bookmarkStart w:id="122" w:name="_GoBack"/>
      <w:bookmarkEnd w:id="122"/>
      <w:r>
        <w:rPr>
          <w:rFonts w:hint="eastAsia" w:ascii="仿宋_GB2312" w:eastAsia="仿宋_GB2312" w:cs="仿宋"/>
          <w:color w:val="000000"/>
          <w:kern w:val="0"/>
          <w:sz w:val="32"/>
          <w:szCs w:val="32"/>
        </w:rPr>
        <w:t>。</w:t>
      </w:r>
    </w:p>
    <w:p>
      <w:pPr>
        <w:widowControl/>
        <w:adjustRightInd w:val="0"/>
        <w:snapToGrid w:val="0"/>
        <w:spacing w:line="576" w:lineRule="exact"/>
        <w:rPr>
          <w:rFonts w:ascii="仿宋" w:hAnsi="仿宋" w:eastAsia="仿宋" w:cs="仿宋"/>
          <w:b/>
          <w:bCs/>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　</w:t>
      </w:r>
      <w:r>
        <w:rPr>
          <w:rFonts w:hint="eastAsia" w:ascii="仿宋_GB2312" w:eastAsia="仿宋_GB2312" w:cs="仿宋"/>
          <w:b/>
          <w:bCs/>
          <w:color w:val="000000"/>
          <w:kern w:val="0"/>
          <w:sz w:val="32"/>
          <w:szCs w:val="32"/>
        </w:rPr>
        <w:t>　</w:t>
      </w:r>
      <w:r>
        <w:rPr>
          <w:rFonts w:ascii="仿宋_GB2312" w:eastAsia="仿宋_GB2312" w:cs="仿宋"/>
          <w:b/>
          <w:bCs/>
          <w:color w:val="000000"/>
          <w:kern w:val="0"/>
          <w:sz w:val="32"/>
          <w:szCs w:val="32"/>
        </w:rPr>
        <w:t>3.</w:t>
      </w:r>
      <w:r>
        <w:rPr>
          <w:rFonts w:hint="eastAsia" w:ascii="仿宋_GB2312" w:eastAsia="仿宋_GB2312" w:cs="仿宋"/>
          <w:b/>
          <w:bCs/>
          <w:color w:val="000000"/>
          <w:kern w:val="0"/>
          <w:sz w:val="32"/>
          <w:szCs w:val="32"/>
        </w:rPr>
        <w:t>单位节能降耗</w:t>
      </w:r>
    </w:p>
    <w:p>
      <w:pPr>
        <w:widowControl/>
        <w:adjustRightInd w:val="0"/>
        <w:snapToGrid w:val="0"/>
        <w:spacing w:line="576"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严格控制办公用电，</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rPr>
        <w:t>年度电费预算数为</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元，实际支出</w:t>
      </w:r>
      <w:r>
        <w:rPr>
          <w:rFonts w:ascii="仿宋_GB2312" w:eastAsia="仿宋_GB2312" w:cs="仿宋"/>
          <w:color w:val="000000"/>
          <w:kern w:val="0"/>
          <w:sz w:val="32"/>
          <w:szCs w:val="32"/>
        </w:rPr>
        <w:t>0</w:t>
      </w:r>
      <w:r>
        <w:rPr>
          <w:rFonts w:hint="eastAsia" w:ascii="仿宋_GB2312" w:eastAsia="仿宋_GB2312" w:cs="仿宋"/>
          <w:color w:val="000000"/>
          <w:kern w:val="0"/>
          <w:sz w:val="32"/>
          <w:szCs w:val="32"/>
        </w:rPr>
        <w:t>元。主要原因为</w:t>
      </w:r>
      <w:r>
        <w:rPr>
          <w:rFonts w:ascii="仿宋_GB2312" w:eastAsia="仿宋_GB2312" w:cs="仿宋"/>
          <w:color w:val="000000"/>
          <w:kern w:val="0"/>
          <w:sz w:val="32"/>
          <w:szCs w:val="32"/>
        </w:rPr>
        <w:t>2020</w:t>
      </w:r>
      <w:r>
        <w:rPr>
          <w:rFonts w:hint="eastAsia" w:ascii="仿宋_GB2312" w:eastAsia="仿宋_GB2312" w:cs="仿宋"/>
          <w:color w:val="000000"/>
          <w:kern w:val="0"/>
          <w:sz w:val="32"/>
          <w:szCs w:val="32"/>
        </w:rPr>
        <w:t>年预充电费充足，</w:t>
      </w:r>
      <w:r>
        <w:rPr>
          <w:rFonts w:ascii="仿宋_GB2312" w:eastAsia="仿宋_GB2312" w:cs="仿宋"/>
          <w:color w:val="000000"/>
          <w:kern w:val="0"/>
          <w:sz w:val="32"/>
          <w:szCs w:val="32"/>
        </w:rPr>
        <w:t>2021</w:t>
      </w:r>
      <w:r>
        <w:rPr>
          <w:rFonts w:hint="eastAsia" w:ascii="仿宋_GB2312" w:eastAsia="仿宋_GB2312" w:cs="仿宋"/>
          <w:color w:val="000000"/>
          <w:kern w:val="0"/>
          <w:sz w:val="32"/>
          <w:szCs w:val="32"/>
          <w:lang w:eastAsia="zh-CN"/>
        </w:rPr>
        <w:t>年末</w:t>
      </w:r>
      <w:r>
        <w:rPr>
          <w:rFonts w:hint="eastAsia" w:ascii="仿宋_GB2312" w:eastAsia="仿宋_GB2312" w:cs="仿宋"/>
          <w:color w:val="000000"/>
          <w:kern w:val="0"/>
          <w:sz w:val="32"/>
          <w:szCs w:val="32"/>
        </w:rPr>
        <w:t>预算电费。</w:t>
      </w:r>
    </w:p>
    <w:p>
      <w:pPr>
        <w:widowControl/>
        <w:adjustRightInd w:val="0"/>
        <w:snapToGrid w:val="0"/>
        <w:spacing w:line="576"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（三）综合管理情况</w:t>
      </w:r>
    </w:p>
    <w:p>
      <w:pPr>
        <w:widowControl/>
        <w:adjustRightInd w:val="0"/>
        <w:snapToGrid w:val="0"/>
        <w:spacing w:line="576" w:lineRule="exact"/>
        <w:rPr>
          <w:rFonts w:ascii="仿宋_GB2312" w:eastAsia="仿宋_GB2312" w:cs="仿宋"/>
          <w:color w:val="000000"/>
          <w:kern w:val="0"/>
          <w:sz w:val="32"/>
          <w:szCs w:val="32"/>
        </w:rPr>
      </w:pPr>
      <w:r>
        <w:rPr>
          <w:rFonts w:ascii="仿宋" w:hAnsi="仿宋" w:eastAsia="仿宋" w:cs="仿宋"/>
          <w:color w:val="333333"/>
          <w:sz w:val="32"/>
          <w:szCs w:val="32"/>
          <w:shd w:val="clear" w:color="auto" w:fill="FFFFFF"/>
        </w:rPr>
        <w:t xml:space="preserve"> </w:t>
      </w:r>
      <w:r>
        <w:rPr>
          <w:rFonts w:hint="eastAsia" w:ascii="仿宋" w:hAnsi="仿宋" w:eastAsia="仿宋" w:cs="仿宋"/>
          <w:color w:val="333333"/>
          <w:sz w:val="32"/>
          <w:szCs w:val="32"/>
          <w:shd w:val="clear" w:color="auto" w:fill="FFFFFF"/>
        </w:rPr>
        <w:t>　</w:t>
      </w:r>
      <w:r>
        <w:rPr>
          <w:rFonts w:ascii="仿宋" w:hAnsi="仿宋" w:eastAsia="仿宋" w:cs="仿宋"/>
          <w:color w:val="333333"/>
          <w:sz w:val="32"/>
          <w:szCs w:val="32"/>
          <w:shd w:val="clear" w:color="auto" w:fill="FFFFFF"/>
        </w:rPr>
        <w:t xml:space="preserve"> </w:t>
      </w:r>
      <w:r>
        <w:rPr>
          <w:rFonts w:hint="eastAsia" w:ascii="仿宋_GB2312" w:eastAsia="仿宋_GB2312" w:cs="仿宋"/>
          <w:color w:val="000000"/>
          <w:kern w:val="0"/>
          <w:sz w:val="32"/>
          <w:szCs w:val="32"/>
        </w:rPr>
        <w:t>我单位财务管理制度健全，执行制度严格合规，会计核算符合相关规定，资金专款专用，资金支付依据和开支标准合法合规，严格执行政府采购。依法接受财政监督管理。</w:t>
      </w:r>
    </w:p>
    <w:p>
      <w:pPr>
        <w:widowControl/>
        <w:adjustRightInd w:val="0"/>
        <w:snapToGrid w:val="0"/>
        <w:spacing w:line="576"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（四）整体绩效</w:t>
      </w:r>
    </w:p>
    <w:p>
      <w:pPr>
        <w:widowControl/>
        <w:adjustRightInd w:val="0"/>
        <w:snapToGrid w:val="0"/>
        <w:spacing w:line="576" w:lineRule="exact"/>
        <w:ind w:firstLine="640" w:firstLineChars="200"/>
        <w:rPr>
          <w:rFonts w:ascii="仿宋_GB2312" w:eastAsia="仿宋_GB2312" w:cs="仿宋"/>
          <w:color w:val="000000"/>
          <w:kern w:val="0"/>
          <w:sz w:val="32"/>
          <w:szCs w:val="32"/>
          <w:lang w:val="zh-CN"/>
        </w:rPr>
      </w:pPr>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预算编制：</w:t>
      </w:r>
      <w:r>
        <w:rPr>
          <w:rFonts w:hint="eastAsia" w:ascii="仿宋_GB2312" w:eastAsia="仿宋_GB2312" w:cs="仿宋"/>
          <w:color w:val="000000"/>
          <w:kern w:val="0"/>
          <w:sz w:val="32"/>
          <w:szCs w:val="32"/>
          <w:lang w:val="zh-CN"/>
        </w:rPr>
        <w:t>我单位对严格按照部门是否按照州级部门预算编制通知和有关要求，按时完成基础库、项目库报送工作；预算编制准确；根据对预算草案审查结果进行考核；部门整体绩效目标编制完整、合理；项目绩效目标编制明确、量化；按规定提前下达转移支付；按规定分地区分项目编制专项转移支付。</w:t>
      </w:r>
    </w:p>
    <w:p>
      <w:pPr>
        <w:widowControl/>
        <w:adjustRightInd w:val="0"/>
        <w:snapToGrid w:val="0"/>
        <w:spacing w:line="576" w:lineRule="exact"/>
        <w:ind w:firstLine="640" w:firstLineChars="200"/>
        <w:rPr>
          <w:rFonts w:ascii="仿宋_GB2312" w:eastAsia="仿宋_GB2312" w:cs="仿宋"/>
          <w:color w:val="000000"/>
          <w:kern w:val="0"/>
          <w:sz w:val="32"/>
          <w:szCs w:val="32"/>
          <w:lang w:val="zh-CN"/>
        </w:rPr>
      </w:pPr>
      <w:r>
        <w:rPr>
          <w:rFonts w:ascii="仿宋_GB2312" w:eastAsia="仿宋_GB2312" w:cs="仿宋"/>
          <w:color w:val="000000"/>
          <w:kern w:val="0"/>
          <w:sz w:val="32"/>
          <w:szCs w:val="32"/>
        </w:rPr>
        <w:t>2.</w:t>
      </w:r>
      <w:r>
        <w:rPr>
          <w:rFonts w:hint="eastAsia" w:ascii="仿宋_GB2312" w:eastAsia="仿宋_GB2312" w:cs="仿宋"/>
          <w:color w:val="000000"/>
          <w:kern w:val="0"/>
          <w:sz w:val="32"/>
          <w:szCs w:val="32"/>
        </w:rPr>
        <w:t>预算执行：</w:t>
      </w:r>
      <w:r>
        <w:rPr>
          <w:rFonts w:hint="eastAsia" w:ascii="仿宋_GB2312" w:eastAsia="仿宋_GB2312" w:cs="仿宋"/>
          <w:color w:val="000000"/>
          <w:kern w:val="0"/>
          <w:sz w:val="32"/>
          <w:szCs w:val="32"/>
          <w:lang w:val="zh-CN"/>
        </w:rPr>
        <w:t>按规定及时分配财力专项预算；按《预算法》规定在一个月内分配上级专款；部门按要求严格预算执行管理；当中期评估调整取消资金与结余注销资金之和为零；严格执行“三公经费”预算。</w:t>
      </w:r>
    </w:p>
    <w:p>
      <w:pPr>
        <w:widowControl/>
        <w:adjustRightInd w:val="0"/>
        <w:snapToGrid w:val="0"/>
        <w:spacing w:line="576" w:lineRule="exact"/>
        <w:ind w:firstLine="640" w:firstLineChars="200"/>
        <w:rPr>
          <w:rFonts w:ascii="仿宋_GB2312" w:eastAsia="仿宋_GB2312" w:cs="仿宋"/>
          <w:color w:val="000000"/>
          <w:kern w:val="0"/>
          <w:sz w:val="32"/>
          <w:szCs w:val="32"/>
          <w:lang w:val="zh-CN"/>
        </w:rPr>
      </w:pPr>
      <w:r>
        <w:rPr>
          <w:rFonts w:ascii="仿宋_GB2312" w:eastAsia="仿宋_GB2312" w:cs="仿宋"/>
          <w:color w:val="000000"/>
          <w:kern w:val="0"/>
          <w:sz w:val="32"/>
          <w:szCs w:val="32"/>
        </w:rPr>
        <w:t>3.</w:t>
      </w:r>
      <w:r>
        <w:rPr>
          <w:rFonts w:hint="eastAsia" w:ascii="仿宋_GB2312" w:eastAsia="仿宋_GB2312" w:cs="仿宋"/>
          <w:color w:val="000000"/>
          <w:kern w:val="0"/>
          <w:sz w:val="32"/>
          <w:szCs w:val="32"/>
        </w:rPr>
        <w:t>综合管理：</w:t>
      </w:r>
      <w:r>
        <w:rPr>
          <w:rFonts w:hint="eastAsia" w:ascii="仿宋_GB2312" w:eastAsia="仿宋_GB2312" w:cs="仿宋"/>
          <w:color w:val="000000"/>
          <w:kern w:val="0"/>
          <w:sz w:val="32"/>
          <w:szCs w:val="32"/>
          <w:lang w:val="zh-CN"/>
        </w:rPr>
        <w:t>按规定做好政府性债务还本付息工作；按照规定的项目、标准、征收方式执收非税收入，非税收入项目设立的权限和缓减免的依据，对非税收入进行缓减免；及时足额将非税收入缴入财政；实施计划与政府采购预算的一致；执行的实施计划与备案的实施计划的一致；将国有资产纳入资产信息系统管理情况；按要求及时、准确、全面开展资产清查工作情况；上报国有资产报表数据的真实、准确、全面；部门内部控制制度的设置合理和执行严格及时；在财政批复后二十日内向社会公开本部门预算（含所有财政资金安排的“三公”经费、机关运行经费的安排、使用情况等）；在财政部门批复二十日内向社会公开本部门决算（含所有财政资金安排的“三公”经费、机关运行经费的安排、使用情况等）；公开部门整体支出绩效自评报告及其他按要求应公开的绩效信息；实施绩效评价项目资金全覆盖；对下级预算单位开展整体绩效评价；按要求向财政部门报告自评报告等相关绩效信息；按要求针对绩效评价发现问题制定整改措施，并整改落实到位；根据相关自查自纠报告、报表报送时效和质量进行考核；根据检查组提供的工作底稿、检查报告等资料进行考核；根据相关整改报告、凭证依据等相关证明材料进行考核。</w:t>
      </w:r>
    </w:p>
    <w:p>
      <w:pPr>
        <w:widowControl/>
        <w:adjustRightInd w:val="0"/>
        <w:snapToGrid w:val="0"/>
        <w:spacing w:line="576" w:lineRule="exact"/>
        <w:ind w:firstLine="640" w:firstLineChars="200"/>
        <w:rPr>
          <w:rFonts w:ascii="仿宋_GB2312" w:eastAsia="仿宋_GB2312" w:cs="仿宋"/>
          <w:color w:val="000000"/>
          <w:kern w:val="0"/>
          <w:sz w:val="32"/>
          <w:szCs w:val="32"/>
          <w:lang w:val="zh-CN"/>
        </w:rPr>
      </w:pPr>
      <w:r>
        <w:rPr>
          <w:rFonts w:ascii="仿宋_GB2312" w:eastAsia="仿宋_GB2312" w:cs="仿宋"/>
          <w:color w:val="000000"/>
          <w:kern w:val="0"/>
          <w:sz w:val="32"/>
          <w:szCs w:val="32"/>
        </w:rPr>
        <w:t>4.</w:t>
      </w:r>
      <w:r>
        <w:rPr>
          <w:rFonts w:hint="eastAsia" w:ascii="仿宋_GB2312" w:eastAsia="仿宋_GB2312" w:cs="仿宋"/>
          <w:color w:val="000000"/>
          <w:kern w:val="0"/>
          <w:sz w:val="32"/>
          <w:szCs w:val="32"/>
        </w:rPr>
        <w:t>整体效益：</w:t>
      </w:r>
      <w:r>
        <w:rPr>
          <w:rFonts w:hint="eastAsia" w:ascii="仿宋_GB2312" w:eastAsia="仿宋_GB2312" w:cs="仿宋"/>
          <w:color w:val="000000"/>
          <w:kern w:val="0"/>
          <w:sz w:val="32"/>
          <w:szCs w:val="32"/>
          <w:lang w:val="zh-CN"/>
        </w:rPr>
        <w:t>实施重大项目的经济、社会效益；根据部门职能职责、省级主管部门和州委州政府安排的各项专项工作任务及其他年度重点工作任务等，汇总梳理形成能够量化衡量且全面反映部门职能工作完成情况的若干指标。</w:t>
      </w:r>
    </w:p>
    <w:p>
      <w:pPr>
        <w:widowControl/>
        <w:adjustRightInd w:val="0"/>
        <w:snapToGrid w:val="0"/>
        <w:spacing w:line="576"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其职责严格履行其职务，有效提高了畜牧产品安全，受到人民群众高度评价，服务对象满意度高，绩效考核自查评分</w:t>
      </w:r>
      <w:r>
        <w:rPr>
          <w:rFonts w:ascii="仿宋_GB2312" w:eastAsia="仿宋_GB2312" w:cs="仿宋"/>
          <w:color w:val="000000"/>
          <w:kern w:val="0"/>
          <w:sz w:val="32"/>
          <w:szCs w:val="32"/>
        </w:rPr>
        <w:t>95</w:t>
      </w:r>
      <w:r>
        <w:rPr>
          <w:rFonts w:hint="eastAsia" w:ascii="仿宋_GB2312" w:eastAsia="仿宋_GB2312" w:cs="仿宋"/>
          <w:color w:val="000000"/>
          <w:kern w:val="0"/>
          <w:sz w:val="32"/>
          <w:szCs w:val="32"/>
        </w:rPr>
        <w:t>分</w:t>
      </w:r>
      <w:r>
        <w:rPr>
          <w:rFonts w:hint="eastAsia" w:ascii="仿宋_GB2312" w:eastAsia="仿宋_GB2312" w:cs="仿宋"/>
          <w:color w:val="000000"/>
          <w:kern w:val="0"/>
          <w:sz w:val="32"/>
          <w:szCs w:val="32"/>
          <w:lang w:val="zh-CN"/>
        </w:rPr>
        <w:t>。</w:t>
      </w:r>
    </w:p>
    <w:p>
      <w:pPr>
        <w:widowControl/>
        <w:adjustRightInd w:val="0"/>
        <w:snapToGrid w:val="0"/>
        <w:spacing w:line="576" w:lineRule="exact"/>
        <w:ind w:firstLine="640" w:firstLineChars="200"/>
        <w:rPr>
          <w:rStyle w:val="17"/>
          <w:rFonts w:ascii="黑体" w:eastAsia="黑体"/>
          <w:b w:val="0"/>
        </w:rPr>
      </w:pPr>
      <w:bookmarkStart w:id="80" w:name="_Toc150"/>
      <w:r>
        <w:rPr>
          <w:rStyle w:val="17"/>
          <w:rFonts w:hint="eastAsia" w:ascii="黑体" w:eastAsia="黑体"/>
          <w:b w:val="0"/>
        </w:rPr>
        <w:t>四、评价结论及建议</w:t>
      </w:r>
    </w:p>
    <w:bookmarkEnd w:id="80"/>
    <w:p>
      <w:pPr>
        <w:widowControl/>
        <w:adjustRightInd w:val="0"/>
        <w:snapToGrid w:val="0"/>
        <w:spacing w:line="576"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（一）评价结论</w:t>
      </w:r>
    </w:p>
    <w:p>
      <w:pPr>
        <w:widowControl/>
        <w:adjustRightInd w:val="0"/>
        <w:snapToGrid w:val="0"/>
        <w:spacing w:line="576" w:lineRule="exact"/>
        <w:ind w:firstLine="640" w:firstLineChars="200"/>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我单位</w:t>
      </w:r>
      <w:r>
        <w:rPr>
          <w:rFonts w:ascii="仿宋_GB2312" w:eastAsia="仿宋_GB2312" w:cs="仿宋"/>
          <w:color w:val="000000"/>
          <w:kern w:val="0"/>
          <w:sz w:val="32"/>
          <w:szCs w:val="32"/>
          <w:lang w:val="zh-CN"/>
        </w:rPr>
        <w:t>2021</w:t>
      </w:r>
      <w:r>
        <w:rPr>
          <w:rFonts w:hint="eastAsia" w:ascii="仿宋_GB2312" w:eastAsia="仿宋_GB2312" w:cs="仿宋"/>
          <w:color w:val="000000"/>
          <w:kern w:val="0"/>
          <w:sz w:val="32"/>
          <w:szCs w:val="32"/>
          <w:lang w:val="zh-CN"/>
        </w:rPr>
        <w:t>年部门支出与年初预算基本一致，达到预期绩效目标。其职责严格履行其职务，有效提高了畜牧产品安全，受到人民群众高度评价，服务对象满意度高，绩效考核自查评分</w:t>
      </w:r>
      <w:r>
        <w:rPr>
          <w:rFonts w:ascii="仿宋_GB2312" w:eastAsia="仿宋_GB2312" w:cs="仿宋"/>
          <w:color w:val="000000"/>
          <w:kern w:val="0"/>
          <w:sz w:val="32"/>
          <w:szCs w:val="32"/>
        </w:rPr>
        <w:t>87</w:t>
      </w:r>
      <w:r>
        <w:rPr>
          <w:rFonts w:hint="eastAsia" w:ascii="仿宋_GB2312" w:eastAsia="仿宋_GB2312" w:cs="仿宋"/>
          <w:color w:val="000000"/>
          <w:kern w:val="0"/>
          <w:sz w:val="32"/>
          <w:szCs w:val="32"/>
        </w:rPr>
        <w:t>分</w:t>
      </w:r>
      <w:r>
        <w:rPr>
          <w:rFonts w:hint="eastAsia" w:ascii="仿宋_GB2312" w:eastAsia="仿宋_GB2312" w:cs="仿宋"/>
          <w:color w:val="000000"/>
          <w:kern w:val="0"/>
          <w:sz w:val="32"/>
          <w:szCs w:val="32"/>
          <w:lang w:val="zh-CN"/>
        </w:rPr>
        <w:t>。</w:t>
      </w:r>
    </w:p>
    <w:p>
      <w:pPr>
        <w:widowControl/>
        <w:adjustRightInd w:val="0"/>
        <w:snapToGrid w:val="0"/>
        <w:spacing w:line="576" w:lineRule="exact"/>
        <w:rPr>
          <w:rFonts w:ascii="仿宋" w:hAnsi="仿宋" w:eastAsia="仿宋" w:cs="仿宋"/>
          <w:b/>
          <w:bCs/>
          <w:color w:val="000000"/>
          <w:kern w:val="0"/>
          <w:sz w:val="32"/>
          <w:szCs w:val="32"/>
          <w:lang w:val="zh-CN"/>
        </w:rPr>
      </w:pPr>
      <w:r>
        <w:rPr>
          <w:rFonts w:hint="eastAsia" w:ascii="仿宋" w:hAnsi="仿宋" w:eastAsia="仿宋" w:cs="仿宋"/>
          <w:color w:val="000000"/>
          <w:kern w:val="0"/>
          <w:sz w:val="32"/>
          <w:szCs w:val="32"/>
          <w:lang w:val="zh-CN"/>
        </w:rPr>
        <w:t>　　</w:t>
      </w:r>
      <w:r>
        <w:rPr>
          <w:rFonts w:hint="eastAsia" w:ascii="楷体_GB2312" w:hAnsi="楷体_GB2312" w:eastAsia="楷体_GB2312" w:cs="楷体_GB2312"/>
          <w:b/>
          <w:bCs/>
          <w:sz w:val="32"/>
          <w:szCs w:val="32"/>
          <w:lang w:val="zh-CN"/>
        </w:rPr>
        <w:t>（二）存在问题</w:t>
      </w:r>
    </w:p>
    <w:p>
      <w:pPr>
        <w:widowControl/>
        <w:adjustRightInd w:val="0"/>
        <w:snapToGrid w:val="0"/>
        <w:spacing w:line="576" w:lineRule="exact"/>
        <w:rPr>
          <w:rFonts w:ascii="仿宋_GB2312" w:eastAsia="仿宋_GB2312" w:cs="仿宋"/>
          <w:color w:val="000000"/>
          <w:kern w:val="0"/>
          <w:sz w:val="32"/>
          <w:szCs w:val="32"/>
          <w:lang w:val="zh-CN"/>
        </w:rPr>
      </w:pPr>
      <w:r>
        <w:rPr>
          <w:rFonts w:hint="eastAsia" w:ascii="仿宋" w:hAnsi="仿宋" w:eastAsia="仿宋" w:cs="仿宋"/>
          <w:color w:val="333333"/>
          <w:sz w:val="32"/>
          <w:szCs w:val="32"/>
          <w:shd w:val="clear" w:color="auto" w:fill="FFFFFF"/>
        </w:rPr>
        <w:t>　　</w:t>
      </w:r>
      <w:r>
        <w:rPr>
          <w:rFonts w:hint="eastAsia" w:ascii="仿宋_GB2312" w:eastAsia="仿宋_GB2312" w:cs="仿宋"/>
          <w:color w:val="000000"/>
          <w:kern w:val="0"/>
          <w:sz w:val="32"/>
          <w:szCs w:val="32"/>
          <w:lang w:val="zh-CN"/>
        </w:rPr>
        <w:t>预算编制内容还需进一步细化，科目还需要更全面。</w:t>
      </w:r>
    </w:p>
    <w:p>
      <w:pPr>
        <w:widowControl/>
        <w:adjustRightInd w:val="0"/>
        <w:snapToGrid w:val="0"/>
        <w:spacing w:line="576" w:lineRule="exact"/>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　　</w:t>
      </w:r>
      <w:r>
        <w:rPr>
          <w:rFonts w:hint="eastAsia" w:ascii="楷体_GB2312" w:hAnsi="楷体_GB2312" w:eastAsia="楷体_GB2312" w:cs="楷体_GB2312"/>
          <w:b/>
          <w:bCs/>
          <w:sz w:val="32"/>
          <w:szCs w:val="32"/>
          <w:lang w:val="zh-CN"/>
        </w:rPr>
        <w:t>（三）改进建议</w:t>
      </w:r>
    </w:p>
    <w:p>
      <w:pPr>
        <w:widowControl/>
        <w:adjustRightInd w:val="0"/>
        <w:snapToGrid w:val="0"/>
        <w:spacing w:line="576" w:lineRule="exact"/>
        <w:rPr>
          <w:rFonts w:ascii="仿宋_GB2312" w:eastAsia="仿宋_GB2312" w:cs="仿宋"/>
          <w:color w:val="000000"/>
          <w:kern w:val="0"/>
          <w:sz w:val="32"/>
          <w:szCs w:val="32"/>
          <w:lang w:val="zh-CN"/>
        </w:rPr>
      </w:pPr>
      <w:r>
        <w:rPr>
          <w:rFonts w:hint="eastAsia" w:ascii="仿宋" w:hAnsi="仿宋" w:eastAsia="仿宋" w:cs="仿宋"/>
          <w:color w:val="333333"/>
          <w:sz w:val="32"/>
          <w:szCs w:val="32"/>
          <w:shd w:val="clear" w:color="auto" w:fill="FFFFFF"/>
        </w:rPr>
        <w:t>　　</w:t>
      </w:r>
      <w:r>
        <w:rPr>
          <w:rFonts w:ascii="仿宋_GB2312" w:eastAsia="仿宋_GB2312" w:cs="仿宋"/>
          <w:color w:val="000000"/>
          <w:kern w:val="0"/>
          <w:sz w:val="32"/>
          <w:szCs w:val="32"/>
        </w:rPr>
        <w:t>1.</w:t>
      </w:r>
      <w:r>
        <w:rPr>
          <w:rFonts w:hint="eastAsia" w:ascii="仿宋_GB2312" w:eastAsia="仿宋_GB2312" w:cs="仿宋"/>
          <w:color w:val="000000"/>
          <w:kern w:val="0"/>
          <w:sz w:val="32"/>
          <w:szCs w:val="32"/>
          <w:lang w:val="zh-CN"/>
        </w:rPr>
        <w:t>遵循先有预算、后有支出的原则，加强财务管理和内部控制监督制度。严禁超预算和无预算安排支出，严格开支范围和标准，严格支出报销审核，不报销任何超范围、超标准的费用。</w:t>
      </w:r>
      <w:r>
        <w:rPr>
          <w:rFonts w:ascii="仿宋_GB2312" w:eastAsia="仿宋_GB2312" w:cs="仿宋"/>
          <w:color w:val="000000"/>
          <w:kern w:val="0"/>
          <w:sz w:val="32"/>
          <w:szCs w:val="32"/>
          <w:lang w:val="zh-CN"/>
        </w:rPr>
        <w:t xml:space="preserve"> </w:t>
      </w:r>
    </w:p>
    <w:p>
      <w:pPr>
        <w:widowControl/>
        <w:adjustRightInd w:val="0"/>
        <w:snapToGrid w:val="0"/>
        <w:spacing w:line="576" w:lineRule="exac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rPr>
        <w:t>　　</w:t>
      </w:r>
      <w:r>
        <w:rPr>
          <w:rFonts w:ascii="仿宋_GB2312" w:eastAsia="仿宋_GB2312" w:cs="仿宋"/>
          <w:color w:val="000000"/>
          <w:kern w:val="0"/>
          <w:sz w:val="32"/>
          <w:szCs w:val="32"/>
        </w:rPr>
        <w:t>2.</w:t>
      </w:r>
      <w:r>
        <w:rPr>
          <w:rFonts w:hint="eastAsia" w:ascii="仿宋_GB2312" w:eastAsia="仿宋_GB2312" w:cs="仿宋"/>
          <w:color w:val="000000"/>
          <w:kern w:val="0"/>
          <w:sz w:val="32"/>
          <w:szCs w:val="32"/>
          <w:lang w:val="zh-CN"/>
        </w:rPr>
        <w:t>严格控制“三公”经费。认真贯彻落实中央、省委、省政府和县委县政府相关规定，严格“三公”经费支出的审核和审批，合理压缩“三公”经费支出。</w:t>
      </w:r>
    </w:p>
    <w:p>
      <w:pPr>
        <w:widowControl/>
        <w:adjustRightInd w:val="0"/>
        <w:snapToGrid w:val="0"/>
        <w:spacing w:line="576" w:lineRule="exact"/>
        <w:ind w:firstLine="640"/>
        <w:rPr>
          <w:rFonts w:hint="eastAsia" w:ascii="仿宋_GB2312" w:eastAsia="仿宋_GB2312" w:cs="仿宋"/>
          <w:color w:val="000000"/>
          <w:kern w:val="0"/>
          <w:sz w:val="32"/>
          <w:szCs w:val="32"/>
          <w:lang w:val="zh-CN"/>
        </w:rPr>
      </w:pPr>
      <w:r>
        <w:rPr>
          <w:rFonts w:ascii="仿宋_GB2312" w:eastAsia="仿宋_GB2312" w:cs="仿宋"/>
          <w:color w:val="000000"/>
          <w:kern w:val="0"/>
          <w:sz w:val="32"/>
          <w:szCs w:val="32"/>
        </w:rPr>
        <w:t>3.</w:t>
      </w:r>
      <w:r>
        <w:rPr>
          <w:rFonts w:hint="eastAsia" w:ascii="仿宋_GB2312" w:eastAsia="仿宋_GB2312" w:cs="仿宋"/>
          <w:color w:val="000000"/>
          <w:kern w:val="0"/>
          <w:sz w:val="32"/>
          <w:szCs w:val="32"/>
          <w:lang w:val="zh-CN"/>
        </w:rPr>
        <w:t>节能降耗，厉行节约，节约能源。</w:t>
      </w:r>
    </w:p>
    <w:p>
      <w:pPr>
        <w:pStyle w:val="28"/>
        <w:keepNext w:val="0"/>
        <w:keepLines w:val="0"/>
        <w:pageBreakBefore w:val="0"/>
        <w:widowControl w:val="0"/>
        <w:kinsoku/>
        <w:wordWrap/>
        <w:overflowPunct/>
        <w:topLinePunct w:val="0"/>
        <w:autoSpaceDE/>
        <w:autoSpaceDN/>
        <w:bidi w:val="0"/>
        <w:spacing w:line="536" w:lineRule="exact"/>
        <w:ind w:firstLine="883"/>
        <w:jc w:val="center"/>
        <w:textAlignment w:val="auto"/>
        <w:rPr>
          <w:rFonts w:hint="eastAsia" w:ascii="方正小标宋简体" w:hAnsi="宋体" w:eastAsia="方正小标宋简体"/>
          <w:color w:val="auto"/>
          <w:sz w:val="44"/>
          <w:szCs w:val="44"/>
          <w:lang w:val="en-US" w:eastAsia="zh-CN"/>
        </w:rPr>
      </w:pPr>
    </w:p>
    <w:p>
      <w:pPr>
        <w:pStyle w:val="28"/>
        <w:keepNext w:val="0"/>
        <w:keepLines w:val="0"/>
        <w:pageBreakBefore w:val="0"/>
        <w:widowControl w:val="0"/>
        <w:kinsoku/>
        <w:wordWrap/>
        <w:overflowPunct/>
        <w:topLinePunct w:val="0"/>
        <w:autoSpaceDE/>
        <w:autoSpaceDN/>
        <w:bidi w:val="0"/>
        <w:spacing w:line="536" w:lineRule="exact"/>
        <w:ind w:firstLine="883"/>
        <w:jc w:val="center"/>
        <w:textAlignment w:val="auto"/>
        <w:rPr>
          <w:rFonts w:hint="eastAsia" w:ascii="方正小标宋简体" w:hAnsi="宋体" w:eastAsia="方正小标宋简体"/>
          <w:color w:val="auto"/>
          <w:sz w:val="44"/>
          <w:szCs w:val="44"/>
        </w:rPr>
      </w:pPr>
      <w:r>
        <w:rPr>
          <w:rFonts w:hint="eastAsia" w:ascii="方正小标宋简体" w:hAnsi="宋体" w:eastAsia="方正小标宋简体"/>
          <w:color w:val="auto"/>
          <w:sz w:val="44"/>
          <w:szCs w:val="44"/>
          <w:lang w:val="en-US" w:eastAsia="zh-CN"/>
        </w:rPr>
        <w:t>金川县2021年草原生态补助奖励政策</w:t>
      </w:r>
      <w:r>
        <w:rPr>
          <w:rFonts w:hint="eastAsia" w:ascii="方正小标宋简体" w:hAnsi="宋体" w:eastAsia="方正小标宋简体"/>
          <w:color w:val="auto"/>
          <w:sz w:val="44"/>
          <w:szCs w:val="44"/>
        </w:rPr>
        <w:t>项目支出绩效自评报告</w:t>
      </w:r>
    </w:p>
    <w:p>
      <w:pPr>
        <w:pStyle w:val="28"/>
        <w:keepNext w:val="0"/>
        <w:keepLines w:val="0"/>
        <w:pageBreakBefore w:val="0"/>
        <w:widowControl w:val="0"/>
        <w:kinsoku/>
        <w:wordWrap/>
        <w:overflowPunct/>
        <w:topLinePunct w:val="0"/>
        <w:autoSpaceDE/>
        <w:autoSpaceDN/>
        <w:bidi w:val="0"/>
        <w:spacing w:line="536" w:lineRule="exact"/>
        <w:ind w:firstLine="883"/>
        <w:jc w:val="center"/>
        <w:textAlignment w:val="auto"/>
        <w:rPr>
          <w:rFonts w:hint="eastAsia" w:ascii="方正小标宋简体" w:hAnsi="宋体" w:eastAsia="方正小标宋简体"/>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536" w:lineRule="exact"/>
        <w:ind w:firstLine="72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numPr>
          <w:ilvl w:val="0"/>
          <w:numId w:val="3"/>
        </w:numPr>
        <w:kinsoku/>
        <w:wordWrap/>
        <w:overflowPunct/>
        <w:topLinePunct w:val="0"/>
        <w:autoSpaceDE/>
        <w:autoSpaceDN/>
        <w:bidi w:val="0"/>
        <w:spacing w:line="536" w:lineRule="exact"/>
        <w:ind w:firstLine="642"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项目资金申报及批复情况。</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rPr>
      </w:pPr>
      <w:r>
        <w:rPr>
          <w:rFonts w:hint="eastAsia" w:ascii="仿宋_GB2312" w:hAnsi="Times New Roman" w:eastAsia="仿宋_GB2312" w:cs="仿宋"/>
          <w:color w:val="000000"/>
          <w:kern w:val="0"/>
          <w:sz w:val="32"/>
          <w:szCs w:val="32"/>
          <w:lang w:val="en-US" w:eastAsia="zh-CN"/>
        </w:rPr>
        <w:t>1、金川县科学技术和农业畜牧局 金川县财政局关于报送金川县2021年草原生态补助奖励政策实施方案的请示</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金科农畜</w:t>
      </w:r>
      <w:r>
        <w:rPr>
          <w:rFonts w:hint="eastAsia" w:ascii="仿宋_GB2312" w:hAnsi="Times New Roman" w:eastAsia="仿宋_GB2312" w:cs="仿宋"/>
          <w:color w:val="000000"/>
          <w:kern w:val="0"/>
          <w:sz w:val="32"/>
          <w:szCs w:val="32"/>
          <w:lang w:val="zh-CN"/>
        </w:rPr>
        <w:t>〔20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275</w:t>
      </w:r>
      <w:r>
        <w:rPr>
          <w:rFonts w:hint="eastAsia" w:ascii="仿宋_GB2312" w:hAnsi="Times New Roman" w:eastAsia="仿宋_GB2312" w:cs="仿宋"/>
          <w:color w:val="000000"/>
          <w:kern w:val="0"/>
          <w:sz w:val="32"/>
          <w:szCs w:val="32"/>
          <w:lang w:val="zh-CN"/>
        </w:rPr>
        <w:t>号）</w:t>
      </w: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zh-CN"/>
        </w:rPr>
        <w:t>申报总补奖资金10</w:t>
      </w: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rPr>
        <w:t>3.</w:t>
      </w:r>
      <w:r>
        <w:rPr>
          <w:rFonts w:hint="eastAsia" w:ascii="仿宋_GB2312" w:hAnsi="Times New Roman" w:eastAsia="仿宋_GB2312" w:cs="仿宋"/>
          <w:color w:val="000000"/>
          <w:kern w:val="0"/>
          <w:sz w:val="32"/>
          <w:szCs w:val="32"/>
          <w:lang w:val="en-US" w:eastAsia="zh-CN"/>
        </w:rPr>
        <w:t>0</w:t>
      </w:r>
      <w:r>
        <w:rPr>
          <w:rFonts w:hint="eastAsia" w:ascii="仿宋_GB2312" w:hAnsi="Times New Roman" w:eastAsia="仿宋_GB2312" w:cs="仿宋"/>
          <w:color w:val="000000"/>
          <w:kern w:val="0"/>
          <w:sz w:val="32"/>
          <w:szCs w:val="32"/>
          <w:lang w:val="zh-CN"/>
        </w:rPr>
        <w:t>5万元</w:t>
      </w: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zh-CN"/>
        </w:rPr>
        <w:t>年度补奖资金10</w:t>
      </w: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rPr>
        <w:t>3.</w:t>
      </w:r>
      <w:r>
        <w:rPr>
          <w:rFonts w:hint="eastAsia" w:ascii="仿宋_GB2312" w:hAnsi="Times New Roman" w:eastAsia="仿宋_GB2312" w:cs="仿宋"/>
          <w:color w:val="000000"/>
          <w:kern w:val="0"/>
          <w:sz w:val="32"/>
          <w:szCs w:val="32"/>
          <w:lang w:val="en-US" w:eastAsia="zh-CN"/>
        </w:rPr>
        <w:t>0</w:t>
      </w:r>
      <w:r>
        <w:rPr>
          <w:rFonts w:hint="eastAsia" w:ascii="仿宋_GB2312" w:hAnsi="Times New Roman" w:eastAsia="仿宋_GB2312" w:cs="仿宋"/>
          <w:color w:val="000000"/>
          <w:kern w:val="0"/>
          <w:sz w:val="32"/>
          <w:szCs w:val="32"/>
          <w:lang w:val="zh-CN"/>
        </w:rPr>
        <w:t>5万元，其中每年：禁牧补助资金</w:t>
      </w:r>
      <w:r>
        <w:rPr>
          <w:rFonts w:hint="eastAsia" w:ascii="仿宋_GB2312" w:hAnsi="Times New Roman" w:eastAsia="仿宋_GB2312" w:cs="仿宋"/>
          <w:color w:val="000000"/>
          <w:kern w:val="0"/>
          <w:sz w:val="32"/>
          <w:szCs w:val="32"/>
          <w:lang w:val="en-US" w:eastAsia="zh-CN"/>
        </w:rPr>
        <w:t>474.3</w:t>
      </w:r>
      <w:r>
        <w:rPr>
          <w:rFonts w:hint="eastAsia" w:ascii="仿宋_GB2312" w:hAnsi="Times New Roman" w:eastAsia="仿宋_GB2312" w:cs="仿宋"/>
          <w:color w:val="000000"/>
          <w:kern w:val="0"/>
          <w:sz w:val="32"/>
          <w:szCs w:val="32"/>
          <w:lang w:val="zh-CN"/>
        </w:rPr>
        <w:t>万元，草畜平衡奖励资金548.75万元。</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rPr>
        <w:t>财政部</w:t>
      </w: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zh-CN"/>
        </w:rPr>
        <w:t>农业</w:t>
      </w:r>
      <w:r>
        <w:rPr>
          <w:rFonts w:hint="eastAsia" w:ascii="仿宋_GB2312" w:hAnsi="Times New Roman" w:eastAsia="仿宋_GB2312" w:cs="仿宋"/>
          <w:color w:val="000000"/>
          <w:kern w:val="0"/>
          <w:sz w:val="32"/>
          <w:szCs w:val="32"/>
          <w:lang w:val="zh-CN" w:eastAsia="zh-CN"/>
        </w:rPr>
        <w:t>农村</w:t>
      </w:r>
      <w:r>
        <w:rPr>
          <w:rFonts w:hint="eastAsia" w:ascii="仿宋_GB2312" w:hAnsi="Times New Roman" w:eastAsia="仿宋_GB2312" w:cs="仿宋"/>
          <w:color w:val="000000"/>
          <w:kern w:val="0"/>
          <w:sz w:val="32"/>
          <w:szCs w:val="32"/>
          <w:lang w:val="zh-CN"/>
        </w:rPr>
        <w:t>部</w:t>
      </w:r>
      <w:r>
        <w:rPr>
          <w:rFonts w:hint="eastAsia" w:ascii="仿宋_GB2312" w:hAnsi="Times New Roman" w:eastAsia="仿宋_GB2312" w:cs="仿宋"/>
          <w:color w:val="000000"/>
          <w:kern w:val="0"/>
          <w:sz w:val="32"/>
          <w:szCs w:val="32"/>
          <w:lang w:val="zh-CN" w:eastAsia="zh-CN"/>
        </w:rPr>
        <w:t>、国家林草局</w:t>
      </w:r>
      <w:r>
        <w:rPr>
          <w:rFonts w:hint="eastAsia" w:ascii="仿宋_GB2312" w:hAnsi="Times New Roman" w:eastAsia="仿宋_GB2312" w:cs="仿宋"/>
          <w:color w:val="000000"/>
          <w:kern w:val="0"/>
          <w:sz w:val="32"/>
          <w:szCs w:val="32"/>
          <w:lang w:val="zh-CN"/>
        </w:rPr>
        <w:t>关于印发《</w:t>
      </w:r>
      <w:r>
        <w:rPr>
          <w:rFonts w:hint="eastAsia" w:ascii="仿宋_GB2312" w:hAnsi="Times New Roman" w:eastAsia="仿宋_GB2312" w:cs="仿宋"/>
          <w:color w:val="000000"/>
          <w:kern w:val="0"/>
          <w:sz w:val="32"/>
          <w:szCs w:val="32"/>
          <w:lang w:val="zh-CN" w:eastAsia="zh-CN"/>
        </w:rPr>
        <w:t>第三</w:t>
      </w:r>
      <w:r>
        <w:rPr>
          <w:rFonts w:hint="eastAsia" w:ascii="仿宋_GB2312" w:hAnsi="Times New Roman" w:eastAsia="仿宋_GB2312" w:cs="仿宋"/>
          <w:color w:val="000000"/>
          <w:kern w:val="0"/>
          <w:sz w:val="32"/>
          <w:szCs w:val="32"/>
          <w:lang w:val="zh-CN"/>
        </w:rPr>
        <w:t>轮草原生态保护补助奖励政策实施指导意见》的通知（财</w:t>
      </w:r>
      <w:r>
        <w:rPr>
          <w:rFonts w:hint="eastAsia" w:ascii="仿宋_GB2312" w:hAnsi="Times New Roman" w:eastAsia="仿宋_GB2312" w:cs="仿宋"/>
          <w:color w:val="000000"/>
          <w:kern w:val="0"/>
          <w:sz w:val="32"/>
          <w:szCs w:val="32"/>
          <w:lang w:val="zh-CN" w:eastAsia="zh-CN"/>
        </w:rPr>
        <w:t>农</w:t>
      </w:r>
      <w:r>
        <w:rPr>
          <w:rFonts w:hint="eastAsia" w:ascii="仿宋_GB2312" w:hAnsi="Times New Roman" w:eastAsia="仿宋_GB2312" w:cs="仿宋"/>
          <w:color w:val="000000"/>
          <w:kern w:val="0"/>
          <w:sz w:val="32"/>
          <w:szCs w:val="32"/>
          <w:lang w:val="zh-CN"/>
        </w:rPr>
        <w:t>〔20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82</w:t>
      </w:r>
      <w:r>
        <w:rPr>
          <w:rFonts w:hint="eastAsia" w:ascii="仿宋_GB2312" w:hAnsi="Times New Roman" w:eastAsia="仿宋_GB2312" w:cs="仿宋"/>
          <w:color w:val="000000"/>
          <w:kern w:val="0"/>
          <w:sz w:val="32"/>
          <w:szCs w:val="32"/>
          <w:lang w:val="zh-CN"/>
        </w:rPr>
        <w:t>号）；四川省财政厅 四川省农业农村厅《关于修订印发农业相关转移支付资金管理办法实施细则的通知》（川财农〔2020〕85号）；《四川省财政厅 四川省农业</w:t>
      </w:r>
      <w:r>
        <w:rPr>
          <w:rFonts w:hint="eastAsia" w:ascii="仿宋_GB2312" w:hAnsi="Times New Roman" w:eastAsia="仿宋_GB2312" w:cs="仿宋"/>
          <w:color w:val="000000"/>
          <w:kern w:val="0"/>
          <w:sz w:val="32"/>
          <w:szCs w:val="32"/>
          <w:lang w:val="en-US" w:eastAsia="zh-CN"/>
        </w:rPr>
        <w:t>农村</w:t>
      </w:r>
      <w:r>
        <w:rPr>
          <w:rFonts w:hint="eastAsia" w:ascii="仿宋_GB2312" w:hAnsi="Times New Roman" w:eastAsia="仿宋_GB2312" w:cs="仿宋"/>
          <w:color w:val="000000"/>
          <w:kern w:val="0"/>
          <w:sz w:val="32"/>
          <w:szCs w:val="32"/>
          <w:lang w:val="zh-CN"/>
        </w:rPr>
        <w:t>厅关于下达20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年中央财政农业</w:t>
      </w:r>
      <w:r>
        <w:rPr>
          <w:rFonts w:hint="eastAsia" w:ascii="仿宋_GB2312" w:hAnsi="Times New Roman" w:eastAsia="仿宋_GB2312" w:cs="仿宋"/>
          <w:color w:val="000000"/>
          <w:kern w:val="0"/>
          <w:sz w:val="32"/>
          <w:szCs w:val="32"/>
          <w:lang w:val="zh-CN" w:eastAsia="zh-CN"/>
        </w:rPr>
        <w:t>资源及生态保护补助</w:t>
      </w:r>
      <w:r>
        <w:rPr>
          <w:rFonts w:hint="eastAsia" w:ascii="仿宋_GB2312" w:hAnsi="Times New Roman" w:eastAsia="仿宋_GB2312" w:cs="仿宋"/>
          <w:color w:val="000000"/>
          <w:kern w:val="0"/>
          <w:sz w:val="32"/>
          <w:szCs w:val="32"/>
          <w:lang w:val="zh-CN"/>
        </w:rPr>
        <w:t>资金的通知》（川</w:t>
      </w:r>
      <w:r>
        <w:rPr>
          <w:rFonts w:hint="eastAsia" w:ascii="仿宋_GB2312" w:hAnsi="Times New Roman" w:eastAsia="仿宋_GB2312" w:cs="仿宋"/>
          <w:color w:val="000000"/>
          <w:kern w:val="0"/>
          <w:sz w:val="32"/>
          <w:szCs w:val="32"/>
          <w:lang w:val="en-US" w:eastAsia="zh-CN"/>
        </w:rPr>
        <w:t>财农</w:t>
      </w:r>
      <w:r>
        <w:rPr>
          <w:rFonts w:hint="eastAsia" w:ascii="仿宋_GB2312" w:hAnsi="Times New Roman" w:eastAsia="仿宋_GB2312" w:cs="仿宋"/>
          <w:color w:val="000000"/>
          <w:kern w:val="0"/>
          <w:sz w:val="32"/>
          <w:szCs w:val="32"/>
          <w:lang w:val="zh-CN"/>
        </w:rPr>
        <w:t>〔20</w:t>
      </w:r>
      <w:r>
        <w:rPr>
          <w:rFonts w:hint="eastAsia" w:ascii="仿宋_GB2312" w:hAnsi="Times New Roman" w:eastAsia="仿宋_GB2312" w:cs="仿宋"/>
          <w:color w:val="000000"/>
          <w:kern w:val="0"/>
          <w:sz w:val="32"/>
          <w:szCs w:val="32"/>
          <w:lang w:val="en-US" w:eastAsia="zh-CN"/>
        </w:rPr>
        <w:t>20</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184</w:t>
      </w:r>
      <w:r>
        <w:rPr>
          <w:rFonts w:hint="eastAsia" w:ascii="仿宋_GB2312" w:hAnsi="Times New Roman" w:eastAsia="仿宋_GB2312" w:cs="仿宋"/>
          <w:color w:val="000000"/>
          <w:kern w:val="0"/>
          <w:sz w:val="32"/>
          <w:szCs w:val="32"/>
          <w:lang w:val="zh-CN"/>
        </w:rPr>
        <w:t>号）</w:t>
      </w: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zh-CN"/>
        </w:rPr>
        <w:t>《四川省财政厅 四川省农业</w:t>
      </w:r>
      <w:r>
        <w:rPr>
          <w:rFonts w:hint="eastAsia" w:ascii="仿宋_GB2312" w:hAnsi="Times New Roman" w:eastAsia="仿宋_GB2312" w:cs="仿宋"/>
          <w:color w:val="000000"/>
          <w:kern w:val="0"/>
          <w:sz w:val="32"/>
          <w:szCs w:val="32"/>
          <w:lang w:val="en-US" w:eastAsia="zh-CN"/>
        </w:rPr>
        <w:t>农村</w:t>
      </w:r>
      <w:r>
        <w:rPr>
          <w:rFonts w:hint="eastAsia" w:ascii="仿宋_GB2312" w:hAnsi="Times New Roman" w:eastAsia="仿宋_GB2312" w:cs="仿宋"/>
          <w:color w:val="000000"/>
          <w:kern w:val="0"/>
          <w:sz w:val="32"/>
          <w:szCs w:val="32"/>
          <w:lang w:val="zh-CN"/>
        </w:rPr>
        <w:t>厅关于下达20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年中央财政农业</w:t>
      </w:r>
      <w:r>
        <w:rPr>
          <w:rFonts w:hint="eastAsia" w:ascii="仿宋_GB2312" w:hAnsi="Times New Roman" w:eastAsia="仿宋_GB2312" w:cs="仿宋"/>
          <w:color w:val="000000"/>
          <w:kern w:val="0"/>
          <w:sz w:val="32"/>
          <w:szCs w:val="32"/>
          <w:lang w:val="zh-CN" w:eastAsia="zh-CN"/>
        </w:rPr>
        <w:t>资源及生态保护补助</w:t>
      </w:r>
      <w:r>
        <w:rPr>
          <w:rFonts w:hint="eastAsia" w:ascii="仿宋_GB2312" w:hAnsi="Times New Roman" w:eastAsia="仿宋_GB2312" w:cs="仿宋"/>
          <w:color w:val="000000"/>
          <w:kern w:val="0"/>
          <w:sz w:val="32"/>
          <w:szCs w:val="32"/>
          <w:lang w:val="zh-CN"/>
        </w:rPr>
        <w:t>资金的通知》（川</w:t>
      </w:r>
      <w:r>
        <w:rPr>
          <w:rFonts w:hint="eastAsia" w:ascii="仿宋_GB2312" w:hAnsi="Times New Roman" w:eastAsia="仿宋_GB2312" w:cs="仿宋"/>
          <w:color w:val="000000"/>
          <w:kern w:val="0"/>
          <w:sz w:val="32"/>
          <w:szCs w:val="32"/>
          <w:lang w:val="en-US" w:eastAsia="zh-CN"/>
        </w:rPr>
        <w:t>财农</w:t>
      </w:r>
      <w:r>
        <w:rPr>
          <w:rFonts w:hint="eastAsia" w:ascii="仿宋_GB2312" w:hAnsi="Times New Roman" w:eastAsia="仿宋_GB2312" w:cs="仿宋"/>
          <w:color w:val="000000"/>
          <w:kern w:val="0"/>
          <w:sz w:val="32"/>
          <w:szCs w:val="32"/>
          <w:lang w:val="zh-CN"/>
        </w:rPr>
        <w:t>〔20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60</w:t>
      </w:r>
      <w:r>
        <w:rPr>
          <w:rFonts w:hint="eastAsia" w:ascii="仿宋_GB2312" w:hAnsi="Times New Roman" w:eastAsia="仿宋_GB2312" w:cs="仿宋"/>
          <w:color w:val="000000"/>
          <w:kern w:val="0"/>
          <w:sz w:val="32"/>
          <w:szCs w:val="32"/>
          <w:lang w:val="zh-CN"/>
        </w:rPr>
        <w:t>号）</w:t>
      </w: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zh-CN"/>
        </w:rPr>
        <w:t>《阿坝州财政局 阿坝州</w:t>
      </w:r>
      <w:r>
        <w:rPr>
          <w:rFonts w:hint="eastAsia" w:ascii="仿宋_GB2312" w:hAnsi="Times New Roman" w:eastAsia="仿宋_GB2312" w:cs="仿宋"/>
          <w:color w:val="000000"/>
          <w:kern w:val="0"/>
          <w:sz w:val="32"/>
          <w:szCs w:val="32"/>
          <w:lang w:val="en-US" w:eastAsia="zh-CN"/>
        </w:rPr>
        <w:t>农业农村</w:t>
      </w:r>
      <w:r>
        <w:rPr>
          <w:rFonts w:hint="eastAsia" w:ascii="仿宋_GB2312" w:hAnsi="Times New Roman" w:eastAsia="仿宋_GB2312" w:cs="仿宋"/>
          <w:color w:val="000000"/>
          <w:kern w:val="0"/>
          <w:sz w:val="32"/>
          <w:szCs w:val="32"/>
          <w:lang w:val="zh-CN"/>
        </w:rPr>
        <w:t>局关于提前下达20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年中央财政农业</w:t>
      </w:r>
      <w:r>
        <w:rPr>
          <w:rFonts w:hint="eastAsia" w:ascii="仿宋_GB2312" w:hAnsi="Times New Roman" w:eastAsia="仿宋_GB2312" w:cs="仿宋"/>
          <w:color w:val="000000"/>
          <w:kern w:val="0"/>
          <w:sz w:val="32"/>
          <w:szCs w:val="32"/>
          <w:lang w:val="zh-CN" w:eastAsia="zh-CN"/>
        </w:rPr>
        <w:t>资源及生态保护补助</w:t>
      </w:r>
      <w:r>
        <w:rPr>
          <w:rFonts w:hint="eastAsia" w:ascii="仿宋_GB2312" w:hAnsi="Times New Roman" w:eastAsia="仿宋_GB2312" w:cs="仿宋"/>
          <w:color w:val="000000"/>
          <w:kern w:val="0"/>
          <w:sz w:val="32"/>
          <w:szCs w:val="32"/>
          <w:lang w:val="zh-CN"/>
        </w:rPr>
        <w:t>资金的通知》（阿州财农〔20</w:t>
      </w:r>
      <w:r>
        <w:rPr>
          <w:rFonts w:hint="eastAsia" w:ascii="仿宋_GB2312" w:hAnsi="Times New Roman" w:eastAsia="仿宋_GB2312" w:cs="仿宋"/>
          <w:color w:val="000000"/>
          <w:kern w:val="0"/>
          <w:sz w:val="32"/>
          <w:szCs w:val="32"/>
          <w:lang w:val="en-US" w:eastAsia="zh-CN"/>
        </w:rPr>
        <w:t>20</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134</w:t>
      </w:r>
      <w:r>
        <w:rPr>
          <w:rFonts w:hint="eastAsia" w:ascii="仿宋_GB2312" w:hAnsi="Times New Roman" w:eastAsia="仿宋_GB2312" w:cs="仿宋"/>
          <w:color w:val="000000"/>
          <w:kern w:val="0"/>
          <w:sz w:val="32"/>
          <w:szCs w:val="32"/>
          <w:lang w:val="zh-CN"/>
        </w:rPr>
        <w:t>号）</w:t>
      </w: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zh-CN"/>
        </w:rPr>
        <w:t>《阿坝州财政局 阿坝州</w:t>
      </w:r>
      <w:r>
        <w:rPr>
          <w:rFonts w:hint="eastAsia" w:ascii="仿宋_GB2312" w:hAnsi="Times New Roman" w:eastAsia="仿宋_GB2312" w:cs="仿宋"/>
          <w:color w:val="000000"/>
          <w:kern w:val="0"/>
          <w:sz w:val="32"/>
          <w:szCs w:val="32"/>
          <w:lang w:val="en-US" w:eastAsia="zh-CN"/>
        </w:rPr>
        <w:t>农业农村</w:t>
      </w:r>
      <w:r>
        <w:rPr>
          <w:rFonts w:hint="eastAsia" w:ascii="仿宋_GB2312" w:hAnsi="Times New Roman" w:eastAsia="仿宋_GB2312" w:cs="仿宋"/>
          <w:color w:val="000000"/>
          <w:kern w:val="0"/>
          <w:sz w:val="32"/>
          <w:szCs w:val="32"/>
          <w:lang w:val="zh-CN"/>
        </w:rPr>
        <w:t>局关于提前下达20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年中央财政农业</w:t>
      </w:r>
      <w:r>
        <w:rPr>
          <w:rFonts w:hint="eastAsia" w:ascii="仿宋_GB2312" w:hAnsi="Times New Roman" w:eastAsia="仿宋_GB2312" w:cs="仿宋"/>
          <w:color w:val="000000"/>
          <w:kern w:val="0"/>
          <w:sz w:val="32"/>
          <w:szCs w:val="32"/>
          <w:lang w:val="zh-CN" w:eastAsia="zh-CN"/>
        </w:rPr>
        <w:t>资源及生态保护补助</w:t>
      </w:r>
      <w:r>
        <w:rPr>
          <w:rFonts w:hint="eastAsia" w:ascii="仿宋_GB2312" w:hAnsi="Times New Roman" w:eastAsia="仿宋_GB2312" w:cs="仿宋"/>
          <w:color w:val="000000"/>
          <w:kern w:val="0"/>
          <w:sz w:val="32"/>
          <w:szCs w:val="32"/>
          <w:lang w:val="zh-CN"/>
        </w:rPr>
        <w:t>资金的通知》（阿州财农〔20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rPr>
        <w:t>〕</w:t>
      </w:r>
      <w:r>
        <w:rPr>
          <w:rFonts w:hint="eastAsia" w:ascii="仿宋_GB2312" w:hAnsi="Times New Roman" w:eastAsia="仿宋_GB2312" w:cs="仿宋"/>
          <w:color w:val="000000"/>
          <w:kern w:val="0"/>
          <w:sz w:val="32"/>
          <w:szCs w:val="32"/>
          <w:lang w:val="en-US" w:eastAsia="zh-CN"/>
        </w:rPr>
        <w:t>38</w:t>
      </w:r>
      <w:r>
        <w:rPr>
          <w:rFonts w:hint="eastAsia" w:ascii="仿宋_GB2312" w:hAnsi="Times New Roman" w:eastAsia="仿宋_GB2312" w:cs="仿宋"/>
          <w:color w:val="000000"/>
          <w:kern w:val="0"/>
          <w:sz w:val="32"/>
          <w:szCs w:val="32"/>
          <w:lang w:val="zh-CN"/>
        </w:rPr>
        <w:t>号）</w:t>
      </w:r>
      <w:r>
        <w:rPr>
          <w:rFonts w:hint="eastAsia" w:ascii="仿宋_GB2312" w:hAnsi="Times New Roman" w:eastAsia="仿宋_GB2312" w:cs="仿宋"/>
          <w:color w:val="000000"/>
          <w:kern w:val="0"/>
          <w:sz w:val="32"/>
          <w:szCs w:val="32"/>
          <w:lang w:val="zh-CN" w:eastAsia="zh-CN"/>
        </w:rPr>
        <w:t>。</w:t>
      </w:r>
    </w:p>
    <w:p>
      <w:pPr>
        <w:widowControl/>
        <w:adjustRightInd w:val="0"/>
        <w:snapToGrid w:val="0"/>
        <w:spacing w:line="576" w:lineRule="exact"/>
        <w:ind w:firstLine="642" w:firstLineChars="200"/>
        <w:rPr>
          <w:rFonts w:hint="eastAsia" w:ascii="仿宋_GB2312" w:hAnsi="Times New Roman" w:eastAsia="仿宋_GB2312" w:cs="仿宋"/>
          <w:color w:val="000000"/>
          <w:kern w:val="0"/>
          <w:sz w:val="32"/>
          <w:szCs w:val="32"/>
          <w:lang w:val="zh-CN"/>
        </w:rPr>
      </w:pPr>
      <w:r>
        <w:rPr>
          <w:rFonts w:hint="eastAsia" w:ascii="楷体_GB2312" w:hAnsi="宋体" w:eastAsia="楷体_GB2312" w:cs="Times New Roman"/>
          <w:b/>
          <w:sz w:val="32"/>
          <w:szCs w:val="32"/>
          <w:lang w:val="zh-CN"/>
        </w:rPr>
        <w:t>（二）项目绩效目标。</w:t>
      </w:r>
    </w:p>
    <w:p>
      <w:pPr>
        <w:widowControl/>
        <w:adjustRightInd w:val="0"/>
        <w:snapToGrid w:val="0"/>
        <w:spacing w:line="576" w:lineRule="exact"/>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eastAsia="zh-CN"/>
        </w:rPr>
        <w:t>年，全县牧区继续实施草原禁牧补助62万亩，每亩补助7.</w:t>
      </w:r>
      <w:r>
        <w:rPr>
          <w:rFonts w:hint="eastAsia" w:ascii="仿宋_GB2312" w:hAnsi="Times New Roman" w:eastAsia="仿宋_GB2312" w:cs="仿宋"/>
          <w:color w:val="000000"/>
          <w:kern w:val="0"/>
          <w:sz w:val="32"/>
          <w:szCs w:val="32"/>
          <w:lang w:val="en-US" w:eastAsia="zh-CN"/>
        </w:rPr>
        <w:t>65</w:t>
      </w:r>
      <w:r>
        <w:rPr>
          <w:rFonts w:hint="eastAsia" w:ascii="仿宋_GB2312" w:hAnsi="Times New Roman" w:eastAsia="仿宋_GB2312" w:cs="仿宋"/>
          <w:color w:val="000000"/>
          <w:kern w:val="0"/>
          <w:sz w:val="32"/>
          <w:szCs w:val="32"/>
          <w:lang w:val="zh-CN" w:eastAsia="zh-CN"/>
        </w:rPr>
        <w:t>元，补助资金</w:t>
      </w:r>
      <w:r>
        <w:rPr>
          <w:rFonts w:hint="eastAsia" w:ascii="仿宋_GB2312" w:hAnsi="Times New Roman" w:eastAsia="仿宋_GB2312" w:cs="仿宋"/>
          <w:color w:val="000000"/>
          <w:kern w:val="0"/>
          <w:sz w:val="32"/>
          <w:szCs w:val="32"/>
          <w:lang w:val="en-US" w:eastAsia="zh-CN"/>
        </w:rPr>
        <w:t>474.3</w:t>
      </w:r>
      <w:r>
        <w:rPr>
          <w:rFonts w:hint="eastAsia" w:ascii="仿宋_GB2312" w:hAnsi="Times New Roman" w:eastAsia="仿宋_GB2312" w:cs="仿宋"/>
          <w:color w:val="000000"/>
          <w:kern w:val="0"/>
          <w:sz w:val="32"/>
          <w:szCs w:val="32"/>
          <w:lang w:val="zh-CN" w:eastAsia="zh-CN"/>
        </w:rPr>
        <w:t>万元；实施草畜平衡奖励219.5万亩，每亩补助</w:t>
      </w: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eastAsia="zh-CN"/>
        </w:rPr>
        <w:t>.5元，</w:t>
      </w:r>
      <w:r>
        <w:rPr>
          <w:rFonts w:hint="eastAsia" w:ascii="仿宋_GB2312" w:hAnsi="Times New Roman" w:eastAsia="仿宋_GB2312" w:cs="仿宋"/>
          <w:color w:val="000000"/>
          <w:kern w:val="0"/>
          <w:sz w:val="32"/>
          <w:szCs w:val="32"/>
          <w:lang w:val="en-US" w:eastAsia="zh-CN"/>
        </w:rPr>
        <w:t>补助</w:t>
      </w:r>
      <w:r>
        <w:rPr>
          <w:rFonts w:hint="eastAsia" w:ascii="仿宋_GB2312" w:hAnsi="Times New Roman" w:eastAsia="仿宋_GB2312" w:cs="仿宋"/>
          <w:color w:val="000000"/>
          <w:kern w:val="0"/>
          <w:sz w:val="32"/>
          <w:szCs w:val="32"/>
          <w:lang w:val="zh-CN" w:eastAsia="zh-CN"/>
        </w:rPr>
        <w:t>资金548.75万元。全县牧区草原植被盖度增加0.1</w:t>
      </w:r>
      <w:r>
        <w:rPr>
          <w:rFonts w:hint="eastAsia" w:ascii="仿宋_GB2312" w:hAnsi="Times New Roman" w:eastAsia="仿宋_GB2312" w:cs="仿宋"/>
          <w:color w:val="000000"/>
          <w:kern w:val="0"/>
          <w:sz w:val="32"/>
          <w:szCs w:val="32"/>
          <w:lang w:val="en-US" w:eastAsia="zh-CN"/>
        </w:rPr>
        <w:t>个</w:t>
      </w:r>
      <w:r>
        <w:rPr>
          <w:rFonts w:hint="eastAsia" w:ascii="仿宋_GB2312" w:hAnsi="Times New Roman" w:eastAsia="仿宋_GB2312" w:cs="仿宋"/>
          <w:color w:val="000000"/>
          <w:kern w:val="0"/>
          <w:sz w:val="32"/>
          <w:szCs w:val="32"/>
          <w:lang w:val="zh-CN" w:eastAsia="zh-CN"/>
        </w:rPr>
        <w:t>百分点。全面深化草原生态文明体制改革，严格落实禁牧休牧、草畜平衡制度，兑现草原禁牧补助和草畜平衡奖励，完成超载减畜任务，草畜动态平衡进一步巩固，草原植被进一步恢复，畜牧业生产方式加快转变，农牧民收入稳步增加，确保政策平稳有效运行。</w:t>
      </w:r>
    </w:p>
    <w:p>
      <w:pPr>
        <w:widowControl/>
        <w:adjustRightInd w:val="0"/>
        <w:snapToGrid w:val="0"/>
        <w:spacing w:line="576"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（三）项目资金申报相符性。</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rPr>
      </w:pPr>
      <w:r>
        <w:rPr>
          <w:rFonts w:hint="eastAsia" w:ascii="仿宋_GB2312" w:hAnsi="Times New Roman" w:eastAsia="仿宋_GB2312" w:cs="仿宋"/>
          <w:color w:val="000000"/>
          <w:kern w:val="0"/>
          <w:sz w:val="32"/>
          <w:szCs w:val="32"/>
          <w:lang w:val="en-US" w:eastAsia="zh-CN"/>
        </w:rPr>
        <w:t>草原生态</w:t>
      </w:r>
      <w:r>
        <w:rPr>
          <w:rFonts w:hint="eastAsia" w:ascii="仿宋_GB2312" w:hAnsi="Times New Roman" w:eastAsia="仿宋_GB2312" w:cs="仿宋"/>
          <w:color w:val="000000"/>
          <w:kern w:val="0"/>
          <w:sz w:val="32"/>
          <w:szCs w:val="32"/>
          <w:lang w:val="zh-CN" w:eastAsia="zh-CN"/>
        </w:rPr>
        <w:t>补奖政策项目申报内容与项目实施方案内容相一致，申报目标合理可行。</w:t>
      </w:r>
    </w:p>
    <w:p>
      <w:pPr>
        <w:keepNext w:val="0"/>
        <w:keepLines w:val="0"/>
        <w:pageBreakBefore w:val="0"/>
        <w:widowControl w:val="0"/>
        <w:kinsoku/>
        <w:wordWrap/>
        <w:overflowPunct/>
        <w:topLinePunct w:val="0"/>
        <w:autoSpaceDE/>
        <w:autoSpaceDN/>
        <w:bidi w:val="0"/>
        <w:adjustRightInd w:val="0"/>
        <w:snapToGrid w:val="0"/>
        <w:spacing w:line="536" w:lineRule="exact"/>
        <w:ind w:firstLine="720"/>
        <w:textAlignment w:val="auto"/>
        <w:rPr>
          <w:rFonts w:hint="eastAsia" w:ascii="黑体" w:hAnsi="宋体" w:eastAsia="黑体" w:cs="Times New Roman"/>
          <w:sz w:val="32"/>
          <w:szCs w:val="32"/>
          <w:lang w:val="zh-CN"/>
        </w:rPr>
      </w:pPr>
      <w:r>
        <w:rPr>
          <w:rFonts w:hint="eastAsia" w:ascii="黑体" w:hAnsi="宋体" w:eastAsia="黑体" w:cs="Times New Roman"/>
          <w:sz w:val="32"/>
          <w:szCs w:val="32"/>
          <w:lang w:val="zh-CN"/>
        </w:rPr>
        <w:t>二、项目实施及管理情况</w:t>
      </w:r>
    </w:p>
    <w:p>
      <w:pPr>
        <w:widowControl/>
        <w:adjustRightInd w:val="0"/>
        <w:snapToGrid w:val="0"/>
        <w:spacing w:line="576" w:lineRule="exact"/>
        <w:rPr>
          <w:rFonts w:hint="eastAsia" w:ascii="仿宋_GB2312" w:hAnsi="Times New Roman" w:eastAsia="仿宋_GB2312" w:cs="仿宋"/>
          <w:color w:val="000000"/>
          <w:kern w:val="0"/>
          <w:sz w:val="32"/>
          <w:szCs w:val="32"/>
          <w:lang w:val="zh-CN"/>
        </w:rPr>
      </w:pPr>
      <w:r>
        <w:rPr>
          <w:rFonts w:hint="eastAsia" w:ascii="仿宋_GB2312" w:hAnsi="Times New Roman" w:eastAsia="仿宋_GB2312" w:cs="仿宋"/>
          <w:color w:val="000000"/>
          <w:kern w:val="0"/>
          <w:sz w:val="32"/>
          <w:szCs w:val="32"/>
          <w:lang w:val="zh-CN"/>
        </w:rPr>
        <w:tab/>
      </w:r>
      <w:r>
        <w:rPr>
          <w:rFonts w:hint="eastAsia" w:ascii="楷体_GB2312" w:hAnsi="宋体" w:eastAsia="楷体_GB2312" w:cs="Times New Roman"/>
          <w:b/>
          <w:sz w:val="32"/>
          <w:szCs w:val="32"/>
          <w:lang w:val="zh-CN"/>
        </w:rPr>
        <w:t>（一）资金计划、到位及使用情况。</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1、资金计划及到位。20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eastAsia="zh-CN"/>
        </w:rPr>
        <w:t>年到位</w:t>
      </w:r>
      <w:r>
        <w:rPr>
          <w:rFonts w:hint="eastAsia" w:ascii="仿宋_GB2312" w:hAnsi="Times New Roman" w:eastAsia="仿宋_GB2312" w:cs="仿宋"/>
          <w:color w:val="000000"/>
          <w:kern w:val="0"/>
          <w:sz w:val="32"/>
          <w:szCs w:val="32"/>
          <w:lang w:val="en-US" w:eastAsia="zh-CN"/>
        </w:rPr>
        <w:t>草原生态补助奖励政策</w:t>
      </w:r>
      <w:r>
        <w:rPr>
          <w:rFonts w:hint="eastAsia" w:ascii="仿宋_GB2312" w:hAnsi="Times New Roman" w:eastAsia="仿宋_GB2312" w:cs="仿宋"/>
          <w:color w:val="000000"/>
          <w:kern w:val="0"/>
          <w:sz w:val="32"/>
          <w:szCs w:val="32"/>
          <w:lang w:val="zh-CN" w:eastAsia="zh-CN"/>
        </w:rPr>
        <w:t>项目资金</w:t>
      </w:r>
      <w:r>
        <w:rPr>
          <w:rFonts w:hint="eastAsia" w:ascii="仿宋_GB2312" w:hAnsi="Times New Roman" w:eastAsia="仿宋_GB2312" w:cs="仿宋"/>
          <w:color w:val="000000"/>
          <w:kern w:val="0"/>
          <w:sz w:val="32"/>
          <w:szCs w:val="32"/>
          <w:lang w:val="en-US" w:eastAsia="zh-CN"/>
        </w:rPr>
        <w:t>1023.05</w:t>
      </w:r>
      <w:r>
        <w:rPr>
          <w:rFonts w:hint="eastAsia" w:ascii="仿宋_GB2312" w:hAnsi="Times New Roman" w:eastAsia="仿宋_GB2312" w:cs="仿宋"/>
          <w:color w:val="000000"/>
          <w:kern w:val="0"/>
          <w:sz w:val="32"/>
          <w:szCs w:val="32"/>
          <w:lang w:val="zh-CN" w:eastAsia="zh-CN"/>
        </w:rPr>
        <w:t>万元，全部为中央资金。资金到位率</w:t>
      </w:r>
      <w:r>
        <w:rPr>
          <w:rFonts w:hint="eastAsia" w:ascii="仿宋_GB2312" w:hAnsi="Times New Roman" w:eastAsia="仿宋_GB2312" w:cs="仿宋"/>
          <w:color w:val="000000"/>
          <w:kern w:val="0"/>
          <w:sz w:val="32"/>
          <w:szCs w:val="32"/>
          <w:lang w:val="en-US" w:eastAsia="zh-CN"/>
        </w:rPr>
        <w:t xml:space="preserve">      </w:t>
      </w:r>
      <w:r>
        <w:rPr>
          <w:rFonts w:hint="eastAsia" w:ascii="仿宋_GB2312" w:hAnsi="Times New Roman" w:eastAsia="仿宋_GB2312" w:cs="仿宋"/>
          <w:color w:val="000000"/>
          <w:kern w:val="0"/>
          <w:sz w:val="32"/>
          <w:szCs w:val="32"/>
          <w:lang w:val="zh-CN" w:eastAsia="zh-CN"/>
        </w:rPr>
        <w:t>100%。</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2、资金使用。按照项目批复、实施方案和相关资金管理要求，共计支出</w:t>
      </w:r>
      <w:r>
        <w:rPr>
          <w:rFonts w:hint="eastAsia" w:ascii="仿宋_GB2312" w:hAnsi="Times New Roman" w:eastAsia="仿宋_GB2312" w:cs="仿宋"/>
          <w:color w:val="000000"/>
          <w:kern w:val="0"/>
          <w:sz w:val="32"/>
          <w:szCs w:val="32"/>
          <w:lang w:val="en-US" w:eastAsia="zh-CN"/>
        </w:rPr>
        <w:t>草原生态补助</w:t>
      </w:r>
      <w:r>
        <w:rPr>
          <w:rFonts w:hint="eastAsia" w:ascii="仿宋_GB2312" w:hAnsi="Times New Roman" w:eastAsia="仿宋_GB2312" w:cs="仿宋"/>
          <w:color w:val="000000"/>
          <w:kern w:val="0"/>
          <w:sz w:val="32"/>
          <w:szCs w:val="32"/>
          <w:lang w:val="zh-CN" w:eastAsia="zh-CN"/>
        </w:rPr>
        <w:t>资金</w:t>
      </w:r>
      <w:r>
        <w:rPr>
          <w:rFonts w:hint="eastAsia" w:ascii="仿宋_GB2312" w:hAnsi="Times New Roman" w:eastAsia="仿宋_GB2312" w:cs="仿宋"/>
          <w:color w:val="000000"/>
          <w:kern w:val="0"/>
          <w:sz w:val="32"/>
          <w:szCs w:val="32"/>
          <w:lang w:val="en-US" w:eastAsia="zh-CN"/>
        </w:rPr>
        <w:t>1023.04025</w:t>
      </w:r>
      <w:r>
        <w:rPr>
          <w:rFonts w:hint="eastAsia" w:ascii="仿宋_GB2312" w:hAnsi="Times New Roman" w:eastAsia="仿宋_GB2312" w:cs="仿宋"/>
          <w:color w:val="000000"/>
          <w:kern w:val="0"/>
          <w:sz w:val="32"/>
          <w:szCs w:val="32"/>
          <w:lang w:val="zh-CN" w:eastAsia="zh-CN"/>
        </w:rPr>
        <w:t>万元（因系统小数点保留问题结余</w:t>
      </w:r>
      <w:r>
        <w:rPr>
          <w:rFonts w:hint="eastAsia" w:ascii="仿宋_GB2312" w:hAnsi="Times New Roman" w:eastAsia="仿宋_GB2312" w:cs="仿宋"/>
          <w:color w:val="000000"/>
          <w:kern w:val="0"/>
          <w:sz w:val="32"/>
          <w:szCs w:val="32"/>
          <w:lang w:val="en-US" w:eastAsia="zh-CN"/>
        </w:rPr>
        <w:t>97.5元，财政已收回</w:t>
      </w:r>
      <w:r>
        <w:rPr>
          <w:rFonts w:hint="eastAsia" w:ascii="仿宋_GB2312" w:hAnsi="Times New Roman" w:eastAsia="仿宋_GB2312" w:cs="仿宋"/>
          <w:color w:val="000000"/>
          <w:kern w:val="0"/>
          <w:sz w:val="32"/>
          <w:szCs w:val="32"/>
          <w:lang w:val="zh-CN" w:eastAsia="zh-CN"/>
        </w:rPr>
        <w:t>），支出率</w:t>
      </w:r>
      <w:r>
        <w:rPr>
          <w:rFonts w:hint="eastAsia" w:ascii="仿宋_GB2312" w:hAnsi="Times New Roman" w:eastAsia="仿宋_GB2312" w:cs="仿宋"/>
          <w:color w:val="000000"/>
          <w:kern w:val="0"/>
          <w:sz w:val="32"/>
          <w:szCs w:val="32"/>
          <w:lang w:val="en-US" w:eastAsia="zh-CN"/>
        </w:rPr>
        <w:t>100</w:t>
      </w:r>
      <w:r>
        <w:rPr>
          <w:rFonts w:hint="eastAsia" w:ascii="仿宋_GB2312" w:hAnsi="Times New Roman" w:eastAsia="仿宋_GB2312" w:cs="仿宋"/>
          <w:color w:val="000000"/>
          <w:kern w:val="0"/>
          <w:sz w:val="32"/>
          <w:szCs w:val="32"/>
          <w:lang w:val="zh-CN" w:eastAsia="zh-CN"/>
        </w:rPr>
        <w:t>%。</w:t>
      </w:r>
    </w:p>
    <w:p>
      <w:pPr>
        <w:widowControl/>
        <w:adjustRightInd w:val="0"/>
        <w:snapToGrid w:val="0"/>
        <w:spacing w:line="576" w:lineRule="exact"/>
        <w:ind w:firstLine="642" w:firstLineChars="200"/>
        <w:rPr>
          <w:rFonts w:hint="eastAsia" w:ascii="仿宋_GB2312" w:hAnsi="Times New Roman" w:eastAsia="仿宋_GB2312" w:cs="仿宋"/>
          <w:color w:val="000000"/>
          <w:kern w:val="0"/>
          <w:sz w:val="32"/>
          <w:szCs w:val="32"/>
          <w:lang w:val="zh-CN"/>
        </w:rPr>
      </w:pPr>
      <w:r>
        <w:rPr>
          <w:rFonts w:hint="eastAsia" w:ascii="楷体_GB2312" w:hAnsi="宋体" w:eastAsia="楷体_GB2312" w:cs="Times New Roman"/>
          <w:b/>
          <w:sz w:val="32"/>
          <w:szCs w:val="32"/>
          <w:lang w:val="zh-CN"/>
        </w:rPr>
        <w:t>（二）项目财务管理情况。</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说明项目财务管理制度建设、机构设置、会计核算及账务处理等相关情况。对照项目资金管理办法，评价项目是否严格执行财务管理制度、财务处理是否及时、会计核算是否规范等。</w:t>
      </w:r>
    </w:p>
    <w:p>
      <w:pPr>
        <w:widowControl/>
        <w:adjustRightInd w:val="0"/>
        <w:snapToGrid w:val="0"/>
        <w:spacing w:line="576" w:lineRule="exact"/>
        <w:ind w:firstLine="642" w:firstLineChars="200"/>
        <w:rPr>
          <w:rFonts w:hint="eastAsia" w:ascii="仿宋_GB2312" w:hAnsi="Times New Roman" w:eastAsia="仿宋_GB2312" w:cs="仿宋"/>
          <w:color w:val="000000"/>
          <w:kern w:val="0"/>
          <w:sz w:val="32"/>
          <w:szCs w:val="32"/>
          <w:lang w:val="zh-CN"/>
        </w:rPr>
      </w:pPr>
      <w:r>
        <w:rPr>
          <w:rFonts w:hint="eastAsia" w:ascii="楷体_GB2312" w:hAnsi="宋体" w:eastAsia="楷体_GB2312" w:cs="Times New Roman"/>
          <w:b/>
          <w:sz w:val="32"/>
          <w:szCs w:val="32"/>
          <w:lang w:val="zh-CN"/>
        </w:rPr>
        <w:t>（三）项目组织实施情况。</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县财政按照中央和省补奖资金管理要求，建立健全资金管理制度，对补奖资金实行专户存储、分项核算、按补助奖励内容分设明细账、专款专用、封闭运行。</w:t>
      </w:r>
      <w:r>
        <w:rPr>
          <w:rFonts w:hint="eastAsia" w:ascii="仿宋_GB2312" w:hAnsi="Times New Roman" w:eastAsia="仿宋_GB2312" w:cs="仿宋"/>
          <w:color w:val="000000"/>
          <w:kern w:val="0"/>
          <w:sz w:val="32"/>
          <w:szCs w:val="32"/>
          <w:lang w:val="en-US" w:eastAsia="zh-CN"/>
        </w:rPr>
        <w:t>草原生态补助</w:t>
      </w:r>
      <w:r>
        <w:rPr>
          <w:rFonts w:hint="eastAsia" w:ascii="仿宋_GB2312" w:hAnsi="Times New Roman" w:eastAsia="仿宋_GB2312" w:cs="仿宋"/>
          <w:color w:val="000000"/>
          <w:kern w:val="0"/>
          <w:sz w:val="32"/>
          <w:szCs w:val="32"/>
          <w:lang w:val="zh-CN" w:eastAsia="zh-CN"/>
        </w:rPr>
        <w:t>资金</w:t>
      </w:r>
      <w:r>
        <w:rPr>
          <w:rFonts w:hint="eastAsia" w:ascii="仿宋_GB2312" w:hAnsi="Times New Roman" w:eastAsia="仿宋_GB2312" w:cs="仿宋"/>
          <w:color w:val="000000"/>
          <w:kern w:val="0"/>
          <w:sz w:val="32"/>
          <w:szCs w:val="32"/>
          <w:lang w:val="en-US" w:eastAsia="zh-CN"/>
        </w:rPr>
        <w:t>以社保卡</w:t>
      </w:r>
      <w:r>
        <w:rPr>
          <w:rFonts w:hint="eastAsia" w:ascii="仿宋_GB2312" w:hAnsi="Times New Roman" w:eastAsia="仿宋_GB2312" w:cs="仿宋"/>
          <w:color w:val="000000"/>
          <w:kern w:val="0"/>
          <w:sz w:val="32"/>
          <w:szCs w:val="32"/>
          <w:lang w:val="zh-CN" w:eastAsia="zh-CN"/>
        </w:rPr>
        <w:t>“一</w:t>
      </w:r>
      <w:r>
        <w:rPr>
          <w:rFonts w:hint="eastAsia" w:ascii="仿宋_GB2312" w:hAnsi="Times New Roman" w:eastAsia="仿宋_GB2312" w:cs="仿宋"/>
          <w:color w:val="000000"/>
          <w:kern w:val="0"/>
          <w:sz w:val="32"/>
          <w:szCs w:val="32"/>
          <w:lang w:val="en-US" w:eastAsia="zh-CN"/>
        </w:rPr>
        <w:t>卡通</w:t>
      </w:r>
      <w:r>
        <w:rPr>
          <w:rFonts w:hint="eastAsia" w:ascii="仿宋_GB2312" w:hAnsi="Times New Roman" w:eastAsia="仿宋_GB2312" w:cs="仿宋"/>
          <w:color w:val="000000"/>
          <w:kern w:val="0"/>
          <w:sz w:val="32"/>
          <w:szCs w:val="32"/>
          <w:lang w:val="zh-CN" w:eastAsia="zh-CN"/>
        </w:rPr>
        <w:t>”形式</w:t>
      </w:r>
      <w:r>
        <w:rPr>
          <w:rFonts w:hint="eastAsia" w:ascii="仿宋_GB2312" w:hAnsi="Times New Roman" w:eastAsia="仿宋_GB2312" w:cs="仿宋"/>
          <w:color w:val="000000"/>
          <w:kern w:val="0"/>
          <w:sz w:val="32"/>
          <w:szCs w:val="32"/>
          <w:lang w:val="en-US" w:eastAsia="zh-CN"/>
        </w:rPr>
        <w:t>通过金保网</w:t>
      </w:r>
      <w:r>
        <w:rPr>
          <w:rFonts w:hint="eastAsia" w:ascii="仿宋_GB2312" w:hAnsi="Times New Roman" w:eastAsia="仿宋_GB2312" w:cs="仿宋"/>
          <w:color w:val="000000"/>
          <w:kern w:val="0"/>
          <w:sz w:val="32"/>
          <w:szCs w:val="32"/>
          <w:lang w:val="zh-CN" w:eastAsia="zh-CN"/>
        </w:rPr>
        <w:t>兑现农牧户，纪委监察进行监督，切实加强资金使用监督管理，确保资金使用安全，发挥最大效益。在全县补奖资金兑现过程中，没有出现骗取、套取、挤占挪用、虚列支出、贪污或其他违规违纪使用资金的现象。</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rPr>
      </w:pPr>
      <w:r>
        <w:rPr>
          <w:rFonts w:hint="eastAsia" w:ascii="黑体" w:hAnsi="宋体" w:eastAsia="黑体" w:cs="Times New Roman"/>
          <w:sz w:val="32"/>
          <w:szCs w:val="32"/>
          <w:lang w:val="zh-CN"/>
        </w:rPr>
        <w:t>三、项目绩效情况</w:t>
      </w:r>
      <w:r>
        <w:rPr>
          <w:rFonts w:hint="eastAsia" w:ascii="仿宋_GB2312" w:hAnsi="Times New Roman" w:eastAsia="仿宋_GB2312" w:cs="仿宋"/>
          <w:color w:val="000000"/>
          <w:kern w:val="0"/>
          <w:sz w:val="32"/>
          <w:szCs w:val="32"/>
          <w:lang w:val="zh-CN"/>
        </w:rPr>
        <w:tab/>
      </w:r>
    </w:p>
    <w:p>
      <w:pPr>
        <w:widowControl/>
        <w:adjustRightInd w:val="0"/>
        <w:snapToGrid w:val="0"/>
        <w:spacing w:line="576" w:lineRule="exact"/>
        <w:ind w:firstLine="642" w:firstLineChars="200"/>
        <w:rPr>
          <w:rFonts w:hint="eastAsia" w:ascii="仿宋_GB2312" w:hAnsi="Times New Roman" w:eastAsia="仿宋_GB2312" w:cs="仿宋"/>
          <w:color w:val="000000"/>
          <w:kern w:val="0"/>
          <w:sz w:val="32"/>
          <w:szCs w:val="32"/>
          <w:lang w:val="zh-CN"/>
        </w:rPr>
      </w:pPr>
      <w:r>
        <w:rPr>
          <w:rFonts w:hint="eastAsia" w:ascii="楷体_GB2312" w:hAnsi="宋体" w:eastAsia="楷体_GB2312" w:cs="Times New Roman"/>
          <w:b/>
          <w:sz w:val="32"/>
          <w:szCs w:val="32"/>
          <w:lang w:val="zh-CN"/>
        </w:rPr>
        <w:t>（一）项目完成情况。</w:t>
      </w:r>
    </w:p>
    <w:p>
      <w:pPr>
        <w:widowControl/>
        <w:adjustRightInd w:val="0"/>
        <w:snapToGrid w:val="0"/>
        <w:spacing w:line="576" w:lineRule="exact"/>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按照项目实施方案和省州要求，全面完成20</w:t>
      </w:r>
      <w:r>
        <w:rPr>
          <w:rFonts w:hint="eastAsia" w:ascii="仿宋_GB2312" w:hAnsi="Times New Roman" w:eastAsia="仿宋_GB2312" w:cs="仿宋"/>
          <w:color w:val="000000"/>
          <w:kern w:val="0"/>
          <w:sz w:val="32"/>
          <w:szCs w:val="32"/>
          <w:lang w:val="en-US" w:eastAsia="zh-CN"/>
        </w:rPr>
        <w:t>21</w:t>
      </w:r>
      <w:r>
        <w:rPr>
          <w:rFonts w:hint="eastAsia" w:ascii="仿宋_GB2312" w:hAnsi="Times New Roman" w:eastAsia="仿宋_GB2312" w:cs="仿宋"/>
          <w:color w:val="000000"/>
          <w:kern w:val="0"/>
          <w:sz w:val="32"/>
          <w:szCs w:val="32"/>
          <w:lang w:val="zh-CN" w:eastAsia="zh-CN"/>
        </w:rPr>
        <w:t>年各项</w:t>
      </w:r>
      <w:r>
        <w:rPr>
          <w:rFonts w:hint="eastAsia" w:ascii="仿宋_GB2312" w:hAnsi="Times New Roman" w:eastAsia="仿宋_GB2312" w:cs="仿宋"/>
          <w:color w:val="000000"/>
          <w:kern w:val="0"/>
          <w:sz w:val="32"/>
          <w:szCs w:val="32"/>
          <w:lang w:val="en-US" w:eastAsia="zh-CN"/>
        </w:rPr>
        <w:t>草原生态补助</w:t>
      </w:r>
      <w:r>
        <w:rPr>
          <w:rFonts w:hint="eastAsia" w:ascii="仿宋_GB2312" w:hAnsi="Times New Roman" w:eastAsia="仿宋_GB2312" w:cs="仿宋"/>
          <w:color w:val="000000"/>
          <w:kern w:val="0"/>
          <w:sz w:val="32"/>
          <w:szCs w:val="32"/>
          <w:lang w:val="zh-CN" w:eastAsia="zh-CN"/>
        </w:rPr>
        <w:t>目标任务。</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（1）实施草地禁牧 62万亩，每亩补助7.</w:t>
      </w:r>
      <w:r>
        <w:rPr>
          <w:rFonts w:hint="eastAsia" w:ascii="仿宋_GB2312" w:hAnsi="Times New Roman" w:eastAsia="仿宋_GB2312" w:cs="仿宋"/>
          <w:color w:val="000000"/>
          <w:kern w:val="0"/>
          <w:sz w:val="32"/>
          <w:szCs w:val="32"/>
          <w:lang w:val="en-US" w:eastAsia="zh-CN"/>
        </w:rPr>
        <w:t>65</w:t>
      </w:r>
      <w:r>
        <w:rPr>
          <w:rFonts w:hint="eastAsia" w:ascii="仿宋_GB2312" w:hAnsi="Times New Roman" w:eastAsia="仿宋_GB2312" w:cs="仿宋"/>
          <w:color w:val="000000"/>
          <w:kern w:val="0"/>
          <w:sz w:val="32"/>
          <w:szCs w:val="32"/>
          <w:lang w:val="zh-CN" w:eastAsia="zh-CN"/>
        </w:rPr>
        <w:t>元，补助资金</w:t>
      </w:r>
      <w:r>
        <w:rPr>
          <w:rFonts w:hint="eastAsia" w:ascii="仿宋_GB2312" w:hAnsi="Times New Roman" w:eastAsia="仿宋_GB2312" w:cs="仿宋"/>
          <w:color w:val="000000"/>
          <w:kern w:val="0"/>
          <w:sz w:val="32"/>
          <w:szCs w:val="32"/>
          <w:lang w:val="en-US" w:eastAsia="zh-CN"/>
        </w:rPr>
        <w:t>474.3</w:t>
      </w:r>
      <w:r>
        <w:rPr>
          <w:rFonts w:hint="eastAsia" w:ascii="仿宋_GB2312" w:hAnsi="Times New Roman" w:eastAsia="仿宋_GB2312" w:cs="仿宋"/>
          <w:color w:val="000000"/>
          <w:kern w:val="0"/>
          <w:sz w:val="32"/>
          <w:szCs w:val="32"/>
          <w:lang w:val="zh-CN" w:eastAsia="zh-CN"/>
        </w:rPr>
        <w:t>万元，涉及</w:t>
      </w:r>
      <w:r>
        <w:rPr>
          <w:rFonts w:hint="eastAsia" w:ascii="仿宋_GB2312" w:hAnsi="Times New Roman" w:eastAsia="仿宋_GB2312" w:cs="仿宋"/>
          <w:color w:val="000000"/>
          <w:kern w:val="0"/>
          <w:sz w:val="32"/>
          <w:szCs w:val="32"/>
          <w:lang w:val="en-US" w:eastAsia="zh-CN"/>
        </w:rPr>
        <w:t>15</w:t>
      </w:r>
      <w:r>
        <w:rPr>
          <w:rFonts w:hint="eastAsia" w:ascii="仿宋_GB2312" w:hAnsi="Times New Roman" w:eastAsia="仿宋_GB2312" w:cs="仿宋"/>
          <w:color w:val="000000"/>
          <w:kern w:val="0"/>
          <w:sz w:val="32"/>
          <w:szCs w:val="32"/>
          <w:lang w:val="zh-CN" w:eastAsia="zh-CN"/>
        </w:rPr>
        <w:t>个乡镇</w:t>
      </w:r>
      <w:r>
        <w:rPr>
          <w:rFonts w:hint="eastAsia" w:ascii="仿宋_GB2312" w:hAnsi="Times New Roman" w:eastAsia="仿宋_GB2312" w:cs="仿宋"/>
          <w:color w:val="000000"/>
          <w:kern w:val="0"/>
          <w:sz w:val="32"/>
          <w:szCs w:val="32"/>
          <w:lang w:val="en-US" w:eastAsia="zh-CN"/>
        </w:rPr>
        <w:t>14907</w:t>
      </w:r>
      <w:r>
        <w:rPr>
          <w:rFonts w:hint="eastAsia" w:ascii="仿宋_GB2312" w:hAnsi="Times New Roman" w:eastAsia="仿宋_GB2312" w:cs="仿宋"/>
          <w:color w:val="000000"/>
          <w:kern w:val="0"/>
          <w:sz w:val="32"/>
          <w:szCs w:val="32"/>
          <w:lang w:val="zh-CN" w:eastAsia="zh-CN"/>
        </w:rPr>
        <w:t>户牧户。兑现</w:t>
      </w:r>
      <w:r>
        <w:rPr>
          <w:rFonts w:hint="eastAsia" w:ascii="仿宋_GB2312" w:hAnsi="Times New Roman" w:eastAsia="仿宋_GB2312" w:cs="仿宋"/>
          <w:color w:val="000000"/>
          <w:kern w:val="0"/>
          <w:sz w:val="32"/>
          <w:szCs w:val="32"/>
          <w:lang w:val="en-US" w:eastAsia="zh-CN"/>
        </w:rPr>
        <w:t>农牧民补助</w:t>
      </w:r>
      <w:r>
        <w:rPr>
          <w:rFonts w:hint="eastAsia" w:ascii="仿宋_GB2312" w:hAnsi="Times New Roman" w:eastAsia="仿宋_GB2312" w:cs="仿宋"/>
          <w:color w:val="000000"/>
          <w:kern w:val="0"/>
          <w:sz w:val="32"/>
          <w:szCs w:val="32"/>
          <w:lang w:val="zh-CN" w:eastAsia="zh-CN"/>
        </w:rPr>
        <w:t>资金</w:t>
      </w:r>
      <w:r>
        <w:rPr>
          <w:rFonts w:hint="eastAsia" w:ascii="仿宋_GB2312" w:hAnsi="Times New Roman" w:eastAsia="仿宋_GB2312" w:cs="仿宋"/>
          <w:color w:val="000000"/>
          <w:kern w:val="0"/>
          <w:sz w:val="32"/>
          <w:szCs w:val="32"/>
          <w:lang w:val="en-US" w:eastAsia="zh-CN"/>
        </w:rPr>
        <w:t>474.3</w:t>
      </w:r>
      <w:r>
        <w:rPr>
          <w:rFonts w:hint="eastAsia" w:ascii="仿宋_GB2312" w:hAnsi="Times New Roman" w:eastAsia="仿宋_GB2312" w:cs="仿宋"/>
          <w:color w:val="000000"/>
          <w:kern w:val="0"/>
          <w:sz w:val="32"/>
          <w:szCs w:val="32"/>
          <w:lang w:val="zh-CN" w:eastAsia="zh-CN"/>
        </w:rPr>
        <w:t>万，兑现率100%。</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（2）实施草畜平衡219.5万亩，每亩补助</w:t>
      </w: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eastAsia="zh-CN"/>
        </w:rPr>
        <w:t>.5元，</w:t>
      </w:r>
      <w:r>
        <w:rPr>
          <w:rFonts w:hint="eastAsia" w:ascii="仿宋_GB2312" w:hAnsi="Times New Roman" w:eastAsia="仿宋_GB2312" w:cs="仿宋"/>
          <w:color w:val="000000"/>
          <w:kern w:val="0"/>
          <w:sz w:val="32"/>
          <w:szCs w:val="32"/>
          <w:lang w:val="en-US" w:eastAsia="zh-CN"/>
        </w:rPr>
        <w:t>补助</w:t>
      </w:r>
      <w:r>
        <w:rPr>
          <w:rFonts w:hint="eastAsia" w:ascii="仿宋_GB2312" w:hAnsi="Times New Roman" w:eastAsia="仿宋_GB2312" w:cs="仿宋"/>
          <w:color w:val="000000"/>
          <w:kern w:val="0"/>
          <w:sz w:val="32"/>
          <w:szCs w:val="32"/>
          <w:lang w:val="zh-CN" w:eastAsia="zh-CN"/>
        </w:rPr>
        <w:t>资金548.75万元，</w:t>
      </w:r>
      <w:r>
        <w:rPr>
          <w:rFonts w:hint="eastAsia" w:ascii="仿宋_GB2312" w:hAnsi="Times New Roman" w:eastAsia="仿宋_GB2312" w:cs="仿宋"/>
          <w:color w:val="000000"/>
          <w:kern w:val="0"/>
          <w:sz w:val="32"/>
          <w:szCs w:val="32"/>
          <w:lang w:val="en-US" w:eastAsia="zh-CN"/>
        </w:rPr>
        <w:t>涉及19个乡镇17663户。兑现农牧民补助资金548.75，</w:t>
      </w:r>
      <w:r>
        <w:rPr>
          <w:rFonts w:hint="eastAsia" w:ascii="仿宋_GB2312" w:hAnsi="Times New Roman" w:eastAsia="仿宋_GB2312" w:cs="仿宋"/>
          <w:color w:val="000000"/>
          <w:kern w:val="0"/>
          <w:sz w:val="32"/>
          <w:szCs w:val="32"/>
          <w:lang w:val="zh-CN" w:eastAsia="zh-CN"/>
        </w:rPr>
        <w:t>兑现率100%。</w:t>
      </w:r>
    </w:p>
    <w:p>
      <w:pPr>
        <w:widowControl/>
        <w:adjustRightInd w:val="0"/>
        <w:snapToGrid w:val="0"/>
        <w:spacing w:line="576" w:lineRule="exact"/>
        <w:ind w:firstLine="642"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（二）项目效益情况。</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rPr>
      </w:pPr>
      <w:r>
        <w:rPr>
          <w:rFonts w:hint="eastAsia" w:ascii="仿宋_GB2312" w:hAnsi="Times New Roman" w:eastAsia="仿宋_GB2312" w:cs="仿宋"/>
          <w:color w:val="000000"/>
          <w:kern w:val="0"/>
          <w:sz w:val="32"/>
          <w:szCs w:val="32"/>
          <w:lang w:val="en-US" w:eastAsia="zh-CN"/>
        </w:rPr>
        <w:t>1、</w:t>
      </w:r>
      <w:r>
        <w:rPr>
          <w:rFonts w:hint="eastAsia" w:ascii="仿宋_GB2312" w:hAnsi="Times New Roman" w:eastAsia="仿宋_GB2312" w:cs="仿宋"/>
          <w:color w:val="000000"/>
          <w:kern w:val="0"/>
          <w:sz w:val="32"/>
          <w:szCs w:val="32"/>
          <w:lang w:val="zh-CN"/>
        </w:rPr>
        <w:t>生态效益</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金川县位于长江上游，广袤的草原是青藏高原陆地生态系统的重要组成部分，具有调节气候、涵养水源、保持水土、净化空气、固碳储氮等多种生态功能，贯彻落实草原补奖政策，推行草原禁牧、草畜平衡制度，能有效保护草原资源，改善草原生态环境，促进生态系统的良性循环，为维护草</w:t>
      </w:r>
      <w:r>
        <w:rPr>
          <w:rFonts w:hint="eastAsia" w:ascii="仿宋_GB2312" w:hAnsi="Times New Roman" w:eastAsia="仿宋_GB2312" w:cs="仿宋"/>
          <w:color w:val="000000"/>
          <w:kern w:val="0"/>
          <w:sz w:val="32"/>
          <w:szCs w:val="32"/>
          <w:lang w:val="en-US" w:eastAsia="zh-CN"/>
        </w:rPr>
        <w:t>原</w:t>
      </w:r>
      <w:r>
        <w:rPr>
          <w:rFonts w:hint="eastAsia" w:ascii="仿宋_GB2312" w:hAnsi="Times New Roman" w:eastAsia="仿宋_GB2312" w:cs="仿宋"/>
          <w:color w:val="000000"/>
          <w:kern w:val="0"/>
          <w:sz w:val="32"/>
          <w:szCs w:val="32"/>
          <w:lang w:val="zh-CN" w:eastAsia="zh-CN"/>
        </w:rPr>
        <w:t>生态安全起到十分重要的作用。</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en-US" w:eastAsia="zh-CN"/>
        </w:rPr>
        <w:t>1</w:t>
      </w:r>
      <w:r>
        <w:rPr>
          <w:rFonts w:hint="eastAsia" w:ascii="仿宋_GB2312" w:hAnsi="Times New Roman" w:eastAsia="仿宋_GB2312" w:cs="仿宋"/>
          <w:color w:val="000000"/>
          <w:kern w:val="0"/>
          <w:sz w:val="32"/>
          <w:szCs w:val="32"/>
          <w:lang w:val="zh-CN" w:eastAsia="zh-CN"/>
        </w:rPr>
        <w:t>）蓄水保水，涵养水源。实施草原生态保护补助奖励政策，能抑制温室效应，从而增强应对全球气候变暖的能力，提高草原涵水量，确保青藏高原主要水源供给地安全。</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eastAsia="zh-CN"/>
        </w:rPr>
        <w:t>）降低径流，防沙固土。健康的草原植被形成“生物地毯”，大幅度降低地表径流，减轻降水对表层土壤的冲刷，</w:t>
      </w:r>
      <w:r>
        <w:rPr>
          <w:rFonts w:hint="eastAsia" w:ascii="仿宋_GB2312" w:hAnsi="Times New Roman" w:eastAsia="仿宋_GB2312" w:cs="仿宋"/>
          <w:color w:val="000000"/>
          <w:kern w:val="0"/>
          <w:sz w:val="32"/>
          <w:szCs w:val="32"/>
          <w:lang w:val="en-US" w:eastAsia="zh-CN"/>
        </w:rPr>
        <w:t>实</w:t>
      </w:r>
      <w:r>
        <w:rPr>
          <w:rFonts w:hint="eastAsia" w:ascii="仿宋_GB2312" w:hAnsi="Times New Roman" w:eastAsia="仿宋_GB2312" w:cs="仿宋"/>
          <w:color w:val="000000"/>
          <w:kern w:val="0"/>
          <w:sz w:val="32"/>
          <w:szCs w:val="32"/>
          <w:lang w:val="zh-CN" w:eastAsia="zh-CN"/>
        </w:rPr>
        <w:t>施草原生态保护补助奖励政策，能有效解决长期导致草原生态恶化的超载过牧问题，草原可得到休养生息，退化得到有效治理，能有效防止风蚀、水蚀对地表的侵害，草原生态恶化现状得到遏制。</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w:t>
      </w:r>
      <w:r>
        <w:rPr>
          <w:rFonts w:hint="eastAsia" w:ascii="仿宋_GB2312" w:hAnsi="Times New Roman" w:eastAsia="仿宋_GB2312" w:cs="仿宋"/>
          <w:color w:val="000000"/>
          <w:kern w:val="0"/>
          <w:sz w:val="32"/>
          <w:szCs w:val="32"/>
          <w:lang w:val="en-US" w:eastAsia="zh-CN"/>
        </w:rPr>
        <w:t>3</w:t>
      </w:r>
      <w:r>
        <w:rPr>
          <w:rFonts w:hint="eastAsia" w:ascii="仿宋_GB2312" w:hAnsi="Times New Roman" w:eastAsia="仿宋_GB2312" w:cs="仿宋"/>
          <w:color w:val="000000"/>
          <w:kern w:val="0"/>
          <w:sz w:val="32"/>
          <w:szCs w:val="32"/>
          <w:lang w:val="zh-CN" w:eastAsia="zh-CN"/>
        </w:rPr>
        <w:t>）固碳储氮，调节气候。我县草原以高寒草甸草地类为主，单位面积生物产量高，草原固碳储氮能力强，是巨大的天然植被碳库和土壤有机碳库、氮库。实施草原生态保护补助奖励政策，改善草原生态环境，植物可通过光合作用、储氮能力把空气中的二氧化碳和氮气转化为有益人类的有机物，减少空气二氧化碳浓度，有利于降低我州碳排放总量。同时，良好的草原生态系统还具有减缓噪声、释放负氧离子、吸附粉尘、去除空气中的污染物的作用，从而起到改善环境、净化空气、抑制温室效应、调节气候的作用。</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eastAsia="zh-CN"/>
        </w:rPr>
        <w:t>经济效益</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落实新一轮补奖政策，年发放牧户补奖资金10</w:t>
      </w:r>
      <w:r>
        <w:rPr>
          <w:rFonts w:hint="eastAsia" w:ascii="仿宋_GB2312" w:hAnsi="Times New Roman" w:eastAsia="仿宋_GB2312" w:cs="仿宋"/>
          <w:color w:val="000000"/>
          <w:kern w:val="0"/>
          <w:sz w:val="32"/>
          <w:szCs w:val="32"/>
          <w:lang w:val="en-US" w:eastAsia="zh-CN"/>
        </w:rPr>
        <w:t>2</w:t>
      </w:r>
      <w:r>
        <w:rPr>
          <w:rFonts w:hint="eastAsia" w:ascii="仿宋_GB2312" w:hAnsi="Times New Roman" w:eastAsia="仿宋_GB2312" w:cs="仿宋"/>
          <w:color w:val="000000"/>
          <w:kern w:val="0"/>
          <w:sz w:val="32"/>
          <w:szCs w:val="32"/>
          <w:lang w:val="zh-CN" w:eastAsia="zh-CN"/>
        </w:rPr>
        <w:t>3.</w:t>
      </w:r>
      <w:r>
        <w:rPr>
          <w:rFonts w:hint="eastAsia" w:ascii="仿宋_GB2312" w:hAnsi="Times New Roman" w:eastAsia="仿宋_GB2312" w:cs="仿宋"/>
          <w:color w:val="000000"/>
          <w:kern w:val="0"/>
          <w:sz w:val="32"/>
          <w:szCs w:val="32"/>
          <w:lang w:val="en-US" w:eastAsia="zh-CN"/>
        </w:rPr>
        <w:t>0</w:t>
      </w:r>
      <w:r>
        <w:rPr>
          <w:rFonts w:hint="eastAsia" w:ascii="仿宋_GB2312" w:hAnsi="Times New Roman" w:eastAsia="仿宋_GB2312" w:cs="仿宋"/>
          <w:color w:val="000000"/>
          <w:kern w:val="0"/>
          <w:sz w:val="32"/>
          <w:szCs w:val="32"/>
          <w:lang w:val="zh-CN" w:eastAsia="zh-CN"/>
        </w:rPr>
        <w:t>5万元。年可实现牧民户均政策性增收</w:t>
      </w:r>
      <w:r>
        <w:rPr>
          <w:rFonts w:hint="eastAsia" w:ascii="仿宋_GB2312" w:hAnsi="Times New Roman" w:eastAsia="仿宋_GB2312" w:cs="仿宋"/>
          <w:color w:val="000000"/>
          <w:kern w:val="0"/>
          <w:sz w:val="32"/>
          <w:szCs w:val="32"/>
          <w:lang w:val="en-US" w:eastAsia="zh-CN"/>
        </w:rPr>
        <w:t>152</w:t>
      </w:r>
      <w:r>
        <w:rPr>
          <w:rFonts w:hint="eastAsia" w:ascii="仿宋_GB2312" w:hAnsi="Times New Roman" w:eastAsia="仿宋_GB2312" w:cs="仿宋"/>
          <w:color w:val="000000"/>
          <w:kern w:val="0"/>
          <w:sz w:val="32"/>
          <w:szCs w:val="32"/>
          <w:lang w:val="zh-CN" w:eastAsia="zh-CN"/>
        </w:rPr>
        <w:t>1元，人均增收2</w:t>
      </w:r>
      <w:r>
        <w:rPr>
          <w:rFonts w:hint="eastAsia" w:ascii="仿宋_GB2312" w:hAnsi="Times New Roman" w:eastAsia="仿宋_GB2312" w:cs="仿宋"/>
          <w:color w:val="000000"/>
          <w:kern w:val="0"/>
          <w:sz w:val="32"/>
          <w:szCs w:val="32"/>
          <w:lang w:val="en-US" w:eastAsia="zh-CN"/>
        </w:rPr>
        <w:t>45</w:t>
      </w:r>
      <w:r>
        <w:rPr>
          <w:rFonts w:hint="eastAsia" w:ascii="仿宋_GB2312" w:hAnsi="Times New Roman" w:eastAsia="仿宋_GB2312" w:cs="仿宋"/>
          <w:color w:val="000000"/>
          <w:kern w:val="0"/>
          <w:sz w:val="32"/>
          <w:szCs w:val="32"/>
          <w:lang w:val="zh-CN" w:eastAsia="zh-CN"/>
        </w:rPr>
        <w:t>元。同时，实施草畜平衡，可加快畜群周转，优化畜群结构，减少牲畜因灾死亡，转变生产发展方式，提升草原畜牧业效益，对牧民依靠畜牧产业脱贫增收具有十分重要的支撑作用。</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en-US" w:eastAsia="zh-CN"/>
        </w:rPr>
        <w:t>3、</w:t>
      </w:r>
      <w:r>
        <w:rPr>
          <w:rFonts w:hint="eastAsia" w:ascii="仿宋_GB2312" w:hAnsi="Times New Roman" w:eastAsia="仿宋_GB2312" w:cs="仿宋"/>
          <w:color w:val="000000"/>
          <w:kern w:val="0"/>
          <w:sz w:val="32"/>
          <w:szCs w:val="32"/>
          <w:lang w:val="zh-CN" w:eastAsia="zh-CN"/>
        </w:rPr>
        <w:t>社会效益</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r>
        <w:rPr>
          <w:rFonts w:hint="eastAsia" w:ascii="仿宋_GB2312" w:hAnsi="Times New Roman" w:eastAsia="仿宋_GB2312" w:cs="仿宋"/>
          <w:color w:val="000000"/>
          <w:kern w:val="0"/>
          <w:sz w:val="32"/>
          <w:szCs w:val="32"/>
          <w:lang w:val="zh-CN" w:eastAsia="zh-CN"/>
        </w:rPr>
        <w:t>我县属于边远地区、落后地区、生态脆弱区和少数民族集中分布区，也是精准扶贫和全面建成小康社会的重点地区的难点地区。建立草原生态保护补助奖励机制，有利于统筹城乡和区域协调发展，增强牧区发展后劲，对改善牧区牧民生产生活条件，增加牧民收入，提高牧民物质文化生活水平，共享改革发展成果，维护民族团结和牧区和谐稳定，推进生态文明和新牧区建设具有十分重要的作用。</w:t>
      </w:r>
    </w:p>
    <w:p>
      <w:pPr>
        <w:widowControl/>
        <w:adjustRightInd w:val="0"/>
        <w:snapToGrid w:val="0"/>
        <w:spacing w:line="576" w:lineRule="exact"/>
        <w:ind w:firstLine="640" w:firstLineChars="200"/>
        <w:rPr>
          <w:rFonts w:hint="eastAsia" w:ascii="黑体" w:hAnsi="宋体" w:eastAsia="黑体" w:cs="Times New Roman"/>
          <w:sz w:val="32"/>
          <w:szCs w:val="32"/>
          <w:lang w:val="zh-CN"/>
        </w:rPr>
      </w:pPr>
      <w:r>
        <w:rPr>
          <w:rFonts w:hint="eastAsia" w:ascii="黑体" w:hAnsi="宋体" w:eastAsia="黑体" w:cs="Times New Roman"/>
          <w:sz w:val="32"/>
          <w:szCs w:val="32"/>
          <w:lang w:val="zh-CN"/>
        </w:rPr>
        <w:t>四、问题及建议</w:t>
      </w:r>
    </w:p>
    <w:p>
      <w:pPr>
        <w:keepNext w:val="0"/>
        <w:keepLines w:val="0"/>
        <w:pageBreakBefore w:val="0"/>
        <w:widowControl w:val="0"/>
        <w:kinsoku/>
        <w:wordWrap/>
        <w:overflowPunct/>
        <w:topLinePunct w:val="0"/>
        <w:autoSpaceDE/>
        <w:autoSpaceDN/>
        <w:bidi w:val="0"/>
        <w:adjustRightInd w:val="0"/>
        <w:snapToGrid w:val="0"/>
        <w:spacing w:line="536"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536" w:lineRule="exact"/>
        <w:ind w:firstLine="720"/>
        <w:textAlignment w:val="auto"/>
        <w:rPr>
          <w:rFonts w:hint="eastAsia" w:ascii="仿宋" w:hAnsi="仿宋" w:eastAsia="仿宋" w:cs="仿宋"/>
          <w:b/>
          <w:sz w:val="32"/>
          <w:szCs w:val="32"/>
          <w:lang w:val="zh-CN"/>
        </w:rPr>
      </w:pPr>
      <w:r>
        <w:rPr>
          <w:rFonts w:hint="eastAsia" w:ascii="仿宋_GB2312" w:hAnsi="Times New Roman" w:eastAsia="仿宋_GB2312" w:cs="仿宋"/>
          <w:color w:val="000000"/>
          <w:kern w:val="0"/>
          <w:sz w:val="32"/>
          <w:szCs w:val="32"/>
          <w:lang w:val="en-US" w:eastAsia="zh-CN"/>
        </w:rPr>
        <w:t>各部门之间职能职责划分和衔接需要进一步捋清。</w:t>
      </w:r>
    </w:p>
    <w:p>
      <w:pPr>
        <w:keepNext w:val="0"/>
        <w:keepLines w:val="0"/>
        <w:pageBreakBefore w:val="0"/>
        <w:widowControl w:val="0"/>
        <w:numPr>
          <w:ilvl w:val="0"/>
          <w:numId w:val="3"/>
        </w:numPr>
        <w:kinsoku/>
        <w:wordWrap/>
        <w:overflowPunct/>
        <w:topLinePunct w:val="0"/>
        <w:autoSpaceDE/>
        <w:autoSpaceDN/>
        <w:bidi w:val="0"/>
        <w:adjustRightInd w:val="0"/>
        <w:snapToGrid w:val="0"/>
        <w:spacing w:line="536" w:lineRule="exact"/>
        <w:ind w:left="0" w:leftChars="0" w:firstLine="642" w:firstLineChars="20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相关建议。</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en-US" w:eastAsia="zh-CN"/>
        </w:rPr>
      </w:pPr>
      <w:r>
        <w:rPr>
          <w:rFonts w:hint="eastAsia" w:ascii="仿宋_GB2312" w:hAnsi="Times New Roman" w:eastAsia="仿宋_GB2312" w:cs="仿宋"/>
          <w:color w:val="000000"/>
          <w:kern w:val="0"/>
          <w:sz w:val="32"/>
          <w:szCs w:val="32"/>
          <w:lang w:val="en-US" w:eastAsia="zh-CN"/>
        </w:rPr>
        <w:t>进一步明确各部门相关职能职责。</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en-US" w:eastAsia="zh-CN"/>
        </w:rPr>
      </w:pPr>
      <w:r>
        <w:rPr>
          <w:rFonts w:hint="eastAsia" w:ascii="仿宋_GB2312" w:hAnsi="Times New Roman" w:eastAsia="仿宋_GB2312" w:cs="仿宋"/>
          <w:color w:val="000000"/>
          <w:kern w:val="0"/>
          <w:sz w:val="32"/>
          <w:szCs w:val="32"/>
          <w:lang w:val="en-US" w:eastAsia="zh-CN"/>
        </w:rPr>
        <w:t>建议补奖政策中自然资源部门及时完成所有国土资源的清理，林草部门及时对天然草原进行草原确权，农业部门在以上两项的基础上兑现相关补助。</w:t>
      </w:r>
    </w:p>
    <w:p>
      <w:pPr>
        <w:widowControl/>
        <w:adjustRightInd w:val="0"/>
        <w:snapToGrid w:val="0"/>
        <w:spacing w:line="576" w:lineRule="exact"/>
        <w:ind w:firstLine="640" w:firstLineChars="200"/>
        <w:rPr>
          <w:rFonts w:hint="eastAsia" w:ascii="仿宋_GB2312" w:hAnsi="Times New Roman" w:eastAsia="仿宋_GB2312" w:cs="仿宋"/>
          <w:color w:val="000000"/>
          <w:kern w:val="0"/>
          <w:sz w:val="32"/>
          <w:szCs w:val="32"/>
          <w:lang w:val="zh-CN" w:eastAsia="zh-CN"/>
        </w:rPr>
      </w:pPr>
    </w:p>
    <w:p>
      <w:pPr>
        <w:spacing w:line="600" w:lineRule="exact"/>
        <w:jc w:val="center"/>
        <w:outlineLvl w:val="0"/>
        <w:rPr>
          <w:rStyle w:val="16"/>
          <w:rFonts w:hint="eastAsia" w:ascii="黑体" w:eastAsia="黑体"/>
          <w:b w:val="0"/>
        </w:rPr>
      </w:pPr>
    </w:p>
    <w:p>
      <w:pPr>
        <w:numPr>
          <w:ilvl w:val="0"/>
          <w:numId w:val="2"/>
        </w:numPr>
        <w:spacing w:line="600" w:lineRule="exact"/>
        <w:ind w:left="0" w:leftChars="0" w:firstLine="660" w:firstLineChars="150"/>
        <w:jc w:val="center"/>
        <w:outlineLvl w:val="0"/>
        <w:rPr>
          <w:rStyle w:val="16"/>
          <w:rFonts w:hint="eastAsia" w:ascii="黑体" w:eastAsia="黑体"/>
          <w:b w:val="0"/>
        </w:rPr>
      </w:pPr>
      <w:r>
        <w:rPr>
          <w:rStyle w:val="16"/>
          <w:rFonts w:hint="eastAsia" w:ascii="黑体" w:eastAsia="黑体"/>
          <w:b w:val="0"/>
        </w:rPr>
        <w:t>附表</w:t>
      </w:r>
    </w:p>
    <w:p>
      <w:pPr>
        <w:numPr>
          <w:ilvl w:val="0"/>
          <w:numId w:val="0"/>
        </w:numPr>
        <w:tabs>
          <w:tab w:val="left" w:pos="0"/>
        </w:tabs>
        <w:spacing w:line="600" w:lineRule="exact"/>
        <w:ind w:leftChars="150"/>
        <w:jc w:val="both"/>
        <w:outlineLvl w:val="0"/>
        <w:rPr>
          <w:rStyle w:val="16"/>
          <w:rFonts w:hint="eastAsia" w:ascii="黑体" w:eastAsia="黑体"/>
          <w:b w:val="0"/>
        </w:rPr>
      </w:pPr>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81" w:name="_Toc79163636"/>
      <w:bookmarkStart w:id="82" w:name="_Toc79163886"/>
      <w:bookmarkStart w:id="83" w:name="_Toc15396619"/>
      <w:r>
        <w:rPr>
          <w:rFonts w:hint="eastAsia" w:ascii="仿宋_GB2312" w:hAnsi="Times New Roman" w:eastAsia="仿宋_GB2312" w:cs="仿宋"/>
          <w:b w:val="0"/>
          <w:bCs w:val="0"/>
          <w:color w:val="000000"/>
          <w:kern w:val="0"/>
          <w:sz w:val="32"/>
          <w:szCs w:val="32"/>
          <w:lang w:val="zh-CN" w:eastAsia="zh-CN" w:bidi="ar-SA"/>
        </w:rPr>
        <w:t>一、收入支出决算总表</w:t>
      </w:r>
      <w:bookmarkEnd w:id="81"/>
      <w:bookmarkEnd w:id="82"/>
      <w:bookmarkEnd w:id="83"/>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84" w:name="_Toc79163887"/>
      <w:bookmarkStart w:id="85" w:name="_Toc15396620"/>
      <w:bookmarkStart w:id="86" w:name="_Toc79163637"/>
      <w:r>
        <w:rPr>
          <w:rFonts w:hint="eastAsia" w:ascii="仿宋_GB2312" w:hAnsi="Times New Roman" w:eastAsia="仿宋_GB2312" w:cs="仿宋"/>
          <w:b w:val="0"/>
          <w:bCs w:val="0"/>
          <w:color w:val="000000"/>
          <w:kern w:val="0"/>
          <w:sz w:val="32"/>
          <w:szCs w:val="32"/>
          <w:lang w:val="zh-CN" w:eastAsia="zh-CN" w:bidi="ar-SA"/>
        </w:rPr>
        <w:t>二、收入决算表</w:t>
      </w:r>
      <w:bookmarkEnd w:id="84"/>
      <w:bookmarkEnd w:id="85"/>
      <w:bookmarkEnd w:id="86"/>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87" w:name="_Toc79163638"/>
      <w:bookmarkStart w:id="88" w:name="_Toc79163888"/>
      <w:bookmarkStart w:id="89" w:name="_Toc15396621"/>
      <w:r>
        <w:rPr>
          <w:rFonts w:hint="eastAsia" w:ascii="仿宋_GB2312" w:hAnsi="Times New Roman" w:eastAsia="仿宋_GB2312" w:cs="仿宋"/>
          <w:b w:val="0"/>
          <w:bCs w:val="0"/>
          <w:color w:val="000000"/>
          <w:kern w:val="0"/>
          <w:sz w:val="32"/>
          <w:szCs w:val="32"/>
          <w:lang w:val="zh-CN" w:eastAsia="zh-CN" w:bidi="ar-SA"/>
        </w:rPr>
        <w:t>三、支出决算表</w:t>
      </w:r>
      <w:bookmarkEnd w:id="87"/>
      <w:bookmarkEnd w:id="88"/>
      <w:bookmarkEnd w:id="89"/>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90" w:name="_Toc15396622"/>
      <w:bookmarkStart w:id="91" w:name="_Toc79163889"/>
      <w:bookmarkStart w:id="92" w:name="_Toc79163639"/>
      <w:r>
        <w:rPr>
          <w:rFonts w:hint="eastAsia" w:ascii="仿宋_GB2312" w:hAnsi="Times New Roman" w:eastAsia="仿宋_GB2312" w:cs="仿宋"/>
          <w:b w:val="0"/>
          <w:bCs w:val="0"/>
          <w:color w:val="000000"/>
          <w:kern w:val="0"/>
          <w:sz w:val="32"/>
          <w:szCs w:val="32"/>
          <w:lang w:val="zh-CN" w:eastAsia="zh-CN" w:bidi="ar-SA"/>
        </w:rPr>
        <w:t>四、财政拨款收入支出决算总表</w:t>
      </w:r>
      <w:bookmarkEnd w:id="90"/>
      <w:bookmarkEnd w:id="91"/>
      <w:bookmarkEnd w:id="92"/>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93" w:name="_Toc79163890"/>
      <w:bookmarkStart w:id="94" w:name="_Toc15396623"/>
      <w:bookmarkStart w:id="95" w:name="_Toc79163640"/>
      <w:r>
        <w:rPr>
          <w:rFonts w:hint="eastAsia" w:ascii="仿宋_GB2312" w:hAnsi="Times New Roman" w:eastAsia="仿宋_GB2312" w:cs="仿宋"/>
          <w:b w:val="0"/>
          <w:bCs w:val="0"/>
          <w:color w:val="000000"/>
          <w:kern w:val="0"/>
          <w:sz w:val="32"/>
          <w:szCs w:val="32"/>
          <w:lang w:val="zh-CN" w:eastAsia="zh-CN" w:bidi="ar-SA"/>
        </w:rPr>
        <w:t>五、财政拨款支出决算明细表</w:t>
      </w:r>
      <w:bookmarkEnd w:id="93"/>
      <w:bookmarkEnd w:id="94"/>
      <w:bookmarkEnd w:id="95"/>
      <w:bookmarkStart w:id="96" w:name="_Toc15396624"/>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97" w:name="_Toc79163641"/>
      <w:bookmarkStart w:id="98" w:name="_Toc79163891"/>
      <w:r>
        <w:rPr>
          <w:rFonts w:hint="eastAsia" w:ascii="仿宋_GB2312" w:hAnsi="Times New Roman" w:eastAsia="仿宋_GB2312" w:cs="仿宋"/>
          <w:b w:val="0"/>
          <w:bCs w:val="0"/>
          <w:color w:val="000000"/>
          <w:kern w:val="0"/>
          <w:sz w:val="32"/>
          <w:szCs w:val="32"/>
          <w:lang w:val="zh-CN" w:eastAsia="zh-CN" w:bidi="ar-SA"/>
        </w:rPr>
        <w:t>六、一般公共预算财政拨款支出决算表</w:t>
      </w:r>
      <w:bookmarkEnd w:id="96"/>
      <w:bookmarkEnd w:id="97"/>
      <w:bookmarkEnd w:id="98"/>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99" w:name="_Toc79163892"/>
      <w:bookmarkStart w:id="100" w:name="_Toc15396625"/>
      <w:bookmarkStart w:id="101" w:name="_Toc79163642"/>
      <w:r>
        <w:rPr>
          <w:rFonts w:hint="eastAsia" w:ascii="仿宋_GB2312" w:hAnsi="Times New Roman" w:eastAsia="仿宋_GB2312" w:cs="仿宋"/>
          <w:b w:val="0"/>
          <w:bCs w:val="0"/>
          <w:color w:val="000000"/>
          <w:kern w:val="0"/>
          <w:sz w:val="32"/>
          <w:szCs w:val="32"/>
          <w:lang w:val="zh-CN" w:eastAsia="zh-CN" w:bidi="ar-SA"/>
        </w:rPr>
        <w:t>七、一般公共预算财政拨款支出决算明细表</w:t>
      </w:r>
      <w:bookmarkEnd w:id="99"/>
      <w:bookmarkEnd w:id="100"/>
      <w:bookmarkEnd w:id="101"/>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02" w:name="_Toc79163643"/>
      <w:bookmarkStart w:id="103" w:name="_Toc79163893"/>
      <w:bookmarkStart w:id="104" w:name="_Toc15396626"/>
      <w:r>
        <w:rPr>
          <w:rFonts w:hint="eastAsia" w:ascii="仿宋_GB2312" w:hAnsi="Times New Roman" w:eastAsia="仿宋_GB2312" w:cs="仿宋"/>
          <w:b w:val="0"/>
          <w:bCs w:val="0"/>
          <w:color w:val="000000"/>
          <w:kern w:val="0"/>
          <w:sz w:val="32"/>
          <w:szCs w:val="32"/>
          <w:lang w:val="zh-CN" w:eastAsia="zh-CN" w:bidi="ar-SA"/>
        </w:rPr>
        <w:t>八、一般公共预算财政拨款基本支出决算表</w:t>
      </w:r>
      <w:bookmarkEnd w:id="102"/>
      <w:bookmarkEnd w:id="103"/>
      <w:bookmarkEnd w:id="104"/>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05" w:name="_Toc79163644"/>
      <w:bookmarkStart w:id="106" w:name="_Toc79163894"/>
      <w:bookmarkStart w:id="107" w:name="_Toc15396627"/>
      <w:r>
        <w:rPr>
          <w:rFonts w:hint="eastAsia" w:ascii="仿宋_GB2312" w:hAnsi="Times New Roman" w:eastAsia="仿宋_GB2312" w:cs="仿宋"/>
          <w:b w:val="0"/>
          <w:bCs w:val="0"/>
          <w:color w:val="000000"/>
          <w:kern w:val="0"/>
          <w:sz w:val="32"/>
          <w:szCs w:val="32"/>
          <w:lang w:val="zh-CN" w:eastAsia="zh-CN" w:bidi="ar-SA"/>
        </w:rPr>
        <w:t>九、一般公共预算财政拨款项目支出决算表</w:t>
      </w:r>
      <w:bookmarkEnd w:id="105"/>
      <w:bookmarkEnd w:id="106"/>
      <w:bookmarkEnd w:id="107"/>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08" w:name="_Toc15396628"/>
      <w:bookmarkStart w:id="109" w:name="_Toc79163645"/>
      <w:bookmarkStart w:id="110" w:name="_Toc79163895"/>
      <w:r>
        <w:rPr>
          <w:rFonts w:hint="eastAsia" w:ascii="仿宋_GB2312" w:hAnsi="Times New Roman" w:eastAsia="仿宋_GB2312" w:cs="仿宋"/>
          <w:b w:val="0"/>
          <w:bCs w:val="0"/>
          <w:color w:val="000000"/>
          <w:kern w:val="0"/>
          <w:sz w:val="32"/>
          <w:szCs w:val="32"/>
          <w:lang w:val="zh-CN" w:eastAsia="zh-CN" w:bidi="ar-SA"/>
        </w:rPr>
        <w:t>十、一般公共预算财政拨款“三公”经费支出决算表</w:t>
      </w:r>
      <w:bookmarkEnd w:id="108"/>
      <w:bookmarkEnd w:id="109"/>
      <w:bookmarkEnd w:id="110"/>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11" w:name="_Toc79163896"/>
      <w:bookmarkStart w:id="112" w:name="_Toc79163646"/>
      <w:bookmarkStart w:id="113" w:name="_Toc15396629"/>
      <w:r>
        <w:rPr>
          <w:rFonts w:hint="eastAsia" w:ascii="仿宋_GB2312" w:hAnsi="Times New Roman" w:eastAsia="仿宋_GB2312" w:cs="仿宋"/>
          <w:b w:val="0"/>
          <w:bCs w:val="0"/>
          <w:color w:val="000000"/>
          <w:kern w:val="0"/>
          <w:sz w:val="32"/>
          <w:szCs w:val="32"/>
          <w:lang w:val="zh-CN" w:eastAsia="zh-CN" w:bidi="ar-SA"/>
        </w:rPr>
        <w:t>十一、政府性基金预算财政拨款收入支出决算表</w:t>
      </w:r>
      <w:bookmarkEnd w:id="111"/>
      <w:bookmarkEnd w:id="112"/>
      <w:bookmarkEnd w:id="113"/>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14" w:name="_Toc79163897"/>
      <w:bookmarkStart w:id="115" w:name="_Toc15396630"/>
      <w:bookmarkStart w:id="116" w:name="_Toc79163647"/>
      <w:r>
        <w:rPr>
          <w:rFonts w:hint="eastAsia" w:ascii="仿宋_GB2312" w:hAnsi="Times New Roman" w:eastAsia="仿宋_GB2312" w:cs="仿宋"/>
          <w:b w:val="0"/>
          <w:bCs w:val="0"/>
          <w:color w:val="000000"/>
          <w:kern w:val="0"/>
          <w:sz w:val="32"/>
          <w:szCs w:val="32"/>
          <w:lang w:val="zh-CN" w:eastAsia="zh-CN" w:bidi="ar-SA"/>
        </w:rPr>
        <w:t>十二、政府性基金预算财政拨款“三公”经费支出决算表</w:t>
      </w:r>
      <w:bookmarkEnd w:id="114"/>
      <w:bookmarkEnd w:id="115"/>
      <w:bookmarkEnd w:id="116"/>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17" w:name="_Toc15396631"/>
      <w:bookmarkStart w:id="118" w:name="_Toc79163898"/>
      <w:bookmarkStart w:id="119" w:name="_Toc79163648"/>
      <w:r>
        <w:rPr>
          <w:rFonts w:hint="eastAsia" w:ascii="仿宋_GB2312" w:hAnsi="Times New Roman" w:eastAsia="仿宋_GB2312" w:cs="仿宋"/>
          <w:b w:val="0"/>
          <w:bCs w:val="0"/>
          <w:color w:val="000000"/>
          <w:kern w:val="0"/>
          <w:sz w:val="32"/>
          <w:szCs w:val="32"/>
          <w:lang w:val="zh-CN" w:eastAsia="zh-CN" w:bidi="ar-SA"/>
        </w:rPr>
        <w:t>十三、国有资本经营预算财政拨款支出决算表</w:t>
      </w:r>
      <w:bookmarkEnd w:id="117"/>
      <w:bookmarkEnd w:id="118"/>
      <w:bookmarkEnd w:id="119"/>
    </w:p>
    <w:p>
      <w:pPr>
        <w:pStyle w:val="3"/>
        <w:spacing w:before="0" w:after="0" w:line="560" w:lineRule="exact"/>
        <w:rPr>
          <w:rFonts w:hint="eastAsia" w:ascii="仿宋_GB2312" w:hAnsi="Times New Roman" w:eastAsia="仿宋_GB2312" w:cs="仿宋"/>
          <w:b w:val="0"/>
          <w:bCs w:val="0"/>
          <w:color w:val="000000"/>
          <w:kern w:val="0"/>
          <w:sz w:val="32"/>
          <w:szCs w:val="32"/>
          <w:lang w:val="zh-CN" w:eastAsia="zh-CN" w:bidi="ar-SA"/>
        </w:rPr>
      </w:pPr>
      <w:bookmarkStart w:id="120" w:name="_Toc79163649"/>
      <w:bookmarkStart w:id="121" w:name="_Toc79163899"/>
      <w:r>
        <w:rPr>
          <w:rFonts w:hint="eastAsia" w:ascii="仿宋_GB2312" w:hAnsi="Times New Roman" w:eastAsia="仿宋_GB2312" w:cs="仿宋"/>
          <w:b w:val="0"/>
          <w:bCs w:val="0"/>
          <w:color w:val="000000"/>
          <w:kern w:val="0"/>
          <w:sz w:val="32"/>
          <w:szCs w:val="32"/>
          <w:lang w:val="zh-CN" w:eastAsia="zh-CN" w:bidi="ar-SA"/>
        </w:rPr>
        <w:t>十四、国有资本经营预算财政拨款支出决算表</w:t>
      </w:r>
      <w:bookmarkEnd w:id="120"/>
      <w:bookmarkEnd w:id="121"/>
    </w:p>
    <w:p>
      <w:pPr>
        <w:widowControl/>
        <w:adjustRightInd w:val="0"/>
        <w:snapToGrid w:val="0"/>
        <w:spacing w:line="576" w:lineRule="exact"/>
        <w:rPr>
          <w:rFonts w:hint="eastAsia" w:ascii="仿宋_GB2312" w:eastAsia="仿宋_GB2312" w:cs="仿宋"/>
          <w:color w:val="000000"/>
          <w:kern w:val="0"/>
          <w:sz w:val="32"/>
          <w:szCs w:val="32"/>
          <w:lang w:val="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pPr>
      <w:rPr>
        <w:rFonts w:hint="eastAsia" w:cs="Times New Roman"/>
      </w:rPr>
    </w:lvl>
  </w:abstractNum>
  <w:abstractNum w:abstractNumId="2">
    <w:nsid w:val="495A359E"/>
    <w:multiLevelType w:val="singleLevel"/>
    <w:tmpl w:val="495A359E"/>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MDk4MWIzNDEyODQ2ODg3Y2MxMGQ4ZGYxY2QxN2EifQ=="/>
  </w:docVars>
  <w:rsids>
    <w:rsidRoot w:val="001319CC"/>
    <w:rsid w:val="001319CC"/>
    <w:rsid w:val="00164362"/>
    <w:rsid w:val="001D225E"/>
    <w:rsid w:val="003A29D8"/>
    <w:rsid w:val="003C62D8"/>
    <w:rsid w:val="00437437"/>
    <w:rsid w:val="004E5522"/>
    <w:rsid w:val="005354C4"/>
    <w:rsid w:val="00591631"/>
    <w:rsid w:val="00712718"/>
    <w:rsid w:val="007414EF"/>
    <w:rsid w:val="007E25F8"/>
    <w:rsid w:val="008C0C20"/>
    <w:rsid w:val="00B33F69"/>
    <w:rsid w:val="00B971C6"/>
    <w:rsid w:val="00C627D4"/>
    <w:rsid w:val="00C7526B"/>
    <w:rsid w:val="00C97568"/>
    <w:rsid w:val="00CF4245"/>
    <w:rsid w:val="00D33343"/>
    <w:rsid w:val="00F74AC9"/>
    <w:rsid w:val="01A45E48"/>
    <w:rsid w:val="024C3C84"/>
    <w:rsid w:val="029F3BB3"/>
    <w:rsid w:val="02E132C9"/>
    <w:rsid w:val="039842CF"/>
    <w:rsid w:val="03AB08C8"/>
    <w:rsid w:val="03D7756B"/>
    <w:rsid w:val="04C62A98"/>
    <w:rsid w:val="05137986"/>
    <w:rsid w:val="05871628"/>
    <w:rsid w:val="0624009C"/>
    <w:rsid w:val="06344057"/>
    <w:rsid w:val="06A21159"/>
    <w:rsid w:val="06BD229F"/>
    <w:rsid w:val="079262EF"/>
    <w:rsid w:val="09216B15"/>
    <w:rsid w:val="098C43AF"/>
    <w:rsid w:val="09A432A2"/>
    <w:rsid w:val="09BC4A90"/>
    <w:rsid w:val="0AB903FE"/>
    <w:rsid w:val="0AE117C1"/>
    <w:rsid w:val="0B5E154E"/>
    <w:rsid w:val="0C051E3E"/>
    <w:rsid w:val="0D0B738F"/>
    <w:rsid w:val="0D6671EC"/>
    <w:rsid w:val="0D865C6C"/>
    <w:rsid w:val="0DEE2D3E"/>
    <w:rsid w:val="0EA91F58"/>
    <w:rsid w:val="0F1C3BF0"/>
    <w:rsid w:val="0F3C6D0D"/>
    <w:rsid w:val="0F403A6D"/>
    <w:rsid w:val="0FEF767D"/>
    <w:rsid w:val="11541849"/>
    <w:rsid w:val="1209450B"/>
    <w:rsid w:val="12525F91"/>
    <w:rsid w:val="12B46304"/>
    <w:rsid w:val="1367623C"/>
    <w:rsid w:val="137D703E"/>
    <w:rsid w:val="14DB5974"/>
    <w:rsid w:val="157B75AD"/>
    <w:rsid w:val="15FD4466"/>
    <w:rsid w:val="162E461F"/>
    <w:rsid w:val="16302145"/>
    <w:rsid w:val="16946B78"/>
    <w:rsid w:val="169E1F61"/>
    <w:rsid w:val="17BA0860"/>
    <w:rsid w:val="17BE2A62"/>
    <w:rsid w:val="17C422E5"/>
    <w:rsid w:val="181F06C4"/>
    <w:rsid w:val="19306900"/>
    <w:rsid w:val="1A385A6D"/>
    <w:rsid w:val="1B903686"/>
    <w:rsid w:val="1BED691D"/>
    <w:rsid w:val="1BEF768A"/>
    <w:rsid w:val="1C2A75D8"/>
    <w:rsid w:val="1CBA6C0D"/>
    <w:rsid w:val="1D70376F"/>
    <w:rsid w:val="1DEC54EC"/>
    <w:rsid w:val="1E3649B9"/>
    <w:rsid w:val="1E68193F"/>
    <w:rsid w:val="1E8A5DE0"/>
    <w:rsid w:val="215E02EB"/>
    <w:rsid w:val="220C2572"/>
    <w:rsid w:val="22F520BC"/>
    <w:rsid w:val="25425A15"/>
    <w:rsid w:val="255850E0"/>
    <w:rsid w:val="265C7ECF"/>
    <w:rsid w:val="27181EA1"/>
    <w:rsid w:val="281F24B4"/>
    <w:rsid w:val="28EF5E90"/>
    <w:rsid w:val="29146213"/>
    <w:rsid w:val="295108F9"/>
    <w:rsid w:val="29A56451"/>
    <w:rsid w:val="2A8036E5"/>
    <w:rsid w:val="2AC82E3D"/>
    <w:rsid w:val="2B560448"/>
    <w:rsid w:val="2B5841C1"/>
    <w:rsid w:val="2C161986"/>
    <w:rsid w:val="2C550700"/>
    <w:rsid w:val="2C6A683B"/>
    <w:rsid w:val="2C732934"/>
    <w:rsid w:val="2D8D3ECA"/>
    <w:rsid w:val="2E2E5FA3"/>
    <w:rsid w:val="2E7A26A0"/>
    <w:rsid w:val="2E942910"/>
    <w:rsid w:val="2EB37960"/>
    <w:rsid w:val="301663F8"/>
    <w:rsid w:val="310426F5"/>
    <w:rsid w:val="310B3A83"/>
    <w:rsid w:val="311A1F18"/>
    <w:rsid w:val="31C358CE"/>
    <w:rsid w:val="323963CE"/>
    <w:rsid w:val="3249108D"/>
    <w:rsid w:val="328C5A18"/>
    <w:rsid w:val="33945556"/>
    <w:rsid w:val="33AD4259"/>
    <w:rsid w:val="35EA59A2"/>
    <w:rsid w:val="36140CE4"/>
    <w:rsid w:val="36715F92"/>
    <w:rsid w:val="37991DE9"/>
    <w:rsid w:val="37A3644D"/>
    <w:rsid w:val="37FC4126"/>
    <w:rsid w:val="39225E0E"/>
    <w:rsid w:val="396901DE"/>
    <w:rsid w:val="39CF63B8"/>
    <w:rsid w:val="3B0752BD"/>
    <w:rsid w:val="3B3D6F2F"/>
    <w:rsid w:val="3CCB2319"/>
    <w:rsid w:val="3D2374F2"/>
    <w:rsid w:val="3D5E00FF"/>
    <w:rsid w:val="3D673DEF"/>
    <w:rsid w:val="3D8E3A72"/>
    <w:rsid w:val="3DCD12AD"/>
    <w:rsid w:val="3E0708BD"/>
    <w:rsid w:val="3E0E5910"/>
    <w:rsid w:val="3E276DD7"/>
    <w:rsid w:val="3E642844"/>
    <w:rsid w:val="3E761459"/>
    <w:rsid w:val="3F48286B"/>
    <w:rsid w:val="408A49C4"/>
    <w:rsid w:val="41E40104"/>
    <w:rsid w:val="44213D09"/>
    <w:rsid w:val="44AE49FA"/>
    <w:rsid w:val="45E5444B"/>
    <w:rsid w:val="45F22D72"/>
    <w:rsid w:val="464C68B4"/>
    <w:rsid w:val="46D70238"/>
    <w:rsid w:val="47213261"/>
    <w:rsid w:val="47CB0C99"/>
    <w:rsid w:val="47D74267"/>
    <w:rsid w:val="484B1BA2"/>
    <w:rsid w:val="486A6E89"/>
    <w:rsid w:val="48AC7A3F"/>
    <w:rsid w:val="49575B77"/>
    <w:rsid w:val="49807AD3"/>
    <w:rsid w:val="4A301A0D"/>
    <w:rsid w:val="4A38723F"/>
    <w:rsid w:val="4AC96965"/>
    <w:rsid w:val="4ACA1E61"/>
    <w:rsid w:val="4B9F509C"/>
    <w:rsid w:val="4C640405"/>
    <w:rsid w:val="4CDB0356"/>
    <w:rsid w:val="4D6906E5"/>
    <w:rsid w:val="4DC30881"/>
    <w:rsid w:val="4DF06083"/>
    <w:rsid w:val="4E067654"/>
    <w:rsid w:val="4E4F17A0"/>
    <w:rsid w:val="4E9D1D67"/>
    <w:rsid w:val="50502E09"/>
    <w:rsid w:val="508A631B"/>
    <w:rsid w:val="522C3939"/>
    <w:rsid w:val="527612F0"/>
    <w:rsid w:val="541859EC"/>
    <w:rsid w:val="54675875"/>
    <w:rsid w:val="54920F88"/>
    <w:rsid w:val="54934129"/>
    <w:rsid w:val="54F57D75"/>
    <w:rsid w:val="551D5178"/>
    <w:rsid w:val="55450A62"/>
    <w:rsid w:val="55ED217D"/>
    <w:rsid w:val="55EE7B38"/>
    <w:rsid w:val="56295335"/>
    <w:rsid w:val="56B22127"/>
    <w:rsid w:val="572C7FDA"/>
    <w:rsid w:val="578B1BF8"/>
    <w:rsid w:val="57A35F14"/>
    <w:rsid w:val="587873A1"/>
    <w:rsid w:val="58B33F35"/>
    <w:rsid w:val="58EF7663"/>
    <w:rsid w:val="599B6EA3"/>
    <w:rsid w:val="5ABD3F7B"/>
    <w:rsid w:val="5B2947FA"/>
    <w:rsid w:val="5B2E153D"/>
    <w:rsid w:val="5B7025B1"/>
    <w:rsid w:val="5BF760FC"/>
    <w:rsid w:val="5CB75016"/>
    <w:rsid w:val="5D015BB7"/>
    <w:rsid w:val="5D642FA0"/>
    <w:rsid w:val="5EEC7074"/>
    <w:rsid w:val="60695F4D"/>
    <w:rsid w:val="60C767CF"/>
    <w:rsid w:val="61273712"/>
    <w:rsid w:val="61933119"/>
    <w:rsid w:val="61CE3B8D"/>
    <w:rsid w:val="620C3EF3"/>
    <w:rsid w:val="630261E5"/>
    <w:rsid w:val="637140B0"/>
    <w:rsid w:val="63D35E18"/>
    <w:rsid w:val="63E853DA"/>
    <w:rsid w:val="63FA68E9"/>
    <w:rsid w:val="6408168D"/>
    <w:rsid w:val="641327AA"/>
    <w:rsid w:val="641F7B6D"/>
    <w:rsid w:val="64C66490"/>
    <w:rsid w:val="653B42C9"/>
    <w:rsid w:val="654E5362"/>
    <w:rsid w:val="65554CF2"/>
    <w:rsid w:val="655A5E64"/>
    <w:rsid w:val="65C94540"/>
    <w:rsid w:val="65DB0248"/>
    <w:rsid w:val="65F5337B"/>
    <w:rsid w:val="664D3C1B"/>
    <w:rsid w:val="66A56F85"/>
    <w:rsid w:val="66B57DDF"/>
    <w:rsid w:val="67890C82"/>
    <w:rsid w:val="67FE1D18"/>
    <w:rsid w:val="68336E40"/>
    <w:rsid w:val="68680898"/>
    <w:rsid w:val="68E81A16"/>
    <w:rsid w:val="68F0088D"/>
    <w:rsid w:val="695F196A"/>
    <w:rsid w:val="6991407E"/>
    <w:rsid w:val="69E20B1E"/>
    <w:rsid w:val="6B27284C"/>
    <w:rsid w:val="6BC54253"/>
    <w:rsid w:val="6CBD4F2A"/>
    <w:rsid w:val="6D9C5AA7"/>
    <w:rsid w:val="6E9E2179"/>
    <w:rsid w:val="6FF36546"/>
    <w:rsid w:val="705F4C76"/>
    <w:rsid w:val="70DF24EC"/>
    <w:rsid w:val="71B96608"/>
    <w:rsid w:val="72604CD6"/>
    <w:rsid w:val="728E35F1"/>
    <w:rsid w:val="72FC3F68"/>
    <w:rsid w:val="73B057E9"/>
    <w:rsid w:val="73D70FC8"/>
    <w:rsid w:val="73EB49FF"/>
    <w:rsid w:val="746A1E3C"/>
    <w:rsid w:val="75536805"/>
    <w:rsid w:val="758D4034"/>
    <w:rsid w:val="75DE663D"/>
    <w:rsid w:val="76342701"/>
    <w:rsid w:val="767C575E"/>
    <w:rsid w:val="770865D0"/>
    <w:rsid w:val="77291B3A"/>
    <w:rsid w:val="77687E39"/>
    <w:rsid w:val="77824A0A"/>
    <w:rsid w:val="779C40BA"/>
    <w:rsid w:val="77BB69FE"/>
    <w:rsid w:val="785E1CB7"/>
    <w:rsid w:val="792151BF"/>
    <w:rsid w:val="7B1D7751"/>
    <w:rsid w:val="7B3F69CB"/>
    <w:rsid w:val="7B8836AC"/>
    <w:rsid w:val="7BD227A0"/>
    <w:rsid w:val="7C122766"/>
    <w:rsid w:val="7C1D1542"/>
    <w:rsid w:val="7D126BCC"/>
    <w:rsid w:val="7D3C3975"/>
    <w:rsid w:val="7D652C30"/>
    <w:rsid w:val="7DBF4FA6"/>
    <w:rsid w:val="7F954211"/>
    <w:rsid w:val="7FB9F5A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7"/>
    <w:qFormat/>
    <w:uiPriority w:val="99"/>
    <w:pPr>
      <w:keepNext/>
      <w:keepLines/>
      <w:spacing w:before="260" w:after="260" w:line="415"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5" w:lineRule="auto"/>
      <w:outlineLvl w:val="2"/>
    </w:pPr>
    <w:rPr>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9"/>
    <w:qFormat/>
    <w:uiPriority w:val="99"/>
    <w:pPr>
      <w:spacing w:beforeLines="30"/>
    </w:pPr>
    <w:rPr>
      <w:rFonts w:ascii="仿宋_GB2312" w:eastAsia="仿宋_GB2312"/>
      <w:kern w:val="0"/>
      <w:sz w:val="30"/>
    </w:rPr>
  </w:style>
  <w:style w:type="paragraph" w:styleId="6">
    <w:name w:val="toc 3"/>
    <w:basedOn w:val="1"/>
    <w:next w:val="1"/>
    <w:qFormat/>
    <w:uiPriority w:val="99"/>
    <w:pPr>
      <w:tabs>
        <w:tab w:val="right" w:leader="dot" w:pos="8296"/>
      </w:tabs>
      <w:ind w:left="400" w:leftChars="400"/>
    </w:pPr>
  </w:style>
  <w:style w:type="paragraph" w:styleId="7">
    <w:name w:val="Balloon Text"/>
    <w:basedOn w:val="1"/>
    <w:link w:val="20"/>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2"/>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99"/>
    <w:pPr>
      <w:tabs>
        <w:tab w:val="right" w:leader="dot" w:pos="8296"/>
      </w:tabs>
      <w:spacing w:before="93"/>
      <w:jc w:val="center"/>
    </w:pPr>
    <w:rPr>
      <w:rFonts w:ascii="仿宋" w:eastAsia="仿宋"/>
      <w:sz w:val="28"/>
      <w:szCs w:val="28"/>
    </w:rPr>
  </w:style>
  <w:style w:type="paragraph" w:styleId="11">
    <w:name w:val="toc 2"/>
    <w:basedOn w:val="1"/>
    <w:next w:val="1"/>
    <w:qFormat/>
    <w:uiPriority w:val="99"/>
    <w:pPr>
      <w:tabs>
        <w:tab w:val="right" w:leader="dot" w:pos="8296"/>
      </w:tabs>
      <w:ind w:left="200" w:leftChars="200"/>
    </w:p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Heading 1 Char"/>
    <w:basedOn w:val="13"/>
    <w:link w:val="2"/>
    <w:qFormat/>
    <w:locked/>
    <w:uiPriority w:val="99"/>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locked/>
    <w:uiPriority w:val="99"/>
    <w:rPr>
      <w:rFonts w:ascii="Cambria" w:hAnsi="Cambria" w:eastAsia="宋体" w:cs="Times New Roman"/>
      <w:b/>
      <w:bCs/>
      <w:kern w:val="2"/>
      <w:sz w:val="32"/>
      <w:szCs w:val="32"/>
      <w:lang w:val="en-US" w:eastAsia="zh-CN" w:bidi="ar-SA"/>
    </w:rPr>
  </w:style>
  <w:style w:type="character" w:customStyle="1" w:styleId="18">
    <w:name w:val="Heading 3 Char"/>
    <w:basedOn w:val="13"/>
    <w:link w:val="4"/>
    <w:semiHidden/>
    <w:qFormat/>
    <w:locked/>
    <w:uiPriority w:val="99"/>
    <w:rPr>
      <w:rFonts w:cs="Times New Roman"/>
      <w:b/>
      <w:bCs/>
      <w:sz w:val="32"/>
      <w:szCs w:val="32"/>
    </w:rPr>
  </w:style>
  <w:style w:type="character" w:customStyle="1" w:styleId="19">
    <w:name w:val="Body Text Char"/>
    <w:basedOn w:val="13"/>
    <w:link w:val="5"/>
    <w:qFormat/>
    <w:locked/>
    <w:uiPriority w:val="99"/>
    <w:rPr>
      <w:rFonts w:ascii="Times New Roman" w:hAnsi="Times New Roman" w:cs="Times New Roman"/>
      <w:sz w:val="24"/>
      <w:szCs w:val="24"/>
    </w:rPr>
  </w:style>
  <w:style w:type="character" w:customStyle="1" w:styleId="20">
    <w:name w:val="Balloon Text Char"/>
    <w:basedOn w:val="13"/>
    <w:link w:val="7"/>
    <w:semiHidden/>
    <w:qFormat/>
    <w:locked/>
    <w:uiPriority w:val="99"/>
    <w:rPr>
      <w:rFonts w:cs="Times New Roman"/>
      <w:sz w:val="2"/>
    </w:rPr>
  </w:style>
  <w:style w:type="character" w:customStyle="1" w:styleId="21">
    <w:name w:val="Footer Char"/>
    <w:basedOn w:val="13"/>
    <w:link w:val="8"/>
    <w:qFormat/>
    <w:locked/>
    <w:uiPriority w:val="99"/>
    <w:rPr>
      <w:rFonts w:ascii="Times New Roman" w:hAnsi="Times New Roman" w:cs="Times New Roman"/>
      <w:sz w:val="18"/>
      <w:szCs w:val="18"/>
    </w:rPr>
  </w:style>
  <w:style w:type="character" w:customStyle="1" w:styleId="22">
    <w:name w:val="Header Char"/>
    <w:basedOn w:val="13"/>
    <w:link w:val="9"/>
    <w:qFormat/>
    <w:locked/>
    <w:uiPriority w:val="99"/>
    <w:rPr>
      <w:rFonts w:ascii="Times New Roman" w:hAnsi="Times New Roman" w:cs="Times New Roman"/>
      <w:sz w:val="18"/>
      <w:szCs w:val="18"/>
    </w:rPr>
  </w:style>
  <w:style w:type="paragraph" w:customStyle="1" w:styleId="23">
    <w:name w:val="Default"/>
    <w:qFormat/>
    <w:uiPriority w:val="99"/>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styleId="24">
    <w:name w:val="List Paragraph"/>
    <w:basedOn w:val="1"/>
    <w:qFormat/>
    <w:uiPriority w:val="99"/>
    <w:pPr>
      <w:ind w:firstLine="200" w:firstLineChars="200"/>
    </w:pPr>
  </w:style>
  <w:style w:type="paragraph" w:customStyle="1" w:styleId="25">
    <w:name w:val="TOC Heading1"/>
    <w:basedOn w:val="2"/>
    <w:next w:val="1"/>
    <w:qFormat/>
    <w:uiPriority w:val="99"/>
    <w:pPr>
      <w:widowControl/>
      <w:spacing w:before="480" w:after="0" w:line="276" w:lineRule="auto"/>
      <w:jc w:val="left"/>
      <w:outlineLvl w:val="9"/>
    </w:pPr>
    <w:rPr>
      <w:rFonts w:ascii="Cambria" w:hAnsi="Cambria"/>
      <w:color w:val="376092"/>
      <w:kern w:val="0"/>
      <w:sz w:val="28"/>
      <w:szCs w:val="28"/>
    </w:rPr>
  </w:style>
  <w:style w:type="character" w:customStyle="1" w:styleId="2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27">
    <w:name w:val="标题 2 Char"/>
    <w:basedOn w:val="13"/>
    <w:link w:val="3"/>
    <w:qFormat/>
    <w:uiPriority w:val="0"/>
    <w:rPr>
      <w:rFonts w:ascii="Cambria" w:hAnsi="Cambria" w:eastAsia="宋体" w:cs="Times New Roman"/>
      <w:b/>
      <w:bCs/>
      <w:kern w:val="2"/>
      <w:sz w:val="32"/>
      <w:szCs w:val="32"/>
      <w:lang w:val="en-US" w:eastAsia="zh-CN" w:bidi="ar-SA"/>
    </w:rPr>
  </w:style>
  <w:style w:type="paragraph" w:customStyle="1" w:styleId="28">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收支对比表</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[工作簿1]Sheet1!$A$1:$A$4</c:f>
              <c:strCache>
                <c:ptCount val="4"/>
                <c:pt idx="0">
                  <c:v>2020年收入</c:v>
                </c:pt>
                <c:pt idx="1">
                  <c:v>2021年收入</c:v>
                </c:pt>
                <c:pt idx="2">
                  <c:v>2020年支出</c:v>
                </c:pt>
                <c:pt idx="3">
                  <c:v>2021年支出</c:v>
                </c:pt>
              </c:strCache>
            </c:strRef>
          </c:cat>
          <c:val>
            <c:numRef>
              <c:f>[工作簿1]Sheet1!$B$1:$B$4</c:f>
              <c:numCache>
                <c:formatCode>General</c:formatCode>
                <c:ptCount val="4"/>
                <c:pt idx="0">
                  <c:v>2958.81</c:v>
                </c:pt>
                <c:pt idx="1">
                  <c:v>1962.26</c:v>
                </c:pt>
                <c:pt idx="2">
                  <c:v>2829.69</c:v>
                </c:pt>
                <c:pt idx="3">
                  <c:v>2043.17</c:v>
                </c:pt>
              </c:numCache>
            </c:numRef>
          </c:val>
        </c:ser>
        <c:dLbls>
          <c:showLegendKey val="1"/>
          <c:showVal val="1"/>
          <c:showCatName val="1"/>
          <c:showSerName val="1"/>
          <c:showPercent val="1"/>
          <c:showBubbleSize val="1"/>
        </c:dLbls>
        <c:gapWidth val="219"/>
        <c:overlap val="-27"/>
        <c:axId val="33483008"/>
        <c:axId val="45563904"/>
      </c:barChart>
      <c:catAx>
        <c:axId val="334830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563904"/>
        <c:crosses val="autoZero"/>
        <c:auto val="1"/>
        <c:lblAlgn val="ctr"/>
        <c:lblOffset val="100"/>
        <c:noMultiLvlLbl val="0"/>
      </c:catAx>
      <c:valAx>
        <c:axId val="455639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483008"/>
        <c:crosses val="autoZero"/>
        <c:crossBetween val="between"/>
      </c:valAx>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基本支出与项目</a:t>
            </a:r>
            <a:r>
              <a:rPr altLang="en-US"/>
              <a:t>支出对比</a:t>
            </a:r>
            <a:endParaRPr lang="en-US" altLang="zh-CN"/>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[工作簿1]Sheet1!$A$16:$A$17</c:f>
              <c:strCache>
                <c:ptCount val="2"/>
                <c:pt idx="0">
                  <c:v>基本支出</c:v>
                </c:pt>
                <c:pt idx="1">
                  <c:v>项目支出</c:v>
                </c:pt>
              </c:strCache>
            </c:strRef>
          </c:cat>
          <c:val>
            <c:numRef>
              <c:f>[工作簿1]Sheet1!$B$16:$B$17</c:f>
              <c:numCache>
                <c:formatCode>General</c:formatCode>
                <c:ptCount val="2"/>
                <c:pt idx="0">
                  <c:v>712.65</c:v>
                </c:pt>
                <c:pt idx="1">
                  <c:v>1330.52</c:v>
                </c:pt>
              </c:numCache>
            </c:numRef>
          </c:val>
        </c:ser>
        <c:dLbls>
          <c:showLegendKey val="1"/>
          <c:showVal val="1"/>
          <c:showCatName val="1"/>
          <c:showSerName val="1"/>
          <c:showPercent val="1"/>
          <c:showBubbleSize val="1"/>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accent6">
        <a:lumMod val="60000"/>
        <a:lumOff val="4000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收支对比表</a:t>
            </a:r>
          </a:p>
        </c:rich>
      </c:tx>
      <c:layout/>
      <c:overlay val="0"/>
      <c:spPr>
        <a:noFill/>
        <a:ln>
          <a:noFill/>
        </a:ln>
        <a:effectLst/>
      </c:spPr>
    </c:title>
    <c:autoTitleDeleted val="0"/>
    <c:plotArea>
      <c:layout>
        <c:manualLayout>
          <c:layoutTarget val="inner"/>
          <c:xMode val="edge"/>
          <c:yMode val="edge"/>
          <c:x val="0.0610555555555556"/>
          <c:y val="0.0116959064327485"/>
          <c:w val="0.882"/>
          <c:h val="0.514385964912281"/>
        </c:manualLayout>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[工作簿1]Sheet1!$A$1:$A$4</c:f>
              <c:strCache>
                <c:ptCount val="4"/>
                <c:pt idx="0">
                  <c:v>2020年收入</c:v>
                </c:pt>
                <c:pt idx="1">
                  <c:v>2021年收入</c:v>
                </c:pt>
                <c:pt idx="2">
                  <c:v>2020年支出</c:v>
                </c:pt>
                <c:pt idx="3">
                  <c:v>2021年支出</c:v>
                </c:pt>
              </c:strCache>
            </c:strRef>
          </c:cat>
          <c:val>
            <c:numRef>
              <c:f>[工作簿1]Sheet1!$B$1:$B$4</c:f>
              <c:numCache>
                <c:formatCode>General</c:formatCode>
                <c:ptCount val="4"/>
                <c:pt idx="0">
                  <c:v>2958.81</c:v>
                </c:pt>
                <c:pt idx="1">
                  <c:v>1962.26</c:v>
                </c:pt>
                <c:pt idx="2">
                  <c:v>2829.69</c:v>
                </c:pt>
                <c:pt idx="3">
                  <c:v>2043.17</c:v>
                </c:pt>
              </c:numCache>
            </c:numRef>
          </c:val>
        </c:ser>
        <c:dLbls>
          <c:showLegendKey val="1"/>
          <c:showVal val="1"/>
          <c:showCatName val="1"/>
          <c:showSerName val="1"/>
          <c:showPercent val="1"/>
          <c:showBubbleSize val="1"/>
        </c:dLbls>
        <c:gapWidth val="219"/>
        <c:overlap val="-27"/>
        <c:axId val="46082688"/>
        <c:axId val="46924160"/>
      </c:barChart>
      <c:catAx>
        <c:axId val="4608268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924160"/>
        <c:crosses val="autoZero"/>
        <c:auto val="1"/>
        <c:lblAlgn val="ctr"/>
        <c:lblOffset val="100"/>
        <c:noMultiLvlLbl val="0"/>
      </c:catAx>
      <c:valAx>
        <c:axId val="469241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082688"/>
        <c:crosses val="autoZero"/>
        <c:crossBetween val="between"/>
      </c:valAx>
      <c:spPr>
        <a:noFill/>
        <a:ln>
          <a:noFill/>
        </a:ln>
        <a:effectLst/>
      </c:spPr>
    </c:plotArea>
    <c:plotVisOnly val="1"/>
    <c:dispBlanksAs val="gap"/>
    <c:showDLblsOverMax val="0"/>
  </c:chart>
  <c:spPr>
    <a:solidFill>
      <a:schemeClr val="accent4">
        <a:lumMod val="60000"/>
        <a:lumOff val="40000"/>
      </a:scheme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收入对比表</a:t>
            </a:r>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[工作簿1]Sheet1!$A$1:$A$2</c:f>
              <c:strCache>
                <c:ptCount val="2"/>
                <c:pt idx="0">
                  <c:v>2020年收入</c:v>
                </c:pt>
                <c:pt idx="1">
                  <c:v>2021年收入</c:v>
                </c:pt>
              </c:strCache>
            </c:strRef>
          </c:cat>
          <c:val>
            <c:numRef>
              <c:f>[工作簿1]Sheet1!$B$1:$B$2</c:f>
              <c:numCache>
                <c:formatCode>General</c:formatCode>
                <c:ptCount val="2"/>
                <c:pt idx="0">
                  <c:v>2958.81</c:v>
                </c:pt>
                <c:pt idx="1">
                  <c:v>1962.26</c:v>
                </c:pt>
              </c:numCache>
            </c:numRef>
          </c:val>
        </c:ser>
        <c:dLbls>
          <c:showLegendKey val="1"/>
          <c:showVal val="1"/>
          <c:showCatName val="1"/>
          <c:showSerName val="1"/>
          <c:showPercent val="1"/>
          <c:showBubbleSize val="1"/>
        </c:dLbls>
        <c:gapWidth val="182"/>
        <c:axId val="46964736"/>
        <c:axId val="46966272"/>
      </c:barChart>
      <c:catAx>
        <c:axId val="46964736"/>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966272"/>
        <c:crosses val="autoZero"/>
        <c:auto val="1"/>
        <c:lblAlgn val="ctr"/>
        <c:lblOffset val="100"/>
        <c:noMultiLvlLbl val="0"/>
      </c:catAx>
      <c:valAx>
        <c:axId val="46966272"/>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964736"/>
        <c:crosses val="autoZero"/>
        <c:crossBetween val="between"/>
      </c:valAx>
      <c:spPr>
        <a:noFill/>
        <a:ln>
          <a:noFill/>
        </a:ln>
        <a:effectLst/>
      </c:spPr>
    </c:plotArea>
    <c:plotVisOnly val="1"/>
    <c:dispBlanksAs val="gap"/>
    <c:showDLblsOverMax val="0"/>
  </c:chart>
  <c:spPr>
    <a:gradFill>
      <a:gsLst>
        <a:gs pos="0">
          <a:srgbClr val="9EE256"/>
        </a:gs>
        <a:gs pos="100000">
          <a:srgbClr val="52762D"/>
        </a:gs>
      </a:gsLst>
      <a:lin ang="5400000" scaled="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分类占比</a:t>
            </a:r>
          </a:p>
        </c:rich>
      </c:tx>
      <c:layout/>
      <c:overlay val="0"/>
      <c:spPr>
        <a:noFill/>
        <a:ln>
          <a:noFill/>
        </a:ln>
        <a:effectLst/>
      </c:spPr>
    </c:title>
    <c:autoTitleDeleted val="0"/>
    <c:plotArea>
      <c:layout/>
      <c:doughnut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[工作簿1]Sheet1!$A$24:$A$28</c:f>
              <c:strCache>
                <c:ptCount val="5"/>
                <c:pt idx="0">
                  <c:v>教育支出</c:v>
                </c:pt>
                <c:pt idx="1">
                  <c:v>农林水支出</c:v>
                </c:pt>
                <c:pt idx="2">
                  <c:v>社会保障和就业</c:v>
                </c:pt>
                <c:pt idx="3">
                  <c:v>卫生健康支出</c:v>
                </c:pt>
                <c:pt idx="4">
                  <c:v>住房保障支出</c:v>
                </c:pt>
              </c:strCache>
            </c:strRef>
          </c:cat>
          <c:val>
            <c:numRef>
              <c:f>[工作簿1]Sheet1!$B$24:$B$28</c:f>
              <c:numCache>
                <c:formatCode>General</c:formatCode>
                <c:ptCount val="5"/>
                <c:pt idx="0">
                  <c:v>0.51</c:v>
                </c:pt>
                <c:pt idx="1">
                  <c:v>1833.13</c:v>
                </c:pt>
                <c:pt idx="2">
                  <c:v>69.32</c:v>
                </c:pt>
                <c:pt idx="3">
                  <c:v>94.44</c:v>
                </c:pt>
                <c:pt idx="4">
                  <c:v>45.77</c:v>
                </c:pt>
              </c:numCache>
            </c:numRef>
          </c:val>
        </c:ser>
        <c:dLbls>
          <c:showLegendKey val="1"/>
          <c:showVal val="1"/>
          <c:showCatName val="1"/>
          <c:showSerName val="1"/>
          <c:showPercent val="1"/>
          <c:showBubbleSize val="1"/>
          <c:showLeaderLines val="1"/>
        </c:dLbls>
        <c:firstSliceAng val="0"/>
        <c:holeSize val="75"/>
      </c:doughnutChart>
      <c:spPr>
        <a:noFill/>
        <a:ln>
          <a:noFill/>
        </a:ln>
        <a:effectLst/>
      </c:spPr>
    </c:plotArea>
    <c:legend>
      <c:legendPos val="b"/>
      <c:layout>
        <c:manualLayout>
          <c:xMode val="edge"/>
          <c:yMode val="edge"/>
          <c:x val="0.00416666666666667"/>
          <c:y val="0.86180555555555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rgbClr val="00B0F0"/>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公务用车运行维护费</a:t>
            </a:r>
          </a:p>
        </c:rich>
      </c:tx>
      <c:layout/>
      <c:overlay val="0"/>
      <c:spPr>
        <a:noFill/>
        <a:ln>
          <a:noFill/>
        </a:ln>
        <a:effectLst/>
      </c:spPr>
    </c:title>
    <c:autoTitleDeleted val="0"/>
    <c:plotArea>
      <c:layout/>
      <c:pieChart>
        <c:varyColors val="1"/>
        <c:ser>
          <c:idx val="0"/>
          <c:order val="0"/>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[工作簿1]Sheet1!$A$43:$A$44</c:f>
              <c:strCache>
                <c:ptCount val="2"/>
                <c:pt idx="0">
                  <c:v>2020年</c:v>
                </c:pt>
                <c:pt idx="1">
                  <c:v>2021年</c:v>
                </c:pt>
              </c:strCache>
            </c:strRef>
          </c:cat>
          <c:val>
            <c:numRef>
              <c:f>[工作簿1]Sheet1!$B$43:$B$44</c:f>
              <c:numCache>
                <c:formatCode>General</c:formatCode>
                <c:ptCount val="2"/>
                <c:pt idx="0">
                  <c:v>2.46</c:v>
                </c:pt>
                <c:pt idx="1">
                  <c:v>2</c:v>
                </c:pt>
              </c:numCache>
            </c:numRef>
          </c:val>
        </c:ser>
        <c:dLbls>
          <c:showLegendKey val="1"/>
          <c:showVal val="1"/>
          <c:showCatName val="1"/>
          <c:showSerName val="1"/>
          <c:showPercent val="1"/>
          <c:showBubbleSize val="1"/>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zero"/>
    <c:showDLblsOverMax val="0"/>
  </c:chart>
  <c:spPr>
    <a:gradFill>
      <a:gsLst>
        <a:gs pos="0">
          <a:srgbClr val="FBFB11"/>
        </a:gs>
        <a:gs pos="100000">
          <a:srgbClr val="838309"/>
        </a:gs>
      </a:gsLst>
      <a:path path="circle">
        <a:fillToRect l="100000" t="100000"/>
      </a:path>
      <a:tileRect r="-100000" b="-10000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公务接待费</a:t>
            </a:r>
          </a:p>
        </c:rich>
      </c:tx>
      <c:layout/>
      <c:overlay val="0"/>
      <c:spPr>
        <a:noFill/>
        <a:ln>
          <a:noFill/>
        </a:ln>
        <a:effectLst/>
      </c:spPr>
    </c:title>
    <c:autoTitleDeleted val="0"/>
    <c:plotArea>
      <c:layout>
        <c:manualLayout>
          <c:layoutTarget val="inner"/>
          <c:xMode val="edge"/>
          <c:yMode val="edge"/>
          <c:x val="0.0789722222222222"/>
          <c:y val="0.176388888888889"/>
          <c:w val="0.867277777777778"/>
          <c:h val="0.711666666666667"/>
        </c:manualLayout>
      </c:layout>
      <c:areaChart>
        <c:grouping val="standard"/>
        <c:varyColors val="0"/>
        <c:ser>
          <c:idx val="0"/>
          <c:order val="0"/>
          <c:spPr>
            <a:solidFill>
              <a:srgbClr val="7030A0"/>
            </a:solidFill>
            <a:ln>
              <a:noFill/>
            </a:ln>
            <a:effectLst/>
          </c:spPr>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[工作簿1]Sheet1!$A$48:$A$49</c:f>
              <c:strCache>
                <c:ptCount val="2"/>
                <c:pt idx="0">
                  <c:v>2020年</c:v>
                </c:pt>
                <c:pt idx="1">
                  <c:v>2021年</c:v>
                </c:pt>
              </c:strCache>
            </c:strRef>
          </c:cat>
          <c:val>
            <c:numRef>
              <c:f>[工作簿1]Sheet1!$B$48:$B$49</c:f>
              <c:numCache>
                <c:formatCode>General</c:formatCode>
                <c:ptCount val="2"/>
                <c:pt idx="0">
                  <c:v>0.48</c:v>
                </c:pt>
                <c:pt idx="1">
                  <c:v>0.08</c:v>
                </c:pt>
              </c:numCache>
            </c:numRef>
          </c:val>
        </c:ser>
        <c:dLbls>
          <c:showLegendKey val="1"/>
          <c:showVal val="1"/>
          <c:showCatName val="1"/>
          <c:showSerName val="1"/>
          <c:showPercent val="1"/>
          <c:showBubbleSize val="1"/>
        </c:dLbls>
        <c:axId val="48081920"/>
        <c:axId val="48448256"/>
      </c:areaChart>
      <c:catAx>
        <c:axId val="48081920"/>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448256"/>
        <c:crosses val="autoZero"/>
        <c:auto val="1"/>
        <c:lblAlgn val="ctr"/>
        <c:lblOffset val="100"/>
        <c:noMultiLvlLbl val="0"/>
      </c:catAx>
      <c:valAx>
        <c:axId val="484482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081920"/>
        <c:crosses val="autoZero"/>
        <c:crossBetween val="midCat"/>
      </c:valAx>
      <c:spPr>
        <a:noFill/>
        <a:ln>
          <a:noFill/>
        </a:ln>
        <a:effectLst/>
      </c:spPr>
    </c:plotArea>
    <c:plotVisOnly val="1"/>
    <c:dispBlanksAs val="zero"/>
    <c:showDLblsOverMax val="0"/>
  </c:chart>
  <c:spPr>
    <a:gradFill>
      <a:gsLst>
        <a:gs pos="0">
          <a:srgbClr val="14CD68"/>
        </a:gs>
        <a:gs pos="100000">
          <a:srgbClr val="0B6E38"/>
        </a:gs>
      </a:gsLst>
      <a:path path="circle">
        <a:fillToRect l="100000" t="100000"/>
      </a:path>
      <a:tileRect r="-100000" b="-100000"/>
    </a:gra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25</Pages>
  <Words>9226</Words>
  <Characters>10033</Characters>
  <Lines>0</Lines>
  <Paragraphs>0</Paragraphs>
  <TotalTime>5</TotalTime>
  <ScaleCrop>false</ScaleCrop>
  <LinksUpToDate>false</LinksUpToDate>
  <CharactersWithSpaces>23860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2022-08-16T09:05:00Z</dcterms:created>
  <dc:creator>guixiang1984</dc:creator>
  <cp:lastModifiedBy>user</cp:lastModifiedBy>
  <cp:lastPrinted>2023-09-20T16:53:00Z</cp:lastPrinted>
  <dcterms:modified xsi:type="dcterms:W3CDTF">2023-09-21T10:28:54Z</dcterms:modified>
  <dc:title>2021年度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1BE5E92CAC254E2488589A69BAE1CC29_13</vt:lpwstr>
  </property>
</Properties>
</file>