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7425"/>
      <w:bookmarkStart w:id="4" w:name="_Toc15396597"/>
      <w:bookmarkStart w:id="5" w:name="_Toc15378441"/>
      <w:r>
        <w:rPr>
          <w:rFonts w:hint="eastAsia" w:ascii="黑体" w:eastAsia="黑体"/>
          <w:color w:val="000000"/>
          <w:sz w:val="72"/>
          <w:szCs w:val="72"/>
          <w:lang w:eastAsia="zh-CN"/>
        </w:rPr>
        <w:t>2020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7426"/>
      <w:bookmarkStart w:id="8" w:name="_Toc15306268"/>
      <w:bookmarkStart w:id="9" w:name="_Toc15396476"/>
      <w:bookmarkStart w:id="10" w:name="_Toc15396598"/>
      <w:bookmarkStart w:id="11" w:name="_Toc15378442"/>
      <w:r>
        <w:rPr>
          <w:rFonts w:hint="eastAsia" w:ascii="方正小标宋简体" w:eastAsia="方正小标宋简体"/>
          <w:color w:val="000000"/>
          <w:sz w:val="72"/>
          <w:szCs w:val="72"/>
          <w:lang w:val="en-US" w:eastAsia="zh-CN"/>
        </w:rPr>
        <w:t>金川县畜牧兽医服务中心</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rPr>
          <w:rFonts w:hint="eastAsia"/>
        </w:rPr>
      </w:pPr>
      <w:r>
        <w:rPr>
          <w:rFonts w:hint="eastAsia"/>
        </w:rPr>
        <w:t>公开时间：</w:t>
      </w:r>
      <w:r>
        <w:rPr>
          <w:rFonts w:hint="eastAsia"/>
          <w:lang w:eastAsia="zh-CN"/>
        </w:rPr>
        <w:t>202</w:t>
      </w:r>
      <w:r>
        <w:rPr>
          <w:rFonts w:hint="eastAsia"/>
          <w:lang w:val="en-US" w:eastAsia="zh-CN"/>
        </w:rPr>
        <w:t>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Pr>
        <w:rPr>
          <w:rFonts w:hint="eastAsia"/>
        </w:rPr>
      </w:pPr>
    </w:p>
    <w:p>
      <w:pPr>
        <w:rPr>
          <w:rFonts w:hint="eastAsia"/>
        </w:rPr>
      </w:pPr>
    </w:p>
    <w:p>
      <w:pPr>
        <w:rPr>
          <w:rFonts w:hint="eastAsia"/>
        </w:rPr>
      </w:pPr>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1"/>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fldChar w:fldCharType="end"/>
      </w:r>
    </w:p>
    <w:p>
      <w:pPr>
        <w:pStyle w:val="11"/>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6</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1"/>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7</w:t>
      </w:r>
      <w:r>
        <w:rPr>
          <w:rFonts w:ascii="仿宋" w:eastAsia="仿宋"/>
          <w:sz w:val="28"/>
          <w:szCs w:val="28"/>
        </w:rPr>
        <w:fldChar w:fldCharType="end"/>
      </w:r>
    </w:p>
    <w:p>
      <w:pPr>
        <w:pStyle w:val="11"/>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1"/>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pPr>
        <w:pStyle w:val="11"/>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1"/>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1"/>
        <w:rPr>
          <w:lang w:val="en-US" w:eastAsia="zh-CN"/>
        </w:rPr>
      </w:pPr>
      <w:r>
        <w:rPr>
          <w:rStyle w:val="15"/>
          <w:rFonts w:hint="eastAsia" w:ascii="仿宋" w:eastAsia="仿宋" w:cs="Times New Roman"/>
          <w:bCs/>
          <w:kern w:val="2"/>
          <w:sz w:val="28"/>
          <w:szCs w:val="28"/>
          <w:lang w:val="en-US" w:eastAsia="zh-CN" w:bidi="ar-SA"/>
        </w:rPr>
        <w:t>十、预算绩效情况说明</w:t>
      </w:r>
      <w:r>
        <w:rPr>
          <w:rFonts w:ascii="仿宋" w:eastAsia="仿宋"/>
          <w:sz w:val="28"/>
          <w:szCs w:val="28"/>
        </w:rPr>
        <w:tab/>
      </w:r>
      <w:r>
        <w:rPr>
          <w:rStyle w:val="15"/>
          <w:rFonts w:hint="eastAsia" w:ascii="仿宋" w:eastAsia="仿宋" w:cs="Times New Roman"/>
          <w:bCs/>
          <w:kern w:val="2"/>
          <w:sz w:val="28"/>
          <w:szCs w:val="28"/>
          <w:lang w:val="en-US" w:eastAsia="zh-CN" w:bidi="ar-SA"/>
        </w:rPr>
        <w:t>12</w:t>
      </w:r>
    </w:p>
    <w:p>
      <w:pPr>
        <w:pStyle w:val="11"/>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0"/>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5</w:t>
      </w:r>
    </w:p>
    <w:p>
      <w:pPr>
        <w:pStyle w:val="10"/>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1</w:t>
      </w:r>
      <w:r>
        <w:fldChar w:fldCharType="end"/>
      </w:r>
      <w:r>
        <w:rPr>
          <w:rFonts w:hint="eastAsia"/>
          <w:lang w:val="en-US" w:eastAsia="zh-CN"/>
        </w:rPr>
        <w:t>8</w:t>
      </w:r>
    </w:p>
    <w:p>
      <w:pPr>
        <w:pStyle w:val="11"/>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8</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keepNext/>
        <w:keepLines/>
        <w:pageBreakBefore w:val="0"/>
        <w:widowControl w:val="0"/>
        <w:kinsoku/>
        <w:wordWrap/>
        <w:overflowPunct/>
        <w:topLinePunct w:val="0"/>
        <w:autoSpaceDE/>
        <w:autoSpaceDN/>
        <w:bidi w:val="0"/>
        <w:adjustRightInd/>
        <w:snapToGrid/>
        <w:spacing w:before="0" w:after="0" w:line="240" w:lineRule="auto"/>
        <w:ind w:left="638" w:leftChars="304" w:firstLine="0" w:firstLineChars="0"/>
        <w:textAlignment w:val="auto"/>
        <w:rPr>
          <w:rStyle w:val="17"/>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（一）主要职能</w:t>
      </w:r>
      <w:bookmarkEnd w:id="16"/>
      <w:bookmarkEnd w:id="17"/>
      <w:bookmarkStart w:id="18" w:name="_Toc15378446"/>
      <w:bookmarkStart w:id="19" w:name="_Toc15377199"/>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．依照《中华人民共和国动物防疫法》负责本县动物防疫、检疫、动物产品安全监管和畜产品加工企业驻厂检疫等行政执法工作；负责兽医医政和兽药药政管理。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pPr>
        <w:spacing w:line="620" w:lineRule="exact"/>
        <w:ind w:firstLine="640" w:firstLineChars="200"/>
        <w:rPr>
          <w:rFonts w:ascii="仿宋_GB2312" w:hAnsi="宋体" w:eastAsia="仿宋_GB2312" w:cs="宋体"/>
          <w:color w:val="auto"/>
          <w:kern w:val="0"/>
          <w:sz w:val="32"/>
          <w:szCs w:val="32"/>
        </w:rPr>
      </w:pPr>
      <w:r>
        <w:rPr>
          <w:rFonts w:ascii="仿宋_GB2312" w:hAnsi="宋体" w:eastAsia="仿宋_GB2312" w:cs="宋体"/>
          <w:color w:val="auto"/>
          <w:kern w:val="0"/>
          <w:sz w:val="32"/>
          <w:szCs w:val="32"/>
        </w:rPr>
        <w:t>9</w:t>
      </w:r>
      <w:r>
        <w:rPr>
          <w:rFonts w:hint="eastAsia" w:ascii="仿宋_GB2312" w:hAnsi="宋体"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hAnsi="宋体" w:eastAsia="仿宋_GB2312" w:cs="宋体"/>
          <w:color w:val="auto"/>
          <w:kern w:val="0"/>
          <w:sz w:val="32"/>
          <w:szCs w:val="32"/>
        </w:rPr>
        <w:t>。</w:t>
      </w:r>
    </w:p>
    <w:p>
      <w:pPr>
        <w:spacing w:line="620" w:lineRule="exact"/>
        <w:ind w:firstLine="640" w:firstLineChars="200"/>
        <w:rPr>
          <w:rFonts w:ascii="仿宋_GB2312" w:eastAsia="仿宋_GB2312"/>
          <w:color w:val="auto"/>
          <w:sz w:val="32"/>
          <w:szCs w:val="32"/>
        </w:rPr>
      </w:pPr>
      <w:r>
        <w:rPr>
          <w:rFonts w:ascii="仿宋_GB2312" w:hAnsi="宋体" w:eastAsia="仿宋_GB2312" w:cs="宋体"/>
          <w:color w:val="auto"/>
          <w:kern w:val="0"/>
          <w:sz w:val="32"/>
          <w:szCs w:val="32"/>
        </w:rPr>
        <w:t>10</w:t>
      </w:r>
      <w:r>
        <w:rPr>
          <w:rFonts w:hint="eastAsia" w:ascii="仿宋_GB2312" w:hAnsi="宋体" w:eastAsia="仿宋_GB2312" w:cs="宋体"/>
          <w:color w:val="auto"/>
          <w:kern w:val="0"/>
          <w:sz w:val="32"/>
          <w:szCs w:val="32"/>
        </w:rPr>
        <w:t>．</w:t>
      </w:r>
      <w:r>
        <w:rPr>
          <w:rFonts w:hint="eastAsia" w:ascii="仿宋_GB2312" w:eastAsia="仿宋_GB2312"/>
          <w:color w:val="auto"/>
          <w:sz w:val="32"/>
          <w:szCs w:val="32"/>
        </w:rPr>
        <w:t>负责乡镇畜牧兽医站的管理和指导。</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（二）2020年重点工作完成情况</w:t>
      </w:r>
      <w:bookmarkEnd w:id="18"/>
      <w:bookmarkEnd w:id="19"/>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ascii="仿宋" w:hAnsi="仿宋" w:eastAsia="仿宋" w:cs="仿宋"/>
          <w:color w:val="1E1E1E"/>
          <w:sz w:val="32"/>
          <w:szCs w:val="32"/>
        </w:rPr>
      </w:pPr>
      <w:bookmarkStart w:id="20" w:name="_Toc15396601"/>
      <w:bookmarkStart w:id="21" w:name="_Toc15377200"/>
      <w:r>
        <w:rPr>
          <w:rFonts w:ascii="仿宋" w:hAnsi="仿宋" w:eastAsia="仿宋" w:cs="仿宋"/>
          <w:color w:val="1E1E1E"/>
          <w:sz w:val="32"/>
          <w:szCs w:val="32"/>
        </w:rPr>
        <w:t>1</w:t>
      </w:r>
      <w:r>
        <w:rPr>
          <w:rFonts w:hint="eastAsia" w:ascii="仿宋" w:hAnsi="仿宋" w:eastAsia="仿宋" w:cs="仿宋"/>
          <w:color w:val="1E1E1E"/>
          <w:sz w:val="32"/>
          <w:szCs w:val="32"/>
        </w:rPr>
        <w:t>、完成</w:t>
      </w:r>
      <w:r>
        <w:rPr>
          <w:rFonts w:hint="eastAsia" w:ascii="仿宋" w:hAnsi="仿宋" w:eastAsia="仿宋" w:cs="仿宋"/>
          <w:color w:val="1E1E1E"/>
          <w:sz w:val="32"/>
          <w:szCs w:val="32"/>
          <w:lang w:val="en-US" w:eastAsia="zh-CN"/>
        </w:rPr>
        <w:t>今年</w:t>
      </w:r>
      <w:r>
        <w:rPr>
          <w:rFonts w:hint="eastAsia" w:ascii="仿宋" w:hAnsi="仿宋" w:eastAsia="仿宋" w:cs="仿宋"/>
          <w:color w:val="1E1E1E"/>
          <w:sz w:val="32"/>
          <w:szCs w:val="32"/>
        </w:rPr>
        <w:t>农业资源及生态保护</w:t>
      </w:r>
      <w:r>
        <w:rPr>
          <w:rFonts w:hint="eastAsia" w:ascii="仿宋" w:hAnsi="仿宋" w:eastAsia="仿宋" w:cs="仿宋"/>
          <w:color w:val="1E1E1E"/>
          <w:sz w:val="32"/>
          <w:szCs w:val="32"/>
          <w:lang w:val="en-US" w:eastAsia="zh-CN"/>
        </w:rPr>
        <w:t>相关</w:t>
      </w:r>
      <w:r>
        <w:rPr>
          <w:rFonts w:hint="eastAsia" w:ascii="仿宋" w:hAnsi="仿宋" w:eastAsia="仿宋" w:cs="仿宋"/>
          <w:color w:val="1E1E1E"/>
          <w:sz w:val="32"/>
          <w:szCs w:val="32"/>
        </w:rPr>
        <w:t>工作。</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ascii="仿宋" w:hAnsi="仿宋" w:eastAsia="仿宋" w:cs="仿宋"/>
          <w:color w:val="1E1E1E"/>
          <w:sz w:val="32"/>
          <w:szCs w:val="32"/>
        </w:rPr>
        <w:t>2</w:t>
      </w:r>
      <w:r>
        <w:rPr>
          <w:rFonts w:hint="eastAsia" w:ascii="仿宋" w:hAnsi="仿宋" w:eastAsia="仿宋" w:cs="仿宋"/>
          <w:color w:val="1E1E1E"/>
          <w:sz w:val="32"/>
          <w:szCs w:val="32"/>
        </w:rPr>
        <w:t>、</w:t>
      </w:r>
      <w:r>
        <w:rPr>
          <w:rFonts w:hint="eastAsia" w:ascii="仿宋" w:hAnsi="仿宋" w:eastAsia="仿宋" w:cs="仿宋"/>
          <w:color w:val="1E1E1E"/>
          <w:sz w:val="32"/>
          <w:szCs w:val="32"/>
          <w:lang w:val="en-US" w:eastAsia="zh-CN"/>
        </w:rPr>
        <w:t>有效发展</w:t>
      </w:r>
      <w:r>
        <w:rPr>
          <w:rFonts w:hint="eastAsia" w:ascii="仿宋" w:hAnsi="仿宋" w:eastAsia="仿宋" w:cs="仿宋"/>
          <w:color w:val="1E1E1E"/>
          <w:sz w:val="32"/>
          <w:szCs w:val="32"/>
        </w:rPr>
        <w:t>现代畜牧业</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指导和协调畜牧发展保障和服务体系建设</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hint="eastAsia" w:ascii="仿宋" w:hAnsi="仿宋" w:eastAsia="仿宋" w:cs="仿宋"/>
          <w:color w:val="1E1E1E"/>
          <w:sz w:val="32"/>
          <w:szCs w:val="32"/>
          <w:lang w:val="en-US" w:eastAsia="zh-CN"/>
        </w:rPr>
        <w:t>3、完成</w:t>
      </w:r>
      <w:r>
        <w:rPr>
          <w:rFonts w:hint="eastAsia" w:ascii="仿宋" w:hAnsi="仿宋" w:eastAsia="仿宋" w:cs="仿宋"/>
          <w:color w:val="1E1E1E"/>
          <w:sz w:val="32"/>
          <w:szCs w:val="32"/>
        </w:rPr>
        <w:t>春防工作</w:t>
      </w:r>
      <w:r>
        <w:rPr>
          <w:rFonts w:hint="eastAsia" w:ascii="仿宋" w:hAnsi="仿宋" w:eastAsia="仿宋" w:cs="仿宋"/>
          <w:color w:val="1E1E1E"/>
          <w:sz w:val="32"/>
          <w:szCs w:val="32"/>
          <w:lang w:eastAsia="zh-CN"/>
        </w:rPr>
        <w:t>、</w:t>
      </w:r>
      <w:r>
        <w:rPr>
          <w:rFonts w:hint="eastAsia" w:ascii="仿宋" w:hAnsi="仿宋" w:eastAsia="仿宋" w:cs="仿宋"/>
          <w:color w:val="1E1E1E"/>
          <w:sz w:val="32"/>
          <w:szCs w:val="32"/>
        </w:rPr>
        <w:t>寄生虫病的防治</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指导和督促全</w:t>
      </w:r>
      <w:r>
        <w:rPr>
          <w:rFonts w:hint="eastAsia" w:ascii="仿宋" w:hAnsi="仿宋" w:eastAsia="仿宋" w:cs="仿宋"/>
          <w:sz w:val="32"/>
          <w:szCs w:val="32"/>
          <w:lang w:val="en-US" w:eastAsia="zh-CN"/>
        </w:rPr>
        <w:t>县</w:t>
      </w:r>
      <w:r>
        <w:rPr>
          <w:rFonts w:hint="eastAsia" w:ascii="仿宋" w:hAnsi="仿宋" w:eastAsia="仿宋" w:cs="仿宋"/>
          <w:sz w:val="32"/>
          <w:szCs w:val="32"/>
        </w:rPr>
        <w:t>重大动物疫病防治工作，协调做好疫情监测、控制和组织扑灭疫情</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1E1E1E"/>
          <w:sz w:val="32"/>
          <w:szCs w:val="32"/>
          <w:lang w:val="en-US" w:eastAsia="zh-CN"/>
        </w:rPr>
        <w:t>4、</w:t>
      </w:r>
      <w:r>
        <w:rPr>
          <w:rFonts w:hint="eastAsia" w:ascii="仿宋" w:hAnsi="仿宋" w:eastAsia="仿宋" w:cs="仿宋"/>
          <w:sz w:val="32"/>
          <w:szCs w:val="32"/>
        </w:rPr>
        <w:t>开展新技术、新品种的宣传、试验、示范和推广</w:t>
      </w:r>
      <w:r>
        <w:rPr>
          <w:rFonts w:hint="eastAsia" w:ascii="仿宋" w:hAnsi="仿宋" w:eastAsia="仿宋" w:cs="仿宋"/>
          <w:sz w:val="32"/>
          <w:szCs w:val="32"/>
          <w:lang w:eastAsia="zh-CN"/>
        </w:rPr>
        <w:t>。</w:t>
      </w:r>
    </w:p>
    <w:p>
      <w:pPr>
        <w:spacing w:line="578" w:lineRule="exact"/>
        <w:ind w:left="0" w:firstLine="640" w:firstLineChars="200"/>
        <w:rPr>
          <w:rStyle w:val="17"/>
          <w:b w:val="0"/>
          <w:bCs w:val="0"/>
        </w:rPr>
      </w:pPr>
      <w:r>
        <w:rPr>
          <w:rStyle w:val="17"/>
          <w:rFonts w:hint="eastAsia" w:ascii="黑体" w:eastAsia="黑体"/>
          <w:b w:val="0"/>
          <w:bCs w:val="0"/>
        </w:rPr>
        <w:t>二、机构设置</w:t>
      </w:r>
      <w:bookmarkEnd w:id="20"/>
      <w:bookmarkEnd w:id="21"/>
    </w:p>
    <w:p>
      <w:pPr>
        <w:widowControl/>
        <w:ind w:firstLine="640" w:firstLineChars="200"/>
        <w:jc w:val="left"/>
        <w:rPr>
          <w:rFonts w:hint="eastAsia" w:ascii="黑体" w:eastAsia="黑体"/>
          <w:b w:val="0"/>
          <w:color w:val="000000"/>
        </w:rPr>
      </w:pPr>
      <w:r>
        <w:rPr>
          <w:rFonts w:hint="eastAsia" w:ascii="仿宋_GB2312" w:eastAsia="仿宋_GB2312"/>
          <w:bCs/>
          <w:color w:val="000000"/>
          <w:sz w:val="32"/>
          <w:szCs w:val="32"/>
          <w:lang w:eastAsia="zh-CN"/>
        </w:rPr>
        <w:t>金川县畜牧兽医服务中心</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统一核算机构为1个，其中:</w:t>
      </w:r>
      <w:r>
        <w:rPr>
          <w:rFonts w:hint="eastAsia" w:ascii="仿宋" w:hAnsi="仿宋" w:eastAsia="仿宋" w:cs="仿宋"/>
          <w:color w:val="000000"/>
          <w:sz w:val="32"/>
          <w:szCs w:val="32"/>
        </w:rPr>
        <w:t>行政单位</w:t>
      </w:r>
      <w:r>
        <w:rPr>
          <w:rFonts w:ascii="仿宋" w:hAnsi="仿宋" w:eastAsia="仿宋" w:cs="仿宋"/>
          <w:color w:val="000000"/>
          <w:sz w:val="32"/>
          <w:szCs w:val="32"/>
        </w:rPr>
        <w:t>0</w:t>
      </w:r>
      <w:r>
        <w:rPr>
          <w:rFonts w:hint="eastAsia" w:ascii="仿宋" w:hAnsi="仿宋" w:eastAsia="仿宋" w:cs="仿宋"/>
          <w:color w:val="000000"/>
          <w:sz w:val="32"/>
          <w:szCs w:val="32"/>
        </w:rPr>
        <w:t>个，</w:t>
      </w:r>
      <w:r>
        <w:rPr>
          <w:rFonts w:hint="eastAsia" w:ascii="仿宋_GB2312" w:eastAsia="仿宋_GB2312"/>
          <w:color w:val="000000"/>
          <w:sz w:val="32"/>
          <w:szCs w:val="32"/>
        </w:rPr>
        <w:t>事业单位</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个</w:t>
      </w:r>
      <w:r>
        <w:rPr>
          <w:rFonts w:hint="eastAsia" w:ascii="仿宋_GB2312" w:eastAsia="仿宋_GB2312"/>
          <w:color w:val="000000"/>
          <w:sz w:val="32"/>
          <w:szCs w:val="32"/>
          <w:lang w:eastAsia="zh-CN"/>
        </w:rPr>
        <w:t>。</w:t>
      </w:r>
      <w:r>
        <w:rPr>
          <w:rFonts w:hint="eastAsia" w:ascii="仿宋_GB2312" w:eastAsia="仿宋_GB2312"/>
          <w:color w:val="000000"/>
          <w:sz w:val="32"/>
          <w:szCs w:val="32"/>
        </w:rPr>
        <w:t>独立编制机构</w:t>
      </w:r>
      <w:r>
        <w:rPr>
          <w:rFonts w:hint="eastAsia" w:ascii="仿宋_GB2312" w:eastAsia="仿宋_GB2312"/>
          <w:color w:val="000000"/>
          <w:sz w:val="32"/>
          <w:szCs w:val="32"/>
          <w:lang w:eastAsia="zh-CN"/>
        </w:rPr>
        <w:t>数</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个，</w:t>
      </w:r>
      <w:r>
        <w:rPr>
          <w:rFonts w:hint="eastAsia" w:ascii="仿宋_GB2312" w:eastAsia="仿宋_GB2312"/>
          <w:color w:val="000000"/>
          <w:sz w:val="32"/>
          <w:szCs w:val="32"/>
          <w:lang w:eastAsia="zh-CN"/>
        </w:rPr>
        <w:t>分别为办公室、科教人事股、</w:t>
      </w:r>
      <w:r>
        <w:rPr>
          <w:rFonts w:hint="eastAsia" w:ascii="仿宋_GB2312" w:eastAsia="仿宋_GB2312"/>
          <w:sz w:val="32"/>
          <w:szCs w:val="32"/>
        </w:rPr>
        <w:t>畜禽繁育改良站</w:t>
      </w:r>
      <w:r>
        <w:rPr>
          <w:rFonts w:hint="eastAsia" w:ascii="仿宋_GB2312" w:eastAsia="仿宋_GB2312"/>
          <w:sz w:val="32"/>
          <w:szCs w:val="32"/>
          <w:lang w:eastAsia="zh-CN"/>
        </w:rPr>
        <w:t>，</w:t>
      </w:r>
      <w:r>
        <w:rPr>
          <w:rFonts w:hint="eastAsia" w:ascii="仿宋_GB2312" w:eastAsia="仿宋_GB2312"/>
          <w:sz w:val="32"/>
          <w:szCs w:val="32"/>
        </w:rPr>
        <w:t>县动物防疫监督站</w:t>
      </w:r>
      <w:r>
        <w:rPr>
          <w:rFonts w:hint="eastAsia" w:ascii="仿宋_GB2312" w:eastAsia="仿宋_GB2312"/>
          <w:sz w:val="32"/>
          <w:szCs w:val="32"/>
          <w:lang w:eastAsia="zh-CN"/>
        </w:rPr>
        <w:t>。</w:t>
      </w:r>
      <w:bookmarkStart w:id="22" w:name="_Toc15377204"/>
      <w:bookmarkStart w:id="23" w:name="_Toc15396602"/>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0"/>
        </w:numPr>
        <w:spacing w:line="240" w:lineRule="auto"/>
        <w:ind w:leftChars="0"/>
        <w:outlineLvl w:val="1"/>
        <w:rPr>
          <w:rStyle w:val="17"/>
          <w:rFonts w:ascii="黑体" w:eastAsia="黑体"/>
          <w:b w:val="0"/>
        </w:rPr>
      </w:pPr>
      <w:bookmarkStart w:id="24" w:name="_Toc15377205"/>
      <w:bookmarkStart w:id="25" w:name="_Toc15396603"/>
      <w:r>
        <w:rPr>
          <w:rFonts w:hint="eastAsia" w:ascii="黑体" w:eastAsia="黑体"/>
          <w:color w:val="000000"/>
          <w:sz w:val="32"/>
          <w:szCs w:val="32"/>
          <w:lang w:val="en-US" w:eastAsia="zh-CN"/>
        </w:rPr>
        <w:t xml:space="preserve">    一、</w:t>
      </w:r>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pacing w:line="620" w:lineRule="exact"/>
        <w:ind w:firstLine="640" w:firstLineChars="200"/>
        <w:rPr>
          <w:rFonts w:hint="eastAsia" w:ascii="仿宋_GB2312" w:eastAsia="仿宋_GB2312"/>
          <w:color w:val="auto"/>
          <w:sz w:val="32"/>
          <w:szCs w:val="32"/>
          <w:lang w:eastAsia="zh-CN"/>
        </w:rPr>
      </w:pPr>
      <w:r>
        <w:rPr>
          <w:rFonts w:ascii="仿宋_GB2312" w:eastAsia="仿宋_GB2312"/>
          <w:color w:val="auto"/>
          <w:sz w:val="32"/>
          <w:szCs w:val="32"/>
        </w:rPr>
        <w:t>2020</w:t>
      </w:r>
      <w:r>
        <w:rPr>
          <w:rFonts w:hint="eastAsia" w:ascii="仿宋_GB2312" w:eastAsia="仿宋_GB2312"/>
          <w:color w:val="auto"/>
          <w:sz w:val="32"/>
          <w:szCs w:val="32"/>
        </w:rPr>
        <w:t>年收入</w:t>
      </w:r>
      <w:r>
        <w:rPr>
          <w:rFonts w:ascii="仿宋_GB2312" w:eastAsia="仿宋_GB2312"/>
          <w:color w:val="auto"/>
          <w:sz w:val="32"/>
          <w:szCs w:val="32"/>
        </w:rPr>
        <w:t>2958.81</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较上年支出</w:t>
      </w:r>
      <w:r>
        <w:rPr>
          <w:rFonts w:hint="eastAsia" w:ascii="仿宋_GB2312" w:eastAsia="仿宋_GB2312"/>
          <w:color w:val="auto"/>
          <w:sz w:val="32"/>
          <w:szCs w:val="32"/>
        </w:rPr>
        <w:t>减少</w:t>
      </w:r>
      <w:r>
        <w:rPr>
          <w:rFonts w:hint="eastAsia" w:ascii="仿宋_GB2312" w:eastAsia="仿宋_GB2312"/>
          <w:color w:val="auto"/>
          <w:sz w:val="32"/>
          <w:szCs w:val="32"/>
          <w:lang w:val="en-US" w:eastAsia="zh-CN"/>
        </w:rPr>
        <w:t>153.04</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主要原因</w:t>
      </w:r>
      <w:r>
        <w:rPr>
          <w:rFonts w:hint="eastAsia" w:ascii="仿宋_GB2312" w:eastAsia="仿宋_GB2312"/>
          <w:color w:val="auto"/>
          <w:sz w:val="32"/>
          <w:szCs w:val="32"/>
          <w:lang w:eastAsia="zh-CN"/>
        </w:rPr>
        <w:t>是</w:t>
      </w:r>
      <w:r>
        <w:rPr>
          <w:rFonts w:hint="eastAsia" w:ascii="仿宋_GB2312" w:eastAsia="仿宋_GB2312"/>
          <w:color w:val="auto"/>
          <w:sz w:val="32"/>
          <w:szCs w:val="32"/>
        </w:rPr>
        <w:t>机构改革</w:t>
      </w:r>
      <w:r>
        <w:rPr>
          <w:rFonts w:hint="eastAsia" w:ascii="仿宋_GB2312" w:eastAsia="仿宋_GB2312"/>
          <w:color w:val="auto"/>
          <w:sz w:val="32"/>
          <w:szCs w:val="32"/>
          <w:lang w:eastAsia="zh-CN"/>
        </w:rPr>
        <w:t>当年</w:t>
      </w:r>
      <w:r>
        <w:rPr>
          <w:rFonts w:hint="eastAsia" w:ascii="仿宋_GB2312" w:eastAsia="仿宋_GB2312"/>
          <w:color w:val="auto"/>
          <w:sz w:val="32"/>
          <w:szCs w:val="32"/>
          <w:lang w:val="en-US" w:eastAsia="zh-CN"/>
        </w:rPr>
        <w:t>部门预算安排资金较上年有所减少</w:t>
      </w:r>
      <w:r>
        <w:rPr>
          <w:rFonts w:hint="eastAsia" w:ascii="仿宋_GB2312" w:eastAsia="仿宋_GB2312"/>
          <w:color w:val="auto"/>
          <w:sz w:val="32"/>
          <w:szCs w:val="32"/>
          <w:lang w:eastAsia="zh-CN"/>
        </w:rPr>
        <w:t>。</w:t>
      </w:r>
    </w:p>
    <w:p>
      <w:pPr>
        <w:spacing w:line="6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2020年总支出</w:t>
      </w:r>
      <w:r>
        <w:rPr>
          <w:rFonts w:ascii="仿宋_GB2312" w:eastAsia="仿宋_GB2312"/>
          <w:color w:val="auto"/>
          <w:sz w:val="32"/>
          <w:szCs w:val="32"/>
        </w:rPr>
        <w:t>2829.69</w:t>
      </w:r>
      <w:r>
        <w:rPr>
          <w:rFonts w:hint="eastAsia" w:ascii="仿宋_GB2312" w:eastAsia="仿宋_GB2312"/>
          <w:color w:val="auto"/>
          <w:sz w:val="32"/>
          <w:szCs w:val="32"/>
          <w:lang w:val="en-US" w:eastAsia="zh-CN"/>
        </w:rPr>
        <w:t>万元，较上年支出</w:t>
      </w:r>
      <w:r>
        <w:rPr>
          <w:rFonts w:hint="eastAsia" w:ascii="仿宋_GB2312" w:eastAsia="仿宋_GB2312"/>
          <w:color w:val="auto"/>
          <w:sz w:val="32"/>
          <w:szCs w:val="32"/>
        </w:rPr>
        <w:t>减少</w:t>
      </w:r>
      <w:r>
        <w:rPr>
          <w:rFonts w:ascii="仿宋_GB2312" w:eastAsia="仿宋_GB2312"/>
          <w:color w:val="auto"/>
          <w:sz w:val="32"/>
          <w:szCs w:val="32"/>
        </w:rPr>
        <w:t>615.38</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。主要原因一是当年部门预算安排资金较上年有所减少；二是2020年支出包含了上年结转项目。</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p>
    <w:p>
      <w:pPr>
        <w:snapToGrid w:val="0"/>
        <w:spacing w:line="520" w:lineRule="exact"/>
        <w:ind w:firstLine="420" w:firstLineChars="200"/>
        <w:rPr>
          <w:rFonts w:hint="eastAsia" w:ascii="仿宋_GB2312" w:eastAsia="仿宋_GB2312"/>
          <w:color w:val="auto"/>
          <w:spacing w:val="-2"/>
          <w:kern w:val="2"/>
          <w:sz w:val="32"/>
          <w:szCs w:val="32"/>
          <w:lang w:val="en-US" w:eastAsia="zh-CN" w:bidi="ar-SA"/>
        </w:rPr>
      </w:pPr>
      <w:r>
        <w:drawing>
          <wp:anchor distT="0" distB="0" distL="114300" distR="114300" simplePos="0" relativeHeight="251659264" behindDoc="0" locked="0" layoutInCell="1" allowOverlap="1">
            <wp:simplePos x="0" y="0"/>
            <wp:positionH relativeFrom="column">
              <wp:posOffset>280035</wp:posOffset>
            </wp:positionH>
            <wp:positionV relativeFrom="paragraph">
              <wp:posOffset>57150</wp:posOffset>
            </wp:positionV>
            <wp:extent cx="4572000" cy="1612900"/>
            <wp:effectExtent l="4445" t="4445" r="10795" b="13335"/>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黑体" w:eastAsia="黑体" w:cs="Times New Roman"/>
          <w:color w:val="000000"/>
          <w:kern w:val="2"/>
          <w:sz w:val="32"/>
          <w:szCs w:val="32"/>
          <w:lang w:val="en-US" w:eastAsia="zh-CN" w:bidi="ar-SA"/>
        </w:rPr>
      </w:pPr>
      <w:bookmarkStart w:id="26" w:name="_Toc15377206"/>
      <w:bookmarkStart w:id="27" w:name="_Toc15396604"/>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Fonts w:hint="eastAsia" w:ascii="黑体" w:eastAsia="黑体" w:cs="Times New Roman"/>
          <w:color w:val="000000"/>
          <w:kern w:val="2"/>
          <w:sz w:val="32"/>
          <w:szCs w:val="32"/>
          <w:lang w:val="en-US" w:eastAsia="zh-CN" w:bidi="ar-SA"/>
        </w:rPr>
      </w:pPr>
    </w:p>
    <w:p>
      <w:pPr>
        <w:spacing w:line="600" w:lineRule="exact"/>
        <w:ind w:firstLine="640" w:firstLineChars="200"/>
        <w:rPr>
          <w:rStyle w:val="17"/>
          <w:rFonts w:ascii="黑体" w:eastAsia="黑体"/>
          <w:b w:val="0"/>
        </w:rPr>
      </w:pPr>
      <w:r>
        <w:rPr>
          <w:rFonts w:hint="eastAsia" w:ascii="黑体" w:eastAsia="黑体" w:cs="Times New Roman"/>
          <w:color w:val="000000"/>
          <w:kern w:val="2"/>
          <w:sz w:val="32"/>
          <w:szCs w:val="32"/>
          <w:lang w:val="en-US" w:eastAsia="zh-CN" w:bidi="ar-SA"/>
        </w:rPr>
        <w:t>二、收入决</w:t>
      </w:r>
      <w:r>
        <w:rPr>
          <w:rStyle w:val="17"/>
          <w:rFonts w:hint="eastAsia" w:ascii="黑体" w:eastAsia="黑体"/>
          <w:b w:val="0"/>
        </w:rPr>
        <w:t>算情况说明</w:t>
      </w:r>
      <w:bookmarkEnd w:id="26"/>
      <w:bookmarkEnd w:id="27"/>
    </w:p>
    <w:p>
      <w:pPr>
        <w:spacing w:line="6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2020</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总</w:t>
      </w:r>
      <w:r>
        <w:rPr>
          <w:rFonts w:hint="eastAsia" w:ascii="仿宋_GB2312" w:eastAsia="仿宋_GB2312"/>
          <w:color w:val="auto"/>
          <w:sz w:val="32"/>
          <w:szCs w:val="32"/>
        </w:rPr>
        <w:t>收入</w:t>
      </w:r>
      <w:r>
        <w:rPr>
          <w:rFonts w:ascii="仿宋_GB2312" w:eastAsia="仿宋_GB2312"/>
          <w:color w:val="auto"/>
          <w:sz w:val="32"/>
          <w:szCs w:val="32"/>
        </w:rPr>
        <w:t>2958.81</w:t>
      </w:r>
      <w:r>
        <w:rPr>
          <w:rFonts w:hint="eastAsia" w:ascii="仿宋_GB2312" w:eastAsia="仿宋_GB2312"/>
          <w:color w:val="auto"/>
          <w:sz w:val="32"/>
          <w:szCs w:val="32"/>
        </w:rPr>
        <w:t>万元，其中：一般公共预算财政拨款收入</w:t>
      </w:r>
      <w:r>
        <w:rPr>
          <w:rFonts w:ascii="仿宋_GB2312" w:eastAsia="仿宋_GB2312"/>
          <w:color w:val="auto"/>
          <w:sz w:val="32"/>
          <w:szCs w:val="32"/>
        </w:rPr>
        <w:t>2958.81</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；政府性基金预算财政拨款收入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；国有资本经营预算财政拨款收入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；事业收入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；经营收入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；附属单位上缴收入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；其他收入</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w:t>
      </w:r>
    </w:p>
    <w:p>
      <w:pPr>
        <w:spacing w:line="600" w:lineRule="exact"/>
        <w:ind w:firstLine="640" w:firstLineChars="200"/>
        <w:outlineLvl w:val="1"/>
        <w:rPr>
          <w:rStyle w:val="17"/>
          <w:rFonts w:ascii="黑体" w:eastAsia="黑体"/>
          <w:b w:val="0"/>
        </w:rPr>
      </w:pPr>
      <w:bookmarkStart w:id="28" w:name="_Toc15377207"/>
      <w:bookmarkStart w:id="29" w:name="_Toc15396605"/>
      <w:r>
        <w:rPr>
          <w:rFonts w:hint="eastAsia" w:ascii="黑体" w:eastAsia="黑体" w:cs="Times New Roman"/>
          <w:color w:val="000000"/>
          <w:kern w:val="2"/>
          <w:sz w:val="32"/>
          <w:szCs w:val="32"/>
          <w:lang w:val="en-US" w:eastAsia="zh-CN" w:bidi="ar-SA"/>
        </w:rPr>
        <w:t>三、支出决</w:t>
      </w:r>
      <w:r>
        <w:rPr>
          <w:rStyle w:val="17"/>
          <w:rFonts w:hint="eastAsia" w:ascii="黑体" w:eastAsia="黑体"/>
          <w:b w:val="0"/>
        </w:rPr>
        <w:t>算情况说明</w:t>
      </w:r>
      <w:bookmarkEnd w:id="28"/>
      <w:bookmarkEnd w:id="29"/>
    </w:p>
    <w:p>
      <w:pPr>
        <w:spacing w:line="620" w:lineRule="exact"/>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2020年本年</w:t>
      </w:r>
      <w:r>
        <w:rPr>
          <w:rFonts w:hint="eastAsia" w:ascii="仿宋_GB2312" w:eastAsia="仿宋_GB2312"/>
          <w:color w:val="auto"/>
          <w:sz w:val="32"/>
          <w:szCs w:val="32"/>
          <w:lang w:val="en-US" w:eastAsia="zh-CN"/>
        </w:rPr>
        <w:t>总</w:t>
      </w:r>
      <w:r>
        <w:rPr>
          <w:rFonts w:hint="eastAsia" w:ascii="仿宋_GB2312" w:eastAsia="仿宋_GB2312"/>
          <w:color w:val="auto"/>
          <w:sz w:val="32"/>
          <w:szCs w:val="32"/>
          <w:lang w:eastAsia="zh-CN"/>
        </w:rPr>
        <w:t>支出</w:t>
      </w:r>
      <w:r>
        <w:rPr>
          <w:rFonts w:hint="eastAsia" w:ascii="仿宋_GB2312" w:eastAsia="仿宋_GB2312"/>
          <w:color w:val="auto"/>
          <w:sz w:val="32"/>
          <w:szCs w:val="32"/>
          <w:lang w:val="en-US" w:eastAsia="zh-CN"/>
        </w:rPr>
        <w:t>2829.69</w:t>
      </w:r>
      <w:r>
        <w:rPr>
          <w:rFonts w:hint="eastAsia" w:ascii="仿宋_GB2312" w:eastAsia="仿宋_GB2312"/>
          <w:color w:val="auto"/>
          <w:sz w:val="32"/>
          <w:szCs w:val="32"/>
          <w:lang w:eastAsia="zh-CN"/>
        </w:rPr>
        <w:t>万元，其中：基本支出</w:t>
      </w:r>
      <w:r>
        <w:rPr>
          <w:rFonts w:hint="eastAsia" w:ascii="仿宋_GB2312" w:eastAsia="仿宋_GB2312"/>
          <w:color w:val="auto"/>
          <w:sz w:val="32"/>
          <w:szCs w:val="32"/>
          <w:lang w:val="en-US" w:eastAsia="zh-CN"/>
        </w:rPr>
        <w:t>1568.87</w:t>
      </w:r>
      <w:r>
        <w:rPr>
          <w:rFonts w:hint="eastAsia" w:ascii="仿宋_GB2312" w:eastAsia="仿宋_GB2312"/>
          <w:color w:val="auto"/>
          <w:sz w:val="32"/>
          <w:szCs w:val="32"/>
          <w:lang w:eastAsia="zh-CN"/>
        </w:rPr>
        <w:t>万元，占</w:t>
      </w:r>
      <w:r>
        <w:rPr>
          <w:rFonts w:hint="eastAsia" w:ascii="仿宋_GB2312" w:eastAsia="仿宋_GB2312"/>
          <w:color w:val="auto"/>
          <w:sz w:val="32"/>
          <w:szCs w:val="32"/>
          <w:lang w:val="en-US" w:eastAsia="zh-CN"/>
        </w:rPr>
        <w:t>55.44</w:t>
      </w:r>
      <w:r>
        <w:rPr>
          <w:rFonts w:hint="eastAsia" w:ascii="仿宋_GB2312" w:eastAsia="仿宋_GB2312"/>
          <w:color w:val="auto"/>
          <w:sz w:val="32"/>
          <w:szCs w:val="32"/>
          <w:lang w:eastAsia="zh-CN"/>
        </w:rPr>
        <w:t>%；项目支出</w:t>
      </w:r>
      <w:r>
        <w:rPr>
          <w:rFonts w:hint="eastAsia" w:ascii="仿宋_GB2312" w:eastAsia="仿宋_GB2312"/>
          <w:color w:val="auto"/>
          <w:sz w:val="32"/>
          <w:szCs w:val="32"/>
          <w:lang w:val="en-US" w:eastAsia="zh-CN"/>
        </w:rPr>
        <w:t>1260.82</w:t>
      </w:r>
      <w:r>
        <w:rPr>
          <w:rFonts w:hint="eastAsia" w:ascii="仿宋_GB2312" w:eastAsia="仿宋_GB2312"/>
          <w:color w:val="auto"/>
          <w:sz w:val="32"/>
          <w:szCs w:val="32"/>
          <w:lang w:eastAsia="zh-CN"/>
        </w:rPr>
        <w:t>万元，占</w:t>
      </w:r>
      <w:r>
        <w:rPr>
          <w:rFonts w:hint="eastAsia" w:ascii="仿宋_GB2312" w:eastAsia="仿宋_GB2312"/>
          <w:color w:val="auto"/>
          <w:sz w:val="32"/>
          <w:szCs w:val="32"/>
          <w:lang w:val="en-US" w:eastAsia="zh-CN"/>
        </w:rPr>
        <w:t>44.56</w:t>
      </w:r>
      <w:r>
        <w:rPr>
          <w:rFonts w:hint="eastAsia" w:ascii="仿宋_GB2312" w:eastAsia="仿宋_GB2312"/>
          <w:color w:val="auto"/>
          <w:sz w:val="32"/>
          <w:szCs w:val="32"/>
          <w:lang w:eastAsia="zh-CN"/>
        </w:rPr>
        <w:t>%；上缴上级支出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万元，占</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%；经营支出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万元，占</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%；对附属单位补助支出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万元，占</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w:t>
      </w:r>
    </w:p>
    <w:p>
      <w:pPr>
        <w:spacing w:line="600" w:lineRule="exact"/>
        <w:ind w:firstLine="420" w:firstLineChars="200"/>
        <w:rPr>
          <w:rFonts w:hint="eastAsia" w:ascii="仿宋_GB2312" w:eastAsia="仿宋_GB2312"/>
          <w:color w:val="FF0000"/>
          <w:sz w:val="32"/>
          <w:szCs w:val="32"/>
          <w:lang w:eastAsia="zh-CN"/>
        </w:rPr>
      </w:pPr>
      <w:r>
        <w:drawing>
          <wp:anchor distT="0" distB="0" distL="114300" distR="114300" simplePos="0" relativeHeight="251660288" behindDoc="1" locked="0" layoutInCell="1" allowOverlap="1">
            <wp:simplePos x="0" y="0"/>
            <wp:positionH relativeFrom="column">
              <wp:posOffset>446405</wp:posOffset>
            </wp:positionH>
            <wp:positionV relativeFrom="paragraph">
              <wp:posOffset>226695</wp:posOffset>
            </wp:positionV>
            <wp:extent cx="4484370" cy="1994535"/>
            <wp:effectExtent l="5080" t="4445" r="6350" b="12700"/>
            <wp:wrapThrough wrapText="bothSides">
              <wp:wrapPolygon>
                <wp:start x="-24" y="-48"/>
                <wp:lineTo x="-24" y="21572"/>
                <wp:lineTo x="21557" y="21572"/>
                <wp:lineTo x="21557" y="-48"/>
                <wp:lineTo x="-24" y="-48"/>
              </wp:wrapPolygon>
            </wp:wrapThrough>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Fonts w:hint="eastAsia" w:ascii="黑体" w:eastAsia="黑体"/>
          <w:color w:val="000000"/>
          <w:sz w:val="32"/>
          <w:szCs w:val="32"/>
        </w:rPr>
      </w:pPr>
      <w:bookmarkStart w:id="30" w:name="_Toc15396606"/>
      <w:bookmarkStart w:id="31" w:name="_Toc15377208"/>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pacing w:line="6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2020年财政拨款收入</w:t>
      </w:r>
      <w:r>
        <w:rPr>
          <w:rFonts w:hint="eastAsia" w:ascii="仿宋_GB2312" w:eastAsia="仿宋_GB2312"/>
          <w:color w:val="auto"/>
          <w:sz w:val="32"/>
          <w:szCs w:val="32"/>
          <w:lang w:eastAsia="zh-CN"/>
        </w:rPr>
        <w:t>2958.81</w:t>
      </w:r>
      <w:r>
        <w:rPr>
          <w:rFonts w:hint="eastAsia" w:ascii="仿宋_GB2312" w:eastAsia="仿宋_GB2312"/>
          <w:color w:val="auto"/>
          <w:sz w:val="32"/>
          <w:szCs w:val="32"/>
          <w:lang w:val="en-US" w:eastAsia="zh-CN"/>
        </w:rPr>
        <w:t>万元。与2019年相比，一般公共预算财政拨款收入较上年减少153.04万元，减少4.92%。减少的主要原因是</w:t>
      </w:r>
      <w:r>
        <w:rPr>
          <w:rFonts w:hint="eastAsia" w:ascii="仿宋_GB2312" w:eastAsia="仿宋_GB2312"/>
          <w:color w:val="auto"/>
          <w:sz w:val="32"/>
          <w:szCs w:val="32"/>
          <w:lang w:eastAsia="zh-CN"/>
        </w:rPr>
        <w:t>机构改革当年</w:t>
      </w:r>
      <w:r>
        <w:rPr>
          <w:rFonts w:hint="eastAsia" w:ascii="仿宋_GB2312" w:eastAsia="仿宋_GB2312"/>
          <w:color w:val="auto"/>
          <w:sz w:val="32"/>
          <w:szCs w:val="32"/>
          <w:lang w:val="en-US" w:eastAsia="zh-CN"/>
        </w:rPr>
        <w:t>部门预算安排资金较上年有所减少。2020年财政拨款支出2829.69万元，较上年支出减少</w:t>
      </w:r>
      <w:r>
        <w:rPr>
          <w:rFonts w:hint="eastAsia" w:ascii="仿宋_GB2312" w:eastAsia="仿宋_GB2312"/>
          <w:color w:val="auto"/>
          <w:sz w:val="32"/>
          <w:szCs w:val="32"/>
          <w:lang w:eastAsia="zh-CN"/>
        </w:rPr>
        <w:t>615.38</w:t>
      </w:r>
      <w:r>
        <w:rPr>
          <w:rFonts w:hint="eastAsia" w:ascii="仿宋_GB2312" w:eastAsia="仿宋_GB2312"/>
          <w:color w:val="auto"/>
          <w:sz w:val="32"/>
          <w:szCs w:val="32"/>
          <w:lang w:val="en-US" w:eastAsia="zh-CN"/>
        </w:rPr>
        <w:t>万元，减少17.86%。减少的主要原因是</w:t>
      </w:r>
      <w:r>
        <w:rPr>
          <w:rFonts w:hint="eastAsia" w:ascii="仿宋_GB2312" w:eastAsia="仿宋_GB2312"/>
          <w:color w:val="auto"/>
          <w:sz w:val="32"/>
          <w:szCs w:val="32"/>
          <w:lang w:eastAsia="zh-CN"/>
        </w:rPr>
        <w:t>机构改革当年</w:t>
      </w:r>
      <w:r>
        <w:rPr>
          <w:rFonts w:hint="eastAsia" w:ascii="仿宋_GB2312" w:eastAsia="仿宋_GB2312"/>
          <w:color w:val="auto"/>
          <w:sz w:val="32"/>
          <w:szCs w:val="32"/>
          <w:lang w:val="en-US" w:eastAsia="zh-CN"/>
        </w:rPr>
        <w:t>部门预算安排资金较上年有所减少。</w:t>
      </w:r>
    </w:p>
    <w:p>
      <w:pPr>
        <w:spacing w:line="600" w:lineRule="exact"/>
        <w:ind w:firstLine="420" w:firstLineChars="200"/>
        <w:rPr>
          <w:rFonts w:hint="eastAsia" w:ascii="黑体" w:eastAsia="黑体"/>
          <w:color w:val="000000"/>
          <w:sz w:val="32"/>
          <w:szCs w:val="32"/>
        </w:rPr>
      </w:pPr>
      <w:bookmarkStart w:id="32" w:name="_Toc15377209"/>
      <w:bookmarkStart w:id="33" w:name="_Toc15396607"/>
      <w:r>
        <w:drawing>
          <wp:anchor distT="0" distB="0" distL="114300" distR="114300" simplePos="0" relativeHeight="251661312" behindDoc="0" locked="0" layoutInCell="1" allowOverlap="1">
            <wp:simplePos x="0" y="0"/>
            <wp:positionH relativeFrom="column">
              <wp:posOffset>363220</wp:posOffset>
            </wp:positionH>
            <wp:positionV relativeFrom="paragraph">
              <wp:posOffset>216535</wp:posOffset>
            </wp:positionV>
            <wp:extent cx="4572000" cy="1612900"/>
            <wp:effectExtent l="4445" t="4445" r="10795" b="1333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ind w:firstLine="640" w:firstLineChars="200"/>
        <w:rPr>
          <w:rFonts w:hint="eastAsia" w:ascii="黑体" w:eastAsia="黑体"/>
          <w:color w:val="000000"/>
          <w:sz w:val="32"/>
          <w:szCs w:val="32"/>
        </w:rPr>
      </w:pPr>
    </w:p>
    <w:p>
      <w:pPr>
        <w:spacing w:line="600" w:lineRule="exact"/>
        <w:rPr>
          <w:rFonts w:hint="eastAsia" w:ascii="黑体" w:eastAsia="黑体"/>
          <w:color w:val="000000"/>
          <w:sz w:val="32"/>
          <w:szCs w:val="32"/>
        </w:rPr>
      </w:pPr>
    </w:p>
    <w:p>
      <w:pPr>
        <w:spacing w:line="600" w:lineRule="exact"/>
        <w:ind w:firstLine="640" w:firstLineChars="200"/>
        <w:rPr>
          <w:rStyle w:val="17"/>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bookmarkStart w:id="34" w:name="_Toc15377210"/>
      <w:r>
        <w:rPr>
          <w:rFonts w:hint="eastAsia" w:ascii="楷体_GB2312" w:hAnsi="楷体_GB2312" w:eastAsia="楷体_GB2312" w:cs="楷体_GB2312"/>
          <w:b/>
          <w:bCs/>
          <w:color w:val="auto"/>
          <w:sz w:val="32"/>
          <w:szCs w:val="32"/>
          <w:lang w:val="en-US" w:eastAsia="zh-CN"/>
        </w:rPr>
        <w:t>（一）一般公共预算财政拨款支出决算总体情况</w:t>
      </w:r>
      <w:bookmarkEnd w:id="34"/>
    </w:p>
    <w:p>
      <w:pPr>
        <w:spacing w:line="6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2020年总支出</w:t>
      </w:r>
      <w:r>
        <w:rPr>
          <w:rFonts w:ascii="仿宋_GB2312" w:eastAsia="仿宋_GB2312"/>
          <w:color w:val="auto"/>
          <w:sz w:val="32"/>
          <w:szCs w:val="32"/>
        </w:rPr>
        <w:t>2829.69</w:t>
      </w:r>
      <w:r>
        <w:rPr>
          <w:rFonts w:hint="eastAsia" w:ascii="仿宋_GB2312" w:eastAsia="仿宋_GB2312"/>
          <w:color w:val="auto"/>
          <w:sz w:val="32"/>
          <w:szCs w:val="32"/>
          <w:lang w:val="en-US" w:eastAsia="zh-CN"/>
        </w:rPr>
        <w:t>万元，较上年支出</w:t>
      </w:r>
      <w:r>
        <w:rPr>
          <w:rFonts w:hint="eastAsia" w:ascii="仿宋_GB2312" w:eastAsia="仿宋_GB2312"/>
          <w:color w:val="auto"/>
          <w:sz w:val="32"/>
          <w:szCs w:val="32"/>
        </w:rPr>
        <w:t>减少</w:t>
      </w:r>
      <w:r>
        <w:rPr>
          <w:rFonts w:ascii="仿宋_GB2312" w:eastAsia="仿宋_GB2312"/>
          <w:color w:val="auto"/>
          <w:sz w:val="32"/>
          <w:szCs w:val="32"/>
        </w:rPr>
        <w:t>615.38</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。主要原因一是当年部门预算安排资金较上年有所减少；二是2020年支出包含了上年结转项目。</w:t>
      </w:r>
    </w:p>
    <w:p>
      <w:pPr>
        <w:spacing w:line="620" w:lineRule="exact"/>
        <w:ind w:firstLine="420" w:firstLineChars="200"/>
        <w:rPr>
          <w:rFonts w:hint="eastAsia" w:ascii="仿宋_GB2312" w:eastAsia="仿宋_GB2312"/>
          <w:color w:val="auto"/>
          <w:sz w:val="32"/>
          <w:szCs w:val="32"/>
          <w:lang w:val="en-US" w:eastAsia="zh-CN"/>
        </w:rPr>
      </w:pPr>
      <w:r>
        <w:drawing>
          <wp:anchor distT="0" distB="0" distL="114300" distR="114300" simplePos="0" relativeHeight="251662336" behindDoc="0" locked="0" layoutInCell="1" allowOverlap="1">
            <wp:simplePos x="0" y="0"/>
            <wp:positionH relativeFrom="column">
              <wp:posOffset>454660</wp:posOffset>
            </wp:positionH>
            <wp:positionV relativeFrom="paragraph">
              <wp:posOffset>90805</wp:posOffset>
            </wp:positionV>
            <wp:extent cx="4572000" cy="1946910"/>
            <wp:effectExtent l="4445" t="4445" r="10795" b="14605"/>
            <wp:wrapNone/>
            <wp:docPr id="12" name="图表 11" descr="7b0a202020202263686172745265734964223a2022343632353833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20" w:lineRule="exact"/>
        <w:ind w:firstLine="640" w:firstLineChars="200"/>
        <w:rPr>
          <w:rFonts w:hint="eastAsia" w:ascii="仿宋_GB2312" w:eastAsia="仿宋_GB2312"/>
          <w:color w:val="auto"/>
          <w:sz w:val="32"/>
          <w:szCs w:val="32"/>
          <w:lang w:val="en-US" w:eastAsia="zh-CN"/>
        </w:rPr>
      </w:pPr>
    </w:p>
    <w:p>
      <w:pPr>
        <w:spacing w:line="620" w:lineRule="exact"/>
        <w:ind w:firstLine="640" w:firstLineChars="200"/>
        <w:rPr>
          <w:rFonts w:hint="eastAsia" w:ascii="仿宋_GB2312" w:eastAsia="仿宋_GB2312"/>
          <w:color w:val="auto"/>
          <w:sz w:val="32"/>
          <w:szCs w:val="32"/>
          <w:lang w:val="en-US" w:eastAsia="zh-CN"/>
        </w:rPr>
      </w:pPr>
    </w:p>
    <w:p>
      <w:pPr>
        <w:spacing w:line="620" w:lineRule="exact"/>
        <w:ind w:firstLine="640" w:firstLineChars="200"/>
        <w:rPr>
          <w:rFonts w:hint="eastAsia" w:ascii="仿宋_GB2312" w:eastAsia="仿宋_GB2312"/>
          <w:color w:val="auto"/>
          <w:sz w:val="32"/>
          <w:szCs w:val="32"/>
          <w:lang w:val="en-US" w:eastAsia="zh-CN"/>
        </w:rPr>
      </w:pPr>
    </w:p>
    <w:p>
      <w:pPr>
        <w:snapToGrid w:val="0"/>
        <w:spacing w:line="520" w:lineRule="exact"/>
        <w:ind w:firstLine="632" w:firstLineChars="200"/>
        <w:rPr>
          <w:rFonts w:hint="eastAsia" w:ascii="仿宋_GB2312" w:eastAsia="仿宋_GB2312"/>
          <w:spacing w:val="-2"/>
          <w:kern w:val="2"/>
          <w:sz w:val="32"/>
          <w:szCs w:val="32"/>
          <w:lang w:val="en-US" w:eastAsia="zh-CN" w:bidi="ar-SA"/>
        </w:rPr>
      </w:pPr>
    </w:p>
    <w:p>
      <w:pPr>
        <w:snapToGrid w:val="0"/>
        <w:spacing w:line="520" w:lineRule="exact"/>
        <w:rPr>
          <w:rFonts w:hint="eastAsia" w:ascii="仿宋_GB2312" w:eastAsia="仿宋_GB2312"/>
          <w:spacing w:val="-2"/>
          <w:kern w:val="2"/>
          <w:sz w:val="32"/>
          <w:szCs w:val="32"/>
          <w:lang w:val="en-US" w:eastAsia="zh-CN" w:bidi="ar-SA"/>
        </w:rPr>
      </w:pP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bookmarkStart w:id="35" w:name="_Toc15377211"/>
      <w:r>
        <w:rPr>
          <w:rFonts w:hint="eastAsia" w:ascii="楷体_GB2312" w:hAnsi="楷体_GB2312" w:eastAsia="楷体_GB2312" w:cs="楷体_GB2312"/>
          <w:b/>
          <w:bCs/>
          <w:color w:val="auto"/>
          <w:sz w:val="32"/>
          <w:szCs w:val="32"/>
          <w:lang w:val="en-US" w:eastAsia="zh-CN"/>
        </w:rPr>
        <w:t>（二）一般公共预算财政拨款支出决算结构情况</w:t>
      </w:r>
      <w:bookmarkEnd w:id="35"/>
    </w:p>
    <w:p>
      <w:pPr>
        <w:spacing w:line="620" w:lineRule="exact"/>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2020年一般公共预算财政拨款支出2829.69万元，主要用于以下方面:</w:t>
      </w:r>
      <w:r>
        <w:rPr>
          <w:rFonts w:hint="eastAsia" w:ascii="仿宋_GB2312" w:eastAsia="仿宋_GB2312"/>
          <w:b/>
          <w:bCs/>
          <w:color w:val="auto"/>
          <w:sz w:val="32"/>
          <w:szCs w:val="32"/>
          <w:lang w:val="en-US" w:eastAsia="zh-CN"/>
        </w:rPr>
        <w:t>一般公共服务（类）</w:t>
      </w:r>
      <w:r>
        <w:rPr>
          <w:rFonts w:hint="eastAsia" w:ascii="仿宋_GB2312" w:eastAsia="仿宋_GB2312"/>
          <w:color w:val="auto"/>
          <w:sz w:val="32"/>
          <w:szCs w:val="32"/>
          <w:lang w:val="en-US" w:eastAsia="zh-CN"/>
        </w:rPr>
        <w:t>支出2382.35万元，占84.29%；</w:t>
      </w:r>
      <w:r>
        <w:rPr>
          <w:rFonts w:hint="eastAsia" w:ascii="仿宋_GB2312" w:eastAsia="仿宋_GB2312"/>
          <w:b/>
          <w:bCs/>
          <w:color w:val="auto"/>
          <w:sz w:val="32"/>
          <w:szCs w:val="32"/>
          <w:lang w:val="en-US" w:eastAsia="zh-CN"/>
        </w:rPr>
        <w:t>社会保障和就业（类）</w:t>
      </w:r>
      <w:r>
        <w:rPr>
          <w:rFonts w:hint="eastAsia" w:ascii="仿宋_GB2312" w:eastAsia="仿宋_GB2312"/>
          <w:color w:val="auto"/>
          <w:sz w:val="32"/>
          <w:szCs w:val="32"/>
          <w:lang w:val="en-US" w:eastAsia="zh-CN"/>
        </w:rPr>
        <w:t>支出194.77万元，占6.89%；</w:t>
      </w:r>
      <w:r>
        <w:rPr>
          <w:rFonts w:hint="eastAsia" w:ascii="仿宋_GB2312" w:eastAsia="仿宋_GB2312"/>
          <w:b/>
          <w:bCs/>
          <w:color w:val="auto"/>
          <w:sz w:val="32"/>
          <w:szCs w:val="32"/>
          <w:lang w:val="en-US" w:eastAsia="zh-CN"/>
        </w:rPr>
        <w:t>卫生健康支出</w:t>
      </w:r>
      <w:r>
        <w:rPr>
          <w:rFonts w:hint="eastAsia" w:ascii="仿宋_GB2312" w:eastAsia="仿宋_GB2312"/>
          <w:color w:val="auto"/>
          <w:sz w:val="32"/>
          <w:szCs w:val="32"/>
          <w:lang w:val="en-US" w:eastAsia="zh-CN"/>
        </w:rPr>
        <w:t>113.5万元，占4.01%；</w:t>
      </w:r>
      <w:r>
        <w:rPr>
          <w:rFonts w:hint="eastAsia" w:ascii="仿宋_GB2312" w:eastAsia="仿宋_GB2312"/>
          <w:b/>
          <w:bCs/>
          <w:color w:val="auto"/>
          <w:sz w:val="32"/>
          <w:szCs w:val="32"/>
          <w:lang w:val="en-US" w:eastAsia="zh-CN"/>
        </w:rPr>
        <w:t>住房保障支出</w:t>
      </w:r>
      <w:r>
        <w:rPr>
          <w:rFonts w:hint="eastAsia" w:ascii="仿宋_GB2312" w:eastAsia="仿宋_GB2312"/>
          <w:color w:val="auto"/>
          <w:sz w:val="32"/>
          <w:szCs w:val="32"/>
          <w:lang w:val="en-US" w:eastAsia="zh-CN"/>
        </w:rPr>
        <w:t>136.07万元，占4.81%。</w:t>
      </w:r>
    </w:p>
    <w:p>
      <w:pPr>
        <w:spacing w:line="600" w:lineRule="exact"/>
        <w:ind w:firstLine="5460" w:firstLineChars="2600"/>
        <w:outlineLvl w:val="2"/>
        <w:rPr>
          <w:rFonts w:hint="eastAsia" w:ascii="仿宋" w:eastAsia="仿宋"/>
          <w:b/>
          <w:color w:val="000000"/>
          <w:sz w:val="32"/>
          <w:szCs w:val="32"/>
          <w:lang w:val="en-US" w:eastAsia="zh-CN"/>
        </w:rPr>
      </w:pPr>
      <w:bookmarkStart w:id="36" w:name="_Toc15377444"/>
      <w:bookmarkStart w:id="37" w:name="_Toc15378460"/>
      <w:bookmarkStart w:id="38" w:name="_Toc15377213"/>
      <w:r>
        <w:drawing>
          <wp:anchor distT="0" distB="0" distL="114300" distR="114300" simplePos="0" relativeHeight="251663360" behindDoc="0" locked="0" layoutInCell="1" allowOverlap="1">
            <wp:simplePos x="0" y="0"/>
            <wp:positionH relativeFrom="column">
              <wp:posOffset>475615</wp:posOffset>
            </wp:positionH>
            <wp:positionV relativeFrom="paragraph">
              <wp:posOffset>41910</wp:posOffset>
            </wp:positionV>
            <wp:extent cx="4572000" cy="2025015"/>
            <wp:effectExtent l="4445" t="4445" r="10795" b="12700"/>
            <wp:wrapNone/>
            <wp:docPr id="13" name="图表 12" descr="7b0a202020202263686172745265734964223a2022343532363834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spacing w:line="600" w:lineRule="exact"/>
        <w:ind w:firstLine="8353" w:firstLineChars="2600"/>
        <w:outlineLvl w:val="2"/>
        <w:rPr>
          <w:rFonts w:hint="eastAsia" w:ascii="仿宋" w:eastAsia="仿宋"/>
          <w:b/>
          <w:color w:val="000000"/>
          <w:sz w:val="32"/>
          <w:szCs w:val="32"/>
          <w:lang w:val="en-US" w:eastAsia="zh-CN"/>
        </w:rPr>
      </w:pP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bookmarkStart w:id="39" w:name="_Toc15377212"/>
      <w:r>
        <w:rPr>
          <w:rFonts w:hint="eastAsia" w:ascii="楷体_GB2312" w:hAnsi="楷体_GB2312" w:eastAsia="楷体_GB2312" w:cs="楷体_GB2312"/>
          <w:b/>
          <w:bCs/>
          <w:color w:val="auto"/>
          <w:sz w:val="32"/>
          <w:szCs w:val="32"/>
          <w:lang w:val="en-US" w:eastAsia="zh-CN"/>
        </w:rPr>
        <w:t>（三）一般公共预算财政拨款支出决算具体情况</w:t>
      </w:r>
      <w:bookmarkEnd w:id="39"/>
    </w:p>
    <w:p>
      <w:pPr>
        <w:spacing w:line="600" w:lineRule="exact"/>
        <w:outlineLvl w:val="2"/>
        <w:rPr>
          <w:rFonts w:ascii="仿宋" w:eastAsia="仿宋"/>
          <w:b w:val="0"/>
          <w:bCs/>
          <w:color w:val="000000" w:themeColor="text1"/>
          <w:sz w:val="32"/>
          <w:szCs w:val="32"/>
          <w14:textFill>
            <w14:solidFill>
              <w14:schemeClr w14:val="tx1"/>
            </w14:solidFill>
          </w14:textFill>
        </w:rPr>
      </w:pPr>
      <w:r>
        <w:rPr>
          <w:rFonts w:hint="eastAsia" w:ascii="仿宋" w:eastAsia="仿宋"/>
          <w:b w:val="0"/>
          <w:bCs/>
          <w:color w:val="000000"/>
          <w:sz w:val="32"/>
          <w:szCs w:val="32"/>
          <w:lang w:val="en-US" w:eastAsia="zh-CN"/>
        </w:rPr>
        <w:t xml:space="preserve">   </w:t>
      </w:r>
      <w:r>
        <w:rPr>
          <w:rFonts w:hint="eastAsia" w:ascii="仿宋" w:eastAsia="仿宋"/>
          <w:b w:val="0"/>
          <w:bCs/>
          <w:color w:val="000000" w:themeColor="text1"/>
          <w:sz w:val="32"/>
          <w:szCs w:val="32"/>
          <w:lang w:val="en-US" w:eastAsia="zh-CN"/>
          <w14:textFill>
            <w14:solidFill>
              <w14:schemeClr w14:val="tx1"/>
            </w14:solidFill>
          </w14:textFill>
        </w:rPr>
        <w:t xml:space="preserve"> </w:t>
      </w:r>
      <w:r>
        <w:rPr>
          <w:rFonts w:hint="eastAsia" w:ascii="仿宋" w:eastAsia="仿宋"/>
          <w:b w:val="0"/>
          <w:bCs/>
          <w:color w:val="000000" w:themeColor="text1"/>
          <w:sz w:val="32"/>
          <w:szCs w:val="32"/>
          <w:lang w:eastAsia="zh-CN"/>
          <w14:textFill>
            <w14:solidFill>
              <w14:schemeClr w14:val="tx1"/>
            </w14:solidFill>
          </w14:textFill>
        </w:rPr>
        <w:t>2020</w:t>
      </w:r>
      <w:r>
        <w:rPr>
          <w:rFonts w:hint="eastAsia" w:ascii="仿宋" w:eastAsia="仿宋"/>
          <w:b w:val="0"/>
          <w:bCs/>
          <w:color w:val="000000" w:themeColor="text1"/>
          <w:sz w:val="32"/>
          <w:szCs w:val="32"/>
          <w14:textFill>
            <w14:solidFill>
              <w14:schemeClr w14:val="tx1"/>
            </w14:solidFill>
          </w14:textFill>
        </w:rPr>
        <w:t>年</w:t>
      </w:r>
      <w:r>
        <w:rPr>
          <w:rFonts w:hint="eastAsia" w:ascii="仿宋" w:eastAsia="仿宋"/>
          <w:b w:val="0"/>
          <w:bCs/>
          <w:color w:val="000000" w:themeColor="text1"/>
          <w:sz w:val="32"/>
          <w:szCs w:val="32"/>
          <w:lang w:eastAsia="zh-CN"/>
          <w14:textFill>
            <w14:solidFill>
              <w14:schemeClr w14:val="tx1"/>
            </w14:solidFill>
          </w14:textFill>
        </w:rPr>
        <w:t>一</w:t>
      </w:r>
      <w:r>
        <w:rPr>
          <w:rFonts w:hint="eastAsia" w:ascii="仿宋" w:eastAsia="仿宋"/>
          <w:b w:val="0"/>
          <w:bCs/>
          <w:color w:val="000000" w:themeColor="text1"/>
          <w:sz w:val="32"/>
          <w:szCs w:val="32"/>
          <w14:textFill>
            <w14:solidFill>
              <w14:schemeClr w14:val="tx1"/>
            </w14:solidFill>
          </w14:textFill>
        </w:rPr>
        <w:t>般公共预算</w:t>
      </w:r>
      <w:r>
        <w:rPr>
          <w:rFonts w:hint="eastAsia" w:ascii="仿宋" w:eastAsia="仿宋"/>
          <w:b w:val="0"/>
          <w:bCs/>
          <w:color w:val="000000" w:themeColor="text1"/>
          <w:sz w:val="32"/>
          <w:szCs w:val="32"/>
          <w:lang w:val="en-US" w:eastAsia="zh-CN"/>
          <w14:textFill>
            <w14:solidFill>
              <w14:schemeClr w14:val="tx1"/>
            </w14:solidFill>
          </w14:textFill>
        </w:rPr>
        <w:t>数为</w:t>
      </w:r>
      <w:r>
        <w:rPr>
          <w:rFonts w:hint="eastAsia" w:ascii="仿宋_GB2312" w:eastAsia="仿宋_GB2312"/>
          <w:color w:val="000000" w:themeColor="text1"/>
          <w:sz w:val="32"/>
          <w:szCs w:val="32"/>
          <w:lang w:val="en-US" w:eastAsia="zh-CN"/>
          <w14:textFill>
            <w14:solidFill>
              <w14:schemeClr w14:val="tx1"/>
            </w14:solidFill>
          </w14:textFill>
        </w:rPr>
        <w:t>2958.81</w:t>
      </w:r>
      <w:r>
        <w:rPr>
          <w:rFonts w:hint="eastAsia" w:ascii="仿宋" w:eastAsia="仿宋"/>
          <w:b w:val="0"/>
          <w:bCs/>
          <w:color w:val="000000" w:themeColor="text1"/>
          <w:sz w:val="32"/>
          <w:szCs w:val="32"/>
          <w:lang w:val="en-US" w:eastAsia="zh-CN"/>
          <w14:textFill>
            <w14:solidFill>
              <w14:schemeClr w14:val="tx1"/>
            </w14:solidFill>
          </w14:textFill>
        </w:rPr>
        <w:t>万元，财政应返还额度为93.05万元，</w:t>
      </w:r>
      <w:r>
        <w:rPr>
          <w:rFonts w:hint="eastAsia" w:ascii="仿宋" w:eastAsia="仿宋"/>
          <w:b w:val="0"/>
          <w:bCs/>
          <w:color w:val="000000" w:themeColor="text1"/>
          <w:sz w:val="32"/>
          <w:szCs w:val="32"/>
          <w14:textFill>
            <w14:solidFill>
              <w14:schemeClr w14:val="tx1"/>
            </w14:solidFill>
          </w14:textFill>
        </w:rPr>
        <w:t>支出决算数为</w:t>
      </w:r>
      <w:r>
        <w:rPr>
          <w:rFonts w:hint="eastAsia" w:ascii="仿宋_GB2312" w:eastAsia="仿宋_GB2312"/>
          <w:color w:val="000000" w:themeColor="text1"/>
          <w:sz w:val="32"/>
          <w:szCs w:val="32"/>
          <w:lang w:val="en-US" w:eastAsia="zh-CN"/>
          <w14:textFill>
            <w14:solidFill>
              <w14:schemeClr w14:val="tx1"/>
            </w14:solidFill>
          </w14:textFill>
        </w:rPr>
        <w:t>2829.69</w:t>
      </w:r>
      <w:r>
        <w:rPr>
          <w:rFonts w:hint="eastAsia" w:ascii="仿宋" w:eastAsia="仿宋"/>
          <w:b w:val="0"/>
          <w:bCs/>
          <w:color w:val="000000" w:themeColor="text1"/>
          <w:sz w:val="32"/>
          <w:szCs w:val="32"/>
          <w:lang w:val="en-US" w:eastAsia="zh-CN"/>
          <w14:textFill>
            <w14:solidFill>
              <w14:schemeClr w14:val="tx1"/>
            </w14:solidFill>
          </w14:textFill>
        </w:rPr>
        <w:t>万元</w:t>
      </w:r>
      <w:r>
        <w:rPr>
          <w:rFonts w:hint="eastAsia" w:ascii="仿宋" w:eastAsia="仿宋"/>
          <w:b w:val="0"/>
          <w:bCs/>
          <w:color w:val="000000" w:themeColor="text1"/>
          <w:sz w:val="32"/>
          <w:szCs w:val="32"/>
          <w14:textFill>
            <w14:solidFill>
              <w14:schemeClr w14:val="tx1"/>
            </w14:solidFill>
          </w14:textFill>
        </w:rPr>
        <w:t>，完</w:t>
      </w:r>
      <w:r>
        <w:rPr>
          <w:rStyle w:val="14"/>
          <w:rFonts w:hint="eastAsia" w:ascii="仿宋" w:eastAsia="仿宋"/>
          <w:b w:val="0"/>
          <w:bCs/>
          <w:color w:val="000000" w:themeColor="text1"/>
          <w:sz w:val="32"/>
          <w:szCs w:val="32"/>
          <w14:textFill>
            <w14:solidFill>
              <w14:schemeClr w14:val="tx1"/>
            </w14:solidFill>
          </w14:textFill>
        </w:rPr>
        <w:t>成预算</w:t>
      </w:r>
      <w:r>
        <w:rPr>
          <w:rStyle w:val="14"/>
          <w:rFonts w:hint="eastAsia" w:ascii="仿宋" w:eastAsia="仿宋"/>
          <w:b w:val="0"/>
          <w:bCs/>
          <w:color w:val="000000" w:themeColor="text1"/>
          <w:sz w:val="32"/>
          <w:szCs w:val="32"/>
          <w:lang w:val="en-US" w:eastAsia="zh-CN"/>
          <w14:textFill>
            <w14:solidFill>
              <w14:schemeClr w14:val="tx1"/>
            </w14:solidFill>
          </w14:textFill>
        </w:rPr>
        <w:t>92.49</w:t>
      </w:r>
      <w:r>
        <w:rPr>
          <w:rStyle w:val="14"/>
          <w:rFonts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14:textFill>
            <w14:solidFill>
              <w14:schemeClr w14:val="tx1"/>
            </w14:solidFill>
          </w14:textFill>
        </w:rPr>
        <w:t>。</w:t>
      </w:r>
      <w:r>
        <w:rPr>
          <w:rStyle w:val="14"/>
          <w:rFonts w:hint="eastAsia" w:ascii="仿宋" w:eastAsia="仿宋"/>
          <w:b w:val="0"/>
          <w:bCs/>
          <w:color w:val="000000" w:themeColor="text1"/>
          <w:sz w:val="32"/>
          <w:szCs w:val="32"/>
          <w:lang w:val="en-US" w:eastAsia="zh-CN"/>
          <w14:textFill>
            <w14:solidFill>
              <w14:schemeClr w14:val="tx1"/>
            </w14:solidFill>
          </w14:textFill>
        </w:rPr>
        <w:t>结转下年222.17万元。</w:t>
      </w:r>
      <w:r>
        <w:rPr>
          <w:rStyle w:val="14"/>
          <w:rFonts w:hint="eastAsia" w:ascii="仿宋" w:eastAsia="仿宋"/>
          <w:b w:val="0"/>
          <w:bCs/>
          <w:color w:val="000000" w:themeColor="text1"/>
          <w:sz w:val="32"/>
          <w:szCs w:val="32"/>
          <w14:textFill>
            <w14:solidFill>
              <w14:schemeClr w14:val="tx1"/>
            </w14:solidFill>
          </w14:textFill>
        </w:rPr>
        <w:t>其中：</w:t>
      </w:r>
      <w:bookmarkEnd w:id="36"/>
      <w:bookmarkEnd w:id="37"/>
      <w:bookmarkEnd w:id="38"/>
    </w:p>
    <w:p>
      <w:pPr>
        <w:spacing w:line="536" w:lineRule="exact"/>
        <w:ind w:firstLine="645"/>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rPr>
        <w:t>一般公共服务（类）</w:t>
      </w:r>
      <w:r>
        <w:rPr>
          <w:rFonts w:hint="eastAsia" w:ascii="仿宋_GB2312" w:hAnsi="Times New Roman" w:eastAsia="仿宋_GB2312" w:cs="Times New Roman"/>
          <w:color w:val="000000"/>
          <w:sz w:val="32"/>
          <w:szCs w:val="32"/>
          <w:lang w:val="en-US" w:eastAsia="zh-CN"/>
        </w:rPr>
        <w:t>行政事业单位及相关机构事务</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行政运行</w:t>
      </w:r>
      <w:r>
        <w:rPr>
          <w:rFonts w:hint="eastAsia" w:ascii="仿宋_GB2312" w:hAnsi="Times New Roman" w:eastAsia="仿宋_GB2312" w:cs="Times New Roman"/>
          <w:color w:val="000000"/>
          <w:sz w:val="32"/>
          <w:szCs w:val="32"/>
        </w:rPr>
        <w:t>（项）: 支出决算为</w:t>
      </w:r>
      <w:r>
        <w:rPr>
          <w:rFonts w:hint="eastAsia" w:ascii="仿宋_GB2312" w:eastAsia="仿宋_GB2312" w:cs="Times New Roman"/>
          <w:color w:val="000000"/>
          <w:sz w:val="32"/>
          <w:szCs w:val="32"/>
          <w:lang w:val="en-US" w:eastAsia="zh-CN"/>
        </w:rPr>
        <w:t>1156.91</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w:t>
      </w:r>
    </w:p>
    <w:p>
      <w:pPr>
        <w:spacing w:line="536" w:lineRule="exact"/>
        <w:ind w:firstLine="645"/>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rPr>
        <w:t>2.一般公共服务（类）</w:t>
      </w:r>
      <w:r>
        <w:rPr>
          <w:rFonts w:hint="eastAsia" w:ascii="仿宋_GB2312" w:hAnsi="Times New Roman" w:eastAsia="仿宋_GB2312" w:cs="Times New Roman"/>
          <w:color w:val="000000"/>
          <w:sz w:val="32"/>
          <w:szCs w:val="32"/>
          <w:lang w:val="en-US" w:eastAsia="zh-CN"/>
        </w:rPr>
        <w:t>行政事业单位及相关机构事务</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一般行政管理事务</w:t>
      </w:r>
      <w:r>
        <w:rPr>
          <w:rFonts w:hint="eastAsia" w:ascii="仿宋_GB2312" w:hAnsi="Times New Roman" w:eastAsia="仿宋_GB2312" w:cs="Times New Roman"/>
          <w:color w:val="000000"/>
          <w:sz w:val="32"/>
          <w:szCs w:val="32"/>
        </w:rPr>
        <w:t>（项）: 支出决算为</w:t>
      </w:r>
      <w:r>
        <w:rPr>
          <w:rFonts w:hint="eastAsia" w:ascii="仿宋_GB2312" w:hAnsi="Times New Roman" w:eastAsia="仿宋_GB2312" w:cs="Times New Roman"/>
          <w:color w:val="000000"/>
          <w:sz w:val="32"/>
          <w:szCs w:val="32"/>
          <w:lang w:val="en-US" w:eastAsia="zh-CN"/>
        </w:rPr>
        <w:t>1260.82</w:t>
      </w:r>
      <w:r>
        <w:rPr>
          <w:rFonts w:hint="eastAsia" w:ascii="仿宋_GB2312" w:hAnsi="Times New Roman" w:eastAsia="仿宋_GB2312" w:cs="Times New Roman"/>
          <w:color w:val="000000"/>
          <w:sz w:val="32"/>
          <w:szCs w:val="32"/>
        </w:rPr>
        <w:t>万元，完成预算</w:t>
      </w:r>
      <w:r>
        <w:rPr>
          <w:rFonts w:hint="eastAsia" w:ascii="仿宋_GB2312" w:eastAsia="仿宋_GB2312" w:cs="Times New Roman"/>
          <w:color w:val="000000"/>
          <w:sz w:val="32"/>
          <w:szCs w:val="32"/>
          <w:lang w:val="en-US" w:eastAsia="zh-CN"/>
        </w:rPr>
        <w:t>85.02</w:t>
      </w:r>
      <w:r>
        <w:rPr>
          <w:rFonts w:hint="eastAsia" w:ascii="仿宋_GB2312" w:hAnsi="Times New Roman" w:eastAsia="仿宋_GB2312" w:cs="Times New Roman"/>
          <w:color w:val="000000"/>
          <w:sz w:val="32"/>
          <w:szCs w:val="32"/>
        </w:rPr>
        <w:t>%</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lang w:val="en-US" w:eastAsia="zh-CN"/>
        </w:rPr>
        <w:t>结转下年222.17万元，主要为：</w:t>
      </w:r>
      <w:r>
        <w:rPr>
          <w:rFonts w:hint="eastAsia" w:ascii="仿宋_GB2312" w:eastAsia="仿宋_GB2312" w:cs="Times New Roman"/>
          <w:color w:val="000000"/>
          <w:sz w:val="32"/>
          <w:szCs w:val="32"/>
          <w:lang w:val="en-US" w:eastAsia="zh-CN"/>
        </w:rPr>
        <w:t>跨年实施的</w:t>
      </w:r>
      <w:r>
        <w:rPr>
          <w:rFonts w:hint="eastAsia" w:ascii="仿宋_GB2312" w:hAnsi="Times New Roman" w:eastAsia="仿宋_GB2312" w:cs="Times New Roman"/>
          <w:color w:val="000000"/>
          <w:sz w:val="32"/>
          <w:szCs w:val="32"/>
          <w:lang w:val="en-US" w:eastAsia="zh-CN"/>
        </w:rPr>
        <w:t xml:space="preserve">项目资金。 </w:t>
      </w:r>
    </w:p>
    <w:p>
      <w:pPr>
        <w:spacing w:line="536" w:lineRule="exact"/>
        <w:ind w:firstLine="645"/>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rPr>
        <w:t>. 社会保障和就业（类）</w:t>
      </w:r>
      <w:r>
        <w:rPr>
          <w:rFonts w:hint="eastAsia" w:ascii="仿宋_GB2312" w:hAnsi="Times New Roman" w:eastAsia="仿宋_GB2312" w:cs="Times New Roman"/>
          <w:color w:val="000000"/>
          <w:sz w:val="32"/>
          <w:szCs w:val="32"/>
          <w:lang w:val="en-US" w:eastAsia="zh-CN"/>
        </w:rPr>
        <w:t>行政事业单位离退休</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机关事业单位基本养老保险缴费支出</w:t>
      </w:r>
      <w:r>
        <w:rPr>
          <w:rFonts w:hint="eastAsia" w:ascii="仿宋_GB2312" w:hAnsi="Times New Roman" w:eastAsia="仿宋_GB2312" w:cs="Times New Roman"/>
          <w:color w:val="000000"/>
          <w:sz w:val="32"/>
          <w:szCs w:val="32"/>
        </w:rPr>
        <w:t>（项）: 支出决算为</w:t>
      </w:r>
      <w:r>
        <w:rPr>
          <w:rFonts w:hint="eastAsia" w:ascii="仿宋_GB2312" w:hAnsi="Times New Roman" w:eastAsia="仿宋_GB2312" w:cs="Times New Roman"/>
          <w:color w:val="000000"/>
          <w:sz w:val="32"/>
          <w:szCs w:val="32"/>
          <w:lang w:val="en-US" w:eastAsia="zh-CN"/>
        </w:rPr>
        <w:t>129.85</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%，决算数等于预算数。</w:t>
      </w:r>
    </w:p>
    <w:p>
      <w:pPr>
        <w:spacing w:line="536" w:lineRule="exact"/>
        <w:ind w:firstLine="645"/>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rPr>
        <w:t>.社会保障和就业（类）</w:t>
      </w:r>
      <w:r>
        <w:rPr>
          <w:rFonts w:hint="eastAsia" w:ascii="仿宋_GB2312" w:hAnsi="Times New Roman" w:eastAsia="仿宋_GB2312" w:cs="Times New Roman"/>
          <w:color w:val="000000"/>
          <w:sz w:val="32"/>
          <w:szCs w:val="32"/>
          <w:lang w:val="en-US" w:eastAsia="zh-CN"/>
        </w:rPr>
        <w:t>行政事业单位离退休</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机关事业单位基本职业年金缴费支出</w:t>
      </w:r>
      <w:r>
        <w:rPr>
          <w:rFonts w:hint="eastAsia" w:ascii="仿宋_GB2312" w:hAnsi="Times New Roman" w:eastAsia="仿宋_GB2312" w:cs="Times New Roman"/>
          <w:color w:val="000000"/>
          <w:sz w:val="32"/>
          <w:szCs w:val="32"/>
        </w:rPr>
        <w:t>（项）:支出决算为</w:t>
      </w:r>
      <w:r>
        <w:rPr>
          <w:rFonts w:hint="eastAsia" w:ascii="仿宋_GB2312" w:hAnsi="Times New Roman" w:eastAsia="仿宋_GB2312" w:cs="Times New Roman"/>
          <w:color w:val="000000"/>
          <w:sz w:val="32"/>
          <w:szCs w:val="32"/>
          <w:lang w:val="en-US" w:eastAsia="zh-CN"/>
        </w:rPr>
        <w:t>64.92</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%，决算数等于预算数。</w:t>
      </w:r>
    </w:p>
    <w:p>
      <w:pPr>
        <w:spacing w:line="536" w:lineRule="exact"/>
        <w:ind w:firstLine="645"/>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rPr>
        <w:t>（类）</w:t>
      </w:r>
      <w:r>
        <w:rPr>
          <w:rFonts w:hint="eastAsia" w:ascii="仿宋_GB2312" w:hAnsi="Times New Roman" w:eastAsia="仿宋_GB2312" w:cs="Times New Roman"/>
          <w:color w:val="000000"/>
          <w:sz w:val="32"/>
          <w:szCs w:val="32"/>
          <w:lang w:val="en-US" w:eastAsia="zh-CN"/>
        </w:rPr>
        <w:t>行政事业单位医疗</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行政单位医疗</w:t>
      </w:r>
      <w:r>
        <w:rPr>
          <w:rFonts w:hint="eastAsia" w:ascii="仿宋_GB2312" w:hAnsi="Times New Roman" w:eastAsia="仿宋_GB2312" w:cs="Times New Roman"/>
          <w:color w:val="000000"/>
          <w:sz w:val="32"/>
          <w:szCs w:val="32"/>
        </w:rPr>
        <w:t>（项）:支出决算为</w:t>
      </w:r>
      <w:r>
        <w:rPr>
          <w:rFonts w:hint="eastAsia" w:ascii="仿宋_GB2312" w:hAnsi="Times New Roman" w:eastAsia="仿宋_GB2312" w:cs="Times New Roman"/>
          <w:color w:val="000000"/>
          <w:sz w:val="32"/>
          <w:szCs w:val="32"/>
          <w:lang w:val="en-US" w:eastAsia="zh-CN"/>
        </w:rPr>
        <w:t>62.39</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%，决算数等于预算数。</w:t>
      </w:r>
    </w:p>
    <w:p>
      <w:pPr>
        <w:spacing w:line="536" w:lineRule="exact"/>
        <w:ind w:firstLine="645"/>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lang w:eastAsia="zh-CN"/>
        </w:rPr>
        <w:t>卫生健康支出</w:t>
      </w:r>
      <w:r>
        <w:rPr>
          <w:rFonts w:hint="eastAsia" w:ascii="仿宋_GB2312" w:hAnsi="Times New Roman" w:eastAsia="仿宋_GB2312" w:cs="Times New Roman"/>
          <w:color w:val="000000"/>
          <w:sz w:val="32"/>
          <w:szCs w:val="32"/>
        </w:rPr>
        <w:t>（类）</w:t>
      </w:r>
      <w:r>
        <w:rPr>
          <w:rFonts w:hint="eastAsia" w:ascii="仿宋_GB2312" w:hAnsi="Times New Roman" w:eastAsia="仿宋_GB2312" w:cs="Times New Roman"/>
          <w:color w:val="000000"/>
          <w:sz w:val="32"/>
          <w:szCs w:val="32"/>
          <w:lang w:val="en-US" w:eastAsia="zh-CN"/>
        </w:rPr>
        <w:t>行政事业单位医疗</w:t>
      </w:r>
      <w:r>
        <w:rPr>
          <w:rFonts w:hint="eastAsia" w:ascii="仿宋_GB2312" w:hAnsi="Times New Roman" w:eastAsia="仿宋_GB2312" w:cs="Times New Roman"/>
          <w:color w:val="000000"/>
          <w:sz w:val="32"/>
          <w:szCs w:val="32"/>
        </w:rPr>
        <w:t>（款）</w:t>
      </w:r>
      <w:r>
        <w:rPr>
          <w:rFonts w:hint="eastAsia" w:ascii="仿宋_GB2312" w:hAnsi="Times New Roman" w:eastAsia="仿宋_GB2312" w:cs="Times New Roman"/>
          <w:color w:val="000000"/>
          <w:sz w:val="32"/>
          <w:szCs w:val="32"/>
          <w:lang w:val="en-US" w:eastAsia="zh-CN"/>
        </w:rPr>
        <w:t>公务员医疗补助</w:t>
      </w:r>
      <w:r>
        <w:rPr>
          <w:rFonts w:hint="eastAsia" w:ascii="仿宋_GB2312" w:hAnsi="Times New Roman" w:eastAsia="仿宋_GB2312" w:cs="Times New Roman"/>
          <w:color w:val="000000"/>
          <w:sz w:val="32"/>
          <w:szCs w:val="32"/>
        </w:rPr>
        <w:t>（项）:支出决算为</w:t>
      </w:r>
      <w:r>
        <w:rPr>
          <w:rFonts w:hint="eastAsia" w:ascii="仿宋_GB2312" w:hAnsi="Times New Roman" w:eastAsia="仿宋_GB2312" w:cs="Times New Roman"/>
          <w:color w:val="000000"/>
          <w:sz w:val="32"/>
          <w:szCs w:val="32"/>
          <w:lang w:val="en-US" w:eastAsia="zh-CN"/>
        </w:rPr>
        <w:t>21.62</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%，决算数等于预算数。</w:t>
      </w:r>
    </w:p>
    <w:p>
      <w:pPr>
        <w:spacing w:line="536" w:lineRule="exact"/>
        <w:ind w:firstLine="645"/>
        <w:rPr>
          <w:rFonts w:hint="eastAsia" w:ascii="仿宋_GB2312" w:hAnsi="Times New Roman" w:eastAsia="仿宋_GB2312" w:cs="Times New Roman"/>
          <w:color w:val="000000"/>
          <w:sz w:val="32"/>
          <w:szCs w:val="32"/>
          <w:lang w:val="en-US" w:eastAsia="zh-CN"/>
        </w:rPr>
      </w:pPr>
      <w:bookmarkStart w:id="40" w:name="_Toc15396608"/>
      <w:bookmarkStart w:id="41" w:name="_Toc15377214"/>
      <w:r>
        <w:rPr>
          <w:rFonts w:hint="eastAsia" w:ascii="仿宋_GB2312" w:hAnsi="Times New Roman" w:eastAsia="仿宋_GB2312" w:cs="Times New Roman"/>
          <w:color w:val="000000"/>
          <w:sz w:val="32"/>
          <w:szCs w:val="32"/>
          <w:lang w:val="en-US" w:eastAsia="zh-CN"/>
        </w:rPr>
        <w:t>7.住房保障（类）住房改革支出（款）住房公积金（项）：</w:t>
      </w:r>
      <w:r>
        <w:rPr>
          <w:rFonts w:hint="eastAsia" w:ascii="仿宋_GB2312" w:hAnsi="Times New Roman" w:eastAsia="仿宋_GB2312" w:cs="Times New Roman"/>
          <w:color w:val="000000"/>
          <w:sz w:val="32"/>
          <w:szCs w:val="32"/>
        </w:rPr>
        <w:t>支出决算为</w:t>
      </w:r>
      <w:r>
        <w:rPr>
          <w:rFonts w:hint="eastAsia" w:ascii="仿宋_GB2312" w:hAnsi="Times New Roman" w:eastAsia="仿宋_GB2312" w:cs="Times New Roman"/>
          <w:color w:val="000000"/>
          <w:sz w:val="32"/>
          <w:szCs w:val="32"/>
          <w:lang w:val="en-US" w:eastAsia="zh-CN"/>
        </w:rPr>
        <w:t>133.81</w:t>
      </w:r>
      <w:r>
        <w:rPr>
          <w:rFonts w:hint="eastAsia" w:ascii="仿宋_GB2312" w:hAnsi="Times New Roman" w:eastAsia="仿宋_GB2312" w:cs="Times New Roman"/>
          <w:color w:val="000000"/>
          <w:sz w:val="32"/>
          <w:szCs w:val="32"/>
        </w:rPr>
        <w:t>万元，完成预算</w:t>
      </w:r>
      <w:r>
        <w:rPr>
          <w:rFonts w:hint="eastAsia" w:ascii="仿宋_GB2312" w:hAnsi="Times New Roman" w:eastAsia="仿宋_GB2312" w:cs="Times New Roman"/>
          <w:color w:val="000000"/>
          <w:sz w:val="32"/>
          <w:szCs w:val="32"/>
          <w:lang w:val="en-US" w:eastAsia="zh-CN"/>
        </w:rPr>
        <w:t>100</w:t>
      </w:r>
      <w:r>
        <w:rPr>
          <w:rFonts w:hint="eastAsia" w:ascii="仿宋_GB2312" w:hAnsi="Times New Roman" w:eastAsia="仿宋_GB2312" w:cs="Times New Roman"/>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536" w:lineRule="exact"/>
        <w:ind w:firstLine="645"/>
        <w:rPr>
          <w:rFonts w:ascii="仿宋_GB2312" w:eastAsia="仿宋_GB2312"/>
          <w:color w:val="000000"/>
          <w:sz w:val="32"/>
          <w:szCs w:val="32"/>
        </w:rPr>
      </w:pPr>
      <w:bookmarkStart w:id="42" w:name="_Toc15377215"/>
      <w:bookmarkStart w:id="43" w:name="_Toc15396609"/>
      <w:r>
        <w:rPr>
          <w:rFonts w:ascii="仿宋_GB2312" w:eastAsia="仿宋_GB2312"/>
          <w:color w:val="000000"/>
          <w:sz w:val="32"/>
          <w:szCs w:val="32"/>
        </w:rPr>
        <w:t>2020</w:t>
      </w:r>
      <w:r>
        <w:rPr>
          <w:rFonts w:hint="eastAsia" w:ascii="仿宋_GB2312" w:eastAsia="仿宋_GB2312"/>
          <w:color w:val="000000"/>
          <w:sz w:val="32"/>
          <w:szCs w:val="32"/>
        </w:rPr>
        <w:t>年度一般公共预算财政拨款基本支出</w:t>
      </w:r>
      <w:r>
        <w:rPr>
          <w:rFonts w:ascii="仿宋_GB2312" w:eastAsia="仿宋_GB2312"/>
          <w:color w:val="000000"/>
          <w:sz w:val="32"/>
          <w:szCs w:val="32"/>
        </w:rPr>
        <w:t>1568.87</w:t>
      </w:r>
      <w:r>
        <w:rPr>
          <w:rFonts w:hint="eastAsia" w:ascii="仿宋_GB2312" w:eastAsia="仿宋_GB2312"/>
          <w:color w:val="000000"/>
          <w:sz w:val="32"/>
          <w:szCs w:val="32"/>
        </w:rPr>
        <w:t>万元，其中：</w:t>
      </w:r>
    </w:p>
    <w:p>
      <w:pPr>
        <w:spacing w:line="536" w:lineRule="exact"/>
        <w:ind w:firstLine="645"/>
        <w:rPr>
          <w:rFonts w:hint="eastAsia" w:ascii="仿宋_GB2312" w:eastAsia="仿宋_GB2312"/>
          <w:color w:val="000000"/>
          <w:sz w:val="32"/>
          <w:szCs w:val="32"/>
          <w:lang w:eastAsia="zh-CN"/>
        </w:rPr>
      </w:pPr>
      <w:r>
        <w:rPr>
          <w:rFonts w:hint="eastAsia" w:ascii="仿宋_GB2312" w:eastAsia="仿宋_GB2312"/>
          <w:color w:val="000000"/>
          <w:sz w:val="32"/>
          <w:szCs w:val="32"/>
        </w:rPr>
        <w:t>人员经费</w:t>
      </w:r>
      <w:r>
        <w:rPr>
          <w:rFonts w:ascii="仿宋_GB2312" w:eastAsia="仿宋_GB2312"/>
          <w:color w:val="000000"/>
          <w:sz w:val="32"/>
          <w:szCs w:val="32"/>
        </w:rPr>
        <w:t>1489.83</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340.67万元</w:t>
      </w:r>
      <w:r>
        <w:rPr>
          <w:rFonts w:hint="eastAsia" w:ascii="仿宋_GB2312" w:eastAsia="仿宋_GB2312"/>
          <w:color w:val="000000"/>
          <w:sz w:val="32"/>
          <w:szCs w:val="32"/>
        </w:rPr>
        <w:t>、津贴补贴</w:t>
      </w:r>
      <w:r>
        <w:rPr>
          <w:rFonts w:hint="eastAsia" w:ascii="仿宋_GB2312" w:eastAsia="仿宋_GB2312"/>
          <w:color w:val="000000"/>
          <w:sz w:val="32"/>
          <w:szCs w:val="32"/>
          <w:lang w:val="en-US" w:eastAsia="zh-CN"/>
        </w:rPr>
        <w:t>277.69万元</w:t>
      </w:r>
      <w:r>
        <w:rPr>
          <w:rFonts w:hint="eastAsia" w:ascii="仿宋_GB2312" w:eastAsia="仿宋_GB2312"/>
          <w:color w:val="000000"/>
          <w:sz w:val="32"/>
          <w:szCs w:val="32"/>
        </w:rPr>
        <w:t>、奖金</w:t>
      </w:r>
      <w:r>
        <w:rPr>
          <w:rFonts w:hint="eastAsia" w:ascii="仿宋_GB2312" w:eastAsia="仿宋_GB2312"/>
          <w:color w:val="000000"/>
          <w:sz w:val="32"/>
          <w:szCs w:val="32"/>
          <w:lang w:val="en-US" w:eastAsia="zh-CN"/>
        </w:rPr>
        <w:t>26.95万元</w:t>
      </w:r>
      <w:r>
        <w:rPr>
          <w:rFonts w:hint="eastAsia" w:ascii="仿宋_GB2312" w:eastAsia="仿宋_GB2312"/>
          <w:color w:val="000000"/>
          <w:sz w:val="32"/>
          <w:szCs w:val="32"/>
        </w:rPr>
        <w:t>、绩效工资</w:t>
      </w:r>
      <w:r>
        <w:rPr>
          <w:rFonts w:hint="eastAsia" w:ascii="仿宋_GB2312" w:eastAsia="仿宋_GB2312"/>
          <w:color w:val="000000"/>
          <w:sz w:val="32"/>
          <w:szCs w:val="32"/>
          <w:lang w:val="en-US" w:eastAsia="zh-CN"/>
        </w:rPr>
        <w:t>270.71万元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129.85万元</w:t>
      </w:r>
      <w:r>
        <w:rPr>
          <w:rFonts w:hint="eastAsia" w:ascii="仿宋_GB2312" w:eastAsia="仿宋_GB2312"/>
          <w:color w:val="000000"/>
          <w:sz w:val="32"/>
          <w:szCs w:val="32"/>
        </w:rPr>
        <w:t>、职业年金缴费</w:t>
      </w:r>
      <w:r>
        <w:rPr>
          <w:rFonts w:hint="eastAsia" w:ascii="仿宋_GB2312" w:eastAsia="仿宋_GB2312"/>
          <w:color w:val="000000"/>
          <w:sz w:val="32"/>
          <w:szCs w:val="32"/>
          <w:lang w:val="en-US" w:eastAsia="zh-CN"/>
        </w:rPr>
        <w:t>64.92万元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职工医疗</w:t>
      </w:r>
      <w:r>
        <w:rPr>
          <w:rFonts w:hint="eastAsia" w:ascii="仿宋_GB2312" w:eastAsia="仿宋_GB2312"/>
          <w:color w:val="000000"/>
          <w:sz w:val="32"/>
          <w:szCs w:val="32"/>
          <w:lang w:val="en-US" w:eastAsia="zh-CN"/>
        </w:rPr>
        <w:t>62.39万元，</w:t>
      </w:r>
      <w:r>
        <w:rPr>
          <w:rFonts w:hint="eastAsia" w:ascii="仿宋_GB2312" w:eastAsia="仿宋_GB2312"/>
          <w:color w:val="000000"/>
          <w:sz w:val="32"/>
          <w:szCs w:val="32"/>
        </w:rPr>
        <w:t>其他社会保障缴费</w:t>
      </w:r>
      <w:r>
        <w:rPr>
          <w:rFonts w:hint="eastAsia" w:ascii="仿宋_GB2312" w:eastAsia="仿宋_GB2312"/>
          <w:color w:val="000000"/>
          <w:sz w:val="32"/>
          <w:szCs w:val="32"/>
          <w:lang w:val="en-US" w:eastAsia="zh-CN"/>
        </w:rPr>
        <w:t>15.12万元</w:t>
      </w:r>
      <w:r>
        <w:rPr>
          <w:rFonts w:hint="eastAsia" w:ascii="仿宋_GB2312" w:eastAsia="仿宋_GB2312"/>
          <w:color w:val="000000"/>
          <w:sz w:val="32"/>
          <w:szCs w:val="32"/>
        </w:rPr>
        <w:t>、其他工资福利支出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、离休费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、退休费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、抚恤金</w:t>
      </w:r>
      <w:r>
        <w:rPr>
          <w:rFonts w:hint="eastAsia" w:ascii="仿宋_GB2312" w:eastAsia="仿宋_GB2312"/>
          <w:color w:val="000000"/>
          <w:sz w:val="32"/>
          <w:szCs w:val="32"/>
          <w:lang w:val="en-US" w:eastAsia="zh-CN"/>
        </w:rPr>
        <w:t>4.92万元</w:t>
      </w:r>
      <w:r>
        <w:rPr>
          <w:rFonts w:hint="eastAsia" w:ascii="仿宋_GB2312" w:eastAsia="仿宋_GB2312"/>
          <w:color w:val="000000"/>
          <w:sz w:val="32"/>
          <w:szCs w:val="32"/>
        </w:rPr>
        <w:t>、生活补助</w:t>
      </w:r>
      <w:r>
        <w:rPr>
          <w:rFonts w:hint="eastAsia" w:ascii="仿宋_GB2312" w:eastAsia="仿宋_GB2312"/>
          <w:color w:val="000000"/>
          <w:sz w:val="32"/>
          <w:szCs w:val="32"/>
          <w:lang w:val="en-US" w:eastAsia="zh-CN"/>
        </w:rPr>
        <w:t>14.13万元</w:t>
      </w:r>
      <w:r>
        <w:rPr>
          <w:rFonts w:hint="eastAsia" w:ascii="仿宋_GB2312" w:eastAsia="仿宋_GB2312"/>
          <w:color w:val="000000"/>
          <w:sz w:val="32"/>
          <w:szCs w:val="32"/>
        </w:rPr>
        <w:t>、医疗费</w:t>
      </w:r>
      <w:r>
        <w:rPr>
          <w:rFonts w:hint="eastAsia" w:ascii="仿宋_GB2312" w:eastAsia="仿宋_GB2312"/>
          <w:color w:val="000000"/>
          <w:sz w:val="32"/>
          <w:szCs w:val="32"/>
          <w:lang w:val="en-US" w:eastAsia="zh-CN"/>
        </w:rPr>
        <w:t>21.62万元</w:t>
      </w:r>
      <w:r>
        <w:rPr>
          <w:rFonts w:hint="eastAsia" w:ascii="仿宋_GB2312" w:eastAsia="仿宋_GB2312"/>
          <w:color w:val="000000"/>
          <w:sz w:val="32"/>
          <w:szCs w:val="32"/>
        </w:rPr>
        <w:t>、奖励金</w:t>
      </w:r>
      <w:r>
        <w:rPr>
          <w:rFonts w:hint="eastAsia" w:ascii="仿宋_GB2312" w:eastAsia="仿宋_GB2312"/>
          <w:color w:val="000000"/>
          <w:sz w:val="32"/>
          <w:szCs w:val="32"/>
          <w:lang w:val="en-US" w:eastAsia="zh-CN"/>
        </w:rPr>
        <w:t>128.81万元</w:t>
      </w:r>
      <w:r>
        <w:rPr>
          <w:rFonts w:hint="eastAsia" w:ascii="仿宋_GB2312" w:eastAsia="仿宋_GB2312"/>
          <w:color w:val="000000"/>
          <w:sz w:val="32"/>
          <w:szCs w:val="32"/>
        </w:rPr>
        <w:t>、住房公积金</w:t>
      </w:r>
      <w:r>
        <w:rPr>
          <w:rFonts w:hint="eastAsia" w:ascii="仿宋_GB2312" w:eastAsia="仿宋_GB2312"/>
          <w:color w:val="000000"/>
          <w:sz w:val="32"/>
          <w:szCs w:val="32"/>
          <w:lang w:val="en-US" w:eastAsia="zh-CN"/>
        </w:rPr>
        <w:t>133.81万元</w:t>
      </w:r>
      <w:r>
        <w:rPr>
          <w:rFonts w:hint="eastAsia" w:ascii="仿宋_GB2312" w:eastAsia="仿宋_GB2312"/>
          <w:color w:val="000000"/>
          <w:sz w:val="32"/>
          <w:szCs w:val="32"/>
        </w:rPr>
        <w:t>、购房补贴</w:t>
      </w:r>
      <w:r>
        <w:rPr>
          <w:rFonts w:hint="eastAsia" w:ascii="仿宋_GB2312" w:eastAsia="仿宋_GB2312"/>
          <w:color w:val="000000"/>
          <w:sz w:val="32"/>
          <w:szCs w:val="32"/>
          <w:lang w:val="en-US" w:eastAsia="zh-CN"/>
        </w:rPr>
        <w:t>2.26万元</w:t>
      </w:r>
      <w:r>
        <w:rPr>
          <w:rFonts w:hint="eastAsia" w:ascii="仿宋_GB2312" w:eastAsia="仿宋_GB2312"/>
          <w:color w:val="000000"/>
          <w:sz w:val="32"/>
          <w:szCs w:val="32"/>
        </w:rPr>
        <w:t>等。</w:t>
      </w:r>
    </w:p>
    <w:p>
      <w:pPr>
        <w:spacing w:line="536" w:lineRule="exact"/>
        <w:ind w:firstLine="645"/>
        <w:rPr>
          <w:rFonts w:ascii="仿宋_GB2312" w:eastAsia="仿宋_GB2312"/>
          <w:color w:val="000000"/>
          <w:sz w:val="32"/>
          <w:szCs w:val="32"/>
        </w:rPr>
      </w:pPr>
      <w:r>
        <w:rPr>
          <w:rFonts w:hint="eastAsia" w:ascii="仿宋_GB2312" w:eastAsia="仿宋_GB2312"/>
          <w:color w:val="000000"/>
          <w:sz w:val="32"/>
          <w:szCs w:val="32"/>
        </w:rPr>
        <w:t>　　日常公用经费</w:t>
      </w:r>
      <w:r>
        <w:rPr>
          <w:rFonts w:ascii="仿宋_GB2312" w:eastAsia="仿宋_GB2312"/>
          <w:color w:val="000000"/>
          <w:sz w:val="32"/>
          <w:szCs w:val="32"/>
        </w:rPr>
        <w:t>79.04</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11.77万元</w:t>
      </w:r>
      <w:r>
        <w:rPr>
          <w:rFonts w:hint="eastAsia" w:ascii="仿宋_GB2312" w:eastAsia="仿宋_GB2312"/>
          <w:color w:val="000000"/>
          <w:sz w:val="32"/>
          <w:szCs w:val="32"/>
        </w:rPr>
        <w:t>、印刷费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、咨询费</w:t>
      </w:r>
      <w:r>
        <w:rPr>
          <w:rFonts w:hint="eastAsia" w:ascii="仿宋_GB2312" w:eastAsia="仿宋_GB2312"/>
          <w:color w:val="000000"/>
          <w:sz w:val="32"/>
          <w:szCs w:val="32"/>
          <w:lang w:val="en-US" w:eastAsia="zh-CN"/>
        </w:rPr>
        <w:t>0.59万元</w:t>
      </w:r>
      <w:r>
        <w:rPr>
          <w:rFonts w:hint="eastAsia" w:ascii="仿宋_GB2312" w:eastAsia="仿宋_GB2312"/>
          <w:color w:val="000000"/>
          <w:sz w:val="32"/>
          <w:szCs w:val="32"/>
        </w:rPr>
        <w:t>、水费</w:t>
      </w:r>
      <w:r>
        <w:rPr>
          <w:rFonts w:hint="eastAsia" w:ascii="仿宋_GB2312" w:eastAsia="仿宋_GB2312"/>
          <w:color w:val="000000"/>
          <w:sz w:val="32"/>
          <w:szCs w:val="32"/>
          <w:lang w:val="en-US" w:eastAsia="zh-CN"/>
        </w:rPr>
        <w:t>0.64万元</w:t>
      </w:r>
      <w:r>
        <w:rPr>
          <w:rFonts w:hint="eastAsia" w:ascii="仿宋_GB2312" w:eastAsia="仿宋_GB2312"/>
          <w:color w:val="000000"/>
          <w:sz w:val="32"/>
          <w:szCs w:val="32"/>
        </w:rPr>
        <w:t>、电费</w:t>
      </w:r>
      <w:r>
        <w:rPr>
          <w:rFonts w:hint="eastAsia" w:ascii="仿宋_GB2312" w:eastAsia="仿宋_GB2312"/>
          <w:color w:val="000000"/>
          <w:sz w:val="32"/>
          <w:szCs w:val="32"/>
          <w:lang w:val="en-US" w:eastAsia="zh-CN"/>
        </w:rPr>
        <w:t>5.65万元</w:t>
      </w:r>
      <w:r>
        <w:rPr>
          <w:rFonts w:hint="eastAsia" w:ascii="仿宋_GB2312" w:eastAsia="仿宋_GB2312"/>
          <w:color w:val="000000"/>
          <w:sz w:val="32"/>
          <w:szCs w:val="32"/>
        </w:rPr>
        <w:t>、邮电费</w:t>
      </w:r>
      <w:r>
        <w:rPr>
          <w:rFonts w:hint="eastAsia" w:ascii="仿宋_GB2312" w:eastAsia="仿宋_GB2312"/>
          <w:color w:val="000000"/>
          <w:sz w:val="32"/>
          <w:szCs w:val="32"/>
          <w:lang w:val="en-US" w:eastAsia="zh-CN"/>
        </w:rPr>
        <w:t>6.65万元</w:t>
      </w:r>
      <w:r>
        <w:rPr>
          <w:rFonts w:hint="eastAsia" w:ascii="仿宋_GB2312" w:eastAsia="仿宋_GB2312"/>
          <w:color w:val="000000"/>
          <w:sz w:val="32"/>
          <w:szCs w:val="32"/>
        </w:rPr>
        <w:t>、取暖费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、物业管理费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、差旅费</w:t>
      </w:r>
      <w:r>
        <w:rPr>
          <w:rFonts w:hint="eastAsia" w:ascii="仿宋_GB2312" w:eastAsia="仿宋_GB2312"/>
          <w:color w:val="000000"/>
          <w:sz w:val="32"/>
          <w:szCs w:val="32"/>
          <w:lang w:val="en-US" w:eastAsia="zh-CN"/>
        </w:rPr>
        <w:t>21.43万元</w:t>
      </w:r>
      <w:r>
        <w:rPr>
          <w:rFonts w:hint="eastAsia" w:ascii="仿宋_GB2312" w:eastAsia="仿宋_GB2312"/>
          <w:color w:val="000000"/>
          <w:sz w:val="32"/>
          <w:szCs w:val="32"/>
        </w:rPr>
        <w:t>、因公出国（境）费用</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、维修（护）费</w:t>
      </w:r>
      <w:r>
        <w:rPr>
          <w:rFonts w:hint="eastAsia" w:ascii="仿宋_GB2312" w:eastAsia="仿宋_GB2312"/>
          <w:color w:val="000000"/>
          <w:sz w:val="32"/>
          <w:szCs w:val="32"/>
          <w:lang w:val="en-US" w:eastAsia="zh-CN"/>
        </w:rPr>
        <w:t>1.65万元</w:t>
      </w:r>
      <w:r>
        <w:rPr>
          <w:rFonts w:hint="eastAsia" w:ascii="仿宋_GB2312" w:eastAsia="仿宋_GB2312"/>
          <w:color w:val="000000"/>
          <w:sz w:val="32"/>
          <w:szCs w:val="32"/>
        </w:rPr>
        <w:t>、会议费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、培训费</w:t>
      </w:r>
      <w:r>
        <w:rPr>
          <w:rFonts w:hint="eastAsia" w:ascii="仿宋_GB2312" w:eastAsia="仿宋_GB2312"/>
          <w:color w:val="000000"/>
          <w:sz w:val="32"/>
          <w:szCs w:val="32"/>
          <w:lang w:val="en-US" w:eastAsia="zh-CN"/>
        </w:rPr>
        <w:t>4.63万元</w:t>
      </w:r>
      <w:r>
        <w:rPr>
          <w:rFonts w:hint="eastAsia" w:ascii="仿宋_GB2312" w:eastAsia="仿宋_GB2312"/>
          <w:color w:val="000000"/>
          <w:sz w:val="32"/>
          <w:szCs w:val="32"/>
        </w:rPr>
        <w:t>、公务接待费</w:t>
      </w:r>
      <w:r>
        <w:rPr>
          <w:rFonts w:hint="eastAsia" w:ascii="仿宋_GB2312" w:eastAsia="仿宋_GB2312"/>
          <w:color w:val="000000"/>
          <w:sz w:val="32"/>
          <w:szCs w:val="32"/>
          <w:lang w:val="en-US" w:eastAsia="zh-CN"/>
        </w:rPr>
        <w:t>0.48万元</w:t>
      </w:r>
      <w:r>
        <w:rPr>
          <w:rFonts w:hint="eastAsia" w:ascii="仿宋_GB2312" w:eastAsia="仿宋_GB2312"/>
          <w:color w:val="000000"/>
          <w:sz w:val="32"/>
          <w:szCs w:val="32"/>
        </w:rPr>
        <w:t>、劳务费</w:t>
      </w:r>
      <w:r>
        <w:rPr>
          <w:rFonts w:hint="eastAsia" w:ascii="仿宋_GB2312" w:eastAsia="仿宋_GB2312"/>
          <w:color w:val="000000"/>
          <w:sz w:val="32"/>
          <w:szCs w:val="32"/>
          <w:lang w:val="en-US" w:eastAsia="zh-CN"/>
        </w:rPr>
        <w:t>9.85万元</w:t>
      </w:r>
      <w:r>
        <w:rPr>
          <w:rFonts w:hint="eastAsia" w:ascii="仿宋_GB2312" w:eastAsia="仿宋_GB2312"/>
          <w:color w:val="000000"/>
          <w:sz w:val="32"/>
          <w:szCs w:val="32"/>
        </w:rPr>
        <w:t>、委托业务费</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、福利费</w:t>
      </w:r>
      <w:r>
        <w:rPr>
          <w:rFonts w:hint="eastAsia" w:ascii="仿宋_GB2312" w:eastAsia="仿宋_GB2312"/>
          <w:color w:val="000000"/>
          <w:sz w:val="32"/>
          <w:szCs w:val="32"/>
          <w:lang w:val="en-US" w:eastAsia="zh-CN"/>
        </w:rPr>
        <w:t>4.27万元</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val="en-US" w:eastAsia="zh-CN"/>
        </w:rPr>
        <w:t>2.46万元</w:t>
      </w:r>
      <w:r>
        <w:rPr>
          <w:rFonts w:hint="eastAsia" w:ascii="仿宋_GB2312" w:eastAsia="仿宋_GB2312"/>
          <w:color w:val="000000"/>
          <w:sz w:val="32"/>
          <w:szCs w:val="32"/>
        </w:rPr>
        <w:t>、其他交通费</w:t>
      </w:r>
      <w:r>
        <w:rPr>
          <w:rFonts w:hint="eastAsia" w:ascii="仿宋_GB2312" w:eastAsia="仿宋_GB2312"/>
          <w:color w:val="000000"/>
          <w:sz w:val="32"/>
          <w:szCs w:val="32"/>
          <w:lang w:val="en-US" w:eastAsia="zh-CN"/>
        </w:rPr>
        <w:t>19.63万元</w:t>
      </w:r>
      <w:r>
        <w:rPr>
          <w:rFonts w:hint="eastAsia" w:ascii="仿宋_GB2312" w:eastAsia="仿宋_GB2312"/>
          <w:color w:val="000000"/>
          <w:sz w:val="32"/>
          <w:szCs w:val="32"/>
        </w:rPr>
        <w:t>、税金及附加费用</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、其他商品和服务支出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、办公设备购置</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、专用设备购置</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、信息网络及软件购置更新</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、其他资本性支出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等。</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bookmarkStart w:id="44" w:name="_Toc15377216"/>
      <w:r>
        <w:rPr>
          <w:rFonts w:hint="eastAsia" w:ascii="楷体_GB2312" w:hAnsi="楷体_GB2312" w:eastAsia="楷体_GB2312" w:cs="楷体_GB2312"/>
          <w:b/>
          <w:bCs/>
          <w:color w:val="auto"/>
          <w:sz w:val="32"/>
          <w:szCs w:val="32"/>
          <w:lang w:val="en-US" w:eastAsia="zh-CN"/>
        </w:rPr>
        <w:t>（一）“三公”经费财政拨款支出决算总体情况说明</w:t>
      </w:r>
      <w:bookmarkEnd w:id="44"/>
    </w:p>
    <w:p>
      <w:pPr>
        <w:spacing w:line="536" w:lineRule="exact"/>
        <w:ind w:firstLine="640"/>
        <w:rPr>
          <w:rFonts w:ascii="仿宋_GB2312" w:eastAsia="仿宋_GB2312"/>
          <w:color w:val="000000"/>
          <w:sz w:val="32"/>
          <w:szCs w:val="32"/>
        </w:rPr>
      </w:pPr>
      <w:bookmarkStart w:id="45" w:name="_Toc15377217"/>
      <w:r>
        <w:rPr>
          <w:rFonts w:ascii="仿宋_GB2312" w:eastAsia="仿宋_GB2312"/>
          <w:color w:val="000000"/>
          <w:sz w:val="32"/>
          <w:szCs w:val="32"/>
        </w:rPr>
        <w:t>2020</w:t>
      </w:r>
      <w:r>
        <w:rPr>
          <w:rFonts w:hint="eastAsia" w:ascii="仿宋_GB2312" w:eastAsia="仿宋_GB2312"/>
          <w:color w:val="000000"/>
          <w:sz w:val="32"/>
          <w:szCs w:val="32"/>
        </w:rPr>
        <w:t>年度“三公”经费财政拨款支出决算为</w:t>
      </w:r>
      <w:r>
        <w:rPr>
          <w:rFonts w:ascii="仿宋_GB2312" w:eastAsia="仿宋_GB2312"/>
          <w:color w:val="000000"/>
          <w:sz w:val="32"/>
          <w:szCs w:val="32"/>
        </w:rPr>
        <w:t>2.94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（二）“三公”经费财政拨款支出决算具体情况说明</w:t>
      </w:r>
      <w:bookmarkEnd w:id="45"/>
    </w:p>
    <w:p>
      <w:pPr>
        <w:spacing w:line="536" w:lineRule="exact"/>
        <w:ind w:firstLine="640"/>
        <w:rPr>
          <w:rFonts w:hint="eastAsia"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年度“三公”经费财政拨款支出决算中，因公出国（境）费支出决算</w:t>
      </w:r>
      <w:r>
        <w:rPr>
          <w:rFonts w:ascii="仿宋_GB2312" w:eastAsia="仿宋_GB2312"/>
          <w:color w:val="000000"/>
          <w:sz w:val="32"/>
          <w:szCs w:val="32"/>
        </w:rPr>
        <w:t>0</w:t>
      </w:r>
      <w:r>
        <w:rPr>
          <w:rFonts w:hint="eastAsia" w:ascii="仿宋_GB2312" w:eastAsia="仿宋_GB2312"/>
          <w:color w:val="000000"/>
          <w:sz w:val="32"/>
          <w:szCs w:val="32"/>
        </w:rPr>
        <w:t>万元，占</w:t>
      </w:r>
      <w:r>
        <w:rPr>
          <w:rFonts w:ascii="仿宋_GB2312" w:eastAsia="仿宋_GB2312"/>
          <w:color w:val="000000"/>
          <w:sz w:val="32"/>
          <w:szCs w:val="32"/>
        </w:rPr>
        <w:t>0%</w:t>
      </w:r>
      <w:r>
        <w:rPr>
          <w:rFonts w:hint="eastAsia" w:ascii="仿宋_GB2312" w:eastAsia="仿宋_GB2312"/>
          <w:color w:val="000000"/>
          <w:sz w:val="32"/>
          <w:szCs w:val="32"/>
        </w:rPr>
        <w:t>；公务用车购置及运行维护费支出决算</w:t>
      </w:r>
      <w:r>
        <w:rPr>
          <w:rFonts w:ascii="仿宋_GB2312" w:eastAsia="仿宋_GB2312"/>
          <w:color w:val="000000"/>
          <w:sz w:val="32"/>
          <w:szCs w:val="32"/>
        </w:rPr>
        <w:t>2.46</w:t>
      </w:r>
      <w:r>
        <w:rPr>
          <w:rFonts w:hint="eastAsia" w:ascii="仿宋_GB2312" w:eastAsia="仿宋_GB2312"/>
          <w:color w:val="000000"/>
          <w:sz w:val="32"/>
          <w:szCs w:val="32"/>
        </w:rPr>
        <w:t>万元，占</w:t>
      </w:r>
      <w:r>
        <w:rPr>
          <w:rFonts w:ascii="仿宋_GB2312" w:eastAsia="仿宋_GB2312"/>
          <w:color w:val="000000"/>
          <w:sz w:val="32"/>
          <w:szCs w:val="32"/>
        </w:rPr>
        <w:t>83.67%</w:t>
      </w:r>
      <w:r>
        <w:rPr>
          <w:rFonts w:hint="eastAsia" w:ascii="仿宋_GB2312" w:eastAsia="仿宋_GB2312"/>
          <w:color w:val="000000"/>
          <w:sz w:val="32"/>
          <w:szCs w:val="32"/>
        </w:rPr>
        <w:t>；公务接待费支出决算</w:t>
      </w:r>
      <w:r>
        <w:rPr>
          <w:rFonts w:ascii="仿宋_GB2312" w:eastAsia="仿宋_GB2312"/>
          <w:color w:val="000000"/>
          <w:sz w:val="32"/>
          <w:szCs w:val="32"/>
        </w:rPr>
        <w:t>0.48</w:t>
      </w:r>
      <w:r>
        <w:rPr>
          <w:rFonts w:hint="eastAsia" w:ascii="仿宋_GB2312" w:eastAsia="仿宋_GB2312"/>
          <w:color w:val="000000"/>
          <w:sz w:val="32"/>
          <w:szCs w:val="32"/>
        </w:rPr>
        <w:t>万元，占</w:t>
      </w:r>
      <w:r>
        <w:rPr>
          <w:rFonts w:ascii="仿宋_GB2312" w:eastAsia="仿宋_GB2312"/>
          <w:color w:val="000000"/>
          <w:sz w:val="32"/>
          <w:szCs w:val="32"/>
        </w:rPr>
        <w:t>16.33%</w:t>
      </w:r>
      <w:r>
        <w:rPr>
          <w:rFonts w:hint="eastAsia" w:ascii="仿宋_GB2312" w:eastAsia="仿宋_GB2312"/>
          <w:color w:val="000000"/>
          <w:sz w:val="32"/>
          <w:szCs w:val="32"/>
        </w:rPr>
        <w:t>。具体情况如下：</w:t>
      </w:r>
    </w:p>
    <w:p>
      <w:pPr>
        <w:spacing w:line="53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536" w:lineRule="exact"/>
        <w:ind w:firstLine="640"/>
        <w:rPr>
          <w:rFonts w:ascii="仿宋_GB2312" w:eastAsia="仿宋_GB2312"/>
          <w:b/>
          <w:color w:val="000000"/>
          <w:sz w:val="32"/>
          <w:szCs w:val="32"/>
        </w:rPr>
      </w:pPr>
      <w:r>
        <w:rPr>
          <w:rFonts w:hint="eastAsia" w:ascii="仿宋_GB2312" w:eastAsia="仿宋_GB2312"/>
          <w:color w:val="000000"/>
          <w:sz w:val="32"/>
          <w:szCs w:val="32"/>
        </w:rPr>
        <w:t>因公出国（境）支出决算比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536" w:lineRule="exact"/>
        <w:ind w:firstLine="643" w:firstLineChars="20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万元。其中：</w:t>
      </w:r>
    </w:p>
    <w:p>
      <w:pPr>
        <w:spacing w:line="536"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3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2.46</w:t>
      </w:r>
      <w:r>
        <w:rPr>
          <w:rFonts w:hint="eastAsia" w:ascii="仿宋_GB2312" w:eastAsia="仿宋_GB2312"/>
          <w:color w:val="000000"/>
          <w:sz w:val="32"/>
          <w:szCs w:val="32"/>
        </w:rPr>
        <w:t>万元。主要用于日常办公所需的公务用车燃料费、维修费、过路过桥费、保险费等支出。</w:t>
      </w:r>
    </w:p>
    <w:p>
      <w:pPr>
        <w:spacing w:line="536" w:lineRule="exact"/>
        <w:ind w:firstLine="640"/>
        <w:rPr>
          <w:rFonts w:ascii="仿宋_GB2312" w:eastAsia="仿宋_GB2312"/>
          <w:color w:val="000000"/>
          <w:sz w:val="32"/>
          <w:szCs w:val="32"/>
        </w:rPr>
      </w:pP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2019</w:t>
      </w:r>
      <w:r>
        <w:rPr>
          <w:rFonts w:hint="eastAsia" w:ascii="仿宋_GB2312" w:eastAsia="仿宋_GB2312"/>
          <w:color w:val="000000"/>
          <w:sz w:val="32"/>
          <w:szCs w:val="32"/>
        </w:rPr>
        <w:t>年减少</w:t>
      </w:r>
      <w:r>
        <w:rPr>
          <w:rFonts w:ascii="仿宋_GB2312" w:eastAsia="仿宋_GB2312"/>
          <w:color w:val="000000"/>
          <w:sz w:val="32"/>
          <w:szCs w:val="32"/>
        </w:rPr>
        <w:t>0.53</w:t>
      </w:r>
      <w:r>
        <w:rPr>
          <w:rFonts w:hint="eastAsia" w:ascii="仿宋_GB2312" w:eastAsia="仿宋_GB2312"/>
          <w:color w:val="000000"/>
          <w:sz w:val="32"/>
          <w:szCs w:val="32"/>
        </w:rPr>
        <w:t>万元，下降</w:t>
      </w:r>
      <w:r>
        <w:rPr>
          <w:rFonts w:ascii="仿宋_GB2312" w:eastAsia="仿宋_GB2312"/>
          <w:color w:val="000000"/>
          <w:sz w:val="32"/>
          <w:szCs w:val="32"/>
        </w:rPr>
        <w:t>17.95%</w:t>
      </w:r>
      <w:r>
        <w:rPr>
          <w:rFonts w:hint="eastAsia" w:ascii="仿宋_GB2312" w:eastAsia="仿宋_GB2312"/>
          <w:color w:val="000000"/>
          <w:sz w:val="32"/>
          <w:szCs w:val="32"/>
        </w:rPr>
        <w:t>。主要原因是严格管理</w:t>
      </w:r>
      <w:r>
        <w:rPr>
          <w:rFonts w:hint="eastAsia" w:ascii="仿宋_GB2312" w:eastAsia="仿宋_GB2312"/>
          <w:color w:val="000000"/>
          <w:sz w:val="32"/>
          <w:szCs w:val="32"/>
          <w:lang w:eastAsia="zh-CN"/>
        </w:rPr>
        <w:t>公务用车运行</w:t>
      </w:r>
      <w:r>
        <w:rPr>
          <w:rFonts w:hint="eastAsia" w:ascii="仿宋_GB2312" w:eastAsia="仿宋_GB2312"/>
          <w:color w:val="000000"/>
          <w:sz w:val="32"/>
          <w:szCs w:val="32"/>
        </w:rPr>
        <w:t>。</w:t>
      </w:r>
    </w:p>
    <w:p>
      <w:pPr>
        <w:spacing w:line="536" w:lineRule="exact"/>
        <w:ind w:firstLine="640"/>
        <w:rPr>
          <w:rFonts w:ascii="仿宋_GB2312" w:eastAsia="仿宋_GB2312"/>
          <w:color w:val="000000"/>
          <w:sz w:val="32"/>
          <w:szCs w:val="32"/>
        </w:rPr>
      </w:pPr>
      <w:r>
        <w:drawing>
          <wp:anchor distT="0" distB="0" distL="114300" distR="114300" simplePos="0" relativeHeight="251664384" behindDoc="0" locked="0" layoutInCell="1" allowOverlap="1">
            <wp:simplePos x="0" y="0"/>
            <wp:positionH relativeFrom="column">
              <wp:posOffset>372110</wp:posOffset>
            </wp:positionH>
            <wp:positionV relativeFrom="paragraph">
              <wp:posOffset>85090</wp:posOffset>
            </wp:positionV>
            <wp:extent cx="4432300" cy="1824990"/>
            <wp:effectExtent l="4445" t="4445" r="13335" b="14605"/>
            <wp:wrapNone/>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numPr>
          <w:ilvl w:val="0"/>
          <w:numId w:val="0"/>
        </w:numPr>
        <w:spacing w:line="53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ascii="仿宋_GB2312" w:eastAsia="仿宋_GB2312"/>
          <w:color w:val="000000"/>
          <w:sz w:val="32"/>
          <w:szCs w:val="32"/>
        </w:rPr>
        <w:t>0.48</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4</w:t>
      </w:r>
      <w:r>
        <w:rPr>
          <w:rFonts w:hint="eastAsia" w:ascii="仿宋_GB2312" w:eastAsia="仿宋_GB2312"/>
          <w:color w:val="000000"/>
          <w:sz w:val="32"/>
          <w:szCs w:val="32"/>
        </w:rPr>
        <w:t>批次，</w:t>
      </w:r>
      <w:r>
        <w:rPr>
          <w:rFonts w:ascii="仿宋_GB2312" w:eastAsia="仿宋_GB2312"/>
          <w:color w:val="000000"/>
          <w:sz w:val="32"/>
          <w:szCs w:val="32"/>
        </w:rPr>
        <w:t>22</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0.48</w:t>
      </w:r>
      <w:r>
        <w:rPr>
          <w:rFonts w:hint="eastAsia" w:ascii="仿宋_GB2312" w:eastAsia="仿宋_GB2312"/>
          <w:color w:val="000000"/>
          <w:sz w:val="32"/>
          <w:szCs w:val="32"/>
        </w:rPr>
        <w:t>万元。</w:t>
      </w:r>
    </w:p>
    <w:p>
      <w:pPr>
        <w:spacing w:line="536" w:lineRule="exact"/>
        <w:rPr>
          <w:rFonts w:ascii="仿宋_GB2312" w:eastAsia="仿宋_GB2312"/>
          <w:color w:val="000000"/>
          <w:sz w:val="32"/>
          <w:szCs w:val="32"/>
        </w:rPr>
      </w:pPr>
      <w:r>
        <w:drawing>
          <wp:anchor distT="0" distB="0" distL="114300" distR="114300" simplePos="0" relativeHeight="251665408" behindDoc="0" locked="0" layoutInCell="1" allowOverlap="1">
            <wp:simplePos x="0" y="0"/>
            <wp:positionH relativeFrom="column">
              <wp:posOffset>450850</wp:posOffset>
            </wp:positionH>
            <wp:positionV relativeFrom="paragraph">
              <wp:posOffset>84455</wp:posOffset>
            </wp:positionV>
            <wp:extent cx="4512310" cy="1895475"/>
            <wp:effectExtent l="4445" t="4445" r="9525" b="50800"/>
            <wp:wrapNone/>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600" w:lineRule="exact"/>
        <w:ind w:left="0" w:firstLine="640"/>
        <w:outlineLvl w:val="1"/>
        <w:rPr>
          <w:rStyle w:val="17"/>
          <w:rFonts w:ascii="黑体" w:eastAsia="黑体"/>
          <w:b w:val="0"/>
        </w:rPr>
      </w:pPr>
      <w:bookmarkStart w:id="48" w:name="_Toc15377219"/>
      <w:bookmarkStart w:id="49" w:name="_Toc15396611"/>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2"/>
        <w:numPr>
          <w:ilvl w:val="0"/>
          <w:numId w:val="2"/>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（一）绩效目标管理情况</w:t>
      </w:r>
    </w:p>
    <w:p>
      <w:pPr>
        <w:spacing w:line="53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部门预算整体支出和部门</w:t>
      </w:r>
      <w:r>
        <w:rPr>
          <w:rFonts w:hint="eastAsia" w:ascii="仿宋_GB2312" w:eastAsia="仿宋_GB2312"/>
          <w:color w:val="000000"/>
          <w:sz w:val="32"/>
          <w:szCs w:val="32"/>
        </w:rPr>
        <w:t>项目支出开展了绩效目标管理，共编制绩效目标</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个。</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eastAsia="zh-CN"/>
        </w:rPr>
        <w:t>（二）</w:t>
      </w:r>
      <w:r>
        <w:rPr>
          <w:rFonts w:hint="eastAsia" w:ascii="楷体_GB2312" w:hAnsi="楷体_GB2312" w:eastAsia="楷体_GB2312" w:cs="楷体_GB2312"/>
          <w:b/>
          <w:bCs/>
          <w:color w:val="auto"/>
          <w:sz w:val="32"/>
          <w:szCs w:val="32"/>
          <w:lang w:val="en-US"/>
        </w:rPr>
        <w:t>部门整体支出绩效自评开展情况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按照预算绩效管理要求，本部门对</w:t>
      </w:r>
      <w:r>
        <w:rPr>
          <w:rFonts w:ascii="仿宋_GB2312" w:eastAsia="仿宋_GB2312"/>
          <w:color w:val="000000"/>
          <w:sz w:val="32"/>
          <w:szCs w:val="32"/>
        </w:rPr>
        <w:t>2020</w:t>
      </w:r>
      <w:r>
        <w:rPr>
          <w:rFonts w:hint="eastAsia" w:ascii="仿宋_GB2312" w:eastAsia="仿宋_GB2312"/>
          <w:color w:val="000000"/>
          <w:sz w:val="32"/>
          <w:szCs w:val="32"/>
        </w:rPr>
        <w:t>年整体支出开展绩效自评，自评得分</w:t>
      </w:r>
      <w:r>
        <w:rPr>
          <w:rFonts w:ascii="仿宋_GB2312" w:eastAsia="仿宋_GB2312"/>
          <w:color w:val="000000"/>
          <w:sz w:val="32"/>
          <w:szCs w:val="32"/>
        </w:rPr>
        <w:t>9</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ascii="黑体" w:hAnsi="黑体" w:eastAsia="黑体"/>
          <w:color w:val="000000"/>
          <w:sz w:val="32"/>
          <w:szCs w:val="32"/>
        </w:rPr>
        <w:t>2020</w:t>
      </w:r>
      <w:r>
        <w:rPr>
          <w:rFonts w:hint="eastAsia" w:ascii="黑体" w:hAnsi="黑体" w:eastAsia="黑体"/>
          <w:color w:val="000000"/>
          <w:sz w:val="32"/>
          <w:szCs w:val="32"/>
        </w:rPr>
        <w:t>年部门整体支出绩效评价得分表</w:t>
      </w:r>
    </w:p>
    <w:p>
      <w:pPr>
        <w:spacing w:line="536" w:lineRule="exact"/>
        <w:jc w:val="center"/>
        <w:rPr>
          <w:rFonts w:ascii="黑体" w:hAnsi="黑体" w:eastAsia="黑体"/>
          <w:color w:val="000000"/>
          <w:sz w:val="32"/>
          <w:szCs w:val="32"/>
        </w:rPr>
      </w:pPr>
    </w:p>
    <w:tbl>
      <w:tblPr>
        <w:tblStyle w:val="12"/>
        <w:tblW w:w="0" w:type="auto"/>
        <w:jc w:val="center"/>
        <w:tblLayout w:type="fixed"/>
        <w:tblCellMar>
          <w:top w:w="0" w:type="dxa"/>
          <w:left w:w="108" w:type="dxa"/>
          <w:bottom w:w="0" w:type="dxa"/>
          <w:right w:w="108" w:type="dxa"/>
        </w:tblCellMar>
      </w:tblPr>
      <w:tblGrid>
        <w:gridCol w:w="1490"/>
        <w:gridCol w:w="1986"/>
        <w:gridCol w:w="3567"/>
        <w:gridCol w:w="1275"/>
      </w:tblGrid>
      <w:tr>
        <w:tblPrEx>
          <w:tblCellMar>
            <w:top w:w="0" w:type="dxa"/>
            <w:left w:w="108" w:type="dxa"/>
            <w:bottom w:w="0" w:type="dxa"/>
            <w:right w:w="108" w:type="dxa"/>
          </w:tblCellMar>
        </w:tblPrEx>
        <w:trPr>
          <w:trHeight w:val="45" w:hRule="atLeast"/>
          <w:jc w:val="center"/>
        </w:trPr>
        <w:tc>
          <w:tcPr>
            <w:tcW w:w="1490"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一级指标</w:t>
            </w:r>
          </w:p>
        </w:tc>
        <w:tc>
          <w:tcPr>
            <w:tcW w:w="1986"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二级指标</w:t>
            </w:r>
          </w:p>
        </w:tc>
        <w:tc>
          <w:tcPr>
            <w:tcW w:w="3567"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275" w:type="dxa"/>
            <w:tcBorders>
              <w:top w:val="single" w:color="auto" w:sz="4" w:space="0"/>
              <w:left w:val="nil"/>
              <w:bottom w:val="single" w:color="auto" w:sz="4" w:space="0"/>
              <w:right w:val="single" w:color="auto" w:sz="4" w:space="0"/>
            </w:tcBorders>
            <w:noWrap/>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部门决策（</w:t>
            </w:r>
            <w:r>
              <w:rPr>
                <w:rFonts w:ascii="宋体" w:hAnsi="宋体" w:cs="宋体"/>
                <w:color w:val="000000"/>
                <w:kern w:val="0"/>
                <w:sz w:val="20"/>
                <w:szCs w:val="20"/>
              </w:rPr>
              <w:t>25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目标任务（</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相关性（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明确性（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90"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合理性（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预算编制（</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测算依据（</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目标管理（</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综合管理（</w:t>
            </w:r>
            <w:r>
              <w:rPr>
                <w:rFonts w:ascii="宋体" w:hAnsi="宋体" w:cs="宋体"/>
                <w:color w:val="000000"/>
                <w:kern w:val="0"/>
                <w:sz w:val="20"/>
                <w:szCs w:val="20"/>
              </w:rPr>
              <w:t>30</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专项资金分配时限（</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省级财力专项预算分配时限（</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中央专款分配合规率（</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执行中期评估（</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绩效监控（</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预算执行进度监控（</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绩效目标动态监控（</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非税收入执收情况（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非税收入征收情况（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非税收入上缴情况（</w:t>
            </w:r>
            <w:r>
              <w:rPr>
                <w:rFonts w:ascii="宋体" w:hAnsi="宋体" w:cs="宋体"/>
                <w:color w:val="000000"/>
                <w:kern w:val="0"/>
                <w:sz w:val="20"/>
                <w:szCs w:val="20"/>
              </w:rPr>
              <w:t>1</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1</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资产管理信息化情况（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行政事业单位资产报告情况（</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center"/>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资产管理与预算管理相结合（</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p>
        </w:tc>
        <w:tc>
          <w:tcPr>
            <w:tcW w:w="1986"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内控制度管理（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内部控制</w:t>
            </w:r>
            <w:r>
              <w:rPr>
                <w:rFonts w:hint="eastAsia" w:ascii="宋体" w:hAnsi="宋体" w:cs="宋体"/>
                <w:color w:val="000000"/>
                <w:kern w:val="0"/>
                <w:sz w:val="20"/>
                <w:szCs w:val="20"/>
                <w:lang w:eastAsia="zh-CN"/>
              </w:rPr>
              <w:t>制度</w:t>
            </w:r>
            <w:r>
              <w:rPr>
                <w:rFonts w:hint="eastAsia" w:ascii="宋体" w:hAnsi="宋体" w:cs="宋体"/>
                <w:color w:val="000000"/>
                <w:kern w:val="0"/>
                <w:sz w:val="20"/>
                <w:szCs w:val="20"/>
              </w:rPr>
              <w:t>健全完整（</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信息公开（</w:t>
            </w:r>
            <w:r>
              <w:rPr>
                <w:rFonts w:ascii="宋体" w:hAnsi="宋体" w:cs="宋体"/>
                <w:color w:val="000000"/>
                <w:kern w:val="0"/>
                <w:sz w:val="20"/>
                <w:szCs w:val="20"/>
              </w:rPr>
              <w:t>6</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预算公开（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决算公开（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绩效信息公开（</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绩效评价开展（</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2</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评价结果应用（</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left"/>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935" w:hRule="atLeast"/>
          <w:jc w:val="center"/>
        </w:trPr>
        <w:tc>
          <w:tcPr>
            <w:tcW w:w="1490"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部门绩效情况（</w:t>
            </w:r>
            <w:r>
              <w:rPr>
                <w:rFonts w:ascii="宋体" w:hAnsi="宋体" w:cs="宋体"/>
                <w:color w:val="000000"/>
                <w:kern w:val="0"/>
                <w:sz w:val="20"/>
                <w:szCs w:val="20"/>
              </w:rPr>
              <w:t>45</w:t>
            </w:r>
            <w:r>
              <w:rPr>
                <w:rFonts w:hint="eastAsia" w:ascii="宋体" w:hAnsi="宋体" w:cs="宋体"/>
                <w:color w:val="000000"/>
                <w:kern w:val="0"/>
                <w:sz w:val="20"/>
                <w:szCs w:val="20"/>
              </w:rPr>
              <w:t>分）</w:t>
            </w: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履职成效（</w:t>
            </w:r>
            <w:r>
              <w:rPr>
                <w:rFonts w:ascii="宋体" w:hAnsi="宋体" w:cs="宋体"/>
                <w:color w:val="000000"/>
                <w:kern w:val="0"/>
                <w:sz w:val="20"/>
                <w:szCs w:val="20"/>
              </w:rPr>
              <w:t>20</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部门特性指标</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18</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可持续发展能力（</w:t>
            </w:r>
            <w:r>
              <w:rPr>
                <w:rFonts w:ascii="宋体" w:hAnsi="宋体" w:cs="宋体"/>
                <w:color w:val="000000"/>
                <w:kern w:val="0"/>
                <w:sz w:val="20"/>
                <w:szCs w:val="20"/>
              </w:rPr>
              <w:t>15</w:t>
            </w:r>
            <w:r>
              <w:rPr>
                <w:rFonts w:hint="eastAsia" w:ascii="宋体" w:hAnsi="宋体" w:cs="宋体"/>
                <w:color w:val="000000"/>
                <w:kern w:val="0"/>
                <w:sz w:val="20"/>
                <w:szCs w:val="20"/>
              </w:rPr>
              <w:t>分）</w:t>
            </w:r>
          </w:p>
        </w:tc>
        <w:tc>
          <w:tcPr>
            <w:tcW w:w="3567" w:type="dxa"/>
            <w:tcBorders>
              <w:top w:val="single" w:color="auto" w:sz="4" w:space="0"/>
              <w:left w:val="single" w:color="auto" w:sz="4" w:space="0"/>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重点改革（重点工作）完成情况（</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single" w:color="auto" w:sz="4" w:space="0"/>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科技（制度、方法、机制等）创新（</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top w:val="nil"/>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人才培养（</w:t>
            </w:r>
            <w:r>
              <w:rPr>
                <w:rFonts w:ascii="宋体" w:hAnsi="宋体" w:cs="宋体"/>
                <w:color w:val="000000"/>
                <w:kern w:val="0"/>
                <w:sz w:val="20"/>
                <w:szCs w:val="20"/>
              </w:rPr>
              <w:t>5</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restart"/>
            <w:tcBorders>
              <w:top w:val="nil"/>
              <w:left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满意度（</w:t>
            </w:r>
            <w:r>
              <w:rPr>
                <w:rFonts w:ascii="宋体" w:hAnsi="宋体" w:cs="宋体"/>
                <w:color w:val="000000"/>
                <w:kern w:val="0"/>
                <w:sz w:val="20"/>
                <w:szCs w:val="20"/>
              </w:rPr>
              <w:t>10</w:t>
            </w:r>
            <w:r>
              <w:rPr>
                <w:rFonts w:hint="eastAsia" w:ascii="宋体" w:hAnsi="宋体" w:cs="宋体"/>
                <w:color w:val="000000"/>
                <w:kern w:val="0"/>
                <w:sz w:val="20"/>
                <w:szCs w:val="20"/>
              </w:rPr>
              <w:t>分）</w:t>
            </w: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协作部门满意度（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45" w:hRule="atLeast"/>
          <w:jc w:val="center"/>
        </w:trPr>
        <w:tc>
          <w:tcPr>
            <w:tcW w:w="1490"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1986" w:type="dxa"/>
            <w:vMerge w:val="continue"/>
            <w:tcBorders>
              <w:left w:val="single" w:color="auto" w:sz="4" w:space="0"/>
              <w:right w:val="single" w:color="auto" w:sz="4" w:space="0"/>
            </w:tcBorders>
            <w:noWrap/>
            <w:vAlign w:val="center"/>
          </w:tcPr>
          <w:p>
            <w:pPr>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管理对象满意度（</w:t>
            </w:r>
            <w:r>
              <w:rPr>
                <w:rFonts w:ascii="宋体" w:hAnsi="宋体" w:cs="宋体"/>
                <w:color w:val="000000"/>
                <w:kern w:val="0"/>
                <w:sz w:val="20"/>
                <w:szCs w:val="20"/>
              </w:rPr>
              <w:t>3</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r>
      <w:tr>
        <w:tblPrEx>
          <w:tblCellMar>
            <w:top w:w="0" w:type="dxa"/>
            <w:left w:w="108" w:type="dxa"/>
            <w:bottom w:w="0" w:type="dxa"/>
            <w:right w:w="108" w:type="dxa"/>
          </w:tblCellMar>
        </w:tblPrEx>
        <w:trPr>
          <w:trHeight w:val="131" w:hRule="atLeast"/>
          <w:jc w:val="center"/>
        </w:trPr>
        <w:tc>
          <w:tcPr>
            <w:tcW w:w="1490"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1986" w:type="dxa"/>
            <w:vMerge w:val="continue"/>
            <w:tcBorders>
              <w:left w:val="single" w:color="auto" w:sz="4" w:space="0"/>
              <w:bottom w:val="single" w:color="auto" w:sz="4" w:space="0"/>
              <w:right w:val="single" w:color="auto" w:sz="4" w:space="0"/>
            </w:tcBorders>
            <w:noWrap/>
            <w:vAlign w:val="center"/>
          </w:tcPr>
          <w:p>
            <w:pPr>
              <w:widowControl/>
              <w:spacing w:line="536" w:lineRule="exact"/>
              <w:jc w:val="left"/>
              <w:rPr>
                <w:rFonts w:ascii="宋体" w:cs="宋体"/>
                <w:color w:val="000000"/>
                <w:kern w:val="0"/>
                <w:sz w:val="20"/>
                <w:szCs w:val="20"/>
              </w:rPr>
            </w:pPr>
          </w:p>
        </w:tc>
        <w:tc>
          <w:tcPr>
            <w:tcW w:w="3567" w:type="dxa"/>
            <w:tcBorders>
              <w:top w:val="nil"/>
              <w:left w:val="nil"/>
              <w:bottom w:val="single" w:color="auto" w:sz="4" w:space="0"/>
              <w:right w:val="single" w:color="auto" w:sz="4" w:space="0"/>
            </w:tcBorders>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社会公众满意度（</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275" w:type="dxa"/>
            <w:tcBorders>
              <w:top w:val="nil"/>
              <w:left w:val="nil"/>
              <w:bottom w:val="single" w:color="auto" w:sz="4" w:space="0"/>
              <w:right w:val="single" w:color="auto" w:sz="4" w:space="0"/>
            </w:tcBorders>
            <w:noWrap/>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r>
    </w:tbl>
    <w:p>
      <w:pPr>
        <w:spacing w:line="536" w:lineRule="exact"/>
        <w:rPr>
          <w:rFonts w:ascii="仿宋_GB2312" w:eastAsia="仿宋_GB2312"/>
          <w:b/>
          <w:color w:val="000000"/>
          <w:sz w:val="32"/>
          <w:szCs w:val="32"/>
        </w:rPr>
      </w:pP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val="en-US"/>
        </w:rPr>
        <w:t>部门</w:t>
      </w:r>
      <w:r>
        <w:rPr>
          <w:rFonts w:hint="eastAsia" w:ascii="楷体_GB2312" w:hAnsi="楷体_GB2312" w:eastAsia="楷体_GB2312" w:cs="楷体_GB2312"/>
          <w:b/>
          <w:bCs/>
          <w:color w:val="auto"/>
          <w:sz w:val="32"/>
          <w:szCs w:val="32"/>
          <w:lang w:val="en-US" w:eastAsia="zh-CN"/>
        </w:rPr>
        <w:t>项目</w:t>
      </w:r>
      <w:r>
        <w:rPr>
          <w:rFonts w:hint="eastAsia" w:ascii="楷体_GB2312" w:hAnsi="楷体_GB2312" w:eastAsia="楷体_GB2312" w:cs="楷体_GB2312"/>
          <w:b/>
          <w:bCs/>
          <w:color w:val="auto"/>
          <w:sz w:val="32"/>
          <w:szCs w:val="32"/>
          <w:lang w:val="en-US"/>
        </w:rPr>
        <w:t>绩效评价开展情况</w:t>
      </w:r>
    </w:p>
    <w:p>
      <w:pPr>
        <w:spacing w:line="536" w:lineRule="exact"/>
        <w:ind w:firstLine="640" w:firstLineChars="200"/>
        <w:rPr>
          <w:rFonts w:ascii="黑体" w:hAnsi="黑体" w:eastAsia="黑体"/>
          <w:color w:val="000000"/>
          <w:sz w:val="32"/>
          <w:szCs w:val="32"/>
        </w:rPr>
      </w:pPr>
      <w:r>
        <w:rPr>
          <w:rFonts w:hint="eastAsia" w:ascii="仿宋_GB2312" w:eastAsia="仿宋_GB2312"/>
          <w:color w:val="000000"/>
          <w:sz w:val="32"/>
          <w:szCs w:val="32"/>
        </w:rPr>
        <w:t>本部门对</w:t>
      </w:r>
      <w:r>
        <w:rPr>
          <w:rFonts w:hint="eastAsia" w:ascii="仿宋_GB2312" w:eastAsia="仿宋_GB2312"/>
          <w:color w:val="000000"/>
          <w:sz w:val="32"/>
          <w:szCs w:val="32"/>
          <w:lang w:eastAsia="zh-CN"/>
        </w:rPr>
        <w:t>项目</w:t>
      </w:r>
      <w:r>
        <w:rPr>
          <w:rFonts w:hint="eastAsia" w:ascii="仿宋_GB2312" w:eastAsia="仿宋_GB2312"/>
          <w:color w:val="000000"/>
          <w:sz w:val="32"/>
          <w:szCs w:val="32"/>
        </w:rPr>
        <w:t>开展了支出绩效评价，得分为</w:t>
      </w:r>
      <w:r>
        <w:rPr>
          <w:rFonts w:hint="eastAsia" w:ascii="仿宋_GB2312" w:eastAsia="仿宋_GB2312"/>
          <w:color w:val="000000"/>
          <w:sz w:val="32"/>
          <w:szCs w:val="32"/>
          <w:lang w:val="en-US" w:eastAsia="zh-CN"/>
        </w:rPr>
        <w:t>95</w:t>
      </w:r>
      <w:r>
        <w:rPr>
          <w:rFonts w:hint="eastAsia" w:ascii="仿宋_GB2312" w:eastAsia="仿宋_GB2312"/>
          <w:color w:val="000000"/>
          <w:sz w:val="32"/>
          <w:szCs w:val="32"/>
        </w:rPr>
        <w:t>分。</w:t>
      </w:r>
    </w:p>
    <w:p>
      <w:pPr>
        <w:spacing w:line="536" w:lineRule="exact"/>
        <w:jc w:val="center"/>
        <w:rPr>
          <w:rFonts w:ascii="黑体" w:hAnsi="黑体" w:eastAsia="黑体"/>
          <w:color w:val="000000"/>
          <w:sz w:val="32"/>
          <w:szCs w:val="32"/>
        </w:rPr>
      </w:pPr>
      <w:r>
        <w:rPr>
          <w:rFonts w:ascii="黑体" w:hAnsi="黑体" w:eastAsia="黑体"/>
          <w:color w:val="000000"/>
          <w:sz w:val="32"/>
          <w:szCs w:val="32"/>
        </w:rPr>
        <w:t>2020</w:t>
      </w:r>
      <w:r>
        <w:rPr>
          <w:rFonts w:hint="eastAsia" w:ascii="黑体" w:hAnsi="黑体" w:eastAsia="黑体"/>
          <w:color w:val="000000"/>
          <w:sz w:val="32"/>
          <w:szCs w:val="32"/>
        </w:rPr>
        <w:t>年项目支出绩效评价得分表</w:t>
      </w:r>
    </w:p>
    <w:p>
      <w:pPr>
        <w:spacing w:line="536" w:lineRule="exact"/>
        <w:jc w:val="center"/>
        <w:rPr>
          <w:rFonts w:ascii="黑体" w:hAnsi="黑体" w:eastAsia="黑体"/>
          <w:color w:val="000000"/>
          <w:sz w:val="32"/>
          <w:szCs w:val="32"/>
        </w:rPr>
      </w:pPr>
    </w:p>
    <w:tbl>
      <w:tblPr>
        <w:tblStyle w:val="12"/>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854"/>
        <w:gridCol w:w="3103"/>
        <w:gridCol w:w="1150"/>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单位名称</w:t>
            </w:r>
          </w:p>
        </w:tc>
        <w:tc>
          <w:tcPr>
            <w:tcW w:w="7259" w:type="dxa"/>
            <w:gridSpan w:val="4"/>
            <w:noWrap/>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金川县畜牧兽医服务中心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一级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1854"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二级</w:t>
            </w:r>
          </w:p>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指标</w:t>
            </w:r>
          </w:p>
        </w:tc>
        <w:tc>
          <w:tcPr>
            <w:tcW w:w="3103"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三级指标</w:t>
            </w:r>
          </w:p>
        </w:tc>
        <w:tc>
          <w:tcPr>
            <w:tcW w:w="1150" w:type="dxa"/>
            <w:noWrap/>
            <w:vAlign w:val="center"/>
          </w:tcPr>
          <w:p>
            <w:pPr>
              <w:widowControl/>
              <w:spacing w:line="536" w:lineRule="exact"/>
              <w:jc w:val="center"/>
              <w:rPr>
                <w:rFonts w:ascii="宋体" w:cs="宋体"/>
                <w:b/>
                <w:bCs/>
                <w:color w:val="000000"/>
                <w:kern w:val="0"/>
                <w:sz w:val="20"/>
                <w:szCs w:val="20"/>
              </w:rPr>
            </w:pPr>
            <w:r>
              <w:rPr>
                <w:rFonts w:hint="eastAsia" w:ascii="宋体" w:hAnsi="宋体" w:cs="宋体"/>
                <w:b/>
                <w:bCs/>
                <w:color w:val="000000"/>
                <w:kern w:val="0"/>
                <w:sz w:val="20"/>
                <w:szCs w:val="20"/>
              </w:rPr>
              <w:t>分值</w:t>
            </w:r>
          </w:p>
        </w:tc>
        <w:tc>
          <w:tcPr>
            <w:tcW w:w="1152" w:type="dxa"/>
            <w:noWrap/>
            <w:vAlign w:val="center"/>
          </w:tcPr>
          <w:p>
            <w:pPr>
              <w:widowControl/>
              <w:spacing w:line="536" w:lineRule="exact"/>
              <w:jc w:val="center"/>
              <w:rPr>
                <w:rFonts w:ascii="宋体" w:cs="宋体"/>
                <w:b/>
                <w:bCs/>
                <w:color w:val="000000"/>
                <w:kern w:val="0"/>
                <w:sz w:val="18"/>
                <w:szCs w:val="18"/>
              </w:rPr>
            </w:pPr>
            <w:r>
              <w:rPr>
                <w:rFonts w:hint="eastAsia" w:ascii="宋体" w:hAns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项目决策</w:t>
            </w:r>
          </w:p>
        </w:tc>
        <w:tc>
          <w:tcPr>
            <w:tcW w:w="1854"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科学决策</w:t>
            </w:r>
          </w:p>
        </w:tc>
        <w:tc>
          <w:tcPr>
            <w:tcW w:w="3103" w:type="dxa"/>
            <w:noWrap/>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必要性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（政策依据</w:t>
            </w:r>
            <w:r>
              <w:rPr>
                <w:rFonts w:ascii="宋体" w:hAnsi="宋体" w:cs="宋体"/>
                <w:color w:val="000000"/>
                <w:kern w:val="0"/>
                <w:sz w:val="20"/>
                <w:szCs w:val="20"/>
              </w:rPr>
              <w:t>)</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可行性</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（政策完善）</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绩效目标</w:t>
            </w:r>
            <w:r>
              <w:rPr>
                <w:rFonts w:ascii="宋体" w:hAnsi="宋体" w:cs="宋体"/>
                <w:color w:val="000000"/>
                <w:kern w:val="0"/>
                <w:sz w:val="20"/>
                <w:szCs w:val="20"/>
              </w:rPr>
              <w:t xml:space="preserve">    </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明确性</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合理性</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10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项目管理</w:t>
            </w:r>
          </w:p>
        </w:tc>
        <w:tc>
          <w:tcPr>
            <w:tcW w:w="1854"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7</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资金管理</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资金分配</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textDirection w:val="tbRlV"/>
            <w:vAlign w:val="center"/>
          </w:tcPr>
          <w:p>
            <w:pPr>
              <w:widowControl/>
              <w:spacing w:line="536" w:lineRule="exact"/>
              <w:jc w:val="center"/>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资金使用</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项目执行</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执行规范</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3</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（特性指标</w:t>
            </w:r>
            <w:r>
              <w:rPr>
                <w:rFonts w:ascii="宋体" w:hAnsi="宋体" w:cs="宋体"/>
                <w:color w:val="000000"/>
                <w:kern w:val="0"/>
                <w:sz w:val="20"/>
                <w:szCs w:val="20"/>
              </w:rPr>
              <w:t>70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项目绩效</w:t>
            </w:r>
            <w:r>
              <w:rPr>
                <w:rFonts w:ascii="宋体" w:hAnsi="宋体" w:cs="宋体"/>
                <w:color w:val="000000"/>
                <w:kern w:val="0"/>
                <w:sz w:val="20"/>
                <w:szCs w:val="20"/>
              </w:rPr>
              <w:t xml:space="preserve">  </w:t>
            </w:r>
          </w:p>
        </w:tc>
        <w:tc>
          <w:tcPr>
            <w:tcW w:w="1854"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20</w:t>
            </w:r>
            <w:r>
              <w:rPr>
                <w:rFonts w:hint="eastAsia" w:ascii="宋体" w:hAnsi="宋体" w:cs="宋体"/>
                <w:color w:val="000000"/>
                <w:kern w:val="0"/>
                <w:sz w:val="20"/>
                <w:szCs w:val="20"/>
              </w:rPr>
              <w:t>）</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项目完成</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完成数量</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完成质量</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 xml:space="preserve">5 </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完成时效</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完成成本</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5</w:t>
            </w:r>
          </w:p>
        </w:tc>
        <w:tc>
          <w:tcPr>
            <w:tcW w:w="1152" w:type="dxa"/>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restart"/>
            <w:noWrap/>
            <w:textDirection w:val="tbRlV"/>
            <w:vAlign w:val="center"/>
          </w:tcPr>
          <w:p>
            <w:pPr>
              <w:widowControl/>
              <w:spacing w:line="536" w:lineRule="exact"/>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rPr>
              <w:t>（</w:t>
            </w:r>
            <w:r>
              <w:rPr>
                <w:rFonts w:ascii="宋体" w:hAnsi="宋体" w:cs="宋体"/>
                <w:color w:val="000000"/>
                <w:kern w:val="0"/>
                <w:sz w:val="20"/>
                <w:szCs w:val="20"/>
              </w:rPr>
              <w:t>50</w:t>
            </w:r>
            <w:r>
              <w:rPr>
                <w:rFonts w:hint="eastAsia" w:ascii="宋体" w:hAnsi="宋体" w:cs="宋体"/>
                <w:color w:val="000000"/>
                <w:kern w:val="0"/>
                <w:sz w:val="20"/>
                <w:szCs w:val="20"/>
              </w:rPr>
              <w:t>分）</w:t>
            </w:r>
          </w:p>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项目效益</w:t>
            </w: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经济效益（可选项）</w:t>
            </w:r>
          </w:p>
        </w:tc>
        <w:tc>
          <w:tcPr>
            <w:tcW w:w="1150" w:type="dxa"/>
            <w:vMerge w:val="restart"/>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40</w:t>
            </w:r>
          </w:p>
        </w:tc>
        <w:tc>
          <w:tcPr>
            <w:tcW w:w="1152" w:type="dxa"/>
            <w:vMerge w:val="restart"/>
            <w:noWrap/>
            <w:vAlign w:val="center"/>
          </w:tcPr>
          <w:p>
            <w:pPr>
              <w:widowControl/>
              <w:spacing w:line="536" w:lineRule="exact"/>
              <w:jc w:val="center"/>
              <w:rPr>
                <w:rFonts w:hint="default" w:ascii="宋体" w:eastAsia="宋体" w:cs="宋体"/>
                <w:color w:val="000000"/>
                <w:kern w:val="0"/>
                <w:sz w:val="15"/>
                <w:szCs w:val="15"/>
                <w:lang w:val="en-US" w:eastAsia="zh-CN"/>
              </w:rPr>
            </w:pPr>
            <w:r>
              <w:rPr>
                <w:rFonts w:hint="eastAsia" w:ascii="宋体" w:hAnsi="宋体" w:cs="宋体"/>
                <w:color w:val="000000"/>
                <w:kern w:val="0"/>
                <w:sz w:val="20"/>
                <w:szCs w:val="2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社会效益（可选项）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vAlign w:val="center"/>
          </w:tcPr>
          <w:p>
            <w:pPr>
              <w:widowControl/>
              <w:spacing w:line="536" w:lineRule="exact"/>
              <w:jc w:val="center"/>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生态效益（可选项）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可持续效益（可选项）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公平效率（可选项）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使用效率（可选项）</w:t>
            </w:r>
          </w:p>
        </w:tc>
        <w:tc>
          <w:tcPr>
            <w:tcW w:w="1150" w:type="dxa"/>
            <w:vMerge w:val="continue"/>
            <w:noWrap/>
            <w:vAlign w:val="center"/>
          </w:tcPr>
          <w:p>
            <w:pPr>
              <w:widowControl/>
              <w:spacing w:line="536" w:lineRule="exact"/>
              <w:jc w:val="left"/>
              <w:rPr>
                <w:rFonts w:ascii="宋体" w:cs="宋体"/>
                <w:color w:val="000000"/>
                <w:kern w:val="0"/>
                <w:sz w:val="20"/>
                <w:szCs w:val="20"/>
              </w:rPr>
            </w:pPr>
          </w:p>
        </w:tc>
        <w:tc>
          <w:tcPr>
            <w:tcW w:w="1152" w:type="dxa"/>
            <w:vMerge w:val="continue"/>
            <w:noWrap/>
          </w:tcPr>
          <w:p>
            <w:pPr>
              <w:widowControl/>
              <w:spacing w:line="536" w:lineRule="exact"/>
              <w:jc w:val="left"/>
              <w:rPr>
                <w:rFonts w:ascii="宋体" w:cs="宋体"/>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420" w:type="dxa"/>
            <w:vMerge w:val="continue"/>
            <w:noWrap/>
            <w:vAlign w:val="center"/>
          </w:tcPr>
          <w:p>
            <w:pPr>
              <w:widowControl/>
              <w:spacing w:line="536" w:lineRule="exact"/>
              <w:jc w:val="left"/>
              <w:rPr>
                <w:rFonts w:ascii="宋体" w:cs="宋体"/>
                <w:color w:val="000000"/>
                <w:kern w:val="0"/>
                <w:sz w:val="20"/>
                <w:szCs w:val="20"/>
              </w:rPr>
            </w:pPr>
          </w:p>
        </w:tc>
        <w:tc>
          <w:tcPr>
            <w:tcW w:w="1854" w:type="dxa"/>
            <w:vMerge w:val="continue"/>
            <w:noWrap/>
            <w:vAlign w:val="center"/>
          </w:tcPr>
          <w:p>
            <w:pPr>
              <w:widowControl/>
              <w:spacing w:line="536" w:lineRule="exact"/>
              <w:jc w:val="left"/>
              <w:rPr>
                <w:rFonts w:ascii="宋体" w:cs="宋体"/>
                <w:color w:val="000000"/>
                <w:kern w:val="0"/>
                <w:sz w:val="20"/>
                <w:szCs w:val="20"/>
              </w:rPr>
            </w:pPr>
          </w:p>
        </w:tc>
        <w:tc>
          <w:tcPr>
            <w:tcW w:w="3103" w:type="dxa"/>
            <w:noWrap/>
            <w:vAlign w:val="center"/>
          </w:tcPr>
          <w:p>
            <w:pPr>
              <w:widowControl/>
              <w:spacing w:line="536" w:lineRule="exact"/>
              <w:jc w:val="center"/>
              <w:rPr>
                <w:rFonts w:ascii="宋体" w:cs="宋体"/>
                <w:color w:val="000000"/>
                <w:kern w:val="0"/>
                <w:sz w:val="20"/>
                <w:szCs w:val="20"/>
              </w:rPr>
            </w:pPr>
            <w:r>
              <w:rPr>
                <w:rFonts w:hint="eastAsia" w:ascii="宋体" w:hAnsi="宋体" w:cs="宋体"/>
                <w:color w:val="000000"/>
                <w:kern w:val="0"/>
                <w:sz w:val="20"/>
                <w:szCs w:val="20"/>
              </w:rPr>
              <w:t>服务对象满意度</w:t>
            </w:r>
            <w:r>
              <w:rPr>
                <w:rFonts w:ascii="宋体" w:hAnsi="宋体" w:cs="宋体"/>
                <w:color w:val="000000"/>
                <w:kern w:val="0"/>
                <w:sz w:val="20"/>
                <w:szCs w:val="20"/>
              </w:rPr>
              <w:t xml:space="preserve">    </w:t>
            </w:r>
          </w:p>
        </w:tc>
        <w:tc>
          <w:tcPr>
            <w:tcW w:w="1150" w:type="dxa"/>
            <w:noWrap/>
            <w:vAlign w:val="center"/>
          </w:tcPr>
          <w:p>
            <w:pPr>
              <w:widowControl/>
              <w:spacing w:line="536" w:lineRule="exact"/>
              <w:jc w:val="center"/>
              <w:rPr>
                <w:rFonts w:ascii="宋体" w:cs="宋体"/>
                <w:color w:val="000000"/>
                <w:kern w:val="0"/>
                <w:sz w:val="20"/>
                <w:szCs w:val="20"/>
              </w:rPr>
            </w:pPr>
            <w:r>
              <w:rPr>
                <w:rFonts w:ascii="宋体" w:hAnsi="宋体" w:cs="宋体"/>
                <w:color w:val="000000"/>
                <w:kern w:val="0"/>
                <w:sz w:val="20"/>
                <w:szCs w:val="20"/>
              </w:rPr>
              <w:t>10</w:t>
            </w:r>
          </w:p>
        </w:tc>
        <w:tc>
          <w:tcPr>
            <w:tcW w:w="1152" w:type="dxa"/>
            <w:noWrap/>
          </w:tcPr>
          <w:p>
            <w:pPr>
              <w:widowControl/>
              <w:spacing w:line="536" w:lineRule="exact"/>
              <w:jc w:val="center"/>
              <w:rPr>
                <w:rFonts w:ascii="宋体" w:cs="宋体"/>
                <w:color w:val="000000"/>
                <w:kern w:val="0"/>
                <w:sz w:val="15"/>
                <w:szCs w:val="15"/>
              </w:rPr>
            </w:pPr>
            <w:r>
              <w:rPr>
                <w:rFonts w:ascii="宋体" w:hAnsi="宋体" w:cs="宋体"/>
                <w:color w:val="000000"/>
                <w:kern w:val="0"/>
                <w:sz w:val="15"/>
                <w:szCs w:val="15"/>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20" w:type="dxa"/>
            <w:noWrap/>
            <w:vAlign w:val="center"/>
          </w:tcPr>
          <w:p>
            <w:pPr>
              <w:widowControl/>
              <w:spacing w:line="536" w:lineRule="exact"/>
              <w:jc w:val="left"/>
              <w:rPr>
                <w:rFonts w:ascii="宋体" w:cs="宋体"/>
                <w:color w:val="000000"/>
                <w:kern w:val="0"/>
                <w:sz w:val="20"/>
                <w:szCs w:val="20"/>
              </w:rPr>
            </w:pPr>
            <w:r>
              <w:rPr>
                <w:rFonts w:hint="eastAsia" w:ascii="宋体" w:hAnsi="宋体" w:cs="宋体"/>
                <w:color w:val="000000"/>
                <w:kern w:val="0"/>
                <w:sz w:val="20"/>
                <w:szCs w:val="20"/>
              </w:rPr>
              <w:t>总分</w:t>
            </w:r>
          </w:p>
        </w:tc>
        <w:tc>
          <w:tcPr>
            <w:tcW w:w="7259" w:type="dxa"/>
            <w:gridSpan w:val="4"/>
            <w:noWrap/>
            <w:vAlign w:val="center"/>
          </w:tcPr>
          <w:p>
            <w:pPr>
              <w:widowControl/>
              <w:spacing w:line="536" w:lineRule="exact"/>
              <w:jc w:val="center"/>
              <w:rPr>
                <w:rFonts w:ascii="宋体" w:cs="宋体"/>
                <w:color w:val="000000"/>
                <w:kern w:val="0"/>
                <w:sz w:val="15"/>
                <w:szCs w:val="15"/>
              </w:rPr>
            </w:pPr>
            <w:r>
              <w:rPr>
                <w:rFonts w:ascii="宋体" w:hAnsi="宋体" w:cs="宋体"/>
                <w:color w:val="000000"/>
                <w:kern w:val="0"/>
                <w:sz w:val="15"/>
                <w:szCs w:val="15"/>
              </w:rPr>
              <w:t>98</w:t>
            </w:r>
          </w:p>
        </w:tc>
      </w:tr>
    </w:tbl>
    <w:p>
      <w:pPr>
        <w:numPr>
          <w:ilvl w:val="0"/>
          <w:numId w:val="3"/>
        </w:numPr>
        <w:spacing w:line="580" w:lineRule="exact"/>
        <w:ind w:firstLine="643" w:firstLineChars="20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rPr>
        <w:t>绩效目标设置情况</w:t>
      </w:r>
    </w:p>
    <w:p>
      <w:pPr>
        <w:numPr>
          <w:ilvl w:val="0"/>
          <w:numId w:val="0"/>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hint="eastAsia" w:ascii="仿宋_GB2312" w:eastAsia="仿宋_GB2312" w:cs="仿宋_GB2312"/>
          <w:sz w:val="32"/>
          <w:szCs w:val="32"/>
          <w:lang w:eastAsia="zh-CN"/>
        </w:rPr>
        <w:t>2020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eastAsia="zh-CN"/>
        </w:rPr>
        <w:t>金川县畜牧兽医服务中心</w:t>
      </w:r>
      <w:r>
        <w:rPr>
          <w:rFonts w:hint="eastAsia" w:ascii="仿宋_GB2312" w:eastAsia="仿宋_GB2312"/>
          <w:sz w:val="32"/>
          <w:szCs w:val="32"/>
          <w:lang w:val="en-US" w:eastAsia="zh-CN"/>
        </w:rPr>
        <w:t>2020</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lang w:val="en-US" w:eastAsia="zh-CN"/>
        </w:rPr>
        <w:t>整体</w:t>
      </w:r>
      <w:r>
        <w:rPr>
          <w:rFonts w:hint="eastAsia" w:ascii="仿宋_GB2312" w:eastAsia="仿宋_GB2312"/>
          <w:sz w:val="32"/>
          <w:szCs w:val="32"/>
        </w:rPr>
        <w:t>支出绩效</w:t>
      </w:r>
      <w:r>
        <w:rPr>
          <w:rFonts w:hint="eastAsia" w:ascii="仿宋_GB2312" w:eastAsia="仿宋_GB2312"/>
          <w:sz w:val="32"/>
          <w:szCs w:val="32"/>
          <w:lang w:val="en-US" w:eastAsia="zh-CN"/>
        </w:rPr>
        <w:t>评价</w:t>
      </w:r>
      <w:r>
        <w:rPr>
          <w:rFonts w:hint="eastAsia" w:ascii="仿宋_GB2312" w:eastAsia="仿宋_GB2312"/>
          <w:sz w:val="32"/>
          <w:szCs w:val="32"/>
        </w:rPr>
        <w:t>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rPr>
      </w:pPr>
      <w:bookmarkStart w:id="52" w:name="_Toc15377222"/>
      <w:r>
        <w:rPr>
          <w:rFonts w:hint="eastAsia" w:ascii="楷体_GB2312" w:hAnsi="楷体_GB2312" w:eastAsia="楷体_GB2312" w:cs="楷体_GB2312"/>
          <w:b/>
          <w:bCs/>
          <w:color w:val="auto"/>
          <w:sz w:val="32"/>
          <w:szCs w:val="32"/>
          <w:lang w:val="en-US"/>
        </w:rPr>
        <w:t>（一）机关运行经费支出情况</w:t>
      </w:r>
      <w:bookmarkEnd w:id="52"/>
    </w:p>
    <w:p>
      <w:pPr>
        <w:spacing w:line="536" w:lineRule="exact"/>
        <w:ind w:firstLine="640" w:firstLineChars="200"/>
        <w:rPr>
          <w:rFonts w:ascii="仿宋_GB2312" w:eastAsia="仿宋_GB2312"/>
          <w:color w:val="000000"/>
          <w:sz w:val="32"/>
          <w:szCs w:val="32"/>
        </w:rPr>
      </w:pPr>
      <w:bookmarkStart w:id="53" w:name="_Toc15377223"/>
      <w:r>
        <w:rPr>
          <w:rFonts w:hint="eastAsia" w:ascii="仿宋_GB2312" w:eastAsia="仿宋_GB2312"/>
          <w:color w:val="000000"/>
          <w:sz w:val="32"/>
          <w:szCs w:val="32"/>
        </w:rPr>
        <w:t>我单位为事业单位，所以无机关运行经费支出。</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rPr>
        <w:t>（二）政府采购支出情况</w:t>
      </w:r>
      <w:bookmarkEnd w:id="53"/>
    </w:p>
    <w:p>
      <w:pPr>
        <w:spacing w:line="536" w:lineRule="exact"/>
        <w:ind w:firstLine="640" w:firstLineChars="200"/>
        <w:rPr>
          <w:rFonts w:ascii="仿宋_GB2312" w:eastAsia="仿宋_GB2312"/>
          <w:color w:val="000000"/>
          <w:sz w:val="32"/>
          <w:szCs w:val="32"/>
        </w:rPr>
      </w:pPr>
      <w:bookmarkStart w:id="54" w:name="_Toc15377224"/>
      <w:r>
        <w:rPr>
          <w:rFonts w:ascii="仿宋_GB2312" w:eastAsia="仿宋_GB2312"/>
          <w:color w:val="000000"/>
          <w:sz w:val="32"/>
          <w:szCs w:val="32"/>
        </w:rPr>
        <w:t>2020</w:t>
      </w:r>
      <w:r>
        <w:rPr>
          <w:rFonts w:hint="eastAsia" w:ascii="仿宋_GB2312" w:eastAsia="仿宋_GB2312"/>
          <w:color w:val="000000"/>
          <w:sz w:val="32"/>
          <w:szCs w:val="32"/>
        </w:rPr>
        <w:t>年度，政府采购支出总额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580" w:lineRule="exact"/>
        <w:ind w:firstLine="643" w:firstLineChars="20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rPr>
        <w:t>（三）国有资产占有使用情况</w:t>
      </w:r>
      <w:bookmarkEnd w:id="54"/>
    </w:p>
    <w:p>
      <w:pPr>
        <w:autoSpaceDE w:val="0"/>
        <w:autoSpaceDN w:val="0"/>
        <w:adjustRightInd w:val="0"/>
        <w:spacing w:line="536" w:lineRule="exact"/>
        <w:ind w:firstLine="640" w:firstLineChars="200"/>
        <w:jc w:val="left"/>
        <w:rPr>
          <w:rFonts w:hint="eastAsia" w:ascii="仿宋_GB2312" w:eastAsia="仿宋_GB2312"/>
          <w:color w:val="000000"/>
          <w:sz w:val="32"/>
          <w:szCs w:val="32"/>
        </w:rPr>
      </w:pPr>
      <w:bookmarkStart w:id="55" w:name="_Toc15377225"/>
      <w:bookmarkStart w:id="56" w:name="_Toc15396613"/>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536" w:lineRule="exact"/>
        <w:ind w:firstLine="640" w:firstLineChars="200"/>
        <w:jc w:val="center"/>
        <w:rPr>
          <w:rFonts w:hint="eastAsia" w:ascii="仿宋_GB2312" w:eastAsia="仿宋_GB2312"/>
          <w:color w:val="000000"/>
          <w:sz w:val="32"/>
          <w:szCs w:val="32"/>
        </w:rPr>
      </w:pPr>
    </w:p>
    <w:p>
      <w:pPr>
        <w:numPr>
          <w:ilvl w:val="0"/>
          <w:numId w:val="4"/>
        </w:numPr>
        <w:spacing w:line="600" w:lineRule="exact"/>
        <w:ind w:left="0" w:firstLine="663" w:firstLineChars="150"/>
        <w:jc w:val="center"/>
        <w:outlineLvl w:val="0"/>
        <w:rPr>
          <w:rStyle w:val="16"/>
          <w:rFonts w:ascii="黑体" w:eastAsia="黑体"/>
          <w:b w:val="0"/>
        </w:rPr>
      </w:pPr>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除上述项目以外用于教育管理事务方面的支出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color w:val="000000"/>
          <w:sz w:val="44"/>
          <w:szCs w:val="44"/>
        </w:rPr>
      </w:pPr>
      <w:bookmarkStart w:id="57" w:name="_Toc15396614"/>
      <w:bookmarkStart w:id="58" w:name="_Toc15377226"/>
    </w:p>
    <w:p>
      <w:pPr>
        <w:spacing w:line="600" w:lineRule="exact"/>
        <w:jc w:val="both"/>
        <w:outlineLvl w:val="0"/>
        <w:rPr>
          <w:rFonts w:hint="eastAsia" w:ascii="黑体" w:eastAsia="黑体"/>
          <w:color w:val="000000"/>
          <w:sz w:val="44"/>
          <w:szCs w:val="44"/>
        </w:rPr>
      </w:pPr>
    </w:p>
    <w:p>
      <w:pPr>
        <w:numPr>
          <w:ilvl w:val="0"/>
          <w:numId w:val="4"/>
        </w:numPr>
        <w:spacing w:line="600" w:lineRule="exact"/>
        <w:ind w:left="0" w:firstLine="660" w:firstLineChars="150"/>
        <w:jc w:val="center"/>
        <w:outlineLvl w:val="0"/>
        <w:rPr>
          <w:rStyle w:val="16"/>
          <w:rFonts w:hint="eastAsia" w:ascii="黑体" w:eastAsia="黑体"/>
          <w:b w:val="0"/>
        </w:rPr>
      </w:pPr>
      <w:r>
        <w:rPr>
          <w:rStyle w:val="16"/>
          <w:rFonts w:hint="eastAsia" w:ascii="黑体" w:eastAsia="黑体"/>
          <w:b w:val="0"/>
        </w:rPr>
        <w:t>附件</w:t>
      </w:r>
      <w:bookmarkEnd w:id="57"/>
    </w:p>
    <w:p>
      <w:pPr>
        <w:pStyle w:val="3"/>
        <w:rPr>
          <w:rStyle w:val="16"/>
          <w:rFonts w:hint="eastAsia" w:ascii="黑体" w:eastAsia="黑体"/>
          <w:b w:val="0"/>
          <w:bCs/>
        </w:rPr>
      </w:pPr>
      <w:bookmarkStart w:id="59" w:name="_Toc15396615"/>
      <w:r>
        <w:rPr>
          <w:rStyle w:val="16"/>
          <w:rFonts w:hint="eastAsia" w:ascii="仿宋" w:eastAsia="仿宋"/>
          <w:b w:val="0"/>
          <w:bCs w:val="0"/>
          <w:sz w:val="32"/>
          <w:szCs w:val="32"/>
        </w:rPr>
        <w:t>附件1</w:t>
      </w:r>
      <w:bookmarkEnd w:id="59"/>
    </w:p>
    <w:p>
      <w:pPr>
        <w:spacing w:line="240" w:lineRule="auto"/>
        <w:jc w:val="both"/>
        <w:outlineLvl w:val="0"/>
        <w:rPr>
          <w:rStyle w:val="16"/>
          <w:rFonts w:hint="eastAsia" w:ascii="黑体" w:eastAsia="黑体"/>
          <w:b w:val="0"/>
        </w:rPr>
      </w:pPr>
    </w:p>
    <w:bookmarkEnd w:id="58"/>
    <w:p>
      <w:pPr>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right="0" w:rightChars="0"/>
        <w:jc w:val="center"/>
        <w:textAlignment w:val="auto"/>
        <w:rPr>
          <w:rFonts w:hint="eastAsia" w:ascii="方正小标宋简体" w:hAnsi="宋体" w:eastAsia="方正小标宋简体" w:cs="方正小标宋简体"/>
          <w:kern w:val="2"/>
          <w:sz w:val="44"/>
          <w:szCs w:val="44"/>
          <w:lang w:val="en-US" w:eastAsia="zh-CN" w:bidi="ar"/>
        </w:rPr>
      </w:pPr>
      <w:r>
        <w:rPr>
          <w:rFonts w:hint="eastAsia" w:ascii="方正小标宋简体" w:hAnsi="宋体" w:eastAsia="方正小标宋简体" w:cs="方正小标宋简体"/>
          <w:kern w:val="2"/>
          <w:sz w:val="44"/>
          <w:szCs w:val="44"/>
          <w:lang w:val="en-US" w:eastAsia="zh-CN" w:bidi="ar"/>
        </w:rPr>
        <w:t>金川县畜牧兽医服务中心</w:t>
      </w:r>
    </w:p>
    <w:p>
      <w:pPr>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right="0" w:rightChars="0"/>
        <w:jc w:val="center"/>
        <w:textAlignment w:val="auto"/>
        <w:rPr>
          <w:rFonts w:hint="eastAsia" w:ascii="方正小标宋简体" w:hAnsi="宋体" w:eastAsia="方正小标宋简体" w:cs="方正小标宋简体"/>
          <w:kern w:val="2"/>
          <w:sz w:val="44"/>
          <w:szCs w:val="44"/>
          <w:lang w:val="en-US" w:eastAsia="zh-CN" w:bidi="ar"/>
        </w:rPr>
      </w:pPr>
      <w:r>
        <w:rPr>
          <w:rFonts w:hint="eastAsia" w:ascii="方正小标宋简体" w:hAnsi="宋体" w:eastAsia="方正小标宋简体" w:cs="方正小标宋简体"/>
          <w:kern w:val="2"/>
          <w:sz w:val="44"/>
          <w:szCs w:val="44"/>
          <w:lang w:val="en-US" w:eastAsia="zh-CN" w:bidi="ar"/>
        </w:rPr>
        <w:t>2020年部门预算整体支出绩效报告</w:t>
      </w:r>
    </w:p>
    <w:p>
      <w:pPr>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right="0" w:rightChars="0"/>
        <w:jc w:val="both"/>
        <w:textAlignment w:val="auto"/>
        <w:rPr>
          <w:rFonts w:hint="eastAsia" w:ascii="方正小标宋简体" w:hAnsi="宋体" w:eastAsia="方正小标宋简体" w:cs="方正小标宋简体"/>
          <w:kern w:val="2"/>
          <w:sz w:val="44"/>
          <w:szCs w:val="44"/>
          <w:lang w:val="en-US" w:eastAsia="zh-CN" w:bidi="ar"/>
        </w:rPr>
      </w:pPr>
    </w:p>
    <w:p>
      <w:pPr>
        <w:keepNext w:val="0"/>
        <w:keepLines w:val="0"/>
        <w:pageBreakBefore w:val="0"/>
        <w:kinsoku/>
        <w:wordWrap/>
        <w:overflowPunct/>
        <w:topLinePunct w:val="0"/>
        <w:autoSpaceDE/>
        <w:autoSpaceDN/>
        <w:bidi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 w:hAnsi="仿宋" w:eastAsia="仿宋" w:cs="仿宋"/>
          <w:color w:val="000000"/>
          <w:kern w:val="0"/>
          <w:sz w:val="32"/>
          <w:szCs w:val="32"/>
          <w:shd w:val="clear" w:color="auto" w:fill="FFFFFF"/>
        </w:rPr>
        <w:t xml:space="preserve">   </w:t>
      </w:r>
      <w:r>
        <w:rPr>
          <w:rFonts w:hint="eastAsia" w:ascii="仿宋_GB2312" w:hAnsi="Times New Roman" w:eastAsia="仿宋_GB2312" w:cs="仿宋"/>
          <w:color w:val="000000"/>
          <w:kern w:val="0"/>
          <w:sz w:val="32"/>
          <w:szCs w:val="32"/>
          <w:lang w:val="en-US" w:eastAsia="zh-CN" w:bidi="ar-SA"/>
        </w:rPr>
        <w:t xml:space="preserve"> 根据《金川县财政局关于开展2021年部门、政策和项目支出绩效评价工作的通知》（金财监绩〔2021〕26号）文件要求，为深入贯彻落实财政部《项目支出绩效评价管理办法》（财预〔2021〕10号）、《财政厅关于开展2021年部门、政策和项目支出绩效评价工作的通知》（川财绩〔2021〕6号）和《阿坝州财政局关于开展2021年部门、政策和项目支出绩效评价工作的通知》（阿州财监绩〔2021〕11号）文件要求，结合金川县畜牧兽医服务中心的实际，领导高度重视，认真开展部门预算支出绩效自评工作，现将2020年部门预算支出绩效自评工作报告如下：</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zh-CN" w:eastAsia="zh-CN"/>
        </w:rPr>
      </w:pPr>
      <w:r>
        <w:rPr>
          <w:rFonts w:hint="eastAsia" w:ascii="仿宋" w:hAnsi="仿宋" w:eastAsia="仿宋" w:cs="仿宋"/>
          <w:color w:val="000000"/>
          <w:kern w:val="0"/>
          <w:sz w:val="32"/>
          <w:szCs w:val="32"/>
          <w:lang w:val="en-US" w:eastAsia="zh-CN" w:bidi="ar"/>
        </w:rPr>
        <w:t>　　</w:t>
      </w:r>
      <w:r>
        <w:rPr>
          <w:rStyle w:val="17"/>
          <w:rFonts w:hint="eastAsia" w:ascii="黑体" w:eastAsia="黑体" w:cs="Times New Roman"/>
          <w:b w:val="0"/>
          <w:lang w:val="en-US" w:eastAsia="zh-CN"/>
        </w:rPr>
        <w:t>一、</w:t>
      </w:r>
      <w:r>
        <w:rPr>
          <w:rStyle w:val="17"/>
          <w:rFonts w:hint="eastAsia" w:ascii="黑体" w:eastAsia="黑体" w:cs="Times New Roman"/>
          <w:b w:val="0"/>
          <w:lang w:val="zh-CN" w:eastAsia="zh-CN"/>
        </w:rPr>
        <w:t>部门（单位）概况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楷体_GB2312" w:hAnsi="楷体_GB2312" w:eastAsia="楷体_GB2312" w:cs="楷体_GB2312"/>
          <w:b/>
          <w:bCs/>
          <w:color w:val="auto"/>
          <w:sz w:val="32"/>
          <w:szCs w:val="32"/>
          <w:lang w:val="zh-CN" w:eastAsia="zh-CN"/>
        </w:rPr>
        <w:t>（一）机构组成。</w:t>
      </w:r>
    </w:p>
    <w:p>
      <w:pPr>
        <w:keepNext w:val="0"/>
        <w:keepLines w:val="0"/>
        <w:pageBreakBefore w:val="0"/>
        <w:kinsoku/>
        <w:wordWrap/>
        <w:overflowPunct/>
        <w:topLinePunct w:val="0"/>
        <w:autoSpaceDE/>
        <w:autoSpaceDN/>
        <w:bidi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县畜牧兽医服务中心属独立编制机构和独立核算的事业单位。2020年末独立编制机构4个，独立核算机构1个。</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楷体_GB2312" w:hAnsi="楷体_GB2312" w:eastAsia="楷体_GB2312" w:cs="楷体_GB2312"/>
          <w:b/>
          <w:bCs/>
          <w:color w:val="auto"/>
          <w:sz w:val="32"/>
          <w:szCs w:val="32"/>
          <w:lang w:val="zh-CN" w:eastAsia="zh-CN"/>
        </w:rPr>
        <w:t>（二）机构职能。</w:t>
      </w:r>
    </w:p>
    <w:p>
      <w:pPr>
        <w:keepNext w:val="0"/>
        <w:keepLines w:val="0"/>
        <w:pageBreakBefore w:val="0"/>
        <w:kinsoku/>
        <w:wordWrap/>
        <w:overflowPunct/>
        <w:topLinePunct w:val="0"/>
        <w:autoSpaceDE/>
        <w:autoSpaceDN/>
        <w:bidi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金川县畜牧兽医服务中心隶属农业部门，单位性质为事业，实行事业单位会计制度。 基本职能为：拟订全县畜牧、兽医和草业发展的政策、法规、规划、计划，并组织实施；负责指导畜牧业规模化养殖、标准化生产和产业化经营，引导畜牧产业结构的调整、畜牧业资源的有效配置和产品品质的改善；负责地方畜禽遗传资源的保护利用和外引良种的管理，组织开展畜禽新品种繁育和生产新技术的推广；负责饲草资源开发及草地建设、保护和监理工作；负责畜产品质量安全监督管理工作，组织开展畜产品质量安全监督管理，指导畜牧生产环境保护与治理；负责全县动物防疫、检疫、兽医医政、兽药药政及畜牧兽医器械管理工作；负责动物疫病监测及预警预报工作；负责兽药、饲料及畜产品质量安全监督抽检工作；负责动物卫生监督执法管理工作；负责畜牧兽医体系建设和管理工作，承担全县畜牧兽医人才开发工作；组织开展畜牧兽医交流与合作；负责农业巡防工作；负责生猪定点屠宰监督管理；承担上级交办的其他事项。</w:t>
      </w:r>
    </w:p>
    <w:p>
      <w:pPr>
        <w:pStyle w:val="5"/>
        <w:keepNext w:val="0"/>
        <w:keepLines w:val="0"/>
        <w:pageBreakBefore w:val="0"/>
        <w:numPr>
          <w:ilvl w:val="0"/>
          <w:numId w:val="0"/>
        </w:numPr>
        <w:kinsoku/>
        <w:wordWrap/>
        <w:overflowPunct/>
        <w:topLinePunct w:val="0"/>
        <w:autoSpaceDE/>
        <w:autoSpaceDN/>
        <w:bidi w:val="0"/>
        <w:adjustRightInd w:val="0"/>
        <w:snapToGrid w:val="0"/>
        <w:spacing w:before="93" w:after="0" w:afterAutospacing="0" w:line="576" w:lineRule="exact"/>
        <w:ind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（三）人员概况。</w:t>
      </w:r>
    </w:p>
    <w:p>
      <w:pPr>
        <w:keepNext w:val="0"/>
        <w:keepLines w:val="0"/>
        <w:pageBreakBefore w:val="0"/>
        <w:kinsoku/>
        <w:wordWrap/>
        <w:overflowPunct/>
        <w:topLinePunct w:val="0"/>
        <w:autoSpaceDE/>
        <w:autoSpaceDN/>
        <w:bidi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2020年年末实有在职94人，事业人员94人。</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en-US"/>
        </w:rPr>
      </w:pPr>
      <w:r>
        <w:rPr>
          <w:rFonts w:hint="eastAsia" w:ascii="仿宋" w:hAnsi="仿宋" w:eastAsia="仿宋" w:cs="仿宋"/>
          <w:color w:val="000000"/>
          <w:kern w:val="0"/>
          <w:sz w:val="32"/>
          <w:szCs w:val="32"/>
          <w:lang w:val="en-US" w:eastAsia="zh-CN" w:bidi="ar"/>
        </w:rPr>
        <w:t>　</w:t>
      </w:r>
      <w:r>
        <w:rPr>
          <w:rStyle w:val="17"/>
          <w:rFonts w:hint="eastAsia" w:ascii="黑体" w:eastAsia="黑体" w:cs="Times New Roman"/>
          <w:b w:val="0"/>
          <w:lang w:val="en-US" w:eastAsia="zh-CN"/>
        </w:rPr>
        <w:t>　二、部门财政资金收支情况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仿宋" w:hAnsi="仿宋" w:eastAsia="仿宋" w:cs="仿宋"/>
          <w:b/>
          <w:bCs/>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（一）部门财政资金收入情况。</w:t>
      </w:r>
    </w:p>
    <w:p>
      <w:pPr>
        <w:keepNext w:val="0"/>
        <w:keepLines w:val="0"/>
        <w:pageBreakBefore w:val="0"/>
        <w:kinsoku/>
        <w:wordWrap/>
        <w:overflowPunct/>
        <w:topLinePunct w:val="0"/>
        <w:autoSpaceDE/>
        <w:autoSpaceDN/>
        <w:bidi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2020年度当年收入29588092.99元，年初财政拨款结转930439元，共计3051851.99元。</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b/>
          <w:bCs/>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（二）部门财政资金支出情况。</w:t>
      </w:r>
    </w:p>
    <w:p>
      <w:pPr>
        <w:keepNext w:val="0"/>
        <w:keepLines w:val="0"/>
        <w:pageBreakBefore w:val="0"/>
        <w:kinsoku/>
        <w:wordWrap/>
        <w:overflowPunct/>
        <w:topLinePunct w:val="0"/>
        <w:autoSpaceDE/>
        <w:autoSpaceDN/>
        <w:bidi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 w:hAnsi="仿宋" w:eastAsia="仿宋" w:cs="仿宋"/>
          <w:color w:val="000000"/>
          <w:kern w:val="0"/>
          <w:sz w:val="32"/>
          <w:szCs w:val="32"/>
          <w:shd w:val="clear" w:color="auto" w:fill="FFFFFF"/>
          <w:lang w:eastAsia="zh-CN"/>
        </w:rPr>
        <w:t>　　</w:t>
      </w:r>
      <w:r>
        <w:rPr>
          <w:rFonts w:hint="eastAsia" w:ascii="仿宋_GB2312" w:hAnsi="Times New Roman" w:eastAsia="仿宋_GB2312" w:cs="仿宋"/>
          <w:color w:val="000000"/>
          <w:kern w:val="0"/>
          <w:sz w:val="32"/>
          <w:szCs w:val="32"/>
          <w:lang w:val="en-US" w:eastAsia="zh-CN" w:bidi="ar-SA"/>
        </w:rPr>
        <w:t xml:space="preserve"> 2020年度财政资金支出28296861.99元，其中人员经费14898293.22元，日常公用经费790387.07元，项目资金支出12608181.7元。　　</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en-US"/>
        </w:rPr>
      </w:pPr>
      <w:r>
        <w:rPr>
          <w:rFonts w:hint="eastAsia" w:ascii="仿宋" w:hAnsi="仿宋" w:eastAsia="仿宋" w:cs="仿宋"/>
          <w:b/>
          <w:bCs/>
          <w:color w:val="000000"/>
          <w:kern w:val="0"/>
          <w:sz w:val="32"/>
          <w:szCs w:val="32"/>
          <w:lang w:val="en-US" w:eastAsia="zh-CN" w:bidi="ar"/>
        </w:rPr>
        <w:t>　　</w:t>
      </w:r>
      <w:r>
        <w:rPr>
          <w:rStyle w:val="17"/>
          <w:rFonts w:hint="eastAsia" w:ascii="黑体" w:eastAsia="黑体" w:cs="Times New Roman"/>
          <w:b w:val="0"/>
          <w:lang w:val="en-US" w:eastAsia="zh-CN"/>
        </w:rPr>
        <w:t>三、部门财政支出管理情况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firstLine="643" w:firstLineChars="200"/>
        <w:jc w:val="both"/>
        <w:textAlignment w:val="auto"/>
        <w:rPr>
          <w:rFonts w:hint="eastAsia" w:ascii="楷体_GB2312" w:hAnsi="楷体_GB2312" w:eastAsia="楷体_GB2312" w:cs="楷体_GB2312"/>
          <w:b/>
          <w:bCs/>
          <w:color w:val="auto"/>
          <w:kern w:val="2"/>
          <w:sz w:val="32"/>
          <w:szCs w:val="32"/>
          <w:lang w:val="zh-CN" w:eastAsia="zh-CN" w:bidi="ar-SA"/>
        </w:rPr>
      </w:pPr>
      <w:r>
        <w:rPr>
          <w:rFonts w:hint="eastAsia" w:ascii="楷体_GB2312" w:hAnsi="楷体_GB2312" w:eastAsia="楷体_GB2312" w:cs="楷体_GB2312"/>
          <w:b/>
          <w:bCs/>
          <w:color w:val="auto"/>
          <w:kern w:val="2"/>
          <w:sz w:val="32"/>
          <w:szCs w:val="32"/>
          <w:lang w:val="zh-CN" w:eastAsia="zh-CN" w:bidi="ar-SA"/>
        </w:rPr>
        <w:t>（一）预算编制情况。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left="0" w:right="0" w:rightChars="0" w:firstLine="720"/>
        <w:jc w:val="both"/>
        <w:textAlignment w:val="auto"/>
        <w:rPr>
          <w:rFonts w:hint="eastAsia" w:ascii="仿宋" w:hAnsi="仿宋" w:eastAsia="仿宋" w:cs="仿宋"/>
          <w:color w:val="333333"/>
          <w:sz w:val="32"/>
          <w:szCs w:val="32"/>
          <w:shd w:val="clear" w:color="auto" w:fill="FFFFFF"/>
        </w:rPr>
      </w:pPr>
      <w:r>
        <w:rPr>
          <w:rFonts w:hint="eastAsia" w:ascii="仿宋_GB2312" w:hAnsi="Times New Roman" w:eastAsia="仿宋_GB2312" w:cs="仿宋"/>
          <w:color w:val="000000"/>
          <w:kern w:val="0"/>
          <w:sz w:val="32"/>
          <w:szCs w:val="32"/>
          <w:lang w:val="en-US" w:eastAsia="zh-CN" w:bidi="ar-SA"/>
        </w:rPr>
        <w:t>2020年预算编制严格按照县级部门预算编制通知和有关要求，遵守国家编制的原则，按时完成2020年预算编制工作，并按时提交部门预算报告，预算编制全面、科学。</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（二）执行管理情况。</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 w:hAnsi="仿宋" w:eastAsia="仿宋" w:cs="仿宋"/>
          <w:color w:val="333333"/>
          <w:sz w:val="32"/>
          <w:szCs w:val="32"/>
          <w:lang w:eastAsia="zh-CN"/>
        </w:rPr>
        <w:t>　　</w:t>
      </w:r>
      <w:r>
        <w:rPr>
          <w:rFonts w:hint="eastAsia" w:ascii="仿宋" w:hAnsi="仿宋" w:eastAsia="仿宋" w:cs="仿宋"/>
          <w:color w:val="333333"/>
          <w:sz w:val="32"/>
          <w:szCs w:val="32"/>
        </w:rPr>
        <w:t xml:space="preserve"> </w:t>
      </w:r>
      <w:r>
        <w:rPr>
          <w:rFonts w:hint="eastAsia" w:ascii="仿宋_GB2312" w:hAnsi="Times New Roman" w:eastAsia="仿宋_GB2312" w:cs="仿宋"/>
          <w:color w:val="000000"/>
          <w:kern w:val="0"/>
          <w:sz w:val="32"/>
          <w:szCs w:val="32"/>
          <w:lang w:val="en-US" w:eastAsia="zh-CN" w:bidi="ar-SA"/>
        </w:rPr>
        <w:t>2020年预算编制严格按照县级部门预算编制通知和有关要求，遵守国家编制的原则，按时完成2020年预算编制工作，并按时提交部门预算报告，预算编制全面、科学。中央转移支付资金按时到位，我单位按计划进行资金使用。</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 w:hAnsi="仿宋" w:eastAsia="仿宋" w:cs="仿宋"/>
          <w:b/>
          <w:bCs/>
          <w:color w:val="000000"/>
          <w:kern w:val="0"/>
          <w:sz w:val="32"/>
          <w:szCs w:val="32"/>
          <w:shd w:val="clear" w:color="auto" w:fill="FFFFFF"/>
        </w:rPr>
      </w:pPr>
      <w:r>
        <w:rPr>
          <w:rFonts w:hint="eastAsia" w:ascii="仿宋" w:hAnsi="仿宋" w:eastAsia="仿宋" w:cs="仿宋"/>
          <w:b/>
          <w:bCs/>
          <w:color w:val="000000"/>
          <w:kern w:val="0"/>
          <w:sz w:val="32"/>
          <w:szCs w:val="32"/>
          <w:shd w:val="clear" w:color="auto" w:fill="FFFFFF"/>
          <w:lang w:eastAsia="zh-CN"/>
        </w:rPr>
        <w:t>　　</w:t>
      </w:r>
      <w:r>
        <w:rPr>
          <w:rFonts w:hint="eastAsia" w:ascii="仿宋_GB2312" w:hAnsi="Times New Roman" w:eastAsia="仿宋_GB2312" w:cs="仿宋"/>
          <w:b/>
          <w:bCs/>
          <w:color w:val="000000"/>
          <w:kern w:val="0"/>
          <w:sz w:val="32"/>
          <w:szCs w:val="32"/>
          <w:lang w:val="en-US" w:eastAsia="zh-CN" w:bidi="ar-SA"/>
        </w:rPr>
        <w:t>1.事业运转保障。</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 w:hAnsi="仿宋" w:eastAsia="仿宋" w:cs="仿宋"/>
          <w:color w:val="333333"/>
          <w:sz w:val="32"/>
          <w:szCs w:val="32"/>
          <w:shd w:val="clear" w:color="auto" w:fill="FFFFFF"/>
        </w:rPr>
        <w:t xml:space="preserve"> </w:t>
      </w:r>
      <w:r>
        <w:rPr>
          <w:rFonts w:hint="eastAsia" w:ascii="仿宋" w:hAnsi="仿宋" w:eastAsia="仿宋" w:cs="仿宋"/>
          <w:color w:val="333333"/>
          <w:sz w:val="32"/>
          <w:szCs w:val="32"/>
          <w:shd w:val="clear" w:color="auto" w:fill="FFFFFF"/>
          <w:lang w:val="en-US" w:eastAsia="zh-CN"/>
        </w:rPr>
        <w:t xml:space="preserve">   </w:t>
      </w:r>
      <w:r>
        <w:rPr>
          <w:rFonts w:hint="eastAsia" w:ascii="仿宋_GB2312" w:hAnsi="Times New Roman" w:eastAsia="仿宋_GB2312" w:cs="仿宋"/>
          <w:color w:val="000000"/>
          <w:kern w:val="0"/>
          <w:sz w:val="32"/>
          <w:szCs w:val="32"/>
          <w:lang w:val="en-US" w:eastAsia="zh-CN" w:bidi="ar-SA"/>
        </w:rPr>
        <w:t xml:space="preserve">财政拨款安排支出主要用于保障单位正常运转、完成日常工作任务、处置突发事件等工作。 </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eastAsia="仿宋_GB2312" w:cs="仿宋"/>
          <w:color w:val="000000"/>
          <w:kern w:val="0"/>
          <w:sz w:val="32"/>
          <w:szCs w:val="32"/>
          <w:lang w:val="en-US" w:eastAsia="zh-CN" w:bidi="ar-SA"/>
        </w:rPr>
        <w:t xml:space="preserve">    </w:t>
      </w:r>
      <w:r>
        <w:rPr>
          <w:rFonts w:hint="eastAsia" w:ascii="仿宋_GB2312" w:hAnsi="Times New Roman" w:eastAsia="仿宋_GB2312" w:cs="仿宋"/>
          <w:color w:val="000000"/>
          <w:kern w:val="0"/>
          <w:sz w:val="32"/>
          <w:szCs w:val="32"/>
          <w:lang w:val="en-US" w:eastAsia="zh-CN" w:bidi="ar-SA"/>
        </w:rPr>
        <w:t>基本</w:t>
      </w:r>
      <w:r>
        <w:rPr>
          <w:rFonts w:hint="eastAsia" w:ascii="仿宋_GB2312" w:eastAsia="仿宋_GB2312" w:cs="仿宋"/>
          <w:color w:val="000000"/>
          <w:kern w:val="0"/>
          <w:sz w:val="32"/>
          <w:szCs w:val="32"/>
          <w:lang w:val="en-US" w:eastAsia="zh-CN" w:bidi="ar-SA"/>
        </w:rPr>
        <w:t>支出</w:t>
      </w:r>
      <w:bookmarkStart w:id="60" w:name="_GoBack"/>
      <w:bookmarkEnd w:id="60"/>
      <w:r>
        <w:rPr>
          <w:rFonts w:hint="eastAsia" w:ascii="仿宋_GB2312" w:hAnsi="Times New Roman" w:eastAsia="仿宋_GB2312" w:cs="仿宋"/>
          <w:color w:val="000000"/>
          <w:kern w:val="0"/>
          <w:sz w:val="32"/>
          <w:szCs w:val="32"/>
          <w:lang w:val="en-US" w:eastAsia="zh-CN" w:bidi="ar-SA"/>
        </w:rPr>
        <w:t xml:space="preserve">用于保障单位正常运转的日常支出，包括基本工资、津贴补贴等人员经费以及办公费、印刷费、水电费、公务用运行费等日常公用经费。 </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 xml:space="preserve">项目支出，用于保障单位各项项目支出，做到专款专用。 </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b/>
          <w:bCs/>
          <w:i w:val="0"/>
          <w:iCs w:val="0"/>
          <w:color w:val="000000"/>
          <w:kern w:val="0"/>
          <w:sz w:val="32"/>
          <w:szCs w:val="32"/>
          <w:lang w:val="en-US" w:eastAsia="zh-CN" w:bidi="ar-SA"/>
        </w:rPr>
      </w:pPr>
      <w:r>
        <w:rPr>
          <w:rFonts w:hint="eastAsia" w:ascii="仿宋" w:hAnsi="仿宋" w:eastAsia="仿宋" w:cs="仿宋"/>
          <w:color w:val="333333"/>
          <w:sz w:val="32"/>
          <w:szCs w:val="32"/>
        </w:rPr>
        <w:t xml:space="preserve">  </w:t>
      </w:r>
      <w:r>
        <w:rPr>
          <w:rFonts w:hint="eastAsia" w:ascii="仿宋" w:hAnsi="仿宋" w:eastAsia="仿宋" w:cs="仿宋"/>
          <w:color w:val="333333"/>
          <w:sz w:val="32"/>
          <w:szCs w:val="32"/>
          <w:lang w:eastAsia="zh-CN"/>
        </w:rPr>
        <w:t>　</w:t>
      </w:r>
      <w:r>
        <w:rPr>
          <w:rFonts w:hint="eastAsia" w:ascii="仿宋_GB2312" w:hAnsi="Times New Roman" w:eastAsia="仿宋_GB2312" w:cs="仿宋"/>
          <w:b/>
          <w:bCs/>
          <w:i w:val="0"/>
          <w:iCs w:val="0"/>
          <w:color w:val="000000"/>
          <w:kern w:val="0"/>
          <w:sz w:val="32"/>
          <w:szCs w:val="32"/>
          <w:lang w:val="en-US" w:eastAsia="zh-CN" w:bidi="ar-SA"/>
        </w:rPr>
        <w:t>2.单位厉行节约。</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我单位认真贯彻落实中央和省委省政府相关规定，厉行节约，严格控制因公出国（境）费用、会议费、车辆购置及运行费用和公务接待经费。2020年因公出国（境）费用0元、会议费0元、车辆购置0元，公务用车运行费用预算数为28500元（实际支出24614.72）、公务接待费预算数为4750元（实际支出4750元）。</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 w:hAnsi="仿宋" w:eastAsia="仿宋" w:cs="仿宋"/>
          <w:b/>
          <w:bCs/>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eastAsia="zh-CN"/>
        </w:rPr>
        <w:t>　</w:t>
      </w:r>
      <w:r>
        <w:rPr>
          <w:rFonts w:hint="eastAsia" w:ascii="仿宋_GB2312" w:hAnsi="Times New Roman" w:eastAsia="仿宋_GB2312" w:cs="仿宋"/>
          <w:b/>
          <w:bCs/>
          <w:color w:val="000000"/>
          <w:kern w:val="0"/>
          <w:sz w:val="32"/>
          <w:szCs w:val="32"/>
          <w:lang w:val="en-US" w:eastAsia="zh-CN" w:bidi="ar-SA"/>
        </w:rPr>
        <w:t>　3.单位节能降耗。</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严格控制办公用电，2020年度电费预算数为60000元，实际支出56500元。</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right="0" w:rightChars="0" w:firstLine="643" w:firstLineChars="200"/>
        <w:jc w:val="both"/>
        <w:textAlignment w:val="auto"/>
        <w:rPr>
          <w:rFonts w:hint="eastAsia" w:ascii="楷体_GB2312" w:hAnsi="楷体_GB2312" w:eastAsia="楷体_GB2312" w:cs="楷体_GB2312"/>
          <w:b/>
          <w:bCs/>
          <w:color w:val="auto"/>
          <w:kern w:val="2"/>
          <w:sz w:val="32"/>
          <w:szCs w:val="32"/>
          <w:lang w:val="zh-CN" w:eastAsia="zh-CN" w:bidi="ar-SA"/>
        </w:rPr>
      </w:pPr>
      <w:r>
        <w:rPr>
          <w:rFonts w:hint="eastAsia" w:ascii="楷体_GB2312" w:hAnsi="楷体_GB2312" w:eastAsia="楷体_GB2312" w:cs="楷体_GB2312"/>
          <w:b/>
          <w:bCs/>
          <w:color w:val="auto"/>
          <w:kern w:val="2"/>
          <w:sz w:val="32"/>
          <w:szCs w:val="32"/>
          <w:lang w:val="zh-CN" w:eastAsia="zh-CN" w:bidi="ar-SA"/>
        </w:rPr>
        <w:t>（三）综合管理情况</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 w:hAnsi="仿宋" w:eastAsia="仿宋" w:cs="仿宋"/>
          <w:color w:val="333333"/>
          <w:sz w:val="32"/>
          <w:szCs w:val="32"/>
          <w:shd w:val="clear" w:color="auto" w:fill="FFFFFF"/>
        </w:rPr>
        <w:t xml:space="preserve"> </w:t>
      </w:r>
      <w:r>
        <w:rPr>
          <w:rFonts w:hint="eastAsia" w:ascii="仿宋" w:hAnsi="仿宋" w:eastAsia="仿宋" w:cs="仿宋"/>
          <w:color w:val="333333"/>
          <w:sz w:val="32"/>
          <w:szCs w:val="32"/>
          <w:shd w:val="clear" w:color="auto" w:fill="FFFFFF"/>
          <w:lang w:eastAsia="zh-CN"/>
        </w:rPr>
        <w:t>　</w:t>
      </w:r>
      <w:r>
        <w:rPr>
          <w:rFonts w:hint="eastAsia" w:ascii="仿宋" w:hAnsi="仿宋" w:eastAsia="仿宋" w:cs="仿宋"/>
          <w:color w:val="333333"/>
          <w:sz w:val="32"/>
          <w:szCs w:val="32"/>
          <w:shd w:val="clear" w:color="auto" w:fill="FFFFFF"/>
          <w:lang w:val="en-US" w:eastAsia="zh-CN"/>
        </w:rPr>
        <w:t xml:space="preserve"> </w:t>
      </w:r>
      <w:r>
        <w:rPr>
          <w:rFonts w:hint="eastAsia" w:ascii="仿宋_GB2312" w:hAnsi="Times New Roman" w:eastAsia="仿宋_GB2312" w:cs="仿宋"/>
          <w:color w:val="000000"/>
          <w:kern w:val="0"/>
          <w:sz w:val="32"/>
          <w:szCs w:val="32"/>
          <w:lang w:val="en-US" w:eastAsia="zh-CN" w:bidi="ar-SA"/>
        </w:rPr>
        <w:t>我单位财务管理制度健全，执行制度严格合规，会计核算符合相关规定，资金专款专用，资金支付依据和开支标准合法合规，严格执行政府采购。依法接受财政监督管理。</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right="0" w:rightChars="0" w:firstLine="643" w:firstLineChars="200"/>
        <w:jc w:val="both"/>
        <w:textAlignment w:val="auto"/>
        <w:rPr>
          <w:rFonts w:hint="eastAsia" w:ascii="楷体_GB2312" w:hAnsi="楷体_GB2312" w:eastAsia="楷体_GB2312" w:cs="楷体_GB2312"/>
          <w:b/>
          <w:bCs/>
          <w:color w:val="auto"/>
          <w:kern w:val="2"/>
          <w:sz w:val="32"/>
          <w:szCs w:val="32"/>
          <w:lang w:val="zh-CN" w:eastAsia="zh-CN" w:bidi="ar-SA"/>
        </w:rPr>
      </w:pPr>
      <w:r>
        <w:rPr>
          <w:rFonts w:hint="eastAsia" w:ascii="楷体_GB2312" w:hAnsi="楷体_GB2312" w:eastAsia="楷体_GB2312" w:cs="楷体_GB2312"/>
          <w:b/>
          <w:bCs/>
          <w:color w:val="auto"/>
          <w:kern w:val="2"/>
          <w:sz w:val="32"/>
          <w:szCs w:val="32"/>
          <w:lang w:val="zh-CN" w:eastAsia="zh-CN" w:bidi="ar-SA"/>
        </w:rPr>
        <w:t>（四）整体绩效</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1.预算编制：</w:t>
      </w:r>
      <w:r>
        <w:rPr>
          <w:rFonts w:hint="eastAsia" w:ascii="仿宋_GB2312" w:hAnsi="Times New Roman" w:eastAsia="仿宋_GB2312" w:cs="仿宋"/>
          <w:color w:val="000000"/>
          <w:kern w:val="0"/>
          <w:sz w:val="32"/>
          <w:szCs w:val="32"/>
          <w:lang w:val="zh-CN" w:eastAsia="zh-CN" w:bidi="ar-SA"/>
        </w:rPr>
        <w:t>我单位对严格按照部门是否按照州级部门预算编制通知和有关要求，按时完成基础库、项目库报送工作；预算编制准确；根据对预算草案审查结果进行考核；部门整体绩效目标编制完整、合理；项目绩效目标编制明确、量化；按规定提前下达转移支付；按规定分地区分项目编制专项转移支付。</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2.预算执行：</w:t>
      </w:r>
      <w:r>
        <w:rPr>
          <w:rFonts w:hint="eastAsia" w:ascii="仿宋_GB2312" w:hAnsi="Times New Roman" w:eastAsia="仿宋_GB2312" w:cs="仿宋"/>
          <w:color w:val="000000"/>
          <w:kern w:val="0"/>
          <w:sz w:val="32"/>
          <w:szCs w:val="32"/>
          <w:lang w:val="zh-CN" w:eastAsia="zh-CN" w:bidi="ar-SA"/>
        </w:rPr>
        <w:t>按规定及时分配财力专项预算；按《预算法》规定在一个月内分配上级专款；部门按要求严格预算执行管理；当中期评估调整取消资金与结余注销资金之和为零；严格执行“三公经费”预算。</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3.综合管理：</w:t>
      </w:r>
      <w:r>
        <w:rPr>
          <w:rFonts w:hint="eastAsia" w:ascii="仿宋_GB2312" w:hAnsi="Times New Roman" w:eastAsia="仿宋_GB2312" w:cs="仿宋"/>
          <w:color w:val="000000"/>
          <w:kern w:val="0"/>
          <w:sz w:val="32"/>
          <w:szCs w:val="32"/>
          <w:lang w:val="zh-CN" w:eastAsia="zh-CN" w:bidi="ar-SA"/>
        </w:rPr>
        <w:t>按规定做好政府性债务还本付息工作；按照规定的项目、标准、征收方式执收非税收入，非税收入项目设立的权限和缓减免的依据，对非税收入进行缓减免；及时足额将非税收入缴入财政；实施计划与政府采购预算的一致；执行的实施计划与备案的实施计划的一致；将国有资产纳入资产信息系统管理情况；按要求及时、准确、全面开展资产清查工作情况；上报国有资产报表数据的真实、准确、全面；部门内部控制制度的设置合理和执行严格及时；在财政批复后二十日内向社会公开本部门预算（含所有财政资金安排的“三公”经费、机关运行经费的安排、使用情况等）；在财政部门批复二十日内向社会公开本部门决算（含所有财政资金安排的“三公”经费、机关运行经费的安排、使用情况等）；公开部门整体支出绩效自评报告及其他按要求应公开的绩效信息；实施绩效评价项目资金全覆盖；对下级预算单位开展整体绩效评价；按要求向财政部门报告自评报告等相关绩效信息；按要求针对绩效评价发现问题制定整改措施，并整改落实到位；根据相关自查自纠报告、报表报送时效和质量进行考核；根据检查组提供的工作底稿、检查报告等资料进行考核；根据相关整改报告、凭证依据等相关证明材料进行考核。</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4.整体效益：</w:t>
      </w:r>
      <w:r>
        <w:rPr>
          <w:rFonts w:hint="eastAsia" w:ascii="仿宋_GB2312" w:hAnsi="Times New Roman" w:eastAsia="仿宋_GB2312" w:cs="仿宋"/>
          <w:color w:val="000000"/>
          <w:kern w:val="0"/>
          <w:sz w:val="32"/>
          <w:szCs w:val="32"/>
          <w:lang w:val="zh-CN" w:eastAsia="zh-CN" w:bidi="ar-SA"/>
        </w:rPr>
        <w:t>实施重大项目的经济、社会效益；根据部门职能职责、省级主管部门和州委州政府安排的各项专项工作任务及其他年度重点工作任务等，汇总梳理形成能够量化衡量且全面反映部门职能工作完成情况的若干指标。</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zh-CN" w:eastAsia="zh-CN" w:bidi="ar-SA"/>
        </w:rPr>
        <w:t>其职责严格履行其职务，有效提高了畜牧产品安全，受到人民群众高度评价，服务对象满意度高，绩效考核自查评分</w:t>
      </w:r>
      <w:r>
        <w:rPr>
          <w:rFonts w:hint="eastAsia" w:ascii="仿宋_GB2312" w:hAnsi="Times New Roman" w:eastAsia="仿宋_GB2312" w:cs="仿宋"/>
          <w:color w:val="000000"/>
          <w:kern w:val="0"/>
          <w:sz w:val="32"/>
          <w:szCs w:val="32"/>
          <w:lang w:val="en-US" w:eastAsia="zh-CN" w:bidi="ar-SA"/>
        </w:rPr>
        <w:t>95分</w:t>
      </w:r>
      <w:r>
        <w:rPr>
          <w:rFonts w:hint="eastAsia" w:ascii="仿宋_GB2312" w:hAnsi="Times New Roman" w:eastAsia="仿宋_GB2312" w:cs="仿宋"/>
          <w:color w:val="000000"/>
          <w:kern w:val="0"/>
          <w:sz w:val="32"/>
          <w:szCs w:val="32"/>
          <w:lang w:val="zh-CN" w:eastAsia="zh-CN" w:bidi="ar-SA"/>
        </w:rPr>
        <w:t>。</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line="576" w:lineRule="exact"/>
        <w:ind w:right="0" w:rightChars="0" w:firstLine="640" w:firstLineChars="200"/>
        <w:jc w:val="both"/>
        <w:textAlignment w:val="auto"/>
        <w:rPr>
          <w:rStyle w:val="17"/>
          <w:rFonts w:hint="eastAsia" w:ascii="黑体" w:eastAsia="黑体" w:cs="Times New Roman"/>
          <w:b w:val="0"/>
          <w:lang w:val="en-US" w:eastAsia="zh-CN"/>
        </w:rPr>
      </w:pPr>
      <w:r>
        <w:rPr>
          <w:rStyle w:val="17"/>
          <w:rFonts w:hint="eastAsia" w:ascii="黑体" w:eastAsia="黑体" w:cs="Times New Roman"/>
          <w:b w:val="0"/>
          <w:lang w:val="en-US" w:eastAsia="zh-CN"/>
        </w:rPr>
        <w:t>四、评价结论及建议</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right="0" w:rightChars="0" w:firstLine="643" w:firstLineChars="200"/>
        <w:jc w:val="both"/>
        <w:textAlignment w:val="auto"/>
        <w:rPr>
          <w:rFonts w:hint="eastAsia" w:ascii="楷体_GB2312" w:hAnsi="楷体_GB2312" w:eastAsia="楷体_GB2312" w:cs="楷体_GB2312"/>
          <w:b/>
          <w:bCs/>
          <w:color w:val="auto"/>
          <w:kern w:val="2"/>
          <w:sz w:val="32"/>
          <w:szCs w:val="32"/>
          <w:lang w:val="zh-CN" w:eastAsia="zh-CN" w:bidi="ar-SA"/>
        </w:rPr>
      </w:pPr>
      <w:r>
        <w:rPr>
          <w:rFonts w:hint="eastAsia" w:ascii="楷体_GB2312" w:hAnsi="楷体_GB2312" w:eastAsia="楷体_GB2312" w:cs="楷体_GB2312"/>
          <w:b/>
          <w:bCs/>
          <w:color w:val="auto"/>
          <w:kern w:val="2"/>
          <w:sz w:val="32"/>
          <w:szCs w:val="32"/>
          <w:lang w:val="zh-CN" w:eastAsia="zh-CN" w:bidi="ar-SA"/>
        </w:rPr>
        <w:t>（一）评价结论。</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firstLine="640" w:firstLineChars="20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zh-CN" w:eastAsia="zh-CN" w:bidi="ar-SA"/>
        </w:rPr>
        <w:t>我单位2020年部门支出与年初预算基本一致，达到预期绩效目标。其职责严格履行其职务，有效提高了畜牧产品安全，受到人民群众高度评价，服务对象满意度高，绩效考核自查评分</w:t>
      </w:r>
      <w:r>
        <w:rPr>
          <w:rFonts w:hint="eastAsia" w:ascii="仿宋_GB2312" w:hAnsi="Times New Roman" w:eastAsia="仿宋_GB2312" w:cs="仿宋"/>
          <w:color w:val="000000"/>
          <w:kern w:val="0"/>
          <w:sz w:val="32"/>
          <w:szCs w:val="32"/>
          <w:lang w:val="en-US" w:eastAsia="zh-CN" w:bidi="ar-SA"/>
        </w:rPr>
        <w:t>95分</w:t>
      </w:r>
      <w:r>
        <w:rPr>
          <w:rFonts w:hint="eastAsia" w:ascii="仿宋_GB2312" w:hAnsi="Times New Roman" w:eastAsia="仿宋_GB2312" w:cs="仿宋"/>
          <w:color w:val="000000"/>
          <w:kern w:val="0"/>
          <w:sz w:val="32"/>
          <w:szCs w:val="32"/>
          <w:lang w:val="zh-CN" w:eastAsia="zh-CN" w:bidi="ar-SA"/>
        </w:rPr>
        <w:t>。</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（二）存在问题。</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 w:hAnsi="仿宋" w:eastAsia="仿宋" w:cs="仿宋"/>
          <w:color w:val="333333"/>
          <w:sz w:val="32"/>
          <w:szCs w:val="32"/>
          <w:shd w:val="clear" w:color="auto" w:fill="FFFFFF"/>
          <w:lang w:eastAsia="zh-CN"/>
        </w:rPr>
        <w:t>　　</w:t>
      </w:r>
      <w:r>
        <w:rPr>
          <w:rFonts w:hint="eastAsia" w:ascii="仿宋_GB2312" w:hAnsi="Times New Roman" w:eastAsia="仿宋_GB2312" w:cs="仿宋"/>
          <w:color w:val="000000"/>
          <w:kern w:val="0"/>
          <w:sz w:val="32"/>
          <w:szCs w:val="32"/>
          <w:lang w:val="zh-CN" w:eastAsia="zh-CN" w:bidi="ar-SA"/>
        </w:rPr>
        <w:t>预算编制</w:t>
      </w:r>
      <w:r>
        <w:rPr>
          <w:rFonts w:hint="eastAsia" w:ascii="仿宋_GB2312" w:eastAsia="仿宋_GB2312" w:cs="仿宋"/>
          <w:color w:val="000000"/>
          <w:kern w:val="0"/>
          <w:sz w:val="32"/>
          <w:szCs w:val="32"/>
          <w:lang w:val="zh-CN" w:eastAsia="zh-CN" w:bidi="ar-SA"/>
        </w:rPr>
        <w:t>内容</w:t>
      </w:r>
      <w:r>
        <w:rPr>
          <w:rFonts w:hint="eastAsia" w:ascii="仿宋_GB2312" w:hAnsi="Times New Roman" w:eastAsia="仿宋_GB2312" w:cs="仿宋"/>
          <w:color w:val="000000"/>
          <w:kern w:val="0"/>
          <w:sz w:val="32"/>
          <w:szCs w:val="32"/>
          <w:lang w:val="zh-CN" w:eastAsia="zh-CN" w:bidi="ar-SA"/>
        </w:rPr>
        <w:t>还需进一步细化</w:t>
      </w:r>
      <w:r>
        <w:rPr>
          <w:rFonts w:hint="eastAsia" w:ascii="仿宋_GB2312" w:eastAsia="仿宋_GB2312" w:cs="仿宋"/>
          <w:color w:val="000000"/>
          <w:kern w:val="0"/>
          <w:sz w:val="32"/>
          <w:szCs w:val="32"/>
          <w:lang w:val="zh-CN" w:eastAsia="zh-CN" w:bidi="ar-SA"/>
        </w:rPr>
        <w:t>，科目还需要更全面。</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76" w:lineRule="exact"/>
        <w:ind w:leftChars="0" w:right="0" w:rightChars="0"/>
        <w:jc w:val="both"/>
        <w:textAlignment w:val="auto"/>
        <w:rPr>
          <w:rFonts w:hint="eastAsia" w:ascii="仿宋" w:hAnsi="仿宋" w:eastAsia="仿宋" w:cs="仿宋"/>
          <w:b/>
          <w:bCs/>
          <w:color w:val="000000"/>
          <w:kern w:val="0"/>
          <w:sz w:val="32"/>
          <w:szCs w:val="32"/>
          <w:lang w:val="zh-CN" w:eastAsia="zh-CN" w:bidi="ar"/>
        </w:rPr>
      </w:pPr>
      <w:r>
        <w:rPr>
          <w:rFonts w:hint="eastAsia" w:ascii="仿宋" w:hAnsi="仿宋" w:eastAsia="仿宋" w:cs="仿宋"/>
          <w:b/>
          <w:bCs/>
          <w:color w:val="000000"/>
          <w:kern w:val="0"/>
          <w:sz w:val="32"/>
          <w:szCs w:val="32"/>
          <w:lang w:val="zh-CN" w:eastAsia="zh-CN" w:bidi="ar"/>
        </w:rPr>
        <w:t>　　</w:t>
      </w:r>
      <w:r>
        <w:rPr>
          <w:rFonts w:hint="eastAsia" w:ascii="楷体_GB2312" w:hAnsi="楷体_GB2312" w:eastAsia="楷体_GB2312" w:cs="楷体_GB2312"/>
          <w:b/>
          <w:bCs/>
          <w:color w:val="auto"/>
          <w:kern w:val="2"/>
          <w:sz w:val="32"/>
          <w:szCs w:val="32"/>
          <w:lang w:val="zh-CN" w:eastAsia="zh-CN" w:bidi="ar-SA"/>
        </w:rPr>
        <w:t>（三）改进建议。</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 w:hAnsi="仿宋" w:eastAsia="仿宋" w:cs="仿宋"/>
          <w:color w:val="333333"/>
          <w:sz w:val="32"/>
          <w:szCs w:val="32"/>
          <w:shd w:val="clear" w:color="auto" w:fill="FFFFFF"/>
          <w:lang w:val="en-US" w:eastAsia="zh-CN"/>
        </w:rPr>
        <w:t>　　</w:t>
      </w:r>
      <w:r>
        <w:rPr>
          <w:rFonts w:hint="eastAsia" w:ascii="仿宋_GB2312" w:hAnsi="Times New Roman" w:eastAsia="仿宋_GB2312" w:cs="仿宋"/>
          <w:color w:val="000000"/>
          <w:kern w:val="0"/>
          <w:sz w:val="32"/>
          <w:szCs w:val="32"/>
          <w:lang w:val="en-US" w:eastAsia="zh-CN" w:bidi="ar-SA"/>
        </w:rPr>
        <w:t>1.</w:t>
      </w:r>
      <w:r>
        <w:rPr>
          <w:rFonts w:hint="eastAsia" w:ascii="仿宋_GB2312" w:hAnsi="Times New Roman" w:eastAsia="仿宋_GB2312" w:cs="仿宋"/>
          <w:color w:val="000000"/>
          <w:kern w:val="0"/>
          <w:sz w:val="32"/>
          <w:szCs w:val="32"/>
          <w:lang w:val="zh-CN" w:eastAsia="zh-CN" w:bidi="ar-SA"/>
        </w:rPr>
        <w:t xml:space="preserve">遵循先有预算、后有支出的原则，加强财务管理和内部控制监督制度。严禁超预算和无预算安排支出，严格开支范围和标准，严格支出报销审核，不报销任何超范围、超标准的费用。 </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hint="eastAsia" w:ascii="仿宋_GB2312" w:hAnsi="Times New Roman" w:eastAsia="仿宋_GB2312" w:cs="仿宋"/>
          <w:color w:val="000000"/>
          <w:kern w:val="0"/>
          <w:sz w:val="32"/>
          <w:szCs w:val="32"/>
          <w:lang w:val="zh-CN" w:eastAsia="zh-CN" w:bidi="ar-SA"/>
        </w:rPr>
      </w:pPr>
      <w:r>
        <w:rPr>
          <w:rFonts w:hint="eastAsia" w:ascii="仿宋_GB2312" w:hAnsi="Times New Roman" w:eastAsia="仿宋_GB2312" w:cs="仿宋"/>
          <w:color w:val="000000"/>
          <w:kern w:val="0"/>
          <w:sz w:val="32"/>
          <w:szCs w:val="32"/>
          <w:lang w:val="en-US" w:eastAsia="zh-CN" w:bidi="ar-SA"/>
        </w:rPr>
        <w:t>　　2.</w:t>
      </w:r>
      <w:r>
        <w:rPr>
          <w:rFonts w:hint="eastAsia" w:ascii="仿宋_GB2312" w:hAnsi="Times New Roman" w:eastAsia="仿宋_GB2312" w:cs="仿宋"/>
          <w:color w:val="000000"/>
          <w:kern w:val="0"/>
          <w:sz w:val="32"/>
          <w:szCs w:val="32"/>
          <w:lang w:val="zh-CN" w:eastAsia="zh-CN" w:bidi="ar-SA"/>
        </w:rPr>
        <w:t>严格控制“三公”经费。认真贯彻落实中央、省委省政府和县委县政府相关规定，严格“三公”经费支出的审核和审批，合理压缩“三公”经费支出。</w:t>
      </w:r>
    </w:p>
    <w:p>
      <w:pPr>
        <w:keepNext w:val="0"/>
        <w:keepLines w:val="0"/>
        <w:pageBreakBefore w:val="0"/>
        <w:widowControl/>
        <w:kinsoku/>
        <w:wordWrap/>
        <w:overflowPunct/>
        <w:topLinePunct w:val="0"/>
        <w:autoSpaceDE/>
        <w:autoSpaceDN/>
        <w:bidi w:val="0"/>
        <w:adjustRightInd w:val="0"/>
        <w:snapToGrid w:val="0"/>
        <w:spacing w:afterAutospacing="0" w:line="576" w:lineRule="exact"/>
        <w:ind w:right="0" w:rightChars="0"/>
        <w:jc w:val="both"/>
        <w:textAlignment w:val="auto"/>
        <w:rPr>
          <w:rFonts w:ascii="仿宋" w:eastAsia="仿宋"/>
          <w:color w:val="000000"/>
        </w:rPr>
      </w:pPr>
      <w:r>
        <w:rPr>
          <w:rFonts w:hint="eastAsia" w:ascii="仿宋_GB2312" w:hAnsi="Times New Roman" w:eastAsia="仿宋_GB2312" w:cs="仿宋"/>
          <w:color w:val="000000"/>
          <w:kern w:val="0"/>
          <w:sz w:val="32"/>
          <w:szCs w:val="32"/>
          <w:lang w:val="en-US" w:eastAsia="zh-CN" w:bidi="ar-SA"/>
        </w:rPr>
        <w:t>　　3.</w:t>
      </w:r>
      <w:r>
        <w:rPr>
          <w:rFonts w:hint="eastAsia" w:ascii="仿宋_GB2312" w:hAnsi="Times New Roman" w:eastAsia="仿宋_GB2312" w:cs="仿宋"/>
          <w:color w:val="000000"/>
          <w:kern w:val="0"/>
          <w:sz w:val="32"/>
          <w:szCs w:val="32"/>
          <w:lang w:val="zh-CN" w:eastAsia="zh-CN" w:bidi="ar-SA"/>
        </w:rPr>
        <w:t>节能降耗，厉行节约，节约能源。</w:t>
      </w: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01199"/>
    <w:multiLevelType w:val="singleLevel"/>
    <w:tmpl w:val="88201199"/>
    <w:lvl w:ilvl="0" w:tentative="0">
      <w:start w:val="4"/>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A45E48"/>
    <w:rsid w:val="03AB08C8"/>
    <w:rsid w:val="03D7756B"/>
    <w:rsid w:val="04C62A98"/>
    <w:rsid w:val="05871628"/>
    <w:rsid w:val="0B5E154E"/>
    <w:rsid w:val="0C051E3E"/>
    <w:rsid w:val="0D0B738F"/>
    <w:rsid w:val="0D865C6C"/>
    <w:rsid w:val="0EA91F58"/>
    <w:rsid w:val="0F3C6D0D"/>
    <w:rsid w:val="0FEF767D"/>
    <w:rsid w:val="11541849"/>
    <w:rsid w:val="14DB5974"/>
    <w:rsid w:val="17BE2A62"/>
    <w:rsid w:val="1BED691D"/>
    <w:rsid w:val="1BEF768A"/>
    <w:rsid w:val="1C2A75D8"/>
    <w:rsid w:val="215E02EB"/>
    <w:rsid w:val="220C2572"/>
    <w:rsid w:val="265C7ECF"/>
    <w:rsid w:val="27181EA1"/>
    <w:rsid w:val="29146213"/>
    <w:rsid w:val="2A8036E5"/>
    <w:rsid w:val="2E2E5FA3"/>
    <w:rsid w:val="2E942910"/>
    <w:rsid w:val="31C358CE"/>
    <w:rsid w:val="3249108D"/>
    <w:rsid w:val="33AD4259"/>
    <w:rsid w:val="35EA59A2"/>
    <w:rsid w:val="37A3644D"/>
    <w:rsid w:val="396901DE"/>
    <w:rsid w:val="3E0708BD"/>
    <w:rsid w:val="3E0E5910"/>
    <w:rsid w:val="3E276DD7"/>
    <w:rsid w:val="3E642844"/>
    <w:rsid w:val="3F48286B"/>
    <w:rsid w:val="464C68B4"/>
    <w:rsid w:val="49807AD3"/>
    <w:rsid w:val="4AC96965"/>
    <w:rsid w:val="4D6906E5"/>
    <w:rsid w:val="4DC30881"/>
    <w:rsid w:val="4E4F17A0"/>
    <w:rsid w:val="527612F0"/>
    <w:rsid w:val="54675875"/>
    <w:rsid w:val="54920F88"/>
    <w:rsid w:val="54D220BB"/>
    <w:rsid w:val="551D5178"/>
    <w:rsid w:val="55ED217D"/>
    <w:rsid w:val="56295335"/>
    <w:rsid w:val="572C7FDA"/>
    <w:rsid w:val="578B1BF8"/>
    <w:rsid w:val="5B2E153D"/>
    <w:rsid w:val="5D642FA0"/>
    <w:rsid w:val="5EEC7074"/>
    <w:rsid w:val="620C3EF3"/>
    <w:rsid w:val="637140B0"/>
    <w:rsid w:val="6408168D"/>
    <w:rsid w:val="641F7B6D"/>
    <w:rsid w:val="653B42C9"/>
    <w:rsid w:val="654E5362"/>
    <w:rsid w:val="65F5337B"/>
    <w:rsid w:val="67FE1D18"/>
    <w:rsid w:val="6991407E"/>
    <w:rsid w:val="6B27284C"/>
    <w:rsid w:val="6E9E2179"/>
    <w:rsid w:val="72FC3F68"/>
    <w:rsid w:val="73EB49FF"/>
    <w:rsid w:val="75536805"/>
    <w:rsid w:val="767C575E"/>
    <w:rsid w:val="770865D0"/>
    <w:rsid w:val="77BB69FE"/>
    <w:rsid w:val="7B3F69CB"/>
    <w:rsid w:val="7B8836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5.xml"/><Relationship Id="rId3" Type="http://schemas.microsoft.com/office/2011/relationships/chartStyle" Target="style5.xml"/><Relationship Id="rId2" Type="http://schemas.openxmlformats.org/officeDocument/2006/relationships/themeOverride" Target="../theme/themeOverrid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oleObject" Target="file:///C:\Users\Administrator.PC-20161220USVT\Desktop\&#24037;&#20316;&#31807;1.xlsx" TargetMode="External"/></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file:///C:\Users\Administrator.PC-20161220USVT\Desktop\&#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[工作簿1]Sheet1!$A$1:$D$1</c:f>
              <c:strCache>
                <c:ptCount val="4"/>
                <c:pt idx="0">
                  <c:v>2019年收入</c:v>
                </c:pt>
                <c:pt idx="1">
                  <c:v>2020年收入</c:v>
                </c:pt>
                <c:pt idx="2">
                  <c:v>2019年支出</c:v>
                </c:pt>
                <c:pt idx="3">
                  <c:v>2020年支出</c:v>
                </c:pt>
              </c:strCache>
            </c:strRef>
          </c:cat>
          <c:val>
            <c:numRef>
              <c:f>[工作簿1]Sheet1!$A$2:$D$2</c:f>
              <c:numCache>
                <c:formatCode>General</c:formatCode>
                <c:ptCount val="4"/>
                <c:pt idx="0">
                  <c:v>3111.82</c:v>
                </c:pt>
                <c:pt idx="1" c:formatCode="0.00_ ">
                  <c:v>2958.81</c:v>
                </c:pt>
                <c:pt idx="2">
                  <c:v>3445.07</c:v>
                </c:pt>
                <c:pt idx="3" c:formatCode="0.00_ ">
                  <c:v>2829.69</c:v>
                </c:pt>
              </c:numCache>
            </c:numRef>
          </c:val>
        </c:ser>
        <c:dLbls>
          <c:showLegendKey val="0"/>
          <c:showVal val="0"/>
          <c:showCatName val="0"/>
          <c:showSerName val="0"/>
          <c:showPercent val="0"/>
          <c:showBubbleSize val="0"/>
        </c:dLbls>
        <c:gapWidth val="219"/>
        <c:overlap val="-27"/>
        <c:axId val="573655121"/>
        <c:axId val="280926125"/>
      </c:barChart>
      <c:catAx>
        <c:axId val="5736551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926125"/>
        <c:crosses val="autoZero"/>
        <c:auto val="1"/>
        <c:lblAlgn val="ctr"/>
        <c:lblOffset val="100"/>
        <c:noMultiLvlLbl val="0"/>
      </c:catAx>
      <c:valAx>
        <c:axId val="2809261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655121"/>
        <c:crosses val="autoZero"/>
        <c:crossBetween val="between"/>
      </c:valAx>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[工作簿1]Sheet1!$A$12:$B$12</c:f>
              <c:strCache>
                <c:ptCount val="2"/>
                <c:pt idx="0">
                  <c:v>基本支出</c:v>
                </c:pt>
                <c:pt idx="1">
                  <c:v>项目支出</c:v>
                </c:pt>
              </c:strCache>
            </c:strRef>
          </c:cat>
          <c:val>
            <c:numRef>
              <c:f>[工作簿1]Sheet1!$A$13:$B$13</c:f>
              <c:numCache>
                <c:formatCode>General</c:formatCode>
                <c:ptCount val="2"/>
                <c:pt idx="0">
                  <c:v>1568.87</c:v>
                </c:pt>
                <c:pt idx="1">
                  <c:v>1260.82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收支对比</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[工作簿1]Sheet1!$A$1:$D$1</c:f>
              <c:strCache>
                <c:ptCount val="4"/>
                <c:pt idx="0">
                  <c:v>2019年收入</c:v>
                </c:pt>
                <c:pt idx="1">
                  <c:v>2020年收入</c:v>
                </c:pt>
                <c:pt idx="2">
                  <c:v>2019年支出</c:v>
                </c:pt>
                <c:pt idx="3">
                  <c:v>2020年支出</c:v>
                </c:pt>
              </c:strCache>
            </c:strRef>
          </c:cat>
          <c:val>
            <c:numRef>
              <c:f>[工作簿1]Sheet1!$A$2:$D$2</c:f>
              <c:numCache>
                <c:formatCode>General</c:formatCode>
                <c:ptCount val="4"/>
                <c:pt idx="0">
                  <c:v>3111.82</c:v>
                </c:pt>
                <c:pt idx="1" c:formatCode="0.00_ ">
                  <c:v>2958.81</c:v>
                </c:pt>
                <c:pt idx="2">
                  <c:v>3445.07</c:v>
                </c:pt>
                <c:pt idx="3" c:formatCode="0.00_ ">
                  <c:v>2829.69</c:v>
                </c:pt>
              </c:numCache>
            </c:numRef>
          </c:val>
        </c:ser>
        <c:dLbls>
          <c:showLegendKey val="0"/>
          <c:showVal val="0"/>
          <c:showCatName val="0"/>
          <c:showSerName val="0"/>
          <c:showPercent val="0"/>
          <c:showBubbleSize val="0"/>
        </c:dLbls>
        <c:gapWidth val="219"/>
        <c:overlap val="-27"/>
        <c:axId val="573655121"/>
        <c:axId val="280926125"/>
      </c:barChart>
      <c:catAx>
        <c:axId val="5736551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0926125"/>
        <c:crosses val="autoZero"/>
        <c:auto val="1"/>
        <c:lblAlgn val="ctr"/>
        <c:lblOffset val="100"/>
        <c:noMultiLvlLbl val="0"/>
      </c:catAx>
      <c:valAx>
        <c:axId val="2809261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655121"/>
        <c:crosses val="autoZero"/>
        <c:crossBetween val="between"/>
      </c:valAx>
      <c:spPr>
        <a:noFill/>
        <a:ln>
          <a:noFill/>
        </a:ln>
        <a:effectLst/>
      </c:spPr>
    </c:plotArea>
    <c:plotVisOnly val="1"/>
    <c:dispBlanksAs val="gap"/>
    <c:showDLblsOverMax val="0"/>
  </c:chart>
  <c:spPr>
    <a:gradFill>
      <a:gsLst>
        <a:gs pos="0">
          <a:srgbClr val="FBFB11"/>
        </a:gs>
        <a:gs pos="100000">
          <a:srgbClr val="838309"/>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支出对比</a:t>
            </a:r>
            <a:endParaRPr lang="zh-CN" altLang="en-US"/>
          </a:p>
        </c:rich>
      </c:tx>
      <c:layout/>
      <c:overlay val="0"/>
      <c:spPr>
        <a:noFill/>
        <a:ln>
          <a:noFill/>
        </a:ln>
        <a:effectLst/>
      </c:spPr>
    </c:title>
    <c:autoTitleDeleted val="0"/>
    <c:plotArea>
      <c:layout/>
      <c:barChart>
        <c:barDir val="col"/>
        <c:grouping val="stacked"/>
        <c:varyColors val="0"/>
        <c:ser>
          <c:idx val="0"/>
          <c:order val="0"/>
          <c:spPr>
            <a:solidFill>
              <a:srgbClr val="019199"/>
            </a:solidFill>
            <a:ln w="25400">
              <a:solidFill>
                <a:schemeClr val="bg1"/>
              </a:solidFill>
            </a:ln>
            <a:effectLst/>
          </c:spPr>
          <c:invertIfNegative val="0"/>
          <c:dLbls>
            <c:delete val="1"/>
          </c:dLbls>
          <c:cat>
            <c:strRef>
              <c:f>[工作簿1]Sheet1!$C$1:$D$1</c:f>
              <c:strCache>
                <c:ptCount val="2"/>
                <c:pt idx="0">
                  <c:v>2019年支出</c:v>
                </c:pt>
                <c:pt idx="1">
                  <c:v>2020年支出</c:v>
                </c:pt>
              </c:strCache>
            </c:strRef>
          </c:cat>
          <c:val>
            <c:numRef>
              <c:f>[工作簿1]Sheet1!$C$2:$D$2</c:f>
              <c:numCache>
                <c:formatCode>General</c:formatCode>
                <c:ptCount val="2"/>
                <c:pt idx="0">
                  <c:v>3445.07</c:v>
                </c:pt>
                <c:pt idx="1" c:formatCode="0.00_ ">
                  <c:v>2829.69</c:v>
                </c:pt>
              </c:numCache>
            </c:numRef>
          </c:val>
        </c:ser>
        <c:dLbls>
          <c:showLegendKey val="0"/>
          <c:showVal val="0"/>
          <c:showCatName val="0"/>
          <c:showSerName val="0"/>
          <c:showPercent val="0"/>
          <c:showBubbleSize val="0"/>
        </c:dLbls>
        <c:gapWidth val="100"/>
        <c:overlap val="100"/>
        <c:axId val="462296605"/>
        <c:axId val="70382152"/>
      </c:barChart>
      <c:catAx>
        <c:axId val="46229660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70382152"/>
        <c:crosses val="autoZero"/>
        <c:auto val="1"/>
        <c:lblAlgn val="ctr"/>
        <c:lblOffset val="100"/>
        <c:noMultiLvlLbl val="0"/>
      </c:catAx>
      <c:valAx>
        <c:axId val="70382152"/>
        <c:scaling>
          <c:orientation val="minMax"/>
        </c:scaling>
        <c:delete val="0"/>
        <c:axPos val="l"/>
        <c:majorGridlines>
          <c:spPr>
            <a:ln w="9525" cap="flat" cmpd="sng" algn="ctr">
              <a:solidFill>
                <a:sysClr val="windowText" lastClr="000000">
                  <a:lumMod val="25000"/>
                  <a:lumOff val="75000"/>
                  <a:alpha val="30000"/>
                </a:sys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462296605"/>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rgbClr val="F79646">
        <a:lumMod val="40000"/>
        <a:lumOff val="60000"/>
      </a:srgb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chemeClr val="tx1">
                    <a:lumMod val="65000"/>
                    <a:lumOff val="35000"/>
                  </a:schemeClr>
                </a:solidFill>
                <a:latin typeface="微软雅黑" panose="020B0503020204020204" pitchFamily="34" charset="-122"/>
                <a:ea typeface="微软雅黑" panose="020B0503020204020204" pitchFamily="34" charset="-122"/>
                <a:cs typeface="+mn-cs"/>
              </a:defRPr>
            </a:pPr>
            <a:r>
              <a:t>结构情况</a:t>
            </a:r>
          </a:p>
        </c:rich>
      </c:tx>
      <c:layout>
        <c:manualLayout>
          <c:xMode val="edge"/>
          <c:yMode val="edge"/>
          <c:x val="0.222638888888889"/>
          <c:y val="0.860457823769207"/>
        </c:manualLayout>
      </c:layout>
      <c:overlay val="0"/>
      <c:spPr>
        <a:noFill/>
        <a:ln>
          <a:noFill/>
        </a:ln>
        <a:effectLst/>
      </c:spPr>
    </c:title>
    <c:autoTitleDeleted val="0"/>
    <c:plotArea>
      <c:layout/>
      <c:pieChart>
        <c:varyColors val="1"/>
        <c:ser>
          <c:idx val="0"/>
          <c:order val="0"/>
          <c:spPr>
            <a:ln w="19050">
              <a:noFill/>
            </a:ln>
            <a:effectLst>
              <a:outerShdw blurRad="50800" dist="38100" dir="2700000" algn="tl" rotWithShape="0">
                <a:prstClr val="black">
                  <a:alpha val="40000"/>
                </a:prstClr>
              </a:outerShdw>
            </a:effectLst>
          </c:spPr>
          <c:explosion val="4"/>
          <c:dPt>
            <c:idx val="0"/>
            <c:bubble3D val="0"/>
            <c:explosion val="0"/>
            <c:spPr>
              <a:solidFill>
                <a:srgbClr val="C7C114"/>
              </a:solidFill>
              <a:ln w="19050">
                <a:noFill/>
              </a:ln>
              <a:effectLst>
                <a:outerShdw blurRad="50800" dist="38100" dir="2700000" algn="tl" rotWithShape="0">
                  <a:prstClr val="black">
                    <a:alpha val="40000"/>
                  </a:prstClr>
                </a:outerShdw>
              </a:effectLst>
            </c:spPr>
          </c:dPt>
          <c:dPt>
            <c:idx val="1"/>
            <c:bubble3D val="0"/>
            <c:explosion val="0"/>
            <c:spPr>
              <a:solidFill>
                <a:srgbClr val="77B50D"/>
              </a:solidFill>
              <a:ln w="19050">
                <a:noFill/>
              </a:ln>
              <a:effectLst>
                <a:outerShdw blurRad="50800" dist="38100" dir="2700000" algn="tl" rotWithShape="0">
                  <a:prstClr val="black">
                    <a:alpha val="40000"/>
                  </a:prstClr>
                </a:outerShdw>
              </a:effectLst>
            </c:spPr>
          </c:dPt>
          <c:dPt>
            <c:idx val="2"/>
            <c:bubble3D val="0"/>
            <c:explosion val="0"/>
            <c:spPr>
              <a:solidFill>
                <a:srgbClr val="2CA308"/>
              </a:solidFill>
              <a:ln w="19050">
                <a:noFill/>
              </a:ln>
              <a:effectLst>
                <a:outerShdw blurRad="50800" dist="38100" dir="2700000" algn="tl" rotWithShape="0">
                  <a:prstClr val="black">
                    <a:alpha val="40000"/>
                  </a:prstClr>
                </a:outerShdw>
              </a:effectLst>
            </c:spPr>
          </c:dPt>
          <c:dPt>
            <c:idx val="3"/>
            <c:bubble3D val="0"/>
            <c:explosion val="0"/>
            <c:spPr>
              <a:solidFill>
                <a:srgbClr val="03911B"/>
              </a:solidFill>
              <a:ln w="19050">
                <a:noFill/>
              </a:ln>
              <a:effectLst>
                <a:outerShdw blurRad="50800" dist="38100" dir="2700000" algn="tl" rotWithShape="0">
                  <a:prstClr val="black">
                    <a:alpha val="40000"/>
                  </a:prstClr>
                </a:outerShdw>
              </a:effectLst>
            </c:spPr>
          </c:dPt>
          <c:dLbls>
            <c:numFmt formatCode="General" sourceLinked="1"/>
            <c:spPr>
              <a:noFill/>
              <a:ln>
                <a:noFill/>
              </a:ln>
              <a:effectLst/>
            </c:spPr>
            <c:txPr>
              <a:bodyPr rot="0" spcFirstLastPara="0" vertOverflow="ellipsis" vert="horz" wrap="square" lIns="38100" tIns="19050" rIns="38100" bIns="19050" anchor="ctr" anchorCtr="1" forceAA="0">
                <a:spAutoFit/>
              </a:bodyPr>
              <a:lstStyle/>
              <a:p>
                <a:pPr>
                  <a:defRPr lang="zh-CN" sz="900" b="0" i="0" u="none" strike="noStrike" kern="1200" baseline="0">
                    <a:solidFill>
                      <a:schemeClr val="bg1"/>
                    </a:solidFill>
                    <a:latin typeface="微软雅黑" panose="020B0503020204020204" pitchFamily="34" charset="-122"/>
                    <a:ea typeface="微软雅黑" panose="020B0503020204020204" pitchFamily="34" charset="-122"/>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[工作簿1]Sheet1!$A$32:$D$32</c:f>
              <c:strCache>
                <c:ptCount val="4"/>
                <c:pt idx="0">
                  <c:v>公共服务</c:v>
                </c:pt>
                <c:pt idx="1">
                  <c:v>社会保障和就业</c:v>
                </c:pt>
                <c:pt idx="2">
                  <c:v>卫生健康</c:v>
                </c:pt>
                <c:pt idx="3">
                  <c:v>住房保障</c:v>
                </c:pt>
              </c:strCache>
            </c:strRef>
          </c:cat>
          <c:val>
            <c:numRef>
              <c:f>[工作簿1]Sheet1!$A$33:$D$33</c:f>
              <c:numCache>
                <c:formatCode>General</c:formatCode>
                <c:ptCount val="4"/>
                <c:pt idx="0">
                  <c:v>2382.35</c:v>
                </c:pt>
                <c:pt idx="1">
                  <c:v>194.77</c:v>
                </c:pt>
                <c:pt idx="2">
                  <c:v>113.5</c:v>
                </c:pt>
                <c:pt idx="3">
                  <c:v>136.07</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gradFill flip="none" rotWithShape="1">
      <a:gsLst>
        <a:gs pos="0">
          <a:schemeClr val="bg1">
            <a:lumMod val="95000"/>
          </a:schemeClr>
        </a:gs>
        <a:gs pos="100000">
          <a:schemeClr val="bg1">
            <a:lumMod val="50000"/>
          </a:schemeClr>
        </a:gs>
      </a:gsLst>
      <a:path path="circle">
        <a:fillToRect l="50000" t="50000" r="50000" b="50000"/>
      </a:path>
      <a:tileRect/>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mn-lt"/>
                <a:ea typeface="+mn-ea"/>
                <a:cs typeface="+mn-cs"/>
              </a:defRPr>
            </a:pPr>
            <a:r>
              <a:t>公务用车运行维护费</a:t>
            </a:r>
          </a:p>
        </c:rich>
      </c:tx>
      <c:layout/>
      <c:overlay val="0"/>
      <c:spPr>
        <a:noFill/>
        <a:ln>
          <a:noFill/>
        </a:ln>
        <a:effectLst/>
      </c:spPr>
    </c:title>
    <c:autoTitleDeleted val="0"/>
    <c:plotArea>
      <c:layout>
        <c:manualLayout>
          <c:layoutTarget val="inner"/>
          <c:xMode val="edge"/>
          <c:yMode val="edge"/>
          <c:x val="0.126472222222222"/>
          <c:y val="0.320646682384641"/>
          <c:w val="0.869361111111111"/>
          <c:h val="0.580464802963961"/>
        </c:manualLayout>
      </c:layout>
      <c:barChart>
        <c:barDir val="col"/>
        <c:grouping val="stacked"/>
        <c:varyColors val="0"/>
        <c:ser>
          <c:idx val="0"/>
          <c:order val="0"/>
          <c:spPr>
            <a:solidFill>
              <a:srgbClr val="019199"/>
            </a:solidFill>
            <a:ln w="25400">
              <a:solidFill>
                <a:schemeClr val="bg1"/>
              </a:solidFill>
            </a:ln>
            <a:effectLst/>
          </c:spPr>
          <c:invertIfNegative val="0"/>
          <c:dLbls>
            <c:delete val="1"/>
          </c:dLbls>
          <c:cat>
            <c:strRef>
              <c:f>[工作簿1.xlsx]Sheet1!$A$83:$A$84</c:f>
              <c:strCache>
                <c:ptCount val="2"/>
                <c:pt idx="0">
                  <c:v>2019年</c:v>
                </c:pt>
                <c:pt idx="1">
                  <c:v>2020年</c:v>
                </c:pt>
              </c:strCache>
            </c:strRef>
          </c:cat>
          <c:val>
            <c:numRef>
              <c:f>[工作簿1.xlsx]Sheet1!$B$83:$B$84</c:f>
              <c:numCache>
                <c:formatCode>General</c:formatCode>
                <c:ptCount val="2"/>
                <c:pt idx="0">
                  <c:v>30000</c:v>
                </c:pt>
                <c:pt idx="1">
                  <c:v>24614.72</c:v>
                </c:pt>
              </c:numCache>
            </c:numRef>
          </c:val>
        </c:ser>
        <c:dLbls>
          <c:showLegendKey val="0"/>
          <c:showVal val="0"/>
          <c:showCatName val="0"/>
          <c:showSerName val="0"/>
          <c:showPercent val="0"/>
          <c:showBubbleSize val="0"/>
        </c:dLbls>
        <c:gapWidth val="100"/>
        <c:overlap val="100"/>
        <c:axId val="49484544"/>
        <c:axId val="49486080"/>
      </c:barChart>
      <c:catAx>
        <c:axId val="49484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49486080"/>
        <c:crosses val="autoZero"/>
        <c:auto val="1"/>
        <c:lblAlgn val="ctr"/>
        <c:lblOffset val="100"/>
        <c:noMultiLvlLbl val="0"/>
      </c:catAx>
      <c:valAx>
        <c:axId val="49486080"/>
        <c:scaling>
          <c:orientation val="minMax"/>
        </c:scaling>
        <c:delete val="0"/>
        <c:axPos val="l"/>
        <c:majorGridlines>
          <c:spPr>
            <a:ln w="9525" cap="flat" cmpd="sng" algn="ctr">
              <a:solidFill>
                <a:sysClr val="windowText" lastClr="000000">
                  <a:lumMod val="25000"/>
                  <a:lumOff val="75000"/>
                  <a:alpha val="30000"/>
                </a:sys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crossAx val="49484544"/>
        <c:crosses val="autoZero"/>
        <c:crossBetween val="between"/>
      </c:valAx>
      <c:spPr>
        <a:noFill/>
        <a:ln>
          <a:noFill/>
        </a:ln>
        <a:effectLst/>
      </c:spPr>
    </c:plotArea>
    <c:plotVisOnly val="1"/>
    <c:dispBlanksAs val="gap"/>
    <c:showDLblsOverMax val="0"/>
  </c:chart>
  <c:spPr>
    <a:solidFill>
      <a:sysClr val="window" lastClr="FFFFFF">
        <a:lumMod val="75000"/>
      </a:sysClr>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公务接待费</a:t>
            </a:r>
          </a:p>
        </c:rich>
      </c:tx>
      <c:layout/>
      <c:overlay val="0"/>
      <c:spPr>
        <a:noFill/>
        <a:ln>
          <a:noFill/>
        </a:ln>
        <a:effectLst/>
      </c:spPr>
    </c:title>
    <c:autoTitleDeleted val="0"/>
    <c:plotArea>
      <c:layout>
        <c:manualLayout>
          <c:layoutTarget val="inner"/>
          <c:xMode val="edge"/>
          <c:yMode val="edge"/>
          <c:x val="0.101737880569711"/>
          <c:y val="0.247629547960309"/>
          <c:w val="0.819077485953221"/>
          <c:h val="0.672546857772878"/>
        </c:manualLayout>
      </c:layout>
      <c:barChart>
        <c:barDir val="bar"/>
        <c:grouping val="clustered"/>
        <c:varyColors val="0"/>
        <c:ser>
          <c:idx val="0"/>
          <c:order val="0"/>
          <c:spPr>
            <a:gradFill>
              <a:gsLst>
                <a:gs pos="0">
                  <a:srgbClr val="007BD3"/>
                </a:gs>
                <a:gs pos="100000">
                  <a:srgbClr val="034373"/>
                </a:gs>
              </a:gsLst>
              <a:lin scaled="0"/>
            </a:gradFill>
            <a:ln w="57150" cmpd="dbl">
              <a:noFill/>
            </a:ln>
            <a:effectLst/>
          </c:spPr>
          <c:invertIfNegative val="0"/>
          <c:dLbls>
            <c:delete val="1"/>
          </c:dLbls>
          <c:cat>
            <c:strRef>
              <c:f>[工作簿1.xlsx]Sheet1!$A$95:$A$96</c:f>
              <c:strCache>
                <c:ptCount val="2"/>
                <c:pt idx="0">
                  <c:v>2019年</c:v>
                </c:pt>
                <c:pt idx="1">
                  <c:v>2020年</c:v>
                </c:pt>
              </c:strCache>
            </c:strRef>
          </c:cat>
          <c:val>
            <c:numRef>
              <c:f>[工作簿1.xlsx]Sheet1!$B$95:$B$96</c:f>
              <c:numCache>
                <c:formatCode>General</c:formatCode>
                <c:ptCount val="2"/>
                <c:pt idx="0">
                  <c:v>0</c:v>
                </c:pt>
                <c:pt idx="1">
                  <c:v>4750</c:v>
                </c:pt>
              </c:numCache>
            </c:numRef>
          </c:val>
        </c:ser>
        <c:dLbls>
          <c:showLegendKey val="0"/>
          <c:showVal val="0"/>
          <c:showCatName val="0"/>
          <c:showSerName val="0"/>
          <c:showPercent val="0"/>
          <c:showBubbleSize val="0"/>
        </c:dLbls>
        <c:gapWidth val="311"/>
        <c:overlap val="-67"/>
        <c:axId val="49531520"/>
        <c:axId val="49680768"/>
      </c:barChart>
      <c:catAx>
        <c:axId val="49531520"/>
        <c:scaling>
          <c:orientation val="minMax"/>
        </c:scaling>
        <c:delete val="0"/>
        <c:axPos val="l"/>
        <c:majorGridlines>
          <c:spPr>
            <a:ln w="9525" cap="flat" cmpd="sng" algn="ctr">
              <a:solidFill>
                <a:schemeClr val="tx1">
                  <a:lumMod val="15000"/>
                  <a:lumOff val="85000"/>
                  <a:alpha val="83000"/>
                </a:schemeClr>
              </a:solidFill>
              <a:prstDash val="solid"/>
              <a:round/>
            </a:ln>
            <a:effectLst/>
          </c:spPr>
        </c:majorGridlines>
        <c:numFmt formatCode="General" sourceLinked="0"/>
        <c:majorTickMark val="none"/>
        <c:minorTickMark val="none"/>
        <c:tickLblPos val="nextTo"/>
        <c:spPr>
          <a:noFill/>
          <a:ln w="9525" cap="flat" cmpd="sng" algn="ctr">
            <a:solidFill>
              <a:schemeClr val="bg1">
                <a:lumMod val="85000"/>
                <a:alpha val="83000"/>
              </a:schemeClr>
            </a:solid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49680768"/>
        <c:crosses val="autoZero"/>
        <c:auto val="1"/>
        <c:lblAlgn val="ctr"/>
        <c:lblOffset val="100"/>
        <c:noMultiLvlLbl val="0"/>
      </c:catAx>
      <c:valAx>
        <c:axId val="49680768"/>
        <c:scaling>
          <c:orientation val="minMax"/>
        </c:scaling>
        <c:delete val="1"/>
        <c:axPos val="b"/>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49531520"/>
        <c:crosses val="autoZero"/>
        <c:crossBetween val="between"/>
      </c:valAx>
      <c:spPr>
        <a:noFill/>
        <a:ln>
          <a:noFill/>
        </a:ln>
        <a:effectLst/>
      </c:spPr>
    </c:plotArea>
    <c:plotVisOnly val="1"/>
    <c:dispBlanksAs val="gap"/>
    <c:showDLblsOverMax val="0"/>
  </c:chart>
  <c:spPr>
    <a:solidFill>
      <a:srgbClr val="9BBB59">
        <a:lumMod val="60000"/>
        <a:lumOff val="40000"/>
      </a:srgbClr>
    </a:solidFill>
    <a:ln w="9525" cap="flat" cmpd="sng" algn="ctr">
      <a:solidFill>
        <a:schemeClr val="tx1">
          <a:lumMod val="15000"/>
          <a:lumOff val="85000"/>
        </a:schemeClr>
      </a:solidFill>
      <a:prstDash val="solid"/>
      <a:round/>
    </a:ln>
    <a:effectLst>
      <a:outerShdw blurRad="63500" dist="37357" dir="2700000" sx="0" sy="0" rotWithShape="0">
        <a:scrgbClr r="0" g="0" b="0"/>
      </a:outerShdw>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35</Pages>
  <Words>11379</Words>
  <Characters>12650</Characters>
  <Lines>950</Lines>
  <Paragraphs>413</Paragraphs>
  <TotalTime>40</TotalTime>
  <ScaleCrop>false</ScaleCrop>
  <LinksUpToDate>false</LinksUpToDate>
  <CharactersWithSpaces>12923</CharactersWithSpaces>
  <Application>WPS Office_11.1.0.10938_F1E327BC-269C-435d-A152-05C5408002CA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lenovo</dc:creator>
  <cp:lastModifiedBy>平淡无奇</cp:lastModifiedBy>
  <cp:lastPrinted>2021-09-17T01:01:00Z</cp:lastPrinted>
  <dcterms:modified xsi:type="dcterms:W3CDTF">2021-09-30T03:50:01Z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95316239F0784B0BBF34D293020900AC</vt:lpwstr>
  </property>
</Properties>
</file>