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tbl>
      <w:tblPr>
        <w:tblStyle w:val="5"/>
        <w:tblW w:w="12000" w:type="dxa"/>
        <w:jc w:val="center"/>
        <w:tblCellSpacing w:w="0" w:type="dxa"/>
        <w:tblLayout w:type="autofit"/>
        <w:tblCellMar>
          <w:top w:w="0" w:type="dxa"/>
          <w:left w:w="0" w:type="dxa"/>
          <w:bottom w:w="0" w:type="dxa"/>
          <w:right w:w="0" w:type="dxa"/>
        </w:tblCellMar>
      </w:tblPr>
      <w:tblGrid>
        <w:gridCol w:w="12000"/>
      </w:tblGrid>
      <w:tr>
        <w:tblPrEx>
          <w:tblCellMar>
            <w:top w:w="0" w:type="dxa"/>
            <w:left w:w="0" w:type="dxa"/>
            <w:bottom w:w="0" w:type="dxa"/>
            <w:right w:w="0" w:type="dxa"/>
          </w:tblCellMar>
        </w:tblPrEx>
        <w:trPr>
          <w:tblCellSpacing w:w="0" w:type="dxa"/>
          <w:jc w:val="center"/>
        </w:trPr>
        <w:tc>
          <w:tcPr>
            <w:tcW w:w="0" w:type="auto"/>
            <w:shd w:val="clear" w:color="auto" w:fill="FFFFFF"/>
          </w:tcPr>
          <w:tbl>
            <w:tblPr>
              <w:tblStyle w:val="5"/>
              <w:tblW w:w="5000" w:type="pct"/>
              <w:tblCellSpacing w:w="0" w:type="dxa"/>
              <w:tblInd w:w="0" w:type="dxa"/>
              <w:tblLayout w:type="autofit"/>
              <w:tblCellMar>
                <w:top w:w="0" w:type="dxa"/>
                <w:left w:w="0" w:type="dxa"/>
                <w:bottom w:w="0" w:type="dxa"/>
                <w:right w:w="0" w:type="dxa"/>
              </w:tblCellMar>
            </w:tblPr>
            <w:tblGrid>
              <w:gridCol w:w="12000"/>
            </w:tblGrid>
            <w:tr>
              <w:tblPrEx>
                <w:tblCellMar>
                  <w:top w:w="0" w:type="dxa"/>
                  <w:left w:w="0" w:type="dxa"/>
                  <w:bottom w:w="0" w:type="dxa"/>
                  <w:right w:w="0" w:type="dxa"/>
                </w:tblCellMar>
              </w:tblPrEx>
              <w:trPr>
                <w:tblCellSpacing w:w="0" w:type="dxa"/>
              </w:trPr>
              <w:tc>
                <w:tcPr>
                  <w:tcW w:w="0" w:type="auto"/>
                </w:tcPr>
                <w:tbl>
                  <w:tblPr>
                    <w:tblStyle w:val="5"/>
                    <w:tblW w:w="5000" w:type="pct"/>
                    <w:tblCellSpacing w:w="0" w:type="dxa"/>
                    <w:tblInd w:w="0" w:type="dxa"/>
                    <w:tblLayout w:type="autofit"/>
                    <w:tblCellMar>
                      <w:top w:w="0" w:type="dxa"/>
                      <w:left w:w="0" w:type="dxa"/>
                      <w:bottom w:w="0" w:type="dxa"/>
                      <w:right w:w="0" w:type="dxa"/>
                    </w:tblCellMar>
                  </w:tblPr>
                  <w:tblGrid>
                    <w:gridCol w:w="10650"/>
                    <w:gridCol w:w="1350"/>
                  </w:tblGrid>
                  <w:tr>
                    <w:tblPrEx>
                      <w:tblCellMar>
                        <w:top w:w="0" w:type="dxa"/>
                        <w:left w:w="0" w:type="dxa"/>
                        <w:bottom w:w="0" w:type="dxa"/>
                        <w:right w:w="0" w:type="dxa"/>
                      </w:tblCellMar>
                    </w:tblPrEx>
                    <w:trPr>
                      <w:tblCellSpacing w:w="0" w:type="dxa"/>
                    </w:trPr>
                    <w:tc>
                      <w:tcPr>
                        <w:tcW w:w="0" w:type="auto"/>
                        <w:tcMar>
                          <w:top w:w="0" w:type="dxa"/>
                          <w:left w:w="30" w:type="dxa"/>
                          <w:bottom w:w="30" w:type="dxa"/>
                          <w:right w:w="30" w:type="dxa"/>
                        </w:tcMar>
                      </w:tcPr>
                      <w:tbl>
                        <w:tblPr>
                          <w:tblStyle w:val="5"/>
                          <w:tblW w:w="5000" w:type="pct"/>
                          <w:tblCellSpacing w:w="0" w:type="dxa"/>
                          <w:tblInd w:w="0" w:type="dxa"/>
                          <w:tblLayout w:type="autofit"/>
                          <w:tblCellMar>
                            <w:top w:w="0" w:type="dxa"/>
                            <w:left w:w="0" w:type="dxa"/>
                            <w:bottom w:w="0" w:type="dxa"/>
                            <w:right w:w="0" w:type="dxa"/>
                          </w:tblCellMar>
                        </w:tblPr>
                        <w:tblGrid>
                          <w:gridCol w:w="10590"/>
                        </w:tblGrid>
                        <w:tr>
                          <w:tblPrEx>
                            <w:tblCellMar>
                              <w:top w:w="0" w:type="dxa"/>
                              <w:left w:w="0" w:type="dxa"/>
                              <w:bottom w:w="0" w:type="dxa"/>
                              <w:right w:w="0" w:type="dxa"/>
                            </w:tblCellMar>
                          </w:tblPrEx>
                          <w:trPr>
                            <w:tblCellSpacing w:w="0" w:type="dxa"/>
                          </w:trPr>
                          <w:tc>
                            <w:tcPr>
                              <w:tcW w:w="0" w:type="auto"/>
                              <w:shd w:val="clear" w:color="auto" w:fill="FFFFFF"/>
                            </w:tcPr>
                            <w:tbl>
                              <w:tblPr>
                                <w:tblStyle w:val="5"/>
                                <w:tblW w:w="8775" w:type="dxa"/>
                                <w:jc w:val="center"/>
                                <w:tblCellSpacing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0" w:type="dxa"/>
                                  <w:bottom w:w="0" w:type="dxa"/>
                                  <w:right w:w="0" w:type="dxa"/>
                                </w:tblCellMar>
                              </w:tblPr>
                              <w:tblGrid>
                                <w:gridCol w:w="8775"/>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blCellSpacing w:w="0" w:type="dxa"/>
                                  <w:jc w:val="center"/>
                                </w:trPr>
                                <w:tc>
                                  <w:tcPr>
                                    <w:tcW w:w="8685" w:type="dxa"/>
                                    <w:tcBorders>
                                      <w:tl2br w:val="nil"/>
                                      <w:tr2bl w:val="nil"/>
                                    </w:tcBorders>
                                    <w:tcMar>
                                      <w:top w:w="150" w:type="dxa"/>
                                      <w:left w:w="75" w:type="dxa"/>
                                      <w:bottom w:w="0" w:type="dxa"/>
                                      <w:right w:w="0" w:type="dxa"/>
                                    </w:tcMar>
                                  </w:tcPr>
                                  <w:p>
                                    <w:pPr>
                                      <w:pStyle w:val="11"/>
                                      <w:keepNext w:val="0"/>
                                      <w:keepLines w:val="0"/>
                                      <w:pageBreakBefore w:val="0"/>
                                      <w:widowControl/>
                                      <w:tabs>
                                        <w:tab w:val="right" w:leader="dot" w:pos="8306"/>
                                      </w:tabs>
                                      <w:kinsoku/>
                                      <w:wordWrap/>
                                      <w:overflowPunct/>
                                      <w:topLinePunct w:val="0"/>
                                      <w:autoSpaceDE/>
                                      <w:autoSpaceDN/>
                                      <w:bidi w:val="0"/>
                                      <w:adjustRightInd/>
                                      <w:snapToGrid/>
                                      <w:spacing w:line="360" w:lineRule="auto"/>
                                      <w:jc w:val="center"/>
                                      <w:textAlignment w:val="auto"/>
                                      <w:outlineLvl w:val="9"/>
                                      <w:rPr>
                                        <w:rFonts w:hint="eastAsia" w:ascii="方正小标宋简体" w:hAnsi="宋体" w:eastAsia="方正小标宋简体" w:cs="宋体"/>
                                        <w:color w:val="333333"/>
                                        <w:kern w:val="0"/>
                                        <w:sz w:val="36"/>
                                        <w:szCs w:val="36"/>
                                      </w:rPr>
                                    </w:pPr>
                                    <w:r>
                                      <w:rPr>
                                        <w:rFonts w:hint="eastAsia" w:ascii="方正小标宋简体" w:hAnsi="宋体" w:eastAsia="方正小标宋简体" w:cs="宋体"/>
                                        <w:color w:val="333333"/>
                                        <w:kern w:val="0"/>
                                        <w:sz w:val="36"/>
                                        <w:szCs w:val="36"/>
                                      </w:rPr>
                                      <w:t>　</w:t>
                                    </w:r>
                                  </w:p>
                                  <w:p>
                                    <w:pPr>
                                      <w:pStyle w:val="11"/>
                                      <w:keepNext w:val="0"/>
                                      <w:keepLines w:val="0"/>
                                      <w:pageBreakBefore w:val="0"/>
                                      <w:widowControl/>
                                      <w:tabs>
                                        <w:tab w:val="right" w:leader="dot" w:pos="8306"/>
                                      </w:tabs>
                                      <w:kinsoku/>
                                      <w:wordWrap/>
                                      <w:overflowPunct/>
                                      <w:topLinePunct w:val="0"/>
                                      <w:autoSpaceDE/>
                                      <w:autoSpaceDN/>
                                      <w:bidi w:val="0"/>
                                      <w:adjustRightInd/>
                                      <w:snapToGrid/>
                                      <w:spacing w:line="360" w:lineRule="auto"/>
                                      <w:jc w:val="center"/>
                                      <w:textAlignment w:val="auto"/>
                                      <w:outlineLvl w:val="9"/>
                                      <w:rPr>
                                        <w:rFonts w:hint="eastAsia" w:ascii="方正小标宋简体" w:hAnsi="宋体" w:eastAsia="方正小标宋简体" w:cs="宋体"/>
                                        <w:color w:val="auto"/>
                                        <w:kern w:val="0"/>
                                        <w:sz w:val="36"/>
                                        <w:szCs w:val="36"/>
                                      </w:rPr>
                                    </w:pPr>
                                    <w:r>
                                      <w:rPr>
                                        <w:rFonts w:hint="eastAsia" w:ascii="方正小标宋简体" w:hAnsi="宋体" w:eastAsia="方正小标宋简体" w:cs="宋体"/>
                                        <w:color w:val="auto"/>
                                        <w:kern w:val="0"/>
                                        <w:sz w:val="36"/>
                                        <w:szCs w:val="36"/>
                                      </w:rPr>
                                      <w:t>金川县畜牧兽医服务中心</w:t>
                                    </w:r>
                                  </w:p>
                                  <w:p>
                                    <w:pPr>
                                      <w:pStyle w:val="11"/>
                                      <w:keepNext w:val="0"/>
                                      <w:keepLines w:val="0"/>
                                      <w:pageBreakBefore w:val="0"/>
                                      <w:widowControl/>
                                      <w:tabs>
                                        <w:tab w:val="right" w:leader="dot" w:pos="8306"/>
                                      </w:tabs>
                                      <w:kinsoku/>
                                      <w:wordWrap/>
                                      <w:overflowPunct/>
                                      <w:topLinePunct w:val="0"/>
                                      <w:autoSpaceDE/>
                                      <w:autoSpaceDN/>
                                      <w:bidi w:val="0"/>
                                      <w:adjustRightInd/>
                                      <w:snapToGrid/>
                                      <w:spacing w:line="360" w:lineRule="auto"/>
                                      <w:jc w:val="center"/>
                                      <w:textAlignment w:val="auto"/>
                                      <w:outlineLvl w:val="9"/>
                                      <w:rPr>
                                        <w:rFonts w:hint="eastAsia" w:ascii="方正小标宋简体" w:hAnsi="宋体" w:eastAsia="方正小标宋简体" w:cs="宋体"/>
                                        <w:color w:val="auto"/>
                                        <w:kern w:val="0"/>
                                        <w:sz w:val="36"/>
                                        <w:szCs w:val="36"/>
                                      </w:rPr>
                                    </w:pPr>
                                    <w:r>
                                      <w:rPr>
                                        <w:rFonts w:ascii="方正小标宋简体" w:hAnsi="宋体" w:eastAsia="方正小标宋简体" w:cs="宋体"/>
                                        <w:color w:val="auto"/>
                                        <w:kern w:val="0"/>
                                        <w:sz w:val="36"/>
                                        <w:szCs w:val="36"/>
                                      </w:rPr>
                                      <w:t>201</w:t>
                                    </w:r>
                                    <w:r>
                                      <w:rPr>
                                        <w:rFonts w:hint="eastAsia" w:ascii="方正小标宋简体" w:hAnsi="宋体" w:eastAsia="方正小标宋简体" w:cs="宋体"/>
                                        <w:color w:val="auto"/>
                                        <w:kern w:val="0"/>
                                        <w:sz w:val="36"/>
                                        <w:szCs w:val="36"/>
                                        <w:lang w:val="en-US" w:eastAsia="zh-CN"/>
                                      </w:rPr>
                                      <w:t>9</w:t>
                                    </w:r>
                                    <w:r>
                                      <w:rPr>
                                        <w:rFonts w:hint="eastAsia" w:ascii="方正小标宋简体" w:hAnsi="宋体" w:eastAsia="方正小标宋简体" w:cs="宋体"/>
                                        <w:color w:val="auto"/>
                                        <w:kern w:val="0"/>
                                        <w:sz w:val="36"/>
                                        <w:szCs w:val="36"/>
                                      </w:rPr>
                                      <w:t>年部门预算编制说明</w:t>
                                    </w:r>
                                  </w:p>
                                  <w:p>
                                    <w:pPr>
                                      <w:pStyle w:val="11"/>
                                      <w:keepNext w:val="0"/>
                                      <w:keepLines w:val="0"/>
                                      <w:pageBreakBefore w:val="0"/>
                                      <w:widowControl/>
                                      <w:tabs>
                                        <w:tab w:val="right" w:leader="dot" w:pos="8306"/>
                                      </w:tabs>
                                      <w:kinsoku/>
                                      <w:wordWrap/>
                                      <w:overflowPunct/>
                                      <w:topLinePunct w:val="0"/>
                                      <w:autoSpaceDE/>
                                      <w:autoSpaceDN/>
                                      <w:bidi w:val="0"/>
                                      <w:adjustRightInd/>
                                      <w:snapToGrid/>
                                      <w:spacing w:line="360" w:lineRule="auto"/>
                                      <w:jc w:val="center"/>
                                      <w:textAlignment w:val="auto"/>
                                      <w:outlineLvl w:val="9"/>
                                      <w:rPr>
                                        <w:rFonts w:ascii="方正小标宋简体" w:hAnsi="宋体" w:eastAsia="方正小标宋简体" w:cs="宋体"/>
                                        <w:color w:val="0066CC"/>
                                        <w:kern w:val="0"/>
                                        <w:sz w:val="36"/>
                                        <w:szCs w:val="36"/>
                                      </w:rPr>
                                    </w:pPr>
                                  </w:p>
                                  <w:p>
                                    <w:pPr>
                                      <w:pStyle w:val="11"/>
                                      <w:keepNext w:val="0"/>
                                      <w:keepLines w:val="0"/>
                                      <w:pageBreakBefore w:val="0"/>
                                      <w:widowControl/>
                                      <w:tabs>
                                        <w:tab w:val="right" w:leader="dot" w:pos="8306"/>
                                      </w:tabs>
                                      <w:kinsoku/>
                                      <w:wordWrap/>
                                      <w:overflowPunct/>
                                      <w:topLinePunct w:val="0"/>
                                      <w:autoSpaceDE/>
                                      <w:autoSpaceDN/>
                                      <w:bidi w:val="0"/>
                                      <w:adjustRightInd/>
                                      <w:snapToGrid/>
                                      <w:spacing w:line="360" w:lineRule="auto"/>
                                      <w:jc w:val="center"/>
                                      <w:textAlignment w:val="auto"/>
                                      <w:outlineLvl w:val="9"/>
                                      <w:rPr>
                                        <w:rFonts w:hint="default" w:ascii="宋体" w:hAnsi="宋体" w:eastAsia="宋体" w:cs="宋体"/>
                                        <w:b/>
                                        <w:bCs/>
                                        <w:sz w:val="44"/>
                                        <w:szCs w:val="44"/>
                                        <w:lang w:val="en-US" w:eastAsia="zh-CN"/>
                                      </w:rPr>
                                    </w:pPr>
                                    <w:r>
                                      <w:rPr>
                                        <w:rFonts w:ascii="方正小标宋简体" w:hAnsi="宋体" w:eastAsia="方正小标宋简体" w:cs="宋体"/>
                                        <w:color w:val="0066CC"/>
                                        <w:kern w:val="0"/>
                                        <w:sz w:val="36"/>
                                        <w:szCs w:val="36"/>
                                      </w:rPr>
                                      <w:br w:type="textWrapping"/>
                                    </w:r>
                                    <w:r>
                                      <w:rPr>
                                        <w:rFonts w:hint="eastAsia" w:ascii="黑体" w:hAnsi="宋体" w:eastAsia="黑体" w:cs="宋体"/>
                                        <w:color w:val="333333"/>
                                        <w:kern w:val="0"/>
                                        <w:sz w:val="28"/>
                                        <w:szCs w:val="28"/>
                                      </w:rPr>
                                      <w:t>　　</w:t>
                                    </w:r>
                                    <w:r>
                                      <w:rPr>
                                        <w:rFonts w:hint="eastAsia" w:ascii="宋体" w:hAnsi="宋体" w:cs="宋体"/>
                                        <w:b/>
                                        <w:bCs/>
                                        <w:sz w:val="44"/>
                                        <w:szCs w:val="44"/>
                                        <w:lang w:val="en-US" w:eastAsia="zh-CN"/>
                                      </w:rPr>
                                      <w:t>目      录</w:t>
                                    </w:r>
                                  </w:p>
                                  <w:p>
                                    <w:pPr>
                                      <w:pStyle w:val="11"/>
                                      <w:keepNext w:val="0"/>
                                      <w:keepLines w:val="0"/>
                                      <w:pageBreakBefore w:val="0"/>
                                      <w:widowControl/>
                                      <w:tabs>
                                        <w:tab w:val="right" w:leader="dot" w:pos="8306"/>
                                      </w:tabs>
                                      <w:kinsoku/>
                                      <w:wordWrap/>
                                      <w:overflowPunct/>
                                      <w:topLinePunct w:val="0"/>
                                      <w:autoSpaceDE/>
                                      <w:autoSpaceDN/>
                                      <w:bidi w:val="0"/>
                                      <w:adjustRightInd/>
                                      <w:snapToGrid/>
                                      <w:spacing w:line="360" w:lineRule="auto"/>
                                      <w:textAlignment w:val="auto"/>
                                      <w:outlineLvl w:val="9"/>
                                      <w:rPr>
                                        <w:rFonts w:hint="eastAsia" w:ascii="宋体" w:hAnsi="宋体" w:eastAsia="宋体" w:cs="宋体"/>
                                        <w:sz w:val="24"/>
                                        <w:szCs w:val="24"/>
                                      </w:rPr>
                                    </w:pPr>
                                    <w:r>
                                      <w:rPr>
                                        <w:rFonts w:hint="eastAsia" w:ascii="宋体" w:hAnsi="宋体" w:eastAsia="宋体" w:cs="宋体"/>
                                        <w:b/>
                                        <w:bCs/>
                                        <w:sz w:val="24"/>
                                        <w:szCs w:val="24"/>
                                      </w:rPr>
                                      <w:fldChar w:fldCharType="begin"/>
                                    </w:r>
                                    <w:r>
                                      <w:rPr>
                                        <w:rFonts w:hint="eastAsia" w:ascii="宋体" w:hAnsi="宋体" w:eastAsia="宋体" w:cs="宋体"/>
                                        <w:sz w:val="24"/>
                                        <w:szCs w:val="24"/>
                                      </w:rPr>
                                      <w:instrText xml:space="preserve"> HYPERLINK \l _Toc5702_WPSOffice_Level1 </w:instrText>
                                    </w:r>
                                    <w:r>
                                      <w:rPr>
                                        <w:rFonts w:hint="eastAsia" w:ascii="宋体" w:hAnsi="宋体" w:eastAsia="宋体" w:cs="宋体"/>
                                        <w:b/>
                                        <w:bCs/>
                                        <w:sz w:val="24"/>
                                        <w:szCs w:val="24"/>
                                      </w:rPr>
                                      <w:fldChar w:fldCharType="separate"/>
                                    </w:r>
                                    <w:r>
                                      <w:rPr>
                                        <w:rFonts w:hint="eastAsia" w:ascii="宋体" w:hAnsi="宋体" w:eastAsia="宋体" w:cs="宋体"/>
                                        <w:b/>
                                        <w:bCs/>
                                        <w:sz w:val="24"/>
                                        <w:szCs w:val="24"/>
                                      </w:rPr>
                                      <w:t>一、基本职能及主要工作</w:t>
                                    </w:r>
                                    <w:r>
                                      <w:rPr>
                                        <w:rFonts w:hint="eastAsia" w:ascii="宋体" w:hAnsi="宋体" w:eastAsia="宋体" w:cs="宋体"/>
                                        <w:b/>
                                        <w:bCs/>
                                        <w:sz w:val="24"/>
                                        <w:szCs w:val="24"/>
                                      </w:rPr>
                                      <w:tab/>
                                    </w:r>
                                    <w:r>
                                      <w:rPr>
                                        <w:rFonts w:hint="eastAsia" w:ascii="宋体" w:hAnsi="宋体" w:cs="宋体"/>
                                        <w:b/>
                                        <w:bCs/>
                                        <w:sz w:val="24"/>
                                        <w:szCs w:val="24"/>
                                        <w:lang w:val="en-US" w:eastAsia="zh-CN"/>
                                      </w:rPr>
                                      <w:t>2</w:t>
                                    </w:r>
                                    <w:r>
                                      <w:rPr>
                                        <w:rFonts w:hint="eastAsia" w:ascii="宋体" w:hAnsi="宋体" w:eastAsia="宋体" w:cs="宋体"/>
                                        <w:b/>
                                        <w:bCs/>
                                        <w:sz w:val="24"/>
                                        <w:szCs w:val="24"/>
                                      </w:rPr>
                                      <w:fldChar w:fldCharType="end"/>
                                    </w:r>
                                  </w:p>
                                  <w:p>
                                    <w:pPr>
                                      <w:pStyle w:val="12"/>
                                      <w:keepNext w:val="0"/>
                                      <w:keepLines w:val="0"/>
                                      <w:pageBreakBefore w:val="0"/>
                                      <w:widowControl/>
                                      <w:tabs>
                                        <w:tab w:val="right" w:leader="dot" w:pos="8306"/>
                                      </w:tabs>
                                      <w:kinsoku/>
                                      <w:wordWrap/>
                                      <w:overflowPunct/>
                                      <w:topLinePunct w:val="0"/>
                                      <w:autoSpaceDE/>
                                      <w:autoSpaceDN/>
                                      <w:bidi w:val="0"/>
                                      <w:adjustRightInd/>
                                      <w:snapToGrid/>
                                      <w:spacing w:line="360" w:lineRule="auto"/>
                                      <w:textAlignment w:val="auto"/>
                                      <w:outlineLvl w:val="9"/>
                                      <w:rPr>
                                        <w:rFonts w:hint="eastAsia" w:ascii="宋体" w:hAnsi="宋体" w:eastAsia="宋体" w:cs="宋体"/>
                                        <w:sz w:val="24"/>
                                        <w:szCs w:val="24"/>
                                      </w:rPr>
                                    </w:pPr>
                                    <w:r>
                                      <w:rPr>
                                        <w:rFonts w:hint="eastAsia" w:ascii="宋体" w:hAnsi="宋体" w:eastAsia="宋体" w:cs="宋体"/>
                                        <w:sz w:val="24"/>
                                        <w:szCs w:val="24"/>
                                      </w:rPr>
                                      <w:fldChar w:fldCharType="begin"/>
                                    </w:r>
                                    <w:r>
                                      <w:rPr>
                                        <w:rFonts w:hint="eastAsia" w:ascii="宋体" w:hAnsi="宋体" w:eastAsia="宋体" w:cs="宋体"/>
                                        <w:sz w:val="24"/>
                                        <w:szCs w:val="24"/>
                                      </w:rPr>
                                      <w:instrText xml:space="preserve"> HYPERLINK \l _Toc3059_WPSOffice_Level2 </w:instrText>
                                    </w:r>
                                    <w:r>
                                      <w:rPr>
                                        <w:rFonts w:hint="eastAsia" w:ascii="宋体" w:hAnsi="宋体" w:eastAsia="宋体" w:cs="宋体"/>
                                        <w:sz w:val="24"/>
                                        <w:szCs w:val="24"/>
                                      </w:rPr>
                                      <w:fldChar w:fldCharType="separate"/>
                                    </w:r>
                                    <w:r>
                                      <w:rPr>
                                        <w:rFonts w:hint="eastAsia" w:ascii="宋体" w:hAnsi="宋体" w:eastAsia="宋体" w:cs="宋体"/>
                                        <w:sz w:val="24"/>
                                        <w:szCs w:val="24"/>
                                      </w:rPr>
                                      <w:t>（一）职能简介</w:t>
                                    </w:r>
                                    <w:r>
                                      <w:rPr>
                                        <w:rFonts w:hint="eastAsia" w:ascii="宋体" w:hAnsi="宋体" w:eastAsia="宋体" w:cs="宋体"/>
                                        <w:sz w:val="24"/>
                                        <w:szCs w:val="24"/>
                                      </w:rPr>
                                      <w:tab/>
                                    </w:r>
                                    <w:r>
                                      <w:rPr>
                                        <w:rFonts w:hint="eastAsia" w:ascii="宋体" w:hAnsi="宋体" w:cs="宋体"/>
                                        <w:sz w:val="24"/>
                                        <w:szCs w:val="24"/>
                                        <w:lang w:val="en-US" w:eastAsia="zh-CN"/>
                                      </w:rPr>
                                      <w:t>2</w:t>
                                    </w:r>
                                    <w:r>
                                      <w:rPr>
                                        <w:rFonts w:hint="eastAsia" w:ascii="宋体" w:hAnsi="宋体" w:eastAsia="宋体" w:cs="宋体"/>
                                        <w:sz w:val="24"/>
                                        <w:szCs w:val="24"/>
                                      </w:rPr>
                                      <w:fldChar w:fldCharType="end"/>
                                    </w:r>
                                  </w:p>
                                  <w:p>
                                    <w:pPr>
                                      <w:pStyle w:val="12"/>
                                      <w:keepNext w:val="0"/>
                                      <w:keepLines w:val="0"/>
                                      <w:pageBreakBefore w:val="0"/>
                                      <w:widowControl/>
                                      <w:tabs>
                                        <w:tab w:val="right" w:leader="dot" w:pos="8306"/>
                                      </w:tabs>
                                      <w:kinsoku/>
                                      <w:wordWrap/>
                                      <w:overflowPunct/>
                                      <w:topLinePunct w:val="0"/>
                                      <w:autoSpaceDE/>
                                      <w:autoSpaceDN/>
                                      <w:bidi w:val="0"/>
                                      <w:adjustRightInd/>
                                      <w:snapToGrid/>
                                      <w:spacing w:line="360" w:lineRule="auto"/>
                                      <w:textAlignment w:val="auto"/>
                                      <w:outlineLvl w:val="9"/>
                                      <w:rPr>
                                        <w:rFonts w:hint="eastAsia" w:ascii="宋体" w:hAnsi="宋体" w:eastAsia="宋体" w:cs="宋体"/>
                                        <w:sz w:val="24"/>
                                        <w:szCs w:val="24"/>
                                      </w:rPr>
                                    </w:pPr>
                                    <w:r>
                                      <w:rPr>
                                        <w:rFonts w:hint="eastAsia" w:ascii="宋体" w:hAnsi="宋体" w:eastAsia="宋体" w:cs="宋体"/>
                                        <w:sz w:val="24"/>
                                        <w:szCs w:val="24"/>
                                      </w:rPr>
                                      <w:fldChar w:fldCharType="begin"/>
                                    </w:r>
                                    <w:r>
                                      <w:rPr>
                                        <w:rFonts w:hint="eastAsia" w:ascii="宋体" w:hAnsi="宋体" w:eastAsia="宋体" w:cs="宋体"/>
                                        <w:sz w:val="24"/>
                                        <w:szCs w:val="24"/>
                                      </w:rPr>
                                      <w:instrText xml:space="preserve"> HYPERLINK \l _Toc15855_WPSOffice_Level2 </w:instrText>
                                    </w:r>
                                    <w:r>
                                      <w:rPr>
                                        <w:rFonts w:hint="eastAsia" w:ascii="宋体" w:hAnsi="宋体" w:eastAsia="宋体" w:cs="宋体"/>
                                        <w:sz w:val="24"/>
                                        <w:szCs w:val="24"/>
                                      </w:rPr>
                                      <w:fldChar w:fldCharType="separate"/>
                                    </w:r>
                                    <w:r>
                                      <w:rPr>
                                        <w:rFonts w:hint="eastAsia" w:ascii="宋体" w:hAnsi="宋体" w:eastAsia="宋体" w:cs="宋体"/>
                                        <w:sz w:val="24"/>
                                        <w:szCs w:val="24"/>
                                      </w:rPr>
                                      <w:t>（二）20</w:t>
                                    </w:r>
                                    <w:r>
                                      <w:rPr>
                                        <w:rFonts w:hint="eastAsia" w:ascii="宋体" w:hAnsi="宋体" w:cs="宋体"/>
                                        <w:sz w:val="24"/>
                                        <w:szCs w:val="24"/>
                                        <w:lang w:val="en-US" w:eastAsia="zh-CN"/>
                                      </w:rPr>
                                      <w:t>19</w:t>
                                    </w:r>
                                    <w:r>
                                      <w:rPr>
                                        <w:rFonts w:hint="eastAsia" w:ascii="宋体" w:hAnsi="宋体" w:eastAsia="宋体" w:cs="宋体"/>
                                        <w:sz w:val="24"/>
                                        <w:szCs w:val="24"/>
                                      </w:rPr>
                                      <w:t>年重点工作</w:t>
                                    </w:r>
                                    <w:r>
                                      <w:rPr>
                                        <w:rFonts w:hint="eastAsia" w:ascii="宋体" w:hAnsi="宋体" w:eastAsia="宋体" w:cs="宋体"/>
                                        <w:sz w:val="24"/>
                                        <w:szCs w:val="24"/>
                                      </w:rPr>
                                      <w:tab/>
                                    </w:r>
                                    <w:r>
                                      <w:rPr>
                                        <w:rFonts w:hint="eastAsia" w:ascii="宋体" w:hAnsi="宋体" w:cs="宋体"/>
                                        <w:sz w:val="24"/>
                                        <w:szCs w:val="24"/>
                                        <w:lang w:val="en-US" w:eastAsia="zh-CN"/>
                                      </w:rPr>
                                      <w:t>3</w:t>
                                    </w:r>
                                    <w:r>
                                      <w:rPr>
                                        <w:rFonts w:hint="eastAsia" w:ascii="宋体" w:hAnsi="宋体" w:eastAsia="宋体" w:cs="宋体"/>
                                        <w:sz w:val="24"/>
                                        <w:szCs w:val="24"/>
                                      </w:rPr>
                                      <w:fldChar w:fldCharType="end"/>
                                    </w:r>
                                  </w:p>
                                  <w:p>
                                    <w:pPr>
                                      <w:pStyle w:val="11"/>
                                      <w:keepNext w:val="0"/>
                                      <w:keepLines w:val="0"/>
                                      <w:pageBreakBefore w:val="0"/>
                                      <w:widowControl/>
                                      <w:tabs>
                                        <w:tab w:val="right" w:leader="dot" w:pos="8306"/>
                                      </w:tabs>
                                      <w:kinsoku/>
                                      <w:wordWrap/>
                                      <w:overflowPunct/>
                                      <w:topLinePunct w:val="0"/>
                                      <w:autoSpaceDE/>
                                      <w:autoSpaceDN/>
                                      <w:bidi w:val="0"/>
                                      <w:adjustRightInd/>
                                      <w:snapToGrid/>
                                      <w:spacing w:line="360" w:lineRule="auto"/>
                                      <w:textAlignment w:val="auto"/>
                                      <w:outlineLvl w:val="9"/>
                                      <w:rPr>
                                        <w:rFonts w:hint="eastAsia" w:ascii="宋体" w:hAnsi="宋体" w:eastAsia="宋体" w:cs="宋体"/>
                                        <w:sz w:val="24"/>
                                        <w:szCs w:val="24"/>
                                      </w:rPr>
                                    </w:pPr>
                                    <w:r>
                                      <w:rPr>
                                        <w:rFonts w:hint="eastAsia" w:ascii="宋体" w:hAnsi="宋体" w:eastAsia="宋体" w:cs="宋体"/>
                                        <w:b/>
                                        <w:bCs/>
                                        <w:sz w:val="24"/>
                                        <w:szCs w:val="24"/>
                                      </w:rPr>
                                      <w:fldChar w:fldCharType="begin"/>
                                    </w:r>
                                    <w:r>
                                      <w:rPr>
                                        <w:rFonts w:hint="eastAsia" w:ascii="宋体" w:hAnsi="宋体" w:eastAsia="宋体" w:cs="宋体"/>
                                        <w:sz w:val="24"/>
                                        <w:szCs w:val="24"/>
                                      </w:rPr>
                                      <w:instrText xml:space="preserve"> HYPERLINK \l _Toc22397_WPSOffice_Level1 </w:instrText>
                                    </w:r>
                                    <w:r>
                                      <w:rPr>
                                        <w:rFonts w:hint="eastAsia" w:ascii="宋体" w:hAnsi="宋体" w:eastAsia="宋体" w:cs="宋体"/>
                                        <w:b/>
                                        <w:bCs/>
                                        <w:sz w:val="24"/>
                                        <w:szCs w:val="24"/>
                                      </w:rPr>
                                      <w:fldChar w:fldCharType="separate"/>
                                    </w:r>
                                    <w:r>
                                      <w:rPr>
                                        <w:rFonts w:hint="eastAsia" w:ascii="宋体" w:hAnsi="宋体" w:eastAsia="宋体" w:cs="宋体"/>
                                        <w:b/>
                                        <w:bCs/>
                                        <w:sz w:val="24"/>
                                        <w:szCs w:val="24"/>
                                      </w:rPr>
                                      <w:t>二、部门预算单位构成</w:t>
                                    </w:r>
                                    <w:r>
                                      <w:rPr>
                                        <w:rFonts w:hint="eastAsia" w:ascii="宋体" w:hAnsi="宋体" w:eastAsia="宋体" w:cs="宋体"/>
                                        <w:b/>
                                        <w:bCs/>
                                        <w:sz w:val="24"/>
                                        <w:szCs w:val="24"/>
                                      </w:rPr>
                                      <w:tab/>
                                    </w:r>
                                    <w:r>
                                      <w:rPr>
                                        <w:rFonts w:hint="eastAsia" w:ascii="宋体" w:hAnsi="宋体" w:cs="宋体"/>
                                        <w:b/>
                                        <w:bCs/>
                                        <w:sz w:val="24"/>
                                        <w:szCs w:val="24"/>
                                        <w:lang w:val="en-US" w:eastAsia="zh-CN"/>
                                      </w:rPr>
                                      <w:t>3</w:t>
                                    </w:r>
                                    <w:r>
                                      <w:rPr>
                                        <w:rFonts w:hint="eastAsia" w:ascii="宋体" w:hAnsi="宋体" w:eastAsia="宋体" w:cs="宋体"/>
                                        <w:b/>
                                        <w:bCs/>
                                        <w:sz w:val="24"/>
                                        <w:szCs w:val="24"/>
                                      </w:rPr>
                                      <w:fldChar w:fldCharType="end"/>
                                    </w:r>
                                  </w:p>
                                  <w:p>
                                    <w:pPr>
                                      <w:pStyle w:val="11"/>
                                      <w:keepNext w:val="0"/>
                                      <w:keepLines w:val="0"/>
                                      <w:pageBreakBefore w:val="0"/>
                                      <w:widowControl/>
                                      <w:tabs>
                                        <w:tab w:val="right" w:leader="dot" w:pos="8306"/>
                                      </w:tabs>
                                      <w:kinsoku/>
                                      <w:wordWrap/>
                                      <w:overflowPunct/>
                                      <w:topLinePunct w:val="0"/>
                                      <w:autoSpaceDE/>
                                      <w:autoSpaceDN/>
                                      <w:bidi w:val="0"/>
                                      <w:adjustRightInd/>
                                      <w:snapToGrid/>
                                      <w:spacing w:line="360" w:lineRule="auto"/>
                                      <w:textAlignment w:val="auto"/>
                                      <w:outlineLvl w:val="9"/>
                                      <w:rPr>
                                        <w:rFonts w:hint="eastAsia" w:ascii="宋体" w:hAnsi="宋体" w:eastAsia="宋体" w:cs="宋体"/>
                                        <w:sz w:val="24"/>
                                        <w:szCs w:val="24"/>
                                      </w:rPr>
                                    </w:pPr>
                                    <w:r>
                                      <w:rPr>
                                        <w:rFonts w:hint="eastAsia" w:ascii="宋体" w:hAnsi="宋体" w:eastAsia="宋体" w:cs="宋体"/>
                                        <w:b/>
                                        <w:bCs/>
                                        <w:sz w:val="24"/>
                                        <w:szCs w:val="24"/>
                                      </w:rPr>
                                      <w:fldChar w:fldCharType="begin"/>
                                    </w:r>
                                    <w:r>
                                      <w:rPr>
                                        <w:rFonts w:hint="eastAsia" w:ascii="宋体" w:hAnsi="宋体" w:eastAsia="宋体" w:cs="宋体"/>
                                        <w:sz w:val="24"/>
                                        <w:szCs w:val="24"/>
                                      </w:rPr>
                                      <w:instrText xml:space="preserve"> HYPERLINK \l _Toc16054_WPSOffice_Level1 </w:instrText>
                                    </w:r>
                                    <w:r>
                                      <w:rPr>
                                        <w:rFonts w:hint="eastAsia" w:ascii="宋体" w:hAnsi="宋体" w:eastAsia="宋体" w:cs="宋体"/>
                                        <w:b/>
                                        <w:bCs/>
                                        <w:sz w:val="24"/>
                                        <w:szCs w:val="24"/>
                                      </w:rPr>
                                      <w:fldChar w:fldCharType="separate"/>
                                    </w:r>
                                    <w:r>
                                      <w:rPr>
                                        <w:rFonts w:hint="eastAsia" w:ascii="宋体" w:hAnsi="宋体" w:eastAsia="宋体" w:cs="宋体"/>
                                        <w:b/>
                                        <w:bCs/>
                                        <w:sz w:val="24"/>
                                        <w:szCs w:val="24"/>
                                      </w:rPr>
                                      <w:t>三、收支预算情况说明</w:t>
                                    </w:r>
                                    <w:r>
                                      <w:rPr>
                                        <w:rFonts w:hint="eastAsia" w:ascii="宋体" w:hAnsi="宋体" w:eastAsia="宋体" w:cs="宋体"/>
                                        <w:b/>
                                        <w:bCs/>
                                        <w:sz w:val="24"/>
                                        <w:szCs w:val="24"/>
                                      </w:rPr>
                                      <w:tab/>
                                    </w:r>
                                    <w:r>
                                      <w:rPr>
                                        <w:rFonts w:hint="eastAsia" w:ascii="宋体" w:hAnsi="宋体" w:cs="宋体"/>
                                        <w:b/>
                                        <w:bCs/>
                                        <w:sz w:val="24"/>
                                        <w:szCs w:val="24"/>
                                        <w:lang w:val="en-US" w:eastAsia="zh-CN"/>
                                      </w:rPr>
                                      <w:t>5</w:t>
                                    </w:r>
                                    <w:r>
                                      <w:rPr>
                                        <w:rFonts w:hint="eastAsia" w:ascii="宋体" w:hAnsi="宋体" w:eastAsia="宋体" w:cs="宋体"/>
                                        <w:b/>
                                        <w:bCs/>
                                        <w:sz w:val="24"/>
                                        <w:szCs w:val="24"/>
                                      </w:rPr>
                                      <w:fldChar w:fldCharType="end"/>
                                    </w:r>
                                  </w:p>
                                  <w:p>
                                    <w:pPr>
                                      <w:pStyle w:val="12"/>
                                      <w:keepNext w:val="0"/>
                                      <w:keepLines w:val="0"/>
                                      <w:pageBreakBefore w:val="0"/>
                                      <w:widowControl/>
                                      <w:tabs>
                                        <w:tab w:val="right" w:leader="dot" w:pos="8306"/>
                                      </w:tabs>
                                      <w:kinsoku/>
                                      <w:wordWrap/>
                                      <w:overflowPunct/>
                                      <w:topLinePunct w:val="0"/>
                                      <w:autoSpaceDE/>
                                      <w:autoSpaceDN/>
                                      <w:bidi w:val="0"/>
                                      <w:adjustRightInd/>
                                      <w:snapToGrid/>
                                      <w:spacing w:line="360" w:lineRule="auto"/>
                                      <w:textAlignment w:val="auto"/>
                                      <w:outlineLvl w:val="9"/>
                                      <w:rPr>
                                        <w:rFonts w:hint="eastAsia" w:ascii="宋体" w:hAnsi="宋体" w:eastAsia="宋体" w:cs="宋体"/>
                                        <w:sz w:val="24"/>
                                        <w:szCs w:val="24"/>
                                      </w:rPr>
                                    </w:pPr>
                                    <w:r>
                                      <w:rPr>
                                        <w:rFonts w:hint="eastAsia" w:ascii="宋体" w:hAnsi="宋体" w:eastAsia="宋体" w:cs="宋体"/>
                                        <w:sz w:val="24"/>
                                        <w:szCs w:val="24"/>
                                      </w:rPr>
                                      <w:fldChar w:fldCharType="begin"/>
                                    </w:r>
                                    <w:r>
                                      <w:rPr>
                                        <w:rFonts w:hint="eastAsia" w:ascii="宋体" w:hAnsi="宋体" w:eastAsia="宋体" w:cs="宋体"/>
                                        <w:sz w:val="24"/>
                                        <w:szCs w:val="24"/>
                                      </w:rPr>
                                      <w:instrText xml:space="preserve"> HYPERLINK \l _Toc11178_WPSOffice_Level2 </w:instrText>
                                    </w:r>
                                    <w:r>
                                      <w:rPr>
                                        <w:rFonts w:hint="eastAsia" w:ascii="宋体" w:hAnsi="宋体" w:eastAsia="宋体" w:cs="宋体"/>
                                        <w:sz w:val="24"/>
                                        <w:szCs w:val="24"/>
                                      </w:rPr>
                                      <w:fldChar w:fldCharType="separate"/>
                                    </w:r>
                                    <w:r>
                                      <w:rPr>
                                        <w:rFonts w:hint="eastAsia" w:ascii="宋体" w:hAnsi="宋体" w:eastAsia="宋体" w:cs="宋体"/>
                                        <w:sz w:val="24"/>
                                        <w:szCs w:val="24"/>
                                      </w:rPr>
                                      <w:t>（一）收入预算情况</w:t>
                                    </w:r>
                                    <w:r>
                                      <w:rPr>
                                        <w:rFonts w:hint="eastAsia" w:ascii="宋体" w:hAnsi="宋体" w:eastAsia="宋体" w:cs="宋体"/>
                                        <w:sz w:val="24"/>
                                        <w:szCs w:val="24"/>
                                      </w:rPr>
                                      <w:tab/>
                                    </w:r>
                                    <w:r>
                                      <w:rPr>
                                        <w:rFonts w:hint="eastAsia" w:ascii="宋体" w:hAnsi="宋体" w:cs="宋体"/>
                                        <w:sz w:val="24"/>
                                        <w:szCs w:val="24"/>
                                        <w:lang w:val="en-US" w:eastAsia="zh-CN"/>
                                      </w:rPr>
                                      <w:t>5</w:t>
                                    </w:r>
                                    <w:r>
                                      <w:rPr>
                                        <w:rFonts w:hint="eastAsia" w:ascii="宋体" w:hAnsi="宋体" w:eastAsia="宋体" w:cs="宋体"/>
                                        <w:sz w:val="24"/>
                                        <w:szCs w:val="24"/>
                                      </w:rPr>
                                      <w:fldChar w:fldCharType="end"/>
                                    </w:r>
                                  </w:p>
                                  <w:p>
                                    <w:pPr>
                                      <w:pStyle w:val="12"/>
                                      <w:keepNext w:val="0"/>
                                      <w:keepLines w:val="0"/>
                                      <w:pageBreakBefore w:val="0"/>
                                      <w:widowControl/>
                                      <w:tabs>
                                        <w:tab w:val="right" w:leader="dot" w:pos="8306"/>
                                      </w:tabs>
                                      <w:kinsoku/>
                                      <w:wordWrap/>
                                      <w:overflowPunct/>
                                      <w:topLinePunct w:val="0"/>
                                      <w:autoSpaceDE/>
                                      <w:autoSpaceDN/>
                                      <w:bidi w:val="0"/>
                                      <w:adjustRightInd/>
                                      <w:snapToGrid/>
                                      <w:spacing w:line="360" w:lineRule="auto"/>
                                      <w:textAlignment w:val="auto"/>
                                      <w:outlineLvl w:val="9"/>
                                      <w:rPr>
                                        <w:rFonts w:hint="eastAsia" w:ascii="宋体" w:hAnsi="宋体" w:eastAsia="宋体" w:cs="宋体"/>
                                        <w:sz w:val="24"/>
                                        <w:szCs w:val="24"/>
                                      </w:rPr>
                                    </w:pPr>
                                    <w:r>
                                      <w:rPr>
                                        <w:rFonts w:hint="eastAsia" w:ascii="宋体" w:hAnsi="宋体" w:eastAsia="宋体" w:cs="宋体"/>
                                        <w:sz w:val="24"/>
                                        <w:szCs w:val="24"/>
                                      </w:rPr>
                                      <w:fldChar w:fldCharType="begin"/>
                                    </w:r>
                                    <w:r>
                                      <w:rPr>
                                        <w:rFonts w:hint="eastAsia" w:ascii="宋体" w:hAnsi="宋体" w:eastAsia="宋体" w:cs="宋体"/>
                                        <w:sz w:val="24"/>
                                        <w:szCs w:val="24"/>
                                      </w:rPr>
                                      <w:instrText xml:space="preserve"> HYPERLINK \l _Toc17895_WPSOffice_Level2 </w:instrText>
                                    </w:r>
                                    <w:r>
                                      <w:rPr>
                                        <w:rFonts w:hint="eastAsia" w:ascii="宋体" w:hAnsi="宋体" w:eastAsia="宋体" w:cs="宋体"/>
                                        <w:sz w:val="24"/>
                                        <w:szCs w:val="24"/>
                                      </w:rPr>
                                      <w:fldChar w:fldCharType="separate"/>
                                    </w:r>
                                    <w:r>
                                      <w:rPr>
                                        <w:rFonts w:hint="eastAsia" w:ascii="宋体" w:hAnsi="宋体" w:eastAsia="宋体" w:cs="宋体"/>
                                        <w:sz w:val="24"/>
                                        <w:szCs w:val="24"/>
                                      </w:rPr>
                                      <w:t>（二）支出预算情况</w:t>
                                    </w:r>
                                    <w:r>
                                      <w:rPr>
                                        <w:rFonts w:hint="eastAsia" w:ascii="宋体" w:hAnsi="宋体" w:eastAsia="宋体" w:cs="宋体"/>
                                        <w:sz w:val="24"/>
                                        <w:szCs w:val="24"/>
                                      </w:rPr>
                                      <w:tab/>
                                    </w:r>
                                    <w:r>
                                      <w:rPr>
                                        <w:rFonts w:hint="eastAsia" w:ascii="宋体" w:hAnsi="宋体" w:cs="宋体"/>
                                        <w:sz w:val="24"/>
                                        <w:szCs w:val="24"/>
                                        <w:lang w:val="en-US" w:eastAsia="zh-CN"/>
                                      </w:rPr>
                                      <w:t>5</w:t>
                                    </w:r>
                                    <w:r>
                                      <w:rPr>
                                        <w:rFonts w:hint="eastAsia" w:ascii="宋体" w:hAnsi="宋体" w:eastAsia="宋体" w:cs="宋体"/>
                                        <w:sz w:val="24"/>
                                        <w:szCs w:val="24"/>
                                      </w:rPr>
                                      <w:fldChar w:fldCharType="end"/>
                                    </w:r>
                                  </w:p>
                                  <w:p>
                                    <w:pPr>
                                      <w:pStyle w:val="11"/>
                                      <w:keepNext w:val="0"/>
                                      <w:keepLines w:val="0"/>
                                      <w:pageBreakBefore w:val="0"/>
                                      <w:widowControl/>
                                      <w:tabs>
                                        <w:tab w:val="right" w:leader="dot" w:pos="8306"/>
                                      </w:tabs>
                                      <w:kinsoku/>
                                      <w:wordWrap/>
                                      <w:overflowPunct/>
                                      <w:topLinePunct w:val="0"/>
                                      <w:autoSpaceDE/>
                                      <w:autoSpaceDN/>
                                      <w:bidi w:val="0"/>
                                      <w:adjustRightInd/>
                                      <w:snapToGrid/>
                                      <w:spacing w:line="360" w:lineRule="auto"/>
                                      <w:textAlignment w:val="auto"/>
                                      <w:outlineLvl w:val="9"/>
                                      <w:rPr>
                                        <w:rFonts w:hint="eastAsia" w:ascii="宋体" w:hAnsi="宋体" w:eastAsia="宋体" w:cs="宋体"/>
                                        <w:sz w:val="24"/>
                                        <w:szCs w:val="24"/>
                                      </w:rPr>
                                    </w:pPr>
                                    <w:r>
                                      <w:rPr>
                                        <w:rFonts w:hint="eastAsia" w:ascii="宋体" w:hAnsi="宋体" w:eastAsia="宋体" w:cs="宋体"/>
                                        <w:b/>
                                        <w:bCs/>
                                        <w:sz w:val="24"/>
                                        <w:szCs w:val="24"/>
                                      </w:rPr>
                                      <w:fldChar w:fldCharType="begin"/>
                                    </w:r>
                                    <w:r>
                                      <w:rPr>
                                        <w:rFonts w:hint="eastAsia" w:ascii="宋体" w:hAnsi="宋体" w:eastAsia="宋体" w:cs="宋体"/>
                                        <w:sz w:val="24"/>
                                        <w:szCs w:val="24"/>
                                      </w:rPr>
                                      <w:instrText xml:space="preserve"> HYPERLINK \l _Toc14616_WPSOffice_Level1 </w:instrText>
                                    </w:r>
                                    <w:r>
                                      <w:rPr>
                                        <w:rFonts w:hint="eastAsia" w:ascii="宋体" w:hAnsi="宋体" w:eastAsia="宋体" w:cs="宋体"/>
                                        <w:b/>
                                        <w:bCs/>
                                        <w:sz w:val="24"/>
                                        <w:szCs w:val="24"/>
                                      </w:rPr>
                                      <w:fldChar w:fldCharType="separate"/>
                                    </w:r>
                                    <w:r>
                                      <w:rPr>
                                        <w:rFonts w:hint="eastAsia" w:ascii="宋体" w:hAnsi="宋体" w:eastAsia="宋体" w:cs="宋体"/>
                                        <w:b/>
                                        <w:bCs/>
                                        <w:sz w:val="24"/>
                                        <w:szCs w:val="24"/>
                                      </w:rPr>
                                      <w:t>四、财政拨款收支预算情况说明</w:t>
                                    </w:r>
                                    <w:r>
                                      <w:rPr>
                                        <w:rFonts w:hint="eastAsia" w:ascii="宋体" w:hAnsi="宋体" w:eastAsia="宋体" w:cs="宋体"/>
                                        <w:b/>
                                        <w:bCs/>
                                        <w:sz w:val="24"/>
                                        <w:szCs w:val="24"/>
                                      </w:rPr>
                                      <w:tab/>
                                    </w:r>
                                    <w:r>
                                      <w:rPr>
                                        <w:rFonts w:hint="eastAsia" w:ascii="宋体" w:hAnsi="宋体" w:cs="宋体"/>
                                        <w:b/>
                                        <w:bCs/>
                                        <w:sz w:val="24"/>
                                        <w:szCs w:val="24"/>
                                        <w:lang w:val="en-US" w:eastAsia="zh-CN"/>
                                      </w:rPr>
                                      <w:t>6</w:t>
                                    </w:r>
                                    <w:r>
                                      <w:rPr>
                                        <w:rFonts w:hint="eastAsia" w:ascii="宋体" w:hAnsi="宋体" w:eastAsia="宋体" w:cs="宋体"/>
                                        <w:b/>
                                        <w:bCs/>
                                        <w:sz w:val="24"/>
                                        <w:szCs w:val="24"/>
                                      </w:rPr>
                                      <w:fldChar w:fldCharType="end"/>
                                    </w:r>
                                  </w:p>
                                  <w:p>
                                    <w:pPr>
                                      <w:pStyle w:val="11"/>
                                      <w:keepNext w:val="0"/>
                                      <w:keepLines w:val="0"/>
                                      <w:pageBreakBefore w:val="0"/>
                                      <w:widowControl/>
                                      <w:tabs>
                                        <w:tab w:val="right" w:leader="dot" w:pos="8306"/>
                                      </w:tabs>
                                      <w:kinsoku/>
                                      <w:wordWrap/>
                                      <w:overflowPunct/>
                                      <w:topLinePunct w:val="0"/>
                                      <w:autoSpaceDE/>
                                      <w:autoSpaceDN/>
                                      <w:bidi w:val="0"/>
                                      <w:adjustRightInd/>
                                      <w:snapToGrid/>
                                      <w:spacing w:line="360" w:lineRule="auto"/>
                                      <w:textAlignment w:val="auto"/>
                                      <w:outlineLvl w:val="9"/>
                                      <w:rPr>
                                        <w:rFonts w:hint="eastAsia" w:ascii="宋体" w:hAnsi="宋体" w:eastAsia="宋体" w:cs="宋体"/>
                                        <w:sz w:val="24"/>
                                        <w:szCs w:val="24"/>
                                      </w:rPr>
                                    </w:pPr>
                                    <w:r>
                                      <w:rPr>
                                        <w:rFonts w:hint="eastAsia" w:ascii="宋体" w:hAnsi="宋体" w:eastAsia="宋体" w:cs="宋体"/>
                                        <w:b/>
                                        <w:bCs/>
                                        <w:sz w:val="24"/>
                                        <w:szCs w:val="24"/>
                                      </w:rPr>
                                      <w:fldChar w:fldCharType="begin"/>
                                    </w:r>
                                    <w:r>
                                      <w:rPr>
                                        <w:rFonts w:hint="eastAsia" w:ascii="宋体" w:hAnsi="宋体" w:eastAsia="宋体" w:cs="宋体"/>
                                        <w:sz w:val="24"/>
                                        <w:szCs w:val="24"/>
                                      </w:rPr>
                                      <w:instrText xml:space="preserve"> HYPERLINK \l _Toc10808_WPSOffice_Level1 </w:instrText>
                                    </w:r>
                                    <w:r>
                                      <w:rPr>
                                        <w:rFonts w:hint="eastAsia" w:ascii="宋体" w:hAnsi="宋体" w:eastAsia="宋体" w:cs="宋体"/>
                                        <w:b/>
                                        <w:bCs/>
                                        <w:sz w:val="24"/>
                                        <w:szCs w:val="24"/>
                                      </w:rPr>
                                      <w:fldChar w:fldCharType="separate"/>
                                    </w:r>
                                    <w:r>
                                      <w:rPr>
                                        <w:rFonts w:hint="eastAsia" w:ascii="宋体" w:hAnsi="宋体" w:eastAsia="宋体" w:cs="宋体"/>
                                        <w:b/>
                                        <w:bCs/>
                                        <w:sz w:val="24"/>
                                        <w:szCs w:val="24"/>
                                      </w:rPr>
                                      <w:t>五、一般公共预算当年拨款情况说明</w:t>
                                    </w:r>
                                    <w:r>
                                      <w:rPr>
                                        <w:rFonts w:hint="eastAsia" w:ascii="宋体" w:hAnsi="宋体" w:eastAsia="宋体" w:cs="宋体"/>
                                        <w:b/>
                                        <w:bCs/>
                                        <w:sz w:val="24"/>
                                        <w:szCs w:val="24"/>
                                      </w:rPr>
                                      <w:tab/>
                                    </w:r>
                                    <w:r>
                                      <w:rPr>
                                        <w:rFonts w:hint="eastAsia" w:ascii="宋体" w:hAnsi="宋体" w:cs="宋体"/>
                                        <w:b/>
                                        <w:bCs/>
                                        <w:sz w:val="24"/>
                                        <w:szCs w:val="24"/>
                                        <w:lang w:val="en-US" w:eastAsia="zh-CN"/>
                                      </w:rPr>
                                      <w:t>6</w:t>
                                    </w:r>
                                    <w:r>
                                      <w:rPr>
                                        <w:rFonts w:hint="eastAsia" w:ascii="宋体" w:hAnsi="宋体" w:eastAsia="宋体" w:cs="宋体"/>
                                        <w:b/>
                                        <w:bCs/>
                                        <w:sz w:val="24"/>
                                        <w:szCs w:val="24"/>
                                      </w:rPr>
                                      <w:fldChar w:fldCharType="end"/>
                                    </w:r>
                                  </w:p>
                                  <w:p>
                                    <w:pPr>
                                      <w:pStyle w:val="12"/>
                                      <w:keepNext w:val="0"/>
                                      <w:keepLines w:val="0"/>
                                      <w:pageBreakBefore w:val="0"/>
                                      <w:widowControl/>
                                      <w:tabs>
                                        <w:tab w:val="right" w:leader="dot" w:pos="8306"/>
                                      </w:tabs>
                                      <w:kinsoku/>
                                      <w:wordWrap/>
                                      <w:overflowPunct/>
                                      <w:topLinePunct w:val="0"/>
                                      <w:autoSpaceDE/>
                                      <w:autoSpaceDN/>
                                      <w:bidi w:val="0"/>
                                      <w:adjustRightInd/>
                                      <w:snapToGrid/>
                                      <w:spacing w:line="360" w:lineRule="auto"/>
                                      <w:textAlignment w:val="auto"/>
                                      <w:outlineLvl w:val="9"/>
                                      <w:rPr>
                                        <w:rFonts w:hint="eastAsia" w:ascii="宋体" w:hAnsi="宋体" w:eastAsia="宋体" w:cs="宋体"/>
                                        <w:sz w:val="24"/>
                                        <w:szCs w:val="24"/>
                                      </w:rPr>
                                    </w:pPr>
                                    <w:r>
                                      <w:rPr>
                                        <w:rFonts w:hint="eastAsia" w:ascii="宋体" w:hAnsi="宋体" w:eastAsia="宋体" w:cs="宋体"/>
                                        <w:sz w:val="24"/>
                                        <w:szCs w:val="24"/>
                                      </w:rPr>
                                      <w:fldChar w:fldCharType="begin"/>
                                    </w:r>
                                    <w:r>
                                      <w:rPr>
                                        <w:rFonts w:hint="eastAsia" w:ascii="宋体" w:hAnsi="宋体" w:eastAsia="宋体" w:cs="宋体"/>
                                        <w:sz w:val="24"/>
                                        <w:szCs w:val="24"/>
                                      </w:rPr>
                                      <w:instrText xml:space="preserve"> HYPERLINK \l _Toc1389_WPSOffice_Level2 </w:instrText>
                                    </w:r>
                                    <w:r>
                                      <w:rPr>
                                        <w:rFonts w:hint="eastAsia" w:ascii="宋体" w:hAnsi="宋体" w:eastAsia="宋体" w:cs="宋体"/>
                                        <w:sz w:val="24"/>
                                        <w:szCs w:val="24"/>
                                      </w:rPr>
                                      <w:fldChar w:fldCharType="separate"/>
                                    </w:r>
                                    <w:r>
                                      <w:rPr>
                                        <w:rFonts w:hint="eastAsia" w:ascii="宋体" w:hAnsi="宋体" w:eastAsia="宋体" w:cs="宋体"/>
                                        <w:sz w:val="24"/>
                                        <w:szCs w:val="24"/>
                                      </w:rPr>
                                      <w:t>（一）一般公共预算当年拨款规模变化情况</w:t>
                                    </w:r>
                                    <w:r>
                                      <w:rPr>
                                        <w:rFonts w:hint="eastAsia" w:ascii="宋体" w:hAnsi="宋体" w:eastAsia="宋体" w:cs="宋体"/>
                                        <w:sz w:val="24"/>
                                        <w:szCs w:val="24"/>
                                      </w:rPr>
                                      <w:tab/>
                                    </w:r>
                                    <w:r>
                                      <w:rPr>
                                        <w:rFonts w:hint="eastAsia" w:ascii="宋体" w:hAnsi="宋体" w:cs="宋体"/>
                                        <w:sz w:val="24"/>
                                        <w:szCs w:val="24"/>
                                        <w:lang w:val="en-US" w:eastAsia="zh-CN"/>
                                      </w:rPr>
                                      <w:t>6</w:t>
                                    </w:r>
                                    <w:r>
                                      <w:rPr>
                                        <w:rFonts w:hint="eastAsia" w:ascii="宋体" w:hAnsi="宋体" w:eastAsia="宋体" w:cs="宋体"/>
                                        <w:sz w:val="24"/>
                                        <w:szCs w:val="24"/>
                                      </w:rPr>
                                      <w:fldChar w:fldCharType="end"/>
                                    </w:r>
                                  </w:p>
                                  <w:p>
                                    <w:pPr>
                                      <w:pStyle w:val="12"/>
                                      <w:keepNext w:val="0"/>
                                      <w:keepLines w:val="0"/>
                                      <w:pageBreakBefore w:val="0"/>
                                      <w:widowControl/>
                                      <w:tabs>
                                        <w:tab w:val="right" w:leader="dot" w:pos="8306"/>
                                      </w:tabs>
                                      <w:kinsoku/>
                                      <w:wordWrap/>
                                      <w:overflowPunct/>
                                      <w:topLinePunct w:val="0"/>
                                      <w:autoSpaceDE/>
                                      <w:autoSpaceDN/>
                                      <w:bidi w:val="0"/>
                                      <w:adjustRightInd/>
                                      <w:snapToGrid/>
                                      <w:spacing w:line="360" w:lineRule="auto"/>
                                      <w:textAlignment w:val="auto"/>
                                      <w:outlineLvl w:val="9"/>
                                      <w:rPr>
                                        <w:rFonts w:hint="eastAsia" w:ascii="宋体" w:hAnsi="宋体" w:eastAsia="宋体" w:cs="宋体"/>
                                        <w:sz w:val="24"/>
                                        <w:szCs w:val="24"/>
                                      </w:rPr>
                                    </w:pPr>
                                    <w:r>
                                      <w:rPr>
                                        <w:rFonts w:hint="eastAsia" w:ascii="宋体" w:hAnsi="宋体" w:eastAsia="宋体" w:cs="宋体"/>
                                        <w:sz w:val="24"/>
                                        <w:szCs w:val="24"/>
                                      </w:rPr>
                                      <w:fldChar w:fldCharType="begin"/>
                                    </w:r>
                                    <w:r>
                                      <w:rPr>
                                        <w:rFonts w:hint="eastAsia" w:ascii="宋体" w:hAnsi="宋体" w:eastAsia="宋体" w:cs="宋体"/>
                                        <w:sz w:val="24"/>
                                        <w:szCs w:val="24"/>
                                      </w:rPr>
                                      <w:instrText xml:space="preserve"> HYPERLINK \l _Toc31745_WPSOffice_Level2 </w:instrText>
                                    </w:r>
                                    <w:r>
                                      <w:rPr>
                                        <w:rFonts w:hint="eastAsia" w:ascii="宋体" w:hAnsi="宋体" w:eastAsia="宋体" w:cs="宋体"/>
                                        <w:sz w:val="24"/>
                                        <w:szCs w:val="24"/>
                                      </w:rPr>
                                      <w:fldChar w:fldCharType="separate"/>
                                    </w:r>
                                    <w:r>
                                      <w:rPr>
                                        <w:rFonts w:hint="eastAsia" w:ascii="宋体" w:hAnsi="宋体" w:eastAsia="宋体" w:cs="宋体"/>
                                        <w:sz w:val="24"/>
                                        <w:szCs w:val="24"/>
                                      </w:rPr>
                                      <w:t>（二）一般公共预算当年拨款结构情况</w:t>
                                    </w:r>
                                    <w:r>
                                      <w:rPr>
                                        <w:rFonts w:hint="eastAsia" w:ascii="宋体" w:hAnsi="宋体" w:eastAsia="宋体" w:cs="宋体"/>
                                        <w:sz w:val="24"/>
                                        <w:szCs w:val="24"/>
                                      </w:rPr>
                                      <w:tab/>
                                    </w:r>
                                    <w:r>
                                      <w:rPr>
                                        <w:rFonts w:hint="eastAsia" w:ascii="宋体" w:hAnsi="宋体" w:cs="宋体"/>
                                        <w:sz w:val="24"/>
                                        <w:szCs w:val="24"/>
                                        <w:lang w:val="en-US" w:eastAsia="zh-CN"/>
                                      </w:rPr>
                                      <w:t>6</w:t>
                                    </w:r>
                                    <w:r>
                                      <w:rPr>
                                        <w:rFonts w:hint="eastAsia" w:ascii="宋体" w:hAnsi="宋体" w:eastAsia="宋体" w:cs="宋体"/>
                                        <w:sz w:val="24"/>
                                        <w:szCs w:val="24"/>
                                      </w:rPr>
                                      <w:fldChar w:fldCharType="end"/>
                                    </w:r>
                                  </w:p>
                                  <w:p>
                                    <w:pPr>
                                      <w:pStyle w:val="12"/>
                                      <w:keepNext w:val="0"/>
                                      <w:keepLines w:val="0"/>
                                      <w:pageBreakBefore w:val="0"/>
                                      <w:widowControl/>
                                      <w:tabs>
                                        <w:tab w:val="right" w:leader="dot" w:pos="8306"/>
                                      </w:tabs>
                                      <w:kinsoku/>
                                      <w:wordWrap/>
                                      <w:overflowPunct/>
                                      <w:topLinePunct w:val="0"/>
                                      <w:autoSpaceDE/>
                                      <w:autoSpaceDN/>
                                      <w:bidi w:val="0"/>
                                      <w:adjustRightInd/>
                                      <w:snapToGrid/>
                                      <w:spacing w:line="360" w:lineRule="auto"/>
                                      <w:textAlignment w:val="auto"/>
                                      <w:outlineLvl w:val="9"/>
                                      <w:rPr>
                                        <w:rFonts w:hint="eastAsia" w:ascii="宋体" w:hAnsi="宋体" w:eastAsia="宋体" w:cs="宋体"/>
                                        <w:sz w:val="24"/>
                                        <w:szCs w:val="24"/>
                                      </w:rPr>
                                    </w:pPr>
                                    <w:r>
                                      <w:rPr>
                                        <w:rFonts w:hint="eastAsia" w:ascii="宋体" w:hAnsi="宋体" w:eastAsia="宋体" w:cs="宋体"/>
                                        <w:sz w:val="24"/>
                                        <w:szCs w:val="24"/>
                                      </w:rPr>
                                      <w:fldChar w:fldCharType="begin"/>
                                    </w:r>
                                    <w:r>
                                      <w:rPr>
                                        <w:rFonts w:hint="eastAsia" w:ascii="宋体" w:hAnsi="宋体" w:eastAsia="宋体" w:cs="宋体"/>
                                        <w:sz w:val="24"/>
                                        <w:szCs w:val="24"/>
                                      </w:rPr>
                                      <w:instrText xml:space="preserve"> HYPERLINK \l _Toc986_WPSOffice_Level2 </w:instrText>
                                    </w:r>
                                    <w:r>
                                      <w:rPr>
                                        <w:rFonts w:hint="eastAsia" w:ascii="宋体" w:hAnsi="宋体" w:eastAsia="宋体" w:cs="宋体"/>
                                        <w:sz w:val="24"/>
                                        <w:szCs w:val="24"/>
                                      </w:rPr>
                                      <w:fldChar w:fldCharType="separate"/>
                                    </w:r>
                                    <w:r>
                                      <w:rPr>
                                        <w:rFonts w:hint="eastAsia" w:ascii="宋体" w:hAnsi="宋体" w:eastAsia="宋体" w:cs="宋体"/>
                                        <w:sz w:val="24"/>
                                        <w:szCs w:val="24"/>
                                      </w:rPr>
                                      <w:t>（三）一般公共预算当年拨款具体使用情况</w:t>
                                    </w:r>
                                    <w:r>
                                      <w:rPr>
                                        <w:rFonts w:hint="eastAsia" w:ascii="宋体" w:hAnsi="宋体" w:eastAsia="宋体" w:cs="宋体"/>
                                        <w:sz w:val="24"/>
                                        <w:szCs w:val="24"/>
                                      </w:rPr>
                                      <w:tab/>
                                    </w:r>
                                    <w:r>
                                      <w:rPr>
                                        <w:rFonts w:hint="eastAsia" w:ascii="宋体" w:hAnsi="宋体" w:cs="宋体"/>
                                        <w:sz w:val="24"/>
                                        <w:szCs w:val="24"/>
                                        <w:lang w:val="en-US" w:eastAsia="zh-CN"/>
                                      </w:rPr>
                                      <w:t>6</w:t>
                                    </w:r>
                                    <w:r>
                                      <w:rPr>
                                        <w:rFonts w:hint="eastAsia" w:ascii="宋体" w:hAnsi="宋体" w:eastAsia="宋体" w:cs="宋体"/>
                                        <w:sz w:val="24"/>
                                        <w:szCs w:val="24"/>
                                      </w:rPr>
                                      <w:fldChar w:fldCharType="end"/>
                                    </w:r>
                                  </w:p>
                                  <w:p>
                                    <w:pPr>
                                      <w:pStyle w:val="11"/>
                                      <w:keepNext w:val="0"/>
                                      <w:keepLines w:val="0"/>
                                      <w:pageBreakBefore w:val="0"/>
                                      <w:widowControl/>
                                      <w:tabs>
                                        <w:tab w:val="right" w:leader="dot" w:pos="8306"/>
                                      </w:tabs>
                                      <w:kinsoku/>
                                      <w:wordWrap/>
                                      <w:overflowPunct/>
                                      <w:topLinePunct w:val="0"/>
                                      <w:autoSpaceDE/>
                                      <w:autoSpaceDN/>
                                      <w:bidi w:val="0"/>
                                      <w:adjustRightInd/>
                                      <w:snapToGrid/>
                                      <w:spacing w:line="360" w:lineRule="auto"/>
                                      <w:textAlignment w:val="auto"/>
                                      <w:outlineLvl w:val="9"/>
                                      <w:rPr>
                                        <w:rFonts w:hint="eastAsia" w:ascii="宋体" w:hAnsi="宋体" w:eastAsia="宋体" w:cs="宋体"/>
                                        <w:sz w:val="24"/>
                                        <w:szCs w:val="24"/>
                                      </w:rPr>
                                    </w:pPr>
                                    <w:r>
                                      <w:rPr>
                                        <w:rFonts w:hint="eastAsia" w:ascii="宋体" w:hAnsi="宋体" w:eastAsia="宋体" w:cs="宋体"/>
                                        <w:b/>
                                        <w:bCs/>
                                        <w:sz w:val="24"/>
                                        <w:szCs w:val="24"/>
                                      </w:rPr>
                                      <w:fldChar w:fldCharType="begin"/>
                                    </w:r>
                                    <w:r>
                                      <w:rPr>
                                        <w:rFonts w:hint="eastAsia" w:ascii="宋体" w:hAnsi="宋体" w:eastAsia="宋体" w:cs="宋体"/>
                                        <w:sz w:val="24"/>
                                        <w:szCs w:val="24"/>
                                      </w:rPr>
                                      <w:instrText xml:space="preserve"> HYPERLINK \l _Toc23805_WPSOffice_Level1 </w:instrText>
                                    </w:r>
                                    <w:r>
                                      <w:rPr>
                                        <w:rFonts w:hint="eastAsia" w:ascii="宋体" w:hAnsi="宋体" w:eastAsia="宋体" w:cs="宋体"/>
                                        <w:b/>
                                        <w:bCs/>
                                        <w:sz w:val="24"/>
                                        <w:szCs w:val="24"/>
                                      </w:rPr>
                                      <w:fldChar w:fldCharType="separate"/>
                                    </w:r>
                                    <w:r>
                                      <w:rPr>
                                        <w:rFonts w:hint="eastAsia" w:ascii="宋体" w:hAnsi="宋体" w:eastAsia="宋体" w:cs="宋体"/>
                                        <w:b/>
                                        <w:bCs/>
                                        <w:sz w:val="24"/>
                                        <w:szCs w:val="24"/>
                                      </w:rPr>
                                      <w:t>六、一般公共预算基本支出情况说明</w:t>
                                    </w:r>
                                    <w:r>
                                      <w:rPr>
                                        <w:rFonts w:hint="eastAsia" w:ascii="宋体" w:hAnsi="宋体" w:eastAsia="宋体" w:cs="宋体"/>
                                        <w:b/>
                                        <w:bCs/>
                                        <w:sz w:val="24"/>
                                        <w:szCs w:val="24"/>
                                      </w:rPr>
                                      <w:tab/>
                                    </w:r>
                                    <w:r>
                                      <w:rPr>
                                        <w:rFonts w:hint="eastAsia" w:ascii="宋体" w:hAnsi="宋体" w:cs="宋体"/>
                                        <w:b/>
                                        <w:bCs/>
                                        <w:sz w:val="24"/>
                                        <w:szCs w:val="24"/>
                                        <w:lang w:val="en-US" w:eastAsia="zh-CN"/>
                                      </w:rPr>
                                      <w:t>8</w:t>
                                    </w:r>
                                    <w:r>
                                      <w:rPr>
                                        <w:rFonts w:hint="eastAsia" w:ascii="宋体" w:hAnsi="宋体" w:eastAsia="宋体" w:cs="宋体"/>
                                        <w:b/>
                                        <w:bCs/>
                                        <w:sz w:val="24"/>
                                        <w:szCs w:val="24"/>
                                      </w:rPr>
                                      <w:fldChar w:fldCharType="end"/>
                                    </w:r>
                                  </w:p>
                                  <w:p>
                                    <w:pPr>
                                      <w:pStyle w:val="11"/>
                                      <w:keepNext w:val="0"/>
                                      <w:keepLines w:val="0"/>
                                      <w:pageBreakBefore w:val="0"/>
                                      <w:widowControl/>
                                      <w:tabs>
                                        <w:tab w:val="right" w:leader="dot" w:pos="8306"/>
                                      </w:tabs>
                                      <w:kinsoku/>
                                      <w:wordWrap/>
                                      <w:overflowPunct/>
                                      <w:topLinePunct w:val="0"/>
                                      <w:autoSpaceDE/>
                                      <w:autoSpaceDN/>
                                      <w:bidi w:val="0"/>
                                      <w:adjustRightInd/>
                                      <w:snapToGrid/>
                                      <w:spacing w:line="360" w:lineRule="auto"/>
                                      <w:textAlignment w:val="auto"/>
                                      <w:outlineLvl w:val="9"/>
                                      <w:rPr>
                                        <w:rFonts w:hint="eastAsia" w:ascii="宋体" w:hAnsi="宋体" w:eastAsia="宋体" w:cs="宋体"/>
                                        <w:sz w:val="24"/>
                                        <w:szCs w:val="24"/>
                                      </w:rPr>
                                    </w:pPr>
                                    <w:r>
                                      <w:rPr>
                                        <w:rFonts w:hint="eastAsia" w:ascii="宋体" w:hAnsi="宋体" w:eastAsia="宋体" w:cs="宋体"/>
                                        <w:b/>
                                        <w:bCs/>
                                        <w:sz w:val="24"/>
                                        <w:szCs w:val="24"/>
                                      </w:rPr>
                                      <w:fldChar w:fldCharType="begin"/>
                                    </w:r>
                                    <w:r>
                                      <w:rPr>
                                        <w:rFonts w:hint="eastAsia" w:ascii="宋体" w:hAnsi="宋体" w:eastAsia="宋体" w:cs="宋体"/>
                                        <w:sz w:val="24"/>
                                        <w:szCs w:val="24"/>
                                      </w:rPr>
                                      <w:instrText xml:space="preserve"> HYPERLINK \l _Toc9533_WPSOffice_Level1 </w:instrText>
                                    </w:r>
                                    <w:r>
                                      <w:rPr>
                                        <w:rFonts w:hint="eastAsia" w:ascii="宋体" w:hAnsi="宋体" w:eastAsia="宋体" w:cs="宋体"/>
                                        <w:b/>
                                        <w:bCs/>
                                        <w:sz w:val="24"/>
                                        <w:szCs w:val="24"/>
                                      </w:rPr>
                                      <w:fldChar w:fldCharType="separate"/>
                                    </w:r>
                                    <w:r>
                                      <w:rPr>
                                        <w:rFonts w:hint="eastAsia" w:ascii="宋体" w:hAnsi="宋体" w:eastAsia="宋体" w:cs="宋体"/>
                                        <w:b/>
                                        <w:bCs/>
                                        <w:sz w:val="24"/>
                                        <w:szCs w:val="24"/>
                                      </w:rPr>
                                      <w:t>七、“三公”经费财政拨款预算安排情况说明</w:t>
                                    </w:r>
                                    <w:r>
                                      <w:rPr>
                                        <w:rFonts w:hint="eastAsia" w:ascii="宋体" w:hAnsi="宋体" w:eastAsia="宋体" w:cs="宋体"/>
                                        <w:b/>
                                        <w:bCs/>
                                        <w:sz w:val="24"/>
                                        <w:szCs w:val="24"/>
                                      </w:rPr>
                                      <w:tab/>
                                    </w:r>
                                    <w:r>
                                      <w:rPr>
                                        <w:rFonts w:hint="eastAsia" w:ascii="宋体" w:hAnsi="宋体" w:cs="宋体"/>
                                        <w:b/>
                                        <w:bCs/>
                                        <w:sz w:val="24"/>
                                        <w:szCs w:val="24"/>
                                        <w:lang w:val="en-US" w:eastAsia="zh-CN"/>
                                      </w:rPr>
                                      <w:t>8</w:t>
                                    </w:r>
                                    <w:r>
                                      <w:rPr>
                                        <w:rFonts w:hint="eastAsia" w:ascii="宋体" w:hAnsi="宋体" w:eastAsia="宋体" w:cs="宋体"/>
                                        <w:b/>
                                        <w:bCs/>
                                        <w:sz w:val="24"/>
                                        <w:szCs w:val="24"/>
                                      </w:rPr>
                                      <w:fldChar w:fldCharType="end"/>
                                    </w:r>
                                  </w:p>
                                  <w:p>
                                    <w:pPr>
                                      <w:pStyle w:val="11"/>
                                      <w:keepNext w:val="0"/>
                                      <w:keepLines w:val="0"/>
                                      <w:pageBreakBefore w:val="0"/>
                                      <w:widowControl/>
                                      <w:tabs>
                                        <w:tab w:val="right" w:leader="dot" w:pos="8306"/>
                                      </w:tabs>
                                      <w:kinsoku/>
                                      <w:wordWrap/>
                                      <w:overflowPunct/>
                                      <w:topLinePunct w:val="0"/>
                                      <w:autoSpaceDE/>
                                      <w:autoSpaceDN/>
                                      <w:bidi w:val="0"/>
                                      <w:adjustRightInd/>
                                      <w:snapToGrid/>
                                      <w:spacing w:line="360" w:lineRule="auto"/>
                                      <w:textAlignment w:val="auto"/>
                                      <w:outlineLvl w:val="9"/>
                                      <w:rPr>
                                        <w:rFonts w:hint="eastAsia" w:ascii="宋体" w:hAnsi="宋体" w:eastAsia="宋体" w:cs="宋体"/>
                                        <w:sz w:val="24"/>
                                        <w:szCs w:val="24"/>
                                      </w:rPr>
                                    </w:pPr>
                                    <w:r>
                                      <w:rPr>
                                        <w:rFonts w:hint="eastAsia" w:ascii="宋体" w:hAnsi="宋体" w:eastAsia="宋体" w:cs="宋体"/>
                                        <w:b/>
                                        <w:bCs/>
                                        <w:sz w:val="24"/>
                                        <w:szCs w:val="24"/>
                                      </w:rPr>
                                      <w:fldChar w:fldCharType="begin"/>
                                    </w:r>
                                    <w:r>
                                      <w:rPr>
                                        <w:rFonts w:hint="eastAsia" w:ascii="宋体" w:hAnsi="宋体" w:eastAsia="宋体" w:cs="宋体"/>
                                        <w:sz w:val="24"/>
                                        <w:szCs w:val="24"/>
                                      </w:rPr>
                                      <w:instrText xml:space="preserve"> HYPERLINK \l _Toc8312_WPSOffice_Level1 </w:instrText>
                                    </w:r>
                                    <w:r>
                                      <w:rPr>
                                        <w:rFonts w:hint="eastAsia" w:ascii="宋体" w:hAnsi="宋体" w:eastAsia="宋体" w:cs="宋体"/>
                                        <w:b/>
                                        <w:bCs/>
                                        <w:sz w:val="24"/>
                                        <w:szCs w:val="24"/>
                                      </w:rPr>
                                      <w:fldChar w:fldCharType="separate"/>
                                    </w:r>
                                    <w:r>
                                      <w:rPr>
                                        <w:rFonts w:hint="eastAsia" w:ascii="宋体" w:hAnsi="宋体" w:eastAsia="宋体" w:cs="宋体"/>
                                        <w:b/>
                                        <w:bCs/>
                                        <w:sz w:val="24"/>
                                        <w:szCs w:val="24"/>
                                      </w:rPr>
                                      <w:t>八、政府性基金预算支出情况说明</w:t>
                                    </w:r>
                                    <w:r>
                                      <w:rPr>
                                        <w:rFonts w:hint="eastAsia" w:ascii="宋体" w:hAnsi="宋体" w:eastAsia="宋体" w:cs="宋体"/>
                                        <w:b/>
                                        <w:bCs/>
                                        <w:sz w:val="24"/>
                                        <w:szCs w:val="24"/>
                                      </w:rPr>
                                      <w:tab/>
                                    </w:r>
                                    <w:r>
                                      <w:rPr>
                                        <w:rFonts w:hint="eastAsia" w:ascii="宋体" w:hAnsi="宋体" w:cs="宋体"/>
                                        <w:b/>
                                        <w:bCs/>
                                        <w:sz w:val="24"/>
                                        <w:szCs w:val="24"/>
                                        <w:lang w:val="en-US" w:eastAsia="zh-CN"/>
                                      </w:rPr>
                                      <w:t>9</w:t>
                                    </w:r>
                                    <w:r>
                                      <w:rPr>
                                        <w:rFonts w:hint="eastAsia" w:ascii="宋体" w:hAnsi="宋体" w:eastAsia="宋体" w:cs="宋体"/>
                                        <w:b/>
                                        <w:bCs/>
                                        <w:sz w:val="24"/>
                                        <w:szCs w:val="24"/>
                                      </w:rPr>
                                      <w:fldChar w:fldCharType="end"/>
                                    </w:r>
                                  </w:p>
                                  <w:p>
                                    <w:pPr>
                                      <w:pStyle w:val="11"/>
                                      <w:keepNext w:val="0"/>
                                      <w:keepLines w:val="0"/>
                                      <w:pageBreakBefore w:val="0"/>
                                      <w:widowControl/>
                                      <w:tabs>
                                        <w:tab w:val="right" w:leader="dot" w:pos="8306"/>
                                      </w:tabs>
                                      <w:kinsoku/>
                                      <w:wordWrap/>
                                      <w:overflowPunct/>
                                      <w:topLinePunct w:val="0"/>
                                      <w:autoSpaceDE/>
                                      <w:autoSpaceDN/>
                                      <w:bidi w:val="0"/>
                                      <w:adjustRightInd/>
                                      <w:snapToGrid/>
                                      <w:spacing w:line="360" w:lineRule="auto"/>
                                      <w:textAlignment w:val="auto"/>
                                      <w:outlineLvl w:val="9"/>
                                      <w:rPr>
                                        <w:rFonts w:hint="eastAsia" w:ascii="宋体" w:hAnsi="宋体" w:eastAsia="宋体" w:cs="宋体"/>
                                        <w:sz w:val="24"/>
                                        <w:szCs w:val="24"/>
                                      </w:rPr>
                                    </w:pPr>
                                    <w:r>
                                      <w:rPr>
                                        <w:rFonts w:hint="eastAsia" w:ascii="宋体" w:hAnsi="宋体" w:eastAsia="宋体" w:cs="宋体"/>
                                        <w:b/>
                                        <w:bCs/>
                                        <w:sz w:val="24"/>
                                        <w:szCs w:val="24"/>
                                      </w:rPr>
                                      <w:fldChar w:fldCharType="begin"/>
                                    </w:r>
                                    <w:r>
                                      <w:rPr>
                                        <w:rFonts w:hint="eastAsia" w:ascii="宋体" w:hAnsi="宋体" w:eastAsia="宋体" w:cs="宋体"/>
                                        <w:sz w:val="24"/>
                                        <w:szCs w:val="24"/>
                                      </w:rPr>
                                      <w:instrText xml:space="preserve"> HYPERLINK \l _Toc1540_WPSOffice_Level1 </w:instrText>
                                    </w:r>
                                    <w:r>
                                      <w:rPr>
                                        <w:rFonts w:hint="eastAsia" w:ascii="宋体" w:hAnsi="宋体" w:eastAsia="宋体" w:cs="宋体"/>
                                        <w:b/>
                                        <w:bCs/>
                                        <w:sz w:val="24"/>
                                        <w:szCs w:val="24"/>
                                      </w:rPr>
                                      <w:fldChar w:fldCharType="separate"/>
                                    </w:r>
                                    <w:r>
                                      <w:rPr>
                                        <w:rFonts w:hint="eastAsia" w:ascii="宋体" w:hAnsi="宋体" w:eastAsia="宋体" w:cs="宋体"/>
                                        <w:b/>
                                        <w:bCs/>
                                        <w:sz w:val="24"/>
                                        <w:szCs w:val="24"/>
                                      </w:rPr>
                                      <w:t>九、其他重要事项的情况说明</w:t>
                                    </w:r>
                                    <w:r>
                                      <w:rPr>
                                        <w:rFonts w:hint="eastAsia" w:ascii="宋体" w:hAnsi="宋体" w:eastAsia="宋体" w:cs="宋体"/>
                                        <w:b/>
                                        <w:bCs/>
                                        <w:sz w:val="24"/>
                                        <w:szCs w:val="24"/>
                                      </w:rPr>
                                      <w:tab/>
                                    </w:r>
                                    <w:r>
                                      <w:rPr>
                                        <w:rFonts w:hint="eastAsia" w:ascii="宋体" w:hAnsi="宋体" w:cs="宋体"/>
                                        <w:b/>
                                        <w:bCs/>
                                        <w:sz w:val="24"/>
                                        <w:szCs w:val="24"/>
                                        <w:lang w:val="en-US" w:eastAsia="zh-CN"/>
                                      </w:rPr>
                                      <w:t>9</w:t>
                                    </w:r>
                                    <w:r>
                                      <w:rPr>
                                        <w:rFonts w:hint="eastAsia" w:ascii="宋体" w:hAnsi="宋体" w:eastAsia="宋体" w:cs="宋体"/>
                                        <w:b/>
                                        <w:bCs/>
                                        <w:sz w:val="24"/>
                                        <w:szCs w:val="24"/>
                                      </w:rPr>
                                      <w:fldChar w:fldCharType="end"/>
                                    </w:r>
                                  </w:p>
                                  <w:p>
                                    <w:pPr>
                                      <w:pStyle w:val="11"/>
                                      <w:keepNext w:val="0"/>
                                      <w:keepLines w:val="0"/>
                                      <w:pageBreakBefore w:val="0"/>
                                      <w:widowControl/>
                                      <w:tabs>
                                        <w:tab w:val="right" w:leader="dot" w:pos="8306"/>
                                      </w:tabs>
                                      <w:kinsoku/>
                                      <w:wordWrap/>
                                      <w:overflowPunct/>
                                      <w:topLinePunct w:val="0"/>
                                      <w:autoSpaceDE/>
                                      <w:autoSpaceDN/>
                                      <w:bidi w:val="0"/>
                                      <w:adjustRightInd/>
                                      <w:snapToGrid/>
                                      <w:spacing w:line="360" w:lineRule="auto"/>
                                      <w:textAlignment w:val="auto"/>
                                      <w:outlineLvl w:val="9"/>
                                      <w:rPr>
                                        <w:rFonts w:hint="eastAsia" w:ascii="宋体" w:hAnsi="宋体" w:eastAsia="宋体" w:cs="宋体"/>
                                        <w:sz w:val="24"/>
                                        <w:szCs w:val="24"/>
                                      </w:rPr>
                                    </w:pPr>
                                    <w:r>
                                      <w:rPr>
                                        <w:rFonts w:hint="eastAsia" w:ascii="宋体" w:hAnsi="宋体" w:eastAsia="宋体" w:cs="宋体"/>
                                        <w:b/>
                                        <w:bCs/>
                                        <w:sz w:val="24"/>
                                        <w:szCs w:val="24"/>
                                      </w:rPr>
                                      <w:fldChar w:fldCharType="begin"/>
                                    </w:r>
                                    <w:r>
                                      <w:rPr>
                                        <w:rFonts w:hint="eastAsia" w:ascii="宋体" w:hAnsi="宋体" w:eastAsia="宋体" w:cs="宋体"/>
                                        <w:sz w:val="24"/>
                                        <w:szCs w:val="24"/>
                                      </w:rPr>
                                      <w:instrText xml:space="preserve"> HYPERLINK \l _Toc13468_WPSOffice_Level1 </w:instrText>
                                    </w:r>
                                    <w:r>
                                      <w:rPr>
                                        <w:rFonts w:hint="eastAsia" w:ascii="宋体" w:hAnsi="宋体" w:eastAsia="宋体" w:cs="宋体"/>
                                        <w:b/>
                                        <w:bCs/>
                                        <w:sz w:val="24"/>
                                        <w:szCs w:val="24"/>
                                      </w:rPr>
                                      <w:fldChar w:fldCharType="separate"/>
                                    </w:r>
                                    <w:r>
                                      <w:rPr>
                                        <w:rFonts w:hint="eastAsia" w:ascii="宋体" w:hAnsi="宋体" w:eastAsia="宋体" w:cs="宋体"/>
                                        <w:b/>
                                        <w:bCs/>
                                        <w:sz w:val="24"/>
                                        <w:szCs w:val="24"/>
                                      </w:rPr>
                                      <w:t>十、名词解释</w:t>
                                    </w:r>
                                    <w:r>
                                      <w:rPr>
                                        <w:rFonts w:hint="eastAsia" w:ascii="宋体" w:hAnsi="宋体" w:eastAsia="宋体" w:cs="宋体"/>
                                        <w:b/>
                                        <w:bCs/>
                                        <w:sz w:val="24"/>
                                        <w:szCs w:val="24"/>
                                      </w:rPr>
                                      <w:tab/>
                                    </w:r>
                                    <w:r>
                                      <w:rPr>
                                        <w:rFonts w:hint="eastAsia" w:ascii="宋体" w:hAnsi="宋体" w:cs="宋体"/>
                                        <w:b/>
                                        <w:bCs/>
                                        <w:sz w:val="24"/>
                                        <w:szCs w:val="24"/>
                                        <w:lang w:val="en-US" w:eastAsia="zh-CN"/>
                                      </w:rPr>
                                      <w:t>9</w:t>
                                    </w:r>
                                    <w:r>
                                      <w:rPr>
                                        <w:rFonts w:hint="eastAsia" w:ascii="宋体" w:hAnsi="宋体" w:eastAsia="宋体" w:cs="宋体"/>
                                        <w:b/>
                                        <w:bCs/>
                                        <w:sz w:val="24"/>
                                        <w:szCs w:val="24"/>
                                      </w:rPr>
                                      <w:fldChar w:fldCharType="end"/>
                                    </w:r>
                                  </w:p>
                                  <w:p>
                                    <w:pPr>
                                      <w:pStyle w:val="4"/>
                                      <w:jc w:val="both"/>
                                      <w:rPr>
                                        <w:rFonts w:ascii="仿宋_GB2312" w:eastAsia="仿宋_GB2312"/>
                                        <w:sz w:val="32"/>
                                        <w:szCs w:val="32"/>
                                      </w:rPr>
                                    </w:pPr>
                                  </w:p>
                                  <w:p/>
                                  <w:p/>
                                  <w:p/>
                                  <w:p/>
                                  <w:p/>
                                  <w:p>
                                    <w:pPr>
                                      <w:spacing w:line="620" w:lineRule="exact"/>
                                      <w:ind w:firstLine="640" w:firstLineChars="200"/>
                                      <w:rPr>
                                        <w:rFonts w:ascii="仿宋_GB2312" w:eastAsia="仿宋_GB2312"/>
                                        <w:color w:val="000000"/>
                                        <w:sz w:val="32"/>
                                        <w:szCs w:val="32"/>
                                      </w:rPr>
                                    </w:pPr>
                                    <w:r>
                                      <w:rPr>
                                        <w:rFonts w:hint="eastAsia" w:ascii="仿宋_GB2312" w:eastAsia="仿宋_GB2312"/>
                                        <w:sz w:val="32"/>
                                        <w:szCs w:val="32"/>
                                      </w:rPr>
                                      <w:t>为强化兽医工作的政府职能，提升兽医工作水平，加强动物防疫能力建设，促进畜牧业健康稳定发展，根据阿坝州人民政府《关于兽医体制改革的实施意见》（阿府发</w:t>
                                    </w:r>
                                    <w:r>
                                      <w:rPr>
                                        <w:rFonts w:hint="eastAsia" w:ascii="仿宋_GB2312" w:eastAsia="仿宋_GB2312"/>
                                        <w:sz w:val="32"/>
                                        <w:szCs w:val="32"/>
                                        <w:lang w:eastAsia="zh-CN"/>
                                      </w:rPr>
                                      <w:t>〔</w:t>
                                    </w:r>
                                    <w:r>
                                      <w:rPr>
                                        <w:rFonts w:ascii="仿宋_GB2312" w:eastAsia="仿宋_GB2312"/>
                                        <w:sz w:val="32"/>
                                        <w:szCs w:val="32"/>
                                      </w:rPr>
                                      <w:t>2006</w:t>
                                    </w:r>
                                    <w:r>
                                      <w:rPr>
                                        <w:rFonts w:hint="eastAsia" w:ascii="仿宋_GB2312" w:eastAsia="仿宋_GB2312"/>
                                        <w:sz w:val="32"/>
                                        <w:szCs w:val="32"/>
                                        <w:lang w:eastAsia="zh-CN"/>
                                      </w:rPr>
                                      <w:t>〕</w:t>
                                    </w:r>
                                    <w:r>
                                      <w:rPr>
                                        <w:rFonts w:ascii="仿宋_GB2312" w:eastAsia="仿宋_GB2312"/>
                                        <w:sz w:val="32"/>
                                        <w:szCs w:val="32"/>
                                      </w:rPr>
                                      <w:t>38</w:t>
                                    </w:r>
                                    <w:r>
                                      <w:rPr>
                                        <w:rFonts w:hint="eastAsia" w:ascii="仿宋_GB2312" w:eastAsia="仿宋_GB2312"/>
                                        <w:sz w:val="32"/>
                                        <w:szCs w:val="32"/>
                                      </w:rPr>
                                      <w:t>号）、《关于单设各县畜牧兽医局的通知》（阿编发</w:t>
                                    </w:r>
                                    <w:r>
                                      <w:rPr>
                                        <w:rFonts w:hint="eastAsia" w:ascii="仿宋_GB2312" w:eastAsia="仿宋_GB2312"/>
                                        <w:sz w:val="32"/>
                                        <w:szCs w:val="32"/>
                                        <w:lang w:eastAsia="zh-CN"/>
                                      </w:rPr>
                                      <w:t>〔</w:t>
                                    </w:r>
                                    <w:r>
                                      <w:rPr>
                                        <w:rFonts w:ascii="仿宋_GB2312" w:eastAsia="仿宋_GB2312"/>
                                        <w:sz w:val="32"/>
                                        <w:szCs w:val="32"/>
                                      </w:rPr>
                                      <w:t>2006</w:t>
                                    </w:r>
                                    <w:r>
                                      <w:rPr>
                                        <w:rFonts w:hint="eastAsia" w:ascii="仿宋_GB2312" w:eastAsia="仿宋_GB2312"/>
                                        <w:sz w:val="32"/>
                                        <w:szCs w:val="32"/>
                                        <w:lang w:eastAsia="zh-CN"/>
                                      </w:rPr>
                                      <w:t>〕</w:t>
                                    </w:r>
                                    <w:r>
                                      <w:rPr>
                                        <w:rFonts w:ascii="仿宋_GB2312" w:eastAsia="仿宋_GB2312"/>
                                        <w:sz w:val="32"/>
                                        <w:szCs w:val="32"/>
                                      </w:rPr>
                                      <w:t>62</w:t>
                                    </w:r>
                                    <w:r>
                                      <w:rPr>
                                        <w:rFonts w:hint="eastAsia" w:ascii="仿宋_GB2312" w:eastAsia="仿宋_GB2312"/>
                                        <w:sz w:val="32"/>
                                        <w:szCs w:val="32"/>
                                      </w:rPr>
                                      <w:t>号）</w:t>
                                    </w:r>
                                    <w:r>
                                      <w:rPr>
                                        <w:rFonts w:hint="eastAsia" w:ascii="仿宋_GB2312" w:eastAsia="仿宋_GB2312"/>
                                        <w:color w:val="000000"/>
                                        <w:sz w:val="32"/>
                                        <w:szCs w:val="32"/>
                                      </w:rPr>
                                      <w:t>文件精神，畜牧兽医职能从原农牧水利局划出单设畜牧兽医局</w:t>
                                    </w:r>
                                    <w:r>
                                      <w:rPr>
                                        <w:rFonts w:hint="eastAsia" w:ascii="仿宋_GB2312" w:eastAsia="仿宋_GB2312"/>
                                        <w:sz w:val="32"/>
                                        <w:szCs w:val="32"/>
                                      </w:rPr>
                                      <w:t>。属县人民政府正科级事业机构，行政管理人员参照公务员制度管理。</w:t>
                                    </w:r>
                                    <w:r>
                                      <w:rPr>
                                        <w:rFonts w:hint="eastAsia" w:ascii="仿宋_GB2312" w:eastAsia="仿宋_GB2312"/>
                                        <w:color w:val="000000"/>
                                        <w:sz w:val="32"/>
                                        <w:szCs w:val="32"/>
                                      </w:rPr>
                                      <w:t>现就金川县畜牧兽医局职能配置、内设机构及人员配置提出如下实施方案：</w:t>
                                    </w:r>
                                  </w:p>
                                  <w:p>
                                    <w:pPr>
                                      <w:ind w:firstLine="640" w:firstLineChars="200"/>
                                      <w:rPr>
                                        <w:rFonts w:hint="eastAsia" w:ascii="仿宋_GB2312" w:hAnsi="仿宋_GB2312" w:eastAsia="仿宋_GB2312" w:cs="仿宋_GB2312"/>
                                        <w:color w:val="auto"/>
                                        <w:sz w:val="32"/>
                                        <w:szCs w:val="32"/>
                                        <w:lang w:val="en-US"/>
                                      </w:rPr>
                                    </w:pPr>
                                    <w:r>
                                      <w:rPr>
                                        <w:rFonts w:hint="eastAsia" w:ascii="黑体" w:hAnsi="黑体" w:eastAsia="黑体" w:cs="黑体"/>
                                        <w:color w:val="auto"/>
                                        <w:sz w:val="32"/>
                                        <w:szCs w:val="32"/>
                                        <w:lang w:val="en-US"/>
                                      </w:rPr>
                                      <w:t>一、基本职能及主要工作</w:t>
                                    </w:r>
                                  </w:p>
                                  <w:p>
                                    <w:pPr>
                                      <w:rPr>
                                        <w:rFonts w:hint="eastAsia" w:ascii="仿宋_GB2312" w:hAnsi="仿宋_GB2312" w:eastAsia="仿宋_GB2312" w:cs="仿宋_GB2312"/>
                                        <w:color w:val="auto"/>
                                        <w:sz w:val="32"/>
                                        <w:szCs w:val="32"/>
                                        <w:lang w:val="en-US"/>
                                      </w:rPr>
                                    </w:pPr>
                                    <w:r>
                                      <w:rPr>
                                        <w:rFonts w:hint="eastAsia" w:ascii="仿宋_GB2312" w:hAnsi="仿宋_GB2312" w:eastAsia="仿宋_GB2312" w:cs="仿宋_GB2312"/>
                                        <w:color w:val="auto"/>
                                        <w:sz w:val="32"/>
                                        <w:szCs w:val="32"/>
                                        <w:lang w:val="en-US"/>
                                      </w:rPr>
                                      <w:t>　　</w:t>
                                    </w:r>
                                    <w:r>
                                      <w:rPr>
                                        <w:rFonts w:hint="eastAsia" w:ascii="楷体_GB2312" w:hAnsi="楷体_GB2312" w:eastAsia="楷体_GB2312" w:cs="楷体_GB2312"/>
                                        <w:b/>
                                        <w:bCs/>
                                        <w:color w:val="auto"/>
                                        <w:sz w:val="32"/>
                                        <w:szCs w:val="32"/>
                                        <w:lang w:val="en-US"/>
                                      </w:rPr>
                                      <w:t>（一）职能简介</w:t>
                                    </w:r>
                                  </w:p>
                                  <w:p>
                                    <w:pPr>
                                      <w:spacing w:line="620" w:lineRule="exact"/>
                                      <w:ind w:firstLine="640" w:firstLineChars="200"/>
                                      <w:rPr>
                                        <w:rFonts w:hint="eastAsia" w:ascii="仿宋_GB2312" w:eastAsia="仿宋_GB2312"/>
                                        <w:color w:val="000000"/>
                                        <w:sz w:val="32"/>
                                        <w:szCs w:val="32"/>
                                      </w:rPr>
                                    </w:pPr>
                                    <w:r>
                                      <w:rPr>
                                        <w:rFonts w:hint="eastAsia" w:ascii="仿宋_GB2312" w:eastAsia="仿宋_GB2312"/>
                                        <w:color w:val="000000"/>
                                        <w:sz w:val="32"/>
                                        <w:szCs w:val="32"/>
                                      </w:rPr>
                                      <w:t>1．宣传贯彻执行国家、省、州、县关于畜牧业发展的方针、政策、法律法规。</w:t>
                                    </w:r>
                                  </w:p>
                                  <w:p>
                                    <w:pPr>
                                      <w:spacing w:line="620" w:lineRule="exact"/>
                                      <w:ind w:firstLine="640" w:firstLineChars="200"/>
                                      <w:rPr>
                                        <w:rFonts w:hint="eastAsia" w:ascii="仿宋_GB2312" w:eastAsia="仿宋_GB2312"/>
                                        <w:color w:val="000000"/>
                                        <w:sz w:val="32"/>
                                        <w:szCs w:val="32"/>
                                      </w:rPr>
                                    </w:pPr>
                                    <w:r>
                                      <w:rPr>
                                        <w:rFonts w:hint="eastAsia" w:ascii="仿宋_GB2312" w:eastAsia="仿宋_GB2312"/>
                                        <w:color w:val="000000"/>
                                        <w:sz w:val="32"/>
                                        <w:szCs w:val="32"/>
                                      </w:rPr>
                                      <w:t>2．对畜牧业生产进行调查研究、统计和分析，并</w:t>
                                    </w:r>
                                    <w:r>
                                      <w:rPr>
                                        <w:rFonts w:hint="eastAsia" w:ascii="仿宋_GB2312" w:eastAsia="仿宋_GB2312"/>
                                        <w:color w:val="000000"/>
                                        <w:sz w:val="32"/>
                                        <w:szCs w:val="32"/>
                                        <w:lang w:eastAsia="zh-CN"/>
                                      </w:rPr>
                                      <w:t>做好</w:t>
                                    </w:r>
                                    <w:r>
                                      <w:rPr>
                                        <w:rFonts w:hint="eastAsia" w:ascii="仿宋_GB2312" w:eastAsia="仿宋_GB2312"/>
                                        <w:color w:val="000000"/>
                                        <w:sz w:val="32"/>
                                        <w:szCs w:val="32"/>
                                      </w:rPr>
                                      <w:t>发展规划，为</w:t>
                                    </w:r>
                                    <w:r>
                                      <w:rPr>
                                        <w:rFonts w:hint="eastAsia" w:ascii="仿宋_GB2312" w:eastAsia="仿宋_GB2312"/>
                                        <w:color w:val="000000"/>
                                        <w:sz w:val="32"/>
                                        <w:szCs w:val="32"/>
                                        <w:lang w:eastAsia="zh-CN"/>
                                      </w:rPr>
                                      <w:t>县委、县政府</w:t>
                                    </w:r>
                                    <w:r>
                                      <w:rPr>
                                        <w:rFonts w:hint="eastAsia" w:ascii="仿宋_GB2312" w:eastAsia="仿宋_GB2312"/>
                                        <w:color w:val="000000"/>
                                        <w:sz w:val="32"/>
                                        <w:szCs w:val="32"/>
                                      </w:rPr>
                                      <w:t>决策提供依据。</w:t>
                                    </w:r>
                                  </w:p>
                                  <w:p>
                                    <w:pPr>
                                      <w:spacing w:line="620" w:lineRule="exact"/>
                                      <w:ind w:firstLine="640" w:firstLineChars="200"/>
                                      <w:rPr>
                                        <w:rFonts w:hint="eastAsia" w:ascii="仿宋_GB2312" w:eastAsia="仿宋_GB2312"/>
                                        <w:color w:val="000000"/>
                                        <w:sz w:val="32"/>
                                        <w:szCs w:val="32"/>
                                      </w:rPr>
                                    </w:pPr>
                                    <w:r>
                                      <w:rPr>
                                        <w:rFonts w:hint="eastAsia" w:ascii="仿宋_GB2312" w:eastAsia="仿宋_GB2312"/>
                                        <w:color w:val="000000"/>
                                        <w:sz w:val="32"/>
                                        <w:szCs w:val="32"/>
                                      </w:rPr>
                                      <w:t>3．依照《中华人民共和国草原法》对全县草业规划、建设、生产使用实施监督管理。</w:t>
                                    </w:r>
                                  </w:p>
                                  <w:p>
                                    <w:pPr>
                                      <w:spacing w:line="620" w:lineRule="exact"/>
                                      <w:ind w:firstLine="640" w:firstLineChars="200"/>
                                      <w:rPr>
                                        <w:rFonts w:hint="eastAsia" w:ascii="仿宋_GB2312" w:eastAsia="仿宋_GB2312"/>
                                        <w:color w:val="000000"/>
                                        <w:sz w:val="32"/>
                                        <w:szCs w:val="32"/>
                                      </w:rPr>
                                    </w:pPr>
                                    <w:r>
                                      <w:rPr>
                                        <w:rFonts w:hint="eastAsia" w:ascii="仿宋_GB2312" w:eastAsia="仿宋_GB2312"/>
                                        <w:color w:val="000000"/>
                                        <w:sz w:val="32"/>
                                        <w:szCs w:val="32"/>
                                      </w:rPr>
                                      <w:t>4．对全县草场建设、饲草、饲料生产进行技术指导。</w:t>
                                    </w:r>
                                  </w:p>
                                  <w:p>
                                    <w:pPr>
                                      <w:spacing w:line="620" w:lineRule="exact"/>
                                      <w:ind w:firstLine="640" w:firstLineChars="200"/>
                                      <w:rPr>
                                        <w:rFonts w:hint="eastAsia" w:ascii="仿宋_GB2312" w:eastAsia="仿宋_GB2312"/>
                                        <w:color w:val="000000"/>
                                        <w:sz w:val="32"/>
                                        <w:szCs w:val="32"/>
                                      </w:rPr>
                                    </w:pPr>
                                    <w:r>
                                      <w:rPr>
                                        <w:rFonts w:hint="eastAsia" w:ascii="仿宋_GB2312" w:eastAsia="仿宋_GB2312"/>
                                        <w:color w:val="000000"/>
                                        <w:sz w:val="32"/>
                                        <w:szCs w:val="32"/>
                                      </w:rPr>
                                      <w:t>5．依照《中华人民共和国畜牧法》对全县种畜禽实施监督管理。</w:t>
                                    </w:r>
                                  </w:p>
                                  <w:p>
                                    <w:pPr>
                                      <w:spacing w:line="620" w:lineRule="exact"/>
                                      <w:ind w:firstLine="640" w:firstLineChars="200"/>
                                      <w:rPr>
                                        <w:rFonts w:hint="eastAsia" w:ascii="仿宋_GB2312" w:eastAsia="仿宋_GB2312"/>
                                        <w:color w:val="000000"/>
                                        <w:sz w:val="32"/>
                                        <w:szCs w:val="32"/>
                                      </w:rPr>
                                    </w:pPr>
                                    <w:r>
                                      <w:rPr>
                                        <w:rFonts w:hint="eastAsia" w:ascii="仿宋_GB2312" w:eastAsia="仿宋_GB2312"/>
                                        <w:color w:val="000000"/>
                                        <w:sz w:val="32"/>
                                        <w:szCs w:val="32"/>
                                      </w:rPr>
                                      <w:t>6．对全县畜、禽品种改良、优良畜、禽品种引进和繁育实施技术指导。</w:t>
                                    </w:r>
                                  </w:p>
                                  <w:p>
                                    <w:pPr>
                                      <w:spacing w:line="620" w:lineRule="exact"/>
                                      <w:ind w:firstLine="640" w:firstLineChars="200"/>
                                      <w:rPr>
                                        <w:rFonts w:hint="eastAsia" w:ascii="仿宋_GB2312" w:eastAsia="仿宋_GB2312"/>
                                        <w:color w:val="000000"/>
                                        <w:sz w:val="32"/>
                                        <w:szCs w:val="32"/>
                                      </w:rPr>
                                    </w:pPr>
                                    <w:r>
                                      <w:rPr>
                                        <w:rFonts w:hint="eastAsia" w:ascii="仿宋_GB2312" w:eastAsia="仿宋_GB2312"/>
                                        <w:color w:val="000000"/>
                                        <w:sz w:val="32"/>
                                        <w:szCs w:val="32"/>
                                      </w:rPr>
                                      <w:t>7．依照《中华人民共和国动物防疫法》负责本县动物防疫、检疫、动物产品安全监管和畜产品加工企业驻厂检疫等行政执法工作；负责兽医医政和兽药药政管理。</w:t>
                                    </w:r>
                                  </w:p>
                                  <w:p>
                                    <w:pPr>
                                      <w:spacing w:line="620" w:lineRule="exact"/>
                                      <w:ind w:firstLine="640" w:firstLineChars="200"/>
                                      <w:rPr>
                                        <w:rFonts w:hint="eastAsia" w:ascii="仿宋_GB2312" w:eastAsia="仿宋_GB2312"/>
                                        <w:color w:val="000000"/>
                                        <w:sz w:val="32"/>
                                        <w:szCs w:val="32"/>
                                      </w:rPr>
                                    </w:pPr>
                                    <w:r>
                                      <w:rPr>
                                        <w:rFonts w:hint="eastAsia" w:ascii="仿宋_GB2312" w:eastAsia="仿宋_GB2312"/>
                                        <w:color w:val="000000"/>
                                        <w:sz w:val="32"/>
                                        <w:szCs w:val="32"/>
                                      </w:rPr>
                                      <w:t>8．计划并组织实施全县动物疫病预防工作。</w:t>
                                    </w:r>
                                  </w:p>
                                  <w:p>
                                    <w:pPr>
                                      <w:spacing w:line="620" w:lineRule="exact"/>
                                      <w:ind w:firstLine="640" w:firstLineChars="200"/>
                                      <w:rPr>
                                        <w:rFonts w:hint="eastAsia" w:ascii="仿宋_GB2312" w:eastAsia="仿宋_GB2312"/>
                                        <w:color w:val="000000"/>
                                        <w:sz w:val="32"/>
                                        <w:szCs w:val="32"/>
                                      </w:rPr>
                                    </w:pPr>
                                    <w:r>
                                      <w:rPr>
                                        <w:rFonts w:hint="eastAsia" w:ascii="仿宋_GB2312" w:eastAsia="仿宋_GB2312"/>
                                        <w:color w:val="000000"/>
                                        <w:sz w:val="32"/>
                                        <w:szCs w:val="32"/>
                                      </w:rPr>
                                      <w:t>9．承担动物疫病监测、诊断、流行病学调查研究、技术推广工作，对全县动物疫病防、治进行技术指导和服务。</w:t>
                                    </w:r>
                                  </w:p>
                                  <w:p>
                                    <w:pPr>
                                      <w:spacing w:line="620" w:lineRule="exact"/>
                                      <w:ind w:firstLine="640" w:firstLineChars="200"/>
                                      <w:rPr>
                                        <w:rFonts w:hint="eastAsia" w:ascii="仿宋_GB2312" w:eastAsia="仿宋_GB2312"/>
                                        <w:color w:val="000000"/>
                                        <w:sz w:val="32"/>
                                        <w:szCs w:val="32"/>
                                      </w:rPr>
                                    </w:pPr>
                                    <w:r>
                                      <w:rPr>
                                        <w:rFonts w:hint="eastAsia" w:ascii="仿宋_GB2312" w:eastAsia="仿宋_GB2312"/>
                                        <w:color w:val="000000"/>
                                        <w:sz w:val="32"/>
                                        <w:szCs w:val="32"/>
                                      </w:rPr>
                                      <w:t>10．负责乡镇畜牧兽医站的管理和指导。</w:t>
                                    </w:r>
                                  </w:p>
                                  <w:p>
                                    <w:pPr>
                                      <w:rPr>
                                        <w:rFonts w:hint="eastAsia" w:ascii="仿宋_GB2312" w:hAnsi="仿宋_GB2312" w:eastAsia="仿宋_GB2312" w:cs="仿宋_GB2312"/>
                                        <w:color w:val="auto"/>
                                        <w:sz w:val="32"/>
                                        <w:szCs w:val="32"/>
                                        <w:lang w:val="en-US"/>
                                      </w:rPr>
                                    </w:pPr>
                                    <w:r>
                                      <w:rPr>
                                        <w:rFonts w:hint="eastAsia" w:ascii="仿宋_GB2312" w:hAnsi="仿宋_GB2312" w:eastAsia="仿宋_GB2312" w:cs="仿宋_GB2312"/>
                                        <w:color w:val="auto"/>
                                        <w:sz w:val="32"/>
                                        <w:szCs w:val="32"/>
                                        <w:lang w:val="en-US"/>
                                      </w:rPr>
                                      <w:t>　　</w:t>
                                    </w:r>
                                    <w:r>
                                      <w:rPr>
                                        <w:rFonts w:hint="eastAsia" w:ascii="楷体_GB2312" w:hAnsi="宋体" w:eastAsia="楷体_GB2312" w:cs="宋体"/>
                                        <w:b/>
                                        <w:bCs/>
                                        <w:color w:val="333333"/>
                                        <w:kern w:val="0"/>
                                        <w:sz w:val="32"/>
                                        <w:szCs w:val="32"/>
                                        <w:lang w:val="en-US" w:eastAsia="zh-CN"/>
                                      </w:rPr>
                                      <w:t>（二）2020年重点工作</w:t>
                                    </w:r>
                                  </w:p>
                                  <w:p>
                                    <w:pPr>
                                      <w:spacing w:line="620" w:lineRule="exact"/>
                                      <w:ind w:firstLine="640" w:firstLineChars="200"/>
                                      <w:rPr>
                                        <w:rFonts w:hint="eastAsia" w:ascii="仿宋_GB2312" w:eastAsia="仿宋_GB2312"/>
                                        <w:color w:val="000000"/>
                                        <w:sz w:val="32"/>
                                        <w:szCs w:val="32"/>
                                      </w:rPr>
                                    </w:pPr>
                                    <w:r>
                                      <w:rPr>
                                        <w:rFonts w:hint="eastAsia" w:ascii="仿宋_GB2312" w:eastAsia="仿宋_GB2312"/>
                                        <w:color w:val="000000"/>
                                        <w:sz w:val="32"/>
                                        <w:szCs w:val="32"/>
                                      </w:rPr>
                                      <w:t>1、完成</w:t>
                                    </w:r>
                                    <w:r>
                                      <w:rPr>
                                        <w:rFonts w:hint="eastAsia" w:ascii="仿宋_GB2312" w:eastAsia="仿宋_GB2312"/>
                                        <w:color w:val="000000"/>
                                        <w:sz w:val="32"/>
                                        <w:szCs w:val="32"/>
                                        <w:lang w:val="en-US" w:eastAsia="zh-CN"/>
                                      </w:rPr>
                                      <w:t>今年</w:t>
                                    </w:r>
                                    <w:r>
                                      <w:rPr>
                                        <w:rFonts w:hint="eastAsia" w:ascii="仿宋_GB2312" w:eastAsia="仿宋_GB2312"/>
                                        <w:color w:val="000000"/>
                                        <w:sz w:val="32"/>
                                        <w:szCs w:val="32"/>
                                      </w:rPr>
                                      <w:t>农业资源及生态保护</w:t>
                                    </w:r>
                                    <w:r>
                                      <w:rPr>
                                        <w:rFonts w:hint="eastAsia" w:ascii="仿宋_GB2312" w:eastAsia="仿宋_GB2312"/>
                                        <w:color w:val="000000"/>
                                        <w:sz w:val="32"/>
                                        <w:szCs w:val="32"/>
                                        <w:lang w:val="en-US" w:eastAsia="zh-CN"/>
                                      </w:rPr>
                                      <w:t>相关</w:t>
                                    </w:r>
                                    <w:r>
                                      <w:rPr>
                                        <w:rFonts w:hint="eastAsia" w:ascii="仿宋_GB2312" w:eastAsia="仿宋_GB2312"/>
                                        <w:color w:val="000000"/>
                                        <w:sz w:val="32"/>
                                        <w:szCs w:val="32"/>
                                      </w:rPr>
                                      <w:t>工作。</w:t>
                                    </w:r>
                                  </w:p>
                                  <w:p>
                                    <w:pPr>
                                      <w:spacing w:line="620" w:lineRule="exact"/>
                                      <w:ind w:firstLine="640" w:firstLineChars="200"/>
                                      <w:rPr>
                                        <w:rFonts w:hint="eastAsia" w:ascii="仿宋_GB2312" w:eastAsia="仿宋_GB2312"/>
                                        <w:color w:val="000000"/>
                                        <w:sz w:val="32"/>
                                        <w:szCs w:val="32"/>
                                        <w:lang w:eastAsia="zh-CN"/>
                                      </w:rPr>
                                    </w:pPr>
                                    <w:r>
                                      <w:rPr>
                                        <w:rFonts w:hint="eastAsia" w:ascii="仿宋_GB2312" w:eastAsia="仿宋_GB2312"/>
                                        <w:color w:val="000000"/>
                                        <w:sz w:val="32"/>
                                        <w:szCs w:val="32"/>
                                      </w:rPr>
                                      <w:t>2、</w:t>
                                    </w:r>
                                    <w:r>
                                      <w:rPr>
                                        <w:rFonts w:hint="eastAsia" w:ascii="仿宋_GB2312" w:eastAsia="仿宋_GB2312"/>
                                        <w:color w:val="000000"/>
                                        <w:sz w:val="32"/>
                                        <w:szCs w:val="32"/>
                                        <w:lang w:val="en-US" w:eastAsia="zh-CN"/>
                                      </w:rPr>
                                      <w:t>有效发展</w:t>
                                    </w:r>
                                    <w:r>
                                      <w:rPr>
                                        <w:rFonts w:hint="eastAsia" w:ascii="仿宋_GB2312" w:eastAsia="仿宋_GB2312"/>
                                        <w:color w:val="000000"/>
                                        <w:sz w:val="32"/>
                                        <w:szCs w:val="32"/>
                                      </w:rPr>
                                      <w:t>现代畜牧业</w:t>
                                    </w:r>
                                    <w:r>
                                      <w:rPr>
                                        <w:rFonts w:hint="eastAsia" w:ascii="仿宋_GB2312" w:eastAsia="仿宋_GB2312"/>
                                        <w:color w:val="000000"/>
                                        <w:sz w:val="32"/>
                                        <w:szCs w:val="32"/>
                                        <w:lang w:eastAsia="zh-CN"/>
                                      </w:rPr>
                                      <w:t>，</w:t>
                                    </w:r>
                                    <w:r>
                                      <w:rPr>
                                        <w:rFonts w:hint="eastAsia" w:ascii="仿宋_GB2312" w:eastAsia="仿宋_GB2312"/>
                                        <w:color w:val="000000"/>
                                        <w:sz w:val="32"/>
                                        <w:szCs w:val="32"/>
                                      </w:rPr>
                                      <w:t>指导和协调畜牧发展保障和服务体系建设</w:t>
                                    </w:r>
                                    <w:r>
                                      <w:rPr>
                                        <w:rFonts w:hint="eastAsia" w:ascii="仿宋_GB2312" w:eastAsia="仿宋_GB2312"/>
                                        <w:color w:val="000000"/>
                                        <w:sz w:val="32"/>
                                        <w:szCs w:val="32"/>
                                        <w:lang w:eastAsia="zh-CN"/>
                                      </w:rPr>
                                      <w:t>。</w:t>
                                    </w:r>
                                  </w:p>
                                  <w:p>
                                    <w:pPr>
                                      <w:spacing w:line="620" w:lineRule="exact"/>
                                      <w:ind w:firstLine="640" w:firstLineChars="200"/>
                                      <w:rPr>
                                        <w:rFonts w:hint="eastAsia" w:ascii="仿宋_GB2312" w:eastAsia="仿宋_GB2312"/>
                                        <w:color w:val="000000"/>
                                        <w:sz w:val="32"/>
                                        <w:szCs w:val="32"/>
                                        <w:lang w:eastAsia="zh-CN"/>
                                      </w:rPr>
                                    </w:pPr>
                                    <w:r>
                                      <w:rPr>
                                        <w:rFonts w:hint="eastAsia" w:ascii="仿宋_GB2312" w:eastAsia="仿宋_GB2312"/>
                                        <w:color w:val="000000"/>
                                        <w:sz w:val="32"/>
                                        <w:szCs w:val="32"/>
                                        <w:lang w:val="en-US" w:eastAsia="zh-CN"/>
                                      </w:rPr>
                                      <w:t>3、完成</w:t>
                                    </w:r>
                                    <w:r>
                                      <w:rPr>
                                        <w:rFonts w:hint="eastAsia" w:ascii="仿宋_GB2312" w:eastAsia="仿宋_GB2312"/>
                                        <w:color w:val="000000"/>
                                        <w:sz w:val="32"/>
                                        <w:szCs w:val="32"/>
                                      </w:rPr>
                                      <w:t>春防工作</w:t>
                                    </w:r>
                                    <w:r>
                                      <w:rPr>
                                        <w:rFonts w:hint="eastAsia" w:ascii="仿宋_GB2312" w:eastAsia="仿宋_GB2312"/>
                                        <w:color w:val="000000"/>
                                        <w:sz w:val="32"/>
                                        <w:szCs w:val="32"/>
                                        <w:lang w:eastAsia="zh-CN"/>
                                      </w:rPr>
                                      <w:t>、</w:t>
                                    </w:r>
                                    <w:r>
                                      <w:rPr>
                                        <w:rFonts w:hint="eastAsia" w:ascii="仿宋_GB2312" w:eastAsia="仿宋_GB2312"/>
                                        <w:color w:val="000000"/>
                                        <w:sz w:val="32"/>
                                        <w:szCs w:val="32"/>
                                      </w:rPr>
                                      <w:t>寄生虫病的防治</w:t>
                                    </w:r>
                                    <w:r>
                                      <w:rPr>
                                        <w:rFonts w:hint="eastAsia" w:ascii="仿宋_GB2312" w:eastAsia="仿宋_GB2312"/>
                                        <w:color w:val="000000"/>
                                        <w:sz w:val="32"/>
                                        <w:szCs w:val="32"/>
                                        <w:lang w:eastAsia="zh-CN"/>
                                      </w:rPr>
                                      <w:t>，</w:t>
                                    </w:r>
                                    <w:r>
                                      <w:rPr>
                                        <w:rFonts w:hint="eastAsia" w:ascii="仿宋_GB2312" w:eastAsia="仿宋_GB2312"/>
                                        <w:color w:val="000000"/>
                                        <w:sz w:val="32"/>
                                        <w:szCs w:val="32"/>
                                      </w:rPr>
                                      <w:t>指导和督促全</w:t>
                                    </w:r>
                                    <w:r>
                                      <w:rPr>
                                        <w:rFonts w:hint="eastAsia" w:ascii="仿宋_GB2312" w:eastAsia="仿宋_GB2312"/>
                                        <w:color w:val="000000"/>
                                        <w:sz w:val="32"/>
                                        <w:szCs w:val="32"/>
                                        <w:lang w:val="en-US" w:eastAsia="zh-CN"/>
                                      </w:rPr>
                                      <w:t>县</w:t>
                                    </w:r>
                                    <w:r>
                                      <w:rPr>
                                        <w:rFonts w:hint="eastAsia" w:ascii="仿宋_GB2312" w:eastAsia="仿宋_GB2312"/>
                                        <w:color w:val="000000"/>
                                        <w:sz w:val="32"/>
                                        <w:szCs w:val="32"/>
                                      </w:rPr>
                                      <w:t>重大动物疫病防治工作，协调做好疫情监测、控制和组织扑灭疫情</w:t>
                                    </w:r>
                                    <w:r>
                                      <w:rPr>
                                        <w:rFonts w:hint="eastAsia" w:ascii="仿宋_GB2312" w:eastAsia="仿宋_GB2312"/>
                                        <w:color w:val="000000"/>
                                        <w:sz w:val="32"/>
                                        <w:szCs w:val="32"/>
                                        <w:lang w:eastAsia="zh-CN"/>
                                      </w:rPr>
                                      <w:t>。</w:t>
                                    </w:r>
                                  </w:p>
                                  <w:p>
                                    <w:pPr>
                                      <w:spacing w:line="620" w:lineRule="exact"/>
                                      <w:ind w:firstLine="640" w:firstLineChars="200"/>
                                      <w:rPr>
                                        <w:rFonts w:hint="eastAsia" w:ascii="仿宋_GB2312" w:eastAsia="仿宋_GB2312"/>
                                        <w:color w:val="000000"/>
                                        <w:sz w:val="32"/>
                                        <w:szCs w:val="32"/>
                                        <w:lang w:eastAsia="zh-CN"/>
                                      </w:rPr>
                                    </w:pPr>
                                    <w:r>
                                      <w:rPr>
                                        <w:rFonts w:hint="eastAsia" w:ascii="仿宋_GB2312" w:eastAsia="仿宋_GB2312"/>
                                        <w:color w:val="000000"/>
                                        <w:sz w:val="32"/>
                                        <w:szCs w:val="32"/>
                                        <w:lang w:val="en-US" w:eastAsia="zh-CN"/>
                                      </w:rPr>
                                      <w:t>4、</w:t>
                                    </w:r>
                                    <w:r>
                                      <w:rPr>
                                        <w:rFonts w:hint="eastAsia" w:ascii="仿宋_GB2312" w:eastAsia="仿宋_GB2312"/>
                                        <w:color w:val="000000"/>
                                        <w:sz w:val="32"/>
                                        <w:szCs w:val="32"/>
                                      </w:rPr>
                                      <w:t>开展新技术、新品种的宣传、试验、示范和推广</w:t>
                                    </w:r>
                                    <w:r>
                                      <w:rPr>
                                        <w:rFonts w:hint="eastAsia" w:ascii="仿宋_GB2312" w:eastAsia="仿宋_GB2312"/>
                                        <w:color w:val="000000"/>
                                        <w:sz w:val="32"/>
                                        <w:szCs w:val="32"/>
                                        <w:lang w:eastAsia="zh-CN"/>
                                      </w:rPr>
                                      <w:t>。</w:t>
                                    </w:r>
                                  </w:p>
                                  <w:p>
                                    <w:pPr>
                                      <w:ind w:firstLine="640" w:firstLineChars="200"/>
                                      <w:rPr>
                                        <w:rFonts w:hint="eastAsia" w:ascii="黑体" w:hAnsi="黑体" w:eastAsia="黑体" w:cs="黑体"/>
                                        <w:color w:val="auto"/>
                                        <w:sz w:val="32"/>
                                        <w:szCs w:val="32"/>
                                        <w:lang w:val="en-US" w:eastAsia="zh-CN"/>
                                      </w:rPr>
                                    </w:pPr>
                                    <w:r>
                                      <w:rPr>
                                        <w:rFonts w:hint="eastAsia" w:ascii="黑体" w:hAnsi="黑体" w:eastAsia="黑体" w:cs="黑体"/>
                                        <w:color w:val="auto"/>
                                        <w:sz w:val="32"/>
                                        <w:szCs w:val="32"/>
                                        <w:lang w:val="en-US" w:eastAsia="zh-CN"/>
                                      </w:rPr>
                                      <w:t>二、部门预算单位构成</w:t>
                                    </w:r>
                                  </w:p>
                                  <w:p>
                                    <w:pPr>
                                      <w:spacing w:line="620" w:lineRule="exact"/>
                                      <w:ind w:firstLine="640" w:firstLineChars="200"/>
                                      <w:rPr>
                                        <w:rFonts w:hint="eastAsia" w:ascii="仿宋_GB2312" w:eastAsia="仿宋_GB2312"/>
                                        <w:color w:val="000000"/>
                                        <w:sz w:val="32"/>
                                        <w:szCs w:val="32"/>
                                      </w:rPr>
                                    </w:pPr>
                                    <w:r>
                                      <w:rPr>
                                        <w:rFonts w:hint="eastAsia" w:ascii="仿宋_GB2312" w:eastAsia="仿宋_GB2312"/>
                                        <w:color w:val="000000"/>
                                        <w:sz w:val="32"/>
                                        <w:szCs w:val="32"/>
                                      </w:rPr>
                                      <w:t>根据以上职责，县畜牧兽医局内设3个职能股室。下设3个事业站。</w:t>
                                    </w:r>
                                  </w:p>
                                  <w:p>
                                    <w:pPr>
                                      <w:spacing w:line="640" w:lineRule="exact"/>
                                      <w:ind w:firstLine="482" w:firstLineChars="150"/>
                                      <w:rPr>
                                        <w:rFonts w:hint="eastAsia" w:ascii="楷体_GB2312" w:hAnsi="宋体" w:eastAsia="楷体_GB2312" w:cs="宋体"/>
                                        <w:b/>
                                        <w:bCs/>
                                        <w:color w:val="333333"/>
                                        <w:kern w:val="0"/>
                                        <w:sz w:val="32"/>
                                        <w:szCs w:val="32"/>
                                        <w:lang w:eastAsia="zh-CN"/>
                                      </w:rPr>
                                    </w:pPr>
                                    <w:r>
                                      <w:rPr>
                                        <w:rFonts w:hint="eastAsia" w:ascii="楷体_GB2312" w:hAnsi="宋体" w:eastAsia="楷体_GB2312" w:cs="宋体"/>
                                        <w:b/>
                                        <w:bCs/>
                                        <w:color w:val="333333"/>
                                        <w:kern w:val="0"/>
                                        <w:sz w:val="32"/>
                                        <w:szCs w:val="32"/>
                                        <w:lang w:eastAsia="zh-CN"/>
                                      </w:rPr>
                                      <w:t>（一）内设机构</w:t>
                                    </w:r>
                                  </w:p>
                                  <w:p>
                                    <w:pPr>
                                      <w:spacing w:line="620" w:lineRule="exact"/>
                                      <w:ind w:firstLine="640" w:firstLineChars="200"/>
                                      <w:rPr>
                                        <w:rFonts w:hint="eastAsia" w:ascii="仿宋_GB2312" w:eastAsia="仿宋_GB2312"/>
                                        <w:color w:val="000000"/>
                                        <w:sz w:val="32"/>
                                        <w:szCs w:val="32"/>
                                      </w:rPr>
                                    </w:pPr>
                                    <w:r>
                                      <w:rPr>
                                        <w:rFonts w:hint="eastAsia" w:ascii="仿宋_GB2312" w:eastAsia="仿宋_GB2312"/>
                                        <w:color w:val="000000"/>
                                        <w:sz w:val="32"/>
                                        <w:szCs w:val="32"/>
                                      </w:rPr>
                                      <w:t>1．办公室</w:t>
                                    </w:r>
                                  </w:p>
                                  <w:p>
                                    <w:pPr>
                                      <w:spacing w:line="620" w:lineRule="exact"/>
                                      <w:ind w:firstLine="640" w:firstLineChars="200"/>
                                      <w:rPr>
                                        <w:rFonts w:hint="eastAsia" w:ascii="仿宋_GB2312" w:eastAsia="仿宋_GB2312"/>
                                        <w:color w:val="000000"/>
                                        <w:sz w:val="32"/>
                                        <w:szCs w:val="32"/>
                                      </w:rPr>
                                    </w:pPr>
                                    <w:r>
                                      <w:rPr>
                                        <w:rFonts w:hint="eastAsia" w:ascii="仿宋_GB2312" w:eastAsia="仿宋_GB2312"/>
                                        <w:color w:val="000000"/>
                                        <w:sz w:val="32"/>
                                        <w:szCs w:val="32"/>
                                      </w:rPr>
                                      <w:t>负责局内各项规章、管理制度的制定、实施和监督，各类文件收发和后勤管理，协助局领导处理日常事务，协调内外关系。</w:t>
                                    </w:r>
                                  </w:p>
                                  <w:p>
                                    <w:pPr>
                                      <w:spacing w:line="620" w:lineRule="exact"/>
                                      <w:ind w:firstLine="640" w:firstLineChars="200"/>
                                      <w:rPr>
                                        <w:rFonts w:hint="eastAsia" w:ascii="仿宋_GB2312" w:eastAsia="仿宋_GB2312"/>
                                        <w:color w:val="000000"/>
                                        <w:sz w:val="32"/>
                                        <w:szCs w:val="32"/>
                                      </w:rPr>
                                    </w:pPr>
                                    <w:r>
                                      <w:rPr>
                                        <w:rFonts w:hint="eastAsia" w:ascii="仿宋_GB2312" w:eastAsia="仿宋_GB2312"/>
                                        <w:color w:val="000000"/>
                                        <w:sz w:val="32"/>
                                        <w:szCs w:val="32"/>
                                      </w:rPr>
                                      <w:t>2．人事科教生产股</w:t>
                                    </w:r>
                                  </w:p>
                                  <w:p>
                                    <w:pPr>
                                      <w:spacing w:line="620" w:lineRule="exact"/>
                                      <w:ind w:firstLine="640" w:firstLineChars="200"/>
                                      <w:rPr>
                                        <w:rFonts w:hint="eastAsia" w:ascii="仿宋_GB2312" w:eastAsia="仿宋_GB2312"/>
                                        <w:color w:val="000000"/>
                                        <w:sz w:val="32"/>
                                        <w:szCs w:val="32"/>
                                      </w:rPr>
                                    </w:pPr>
                                    <w:r>
                                      <w:rPr>
                                        <w:rFonts w:hint="eastAsia" w:ascii="仿宋_GB2312" w:eastAsia="仿宋_GB2312"/>
                                        <w:color w:val="000000"/>
                                        <w:sz w:val="32"/>
                                        <w:szCs w:val="32"/>
                                      </w:rPr>
                                      <w:t>负责全局人事、科教管理，组织科技人员的培训和畜牧兽医科技、法律法规宣传工作，负责畜牧业生产项目编审、申报和档案管理，畜牧业生产数据的收集和编报。拟定编制畜牧业建设计划，协调争取畜牧业建设项目、监督管理项目实施。</w:t>
                                    </w:r>
                                  </w:p>
                                  <w:p>
                                    <w:pPr>
                                      <w:spacing w:line="620" w:lineRule="exact"/>
                                      <w:ind w:firstLine="640" w:firstLineChars="200"/>
                                      <w:rPr>
                                        <w:rFonts w:hint="eastAsia" w:ascii="仿宋_GB2312" w:eastAsia="仿宋_GB2312"/>
                                        <w:color w:val="000000"/>
                                        <w:sz w:val="32"/>
                                        <w:szCs w:val="32"/>
                                      </w:rPr>
                                    </w:pPr>
                                    <w:r>
                                      <w:rPr>
                                        <w:rFonts w:hint="eastAsia" w:ascii="仿宋_GB2312" w:eastAsia="仿宋_GB2312"/>
                                        <w:color w:val="000000"/>
                                        <w:sz w:val="32"/>
                                        <w:szCs w:val="32"/>
                                      </w:rPr>
                                      <w:t>3．财务股</w:t>
                                    </w:r>
                                  </w:p>
                                  <w:p>
                                    <w:pPr>
                                      <w:spacing w:line="620" w:lineRule="exact"/>
                                      <w:ind w:firstLine="640" w:firstLineChars="200"/>
                                      <w:rPr>
                                        <w:rFonts w:hint="eastAsia" w:ascii="仿宋_GB2312" w:eastAsia="仿宋_GB2312"/>
                                        <w:color w:val="000000"/>
                                        <w:sz w:val="32"/>
                                        <w:szCs w:val="32"/>
                                      </w:rPr>
                                    </w:pPr>
                                    <w:r>
                                      <w:rPr>
                                        <w:rFonts w:hint="eastAsia" w:ascii="仿宋_GB2312" w:eastAsia="仿宋_GB2312"/>
                                        <w:color w:val="000000"/>
                                        <w:sz w:val="32"/>
                                        <w:szCs w:val="32"/>
                                      </w:rPr>
                                      <w:t>负责本单位的财务管理，依法做好行政事业性收费、罚没收入、专项收入和政府性基金的收缴、使用、管理工作；负责局属的劳资、社保福利和离退休人员的服务管理。负责国家、省、州、县畜牧业建设项目资金、事业经费的申报和管理；负责局和直属单位行政经费、各项事业费的预结算及审计监督管理和固定财产的管理工作。</w:t>
                                    </w:r>
                                  </w:p>
                                  <w:p>
                                    <w:pPr>
                                      <w:spacing w:line="640" w:lineRule="exact"/>
                                      <w:ind w:firstLine="482" w:firstLineChars="150"/>
                                      <w:rPr>
                                        <w:rFonts w:hint="eastAsia" w:ascii="楷体_GB2312" w:hAnsi="宋体" w:eastAsia="楷体_GB2312" w:cs="宋体"/>
                                        <w:b/>
                                        <w:bCs/>
                                        <w:color w:val="333333"/>
                                        <w:kern w:val="0"/>
                                        <w:sz w:val="32"/>
                                        <w:szCs w:val="32"/>
                                        <w:lang w:eastAsia="zh-CN"/>
                                      </w:rPr>
                                    </w:pPr>
                                    <w:r>
                                      <w:rPr>
                                        <w:rFonts w:hint="eastAsia" w:ascii="楷体_GB2312" w:hAnsi="宋体" w:eastAsia="楷体_GB2312" w:cs="宋体"/>
                                        <w:b/>
                                        <w:bCs/>
                                        <w:color w:val="333333"/>
                                        <w:kern w:val="0"/>
                                        <w:sz w:val="32"/>
                                        <w:szCs w:val="32"/>
                                        <w:lang w:eastAsia="zh-CN"/>
                                      </w:rPr>
                                      <w:t>（二）下设机构</w:t>
                                    </w:r>
                                  </w:p>
                                  <w:p>
                                    <w:pPr>
                                      <w:spacing w:line="620" w:lineRule="exact"/>
                                      <w:ind w:firstLine="640" w:firstLineChars="200"/>
                                      <w:rPr>
                                        <w:rFonts w:hint="eastAsia" w:ascii="仿宋_GB2312" w:eastAsia="仿宋_GB2312"/>
                                        <w:color w:val="000000"/>
                                        <w:sz w:val="32"/>
                                        <w:szCs w:val="32"/>
                                      </w:rPr>
                                    </w:pPr>
                                    <w:r>
                                      <w:rPr>
                                        <w:rFonts w:hint="eastAsia" w:ascii="仿宋_GB2312" w:eastAsia="仿宋_GB2312"/>
                                        <w:color w:val="000000"/>
                                        <w:sz w:val="32"/>
                                        <w:szCs w:val="32"/>
                                      </w:rPr>
                                      <w:t>1．县动物防疫监督站（挂县动物疫病预防控制中心牌子）二个牌子，一套人员，作为县级兽医行政执法机构。</w:t>
                                    </w:r>
                                  </w:p>
                                  <w:p>
                                    <w:pPr>
                                      <w:spacing w:line="620" w:lineRule="exact"/>
                                      <w:ind w:firstLine="640" w:firstLineChars="200"/>
                                      <w:rPr>
                                        <w:rFonts w:hint="eastAsia" w:ascii="仿宋_GB2312" w:eastAsia="仿宋_GB2312"/>
                                        <w:color w:val="000000"/>
                                        <w:sz w:val="32"/>
                                        <w:szCs w:val="32"/>
                                      </w:rPr>
                                    </w:pPr>
                                    <w:r>
                                      <w:rPr>
                                        <w:rFonts w:hint="eastAsia" w:ascii="仿宋_GB2312" w:eastAsia="仿宋_GB2312"/>
                                        <w:color w:val="000000"/>
                                        <w:sz w:val="32"/>
                                        <w:szCs w:val="32"/>
                                      </w:rPr>
                                      <w:t>依法负责本县动物防疫、检疫、动物产品安全监管和畜产品加工企业</w:t>
                                    </w:r>
                                    <w:r>
                                      <w:rPr>
                                        <w:rFonts w:hint="eastAsia" w:ascii="仿宋_GB2312" w:eastAsia="仿宋_GB2312"/>
                                        <w:color w:val="000000"/>
                                        <w:sz w:val="32"/>
                                        <w:szCs w:val="32"/>
                                        <w:lang w:eastAsia="zh-CN"/>
                                      </w:rPr>
                                      <w:t>驻场</w:t>
                                    </w:r>
                                    <w:r>
                                      <w:rPr>
                                        <w:rFonts w:hint="eastAsia" w:ascii="仿宋_GB2312" w:eastAsia="仿宋_GB2312"/>
                                        <w:color w:val="000000"/>
                                        <w:sz w:val="32"/>
                                        <w:szCs w:val="32"/>
                                      </w:rPr>
                                      <w:t>检疫等行政执法工作；负责兽医医政和兽药药政管理；承担动物疫病监测、诊断、流行病学调查研究等技术研究和推广工作，负责乡畜牧兽医站的管理和指导。</w:t>
                                    </w:r>
                                  </w:p>
                                  <w:p>
                                    <w:pPr>
                                      <w:spacing w:line="620" w:lineRule="exact"/>
                                      <w:ind w:firstLine="640" w:firstLineChars="200"/>
                                      <w:rPr>
                                        <w:rFonts w:hint="eastAsia" w:ascii="仿宋_GB2312" w:eastAsia="仿宋_GB2312"/>
                                        <w:color w:val="000000"/>
                                        <w:sz w:val="32"/>
                                        <w:szCs w:val="32"/>
                                      </w:rPr>
                                    </w:pPr>
                                    <w:r>
                                      <w:rPr>
                                        <w:rFonts w:hint="eastAsia" w:ascii="仿宋_GB2312" w:eastAsia="仿宋_GB2312"/>
                                        <w:color w:val="000000"/>
                                        <w:sz w:val="32"/>
                                        <w:szCs w:val="32"/>
                                      </w:rPr>
                                      <w:t>2．畜禽繁育改良站</w:t>
                                    </w:r>
                                  </w:p>
                                  <w:p>
                                    <w:pPr>
                                      <w:spacing w:line="620" w:lineRule="exact"/>
                                      <w:ind w:firstLine="640" w:firstLineChars="200"/>
                                      <w:rPr>
                                        <w:rFonts w:hint="eastAsia" w:ascii="仿宋_GB2312" w:eastAsia="仿宋_GB2312"/>
                                        <w:color w:val="000000"/>
                                        <w:sz w:val="32"/>
                                        <w:szCs w:val="32"/>
                                      </w:rPr>
                                    </w:pPr>
                                    <w:r>
                                      <w:rPr>
                                        <w:rFonts w:hint="eastAsia" w:ascii="仿宋_GB2312" w:eastAsia="仿宋_GB2312"/>
                                        <w:color w:val="000000"/>
                                        <w:sz w:val="32"/>
                                        <w:szCs w:val="32"/>
                                      </w:rPr>
                                      <w:t>依照《中华人民共和国畜牧法》对全县种畜禽生产、经营和全县畜牧业生产实施监督管理。对全县畜、禽品种改良、优良畜、禽品种引进和繁育实施技术指导。</w:t>
                                    </w:r>
                                  </w:p>
                                  <w:p>
                                    <w:pPr>
                                      <w:spacing w:line="640" w:lineRule="exact"/>
                                      <w:ind w:firstLine="482" w:firstLineChars="150"/>
                                      <w:rPr>
                                        <w:rFonts w:hint="eastAsia" w:ascii="楷体_GB2312" w:hAnsi="宋体" w:eastAsia="楷体_GB2312" w:cs="宋体"/>
                                        <w:b/>
                                        <w:bCs/>
                                        <w:color w:val="333333"/>
                                        <w:kern w:val="0"/>
                                        <w:sz w:val="32"/>
                                        <w:szCs w:val="32"/>
                                      </w:rPr>
                                    </w:pPr>
                                    <w:r>
                                      <w:rPr>
                                        <w:rFonts w:hint="eastAsia" w:ascii="楷体_GB2312" w:hAnsi="宋体" w:eastAsia="楷体_GB2312" w:cs="宋体"/>
                                        <w:b/>
                                        <w:bCs/>
                                        <w:color w:val="333333"/>
                                        <w:kern w:val="0"/>
                                        <w:sz w:val="32"/>
                                        <w:szCs w:val="32"/>
                                        <w:lang w:eastAsia="zh-CN"/>
                                      </w:rPr>
                                      <w:t>（三）</w:t>
                                    </w:r>
                                    <w:r>
                                      <w:rPr>
                                        <w:rFonts w:hint="eastAsia" w:ascii="楷体_GB2312" w:hAnsi="宋体" w:eastAsia="楷体_GB2312" w:cs="宋体"/>
                                        <w:b/>
                                        <w:bCs/>
                                        <w:color w:val="333333"/>
                                        <w:kern w:val="0"/>
                                        <w:sz w:val="32"/>
                                        <w:szCs w:val="32"/>
                                      </w:rPr>
                                      <w:t>人员编制和领导职数</w:t>
                                    </w:r>
                                  </w:p>
                                  <w:p>
                                    <w:pPr>
                                      <w:spacing w:line="620" w:lineRule="exact"/>
                                      <w:ind w:firstLine="640" w:firstLineChars="200"/>
                                      <w:rPr>
                                        <w:rFonts w:hint="eastAsia" w:ascii="仿宋_GB2312" w:eastAsia="仿宋_GB2312"/>
                                        <w:color w:val="000000"/>
                                        <w:sz w:val="32"/>
                                        <w:szCs w:val="32"/>
                                      </w:rPr>
                                    </w:pPr>
                                    <w:r>
                                      <w:rPr>
                                        <w:rFonts w:hint="eastAsia" w:ascii="仿宋_GB2312" w:eastAsia="仿宋_GB2312"/>
                                        <w:color w:val="000000"/>
                                        <w:sz w:val="32"/>
                                        <w:szCs w:val="32"/>
                                      </w:rPr>
                                      <w:t>1．县畜牧兽医局核定事业编制11名（含工勤人员2名），参照公务员管理。其中局长1名，副局长2名</w:t>
                                    </w:r>
                                    <w:r>
                                      <w:rPr>
                                        <w:rFonts w:hint="eastAsia" w:ascii="仿宋_GB2312" w:eastAsia="仿宋_GB2312"/>
                                        <w:color w:val="000000"/>
                                        <w:sz w:val="32"/>
                                        <w:szCs w:val="32"/>
                                        <w:lang w:eastAsia="zh-CN"/>
                                      </w:rPr>
                                      <w:t>；</w:t>
                                    </w:r>
                                    <w:r>
                                      <w:rPr>
                                        <w:rFonts w:hint="eastAsia" w:ascii="仿宋_GB2312" w:eastAsia="仿宋_GB2312"/>
                                        <w:color w:val="000000"/>
                                        <w:sz w:val="32"/>
                                        <w:szCs w:val="32"/>
                                      </w:rPr>
                                      <w:t>股级领导职数3名。</w:t>
                                    </w:r>
                                  </w:p>
                                  <w:p>
                                    <w:pPr>
                                      <w:spacing w:line="620" w:lineRule="exact"/>
                                      <w:ind w:firstLine="640" w:firstLineChars="200"/>
                                      <w:rPr>
                                        <w:rFonts w:hint="eastAsia" w:ascii="仿宋_GB2312" w:eastAsia="仿宋_GB2312"/>
                                        <w:color w:val="000000"/>
                                        <w:sz w:val="32"/>
                                        <w:szCs w:val="32"/>
                                      </w:rPr>
                                    </w:pPr>
                                    <w:r>
                                      <w:rPr>
                                        <w:rFonts w:hint="eastAsia" w:ascii="仿宋_GB2312" w:eastAsia="仿宋_GB2312"/>
                                        <w:color w:val="000000"/>
                                        <w:sz w:val="32"/>
                                        <w:szCs w:val="32"/>
                                      </w:rPr>
                                      <w:t>2．县动物防疫监督站（含兽医执法大队、县动物疫病预防控制中心）。事业编制14名，设站长1名（按副科级高配），动物防疫监督站副站长1名。</w:t>
                                    </w:r>
                                  </w:p>
                                  <w:p>
                                    <w:pPr>
                                      <w:spacing w:line="620" w:lineRule="exact"/>
                                      <w:ind w:firstLine="640" w:firstLineChars="200"/>
                                      <w:rPr>
                                        <w:rFonts w:hint="eastAsia" w:ascii="仿宋_GB2312" w:eastAsia="仿宋_GB2312"/>
                                        <w:color w:val="000000"/>
                                        <w:sz w:val="32"/>
                                        <w:szCs w:val="32"/>
                                        <w:lang w:val="en-US" w:eastAsia="zh-CN"/>
                                      </w:rPr>
                                    </w:pPr>
                                    <w:r>
                                      <w:rPr>
                                        <w:rFonts w:hint="eastAsia" w:ascii="仿宋_GB2312" w:eastAsia="仿宋_GB2312"/>
                                        <w:color w:val="000000"/>
                                        <w:sz w:val="32"/>
                                        <w:szCs w:val="32"/>
                                      </w:rPr>
                                      <w:t>3．畜禽繁育改良站人员编制9名，设站长1名、副站长1名。</w:t>
                                    </w:r>
                                  </w:p>
                                  <w:p>
                                    <w:pPr>
                                      <w:spacing w:line="640" w:lineRule="exact"/>
                                      <w:ind w:firstLine="480" w:firstLineChars="150"/>
                                      <w:rPr>
                                        <w:rFonts w:ascii="仿宋_GB2312" w:hAnsi="宋体" w:eastAsia="仿宋_GB2312" w:cs="宋体"/>
                                        <w:color w:val="333333"/>
                                        <w:kern w:val="0"/>
                                        <w:sz w:val="28"/>
                                        <w:szCs w:val="28"/>
                                      </w:rPr>
                                    </w:pPr>
                                    <w:r>
                                      <w:rPr>
                                        <w:rFonts w:hint="eastAsia" w:ascii="黑体" w:hAnsi="黑体" w:eastAsia="黑体" w:cs="黑体"/>
                                        <w:color w:val="auto"/>
                                        <w:sz w:val="32"/>
                                        <w:szCs w:val="32"/>
                                        <w:lang w:val="en-US" w:eastAsia="zh-CN"/>
                                      </w:rPr>
                                      <w:t>三、收支预算情况说明</w:t>
                                    </w:r>
                                    <w:r>
                                      <w:rPr>
                                        <w:rFonts w:hint="eastAsia" w:ascii="黑体" w:hAnsi="黑体" w:eastAsia="黑体" w:cs="黑体"/>
                                        <w:color w:val="auto"/>
                                        <w:sz w:val="32"/>
                                        <w:szCs w:val="32"/>
                                        <w:lang w:val="en-US" w:eastAsia="zh-CN"/>
                                      </w:rPr>
                                      <w:br w:type="textWrapping"/>
                                    </w:r>
                                    <w:r>
                                      <w:rPr>
                                        <w:rFonts w:hint="eastAsia" w:ascii="仿宋_GB2312" w:hAnsi="宋体" w:eastAsia="仿宋_GB2312" w:cs="宋体"/>
                                        <w:color w:val="333333"/>
                                        <w:kern w:val="0"/>
                                        <w:sz w:val="28"/>
                                        <w:szCs w:val="28"/>
                                      </w:rPr>
                                      <w:t>　　</w:t>
                                    </w:r>
                                    <w:r>
                                      <w:rPr>
                                        <w:rFonts w:hint="eastAsia" w:ascii="仿宋_GB2312" w:eastAsia="仿宋_GB2312"/>
                                        <w:color w:val="000000"/>
                                        <w:sz w:val="32"/>
                                        <w:szCs w:val="32"/>
                                      </w:rPr>
                                      <w:t>按照综合预算的原则，畜牧局所有收入和支出均纳入部门预算管理。收入包括：一般公共预算拨款收入、上年结转；支出包括：一般公共服务支出、教育支出、社会保障和就业支出、医疗卫生与计划生育支出、住房保障支出。畜牧局2019年收支总预算1485.9597万元</w:t>
                                    </w:r>
                                    <w:r>
                                      <w:rPr>
                                        <w:rFonts w:hint="eastAsia" w:ascii="仿宋_GB2312" w:eastAsia="仿宋_GB2312"/>
                                        <w:color w:val="000000"/>
                                        <w:sz w:val="32"/>
                                        <w:szCs w:val="32"/>
                                        <w:lang w:eastAsia="zh-CN"/>
                                      </w:rPr>
                                      <w:t>，</w:t>
                                    </w:r>
                                    <w:r>
                                      <w:rPr>
                                        <w:rFonts w:hint="eastAsia" w:ascii="仿宋_GB2312" w:eastAsia="仿宋_GB2312"/>
                                        <w:color w:val="000000"/>
                                        <w:sz w:val="32"/>
                                        <w:szCs w:val="32"/>
                                      </w:rPr>
                                      <w:t>比2018年收支预算总数增加108.8446万元，主要是因为人员增加。</w:t>
                                    </w:r>
                                    <w:r>
                                      <w:rPr>
                                        <w:rFonts w:hint="eastAsia" w:ascii="仿宋_GB2312" w:eastAsia="仿宋_GB2312"/>
                                        <w:color w:val="000000"/>
                                        <w:sz w:val="32"/>
                                        <w:szCs w:val="32"/>
                                      </w:rPr>
                                      <w:br w:type="textWrapping"/>
                                    </w:r>
                                    <w:r>
                                      <w:rPr>
                                        <w:rFonts w:hint="eastAsia" w:ascii="仿宋_GB2312" w:hAnsi="宋体" w:eastAsia="仿宋_GB2312" w:cs="宋体"/>
                                        <w:color w:val="333333"/>
                                        <w:kern w:val="0"/>
                                        <w:sz w:val="28"/>
                                        <w:szCs w:val="28"/>
                                      </w:rPr>
                                      <w:t>　　</w:t>
                                    </w:r>
                                    <w:r>
                                      <w:rPr>
                                        <w:rFonts w:hint="eastAsia" w:ascii="楷体_GB2312" w:hAnsi="宋体" w:eastAsia="楷体_GB2312" w:cs="宋体"/>
                                        <w:b/>
                                        <w:bCs/>
                                        <w:color w:val="333333"/>
                                        <w:kern w:val="0"/>
                                        <w:sz w:val="32"/>
                                        <w:szCs w:val="32"/>
                                      </w:rPr>
                                      <w:t>（一）收入预算情况。</w:t>
                                    </w:r>
                                    <w:r>
                                      <w:rPr>
                                        <w:rFonts w:ascii="楷体_GB2312" w:hAnsi="宋体" w:eastAsia="楷体_GB2312" w:cs="宋体"/>
                                        <w:b/>
                                        <w:bCs/>
                                        <w:color w:val="333333"/>
                                        <w:kern w:val="0"/>
                                        <w:sz w:val="32"/>
                                        <w:szCs w:val="32"/>
                                      </w:rPr>
                                      <w:br w:type="textWrapping"/>
                                    </w:r>
                                    <w:r>
                                      <w:rPr>
                                        <w:rFonts w:hint="eastAsia" w:ascii="仿宋_GB2312" w:hAnsi="宋体" w:eastAsia="仿宋_GB2312" w:cs="宋体"/>
                                        <w:color w:val="333333"/>
                                        <w:kern w:val="0"/>
                                        <w:sz w:val="28"/>
                                        <w:szCs w:val="28"/>
                                      </w:rPr>
                                      <w:t>　　</w:t>
                                    </w:r>
                                    <w:r>
                                      <w:rPr>
                                        <w:rFonts w:hint="eastAsia" w:ascii="仿宋_GB2312" w:eastAsia="仿宋_GB2312"/>
                                        <w:color w:val="000000"/>
                                        <w:sz w:val="32"/>
                                        <w:szCs w:val="32"/>
                                      </w:rPr>
                                      <w:t>畜牧局2019年收入预算1485.9597万元；一般公共预算拨款收入1485.9597万元。</w:t>
                                    </w:r>
                                    <w:r>
                                      <w:rPr>
                                        <w:rFonts w:hint="eastAsia" w:ascii="仿宋_GB2312" w:eastAsia="仿宋_GB2312"/>
                                        <w:color w:val="000000"/>
                                        <w:sz w:val="32"/>
                                        <w:szCs w:val="32"/>
                                      </w:rPr>
                                      <w:br w:type="textWrapping"/>
                                    </w:r>
                                    <w:r>
                                      <w:rPr>
                                        <w:rFonts w:hint="eastAsia" w:ascii="仿宋_GB2312" w:hAnsi="宋体" w:eastAsia="仿宋_GB2312" w:cs="宋体"/>
                                        <w:color w:val="333333"/>
                                        <w:kern w:val="0"/>
                                        <w:sz w:val="28"/>
                                        <w:szCs w:val="28"/>
                                      </w:rPr>
                                      <w:t>　　</w:t>
                                    </w:r>
                                    <w:r>
                                      <w:rPr>
                                        <w:rFonts w:hint="eastAsia" w:ascii="楷体_GB2312" w:hAnsi="宋体" w:eastAsia="楷体_GB2312" w:cs="宋体"/>
                                        <w:b/>
                                        <w:bCs/>
                                        <w:color w:val="333333"/>
                                        <w:kern w:val="0"/>
                                        <w:sz w:val="32"/>
                                        <w:szCs w:val="32"/>
                                      </w:rPr>
                                      <w:t>（二）支出预算情况。</w:t>
                                    </w:r>
                                    <w:r>
                                      <w:rPr>
                                        <w:rFonts w:ascii="楷体_GB2312" w:hAnsi="宋体" w:eastAsia="楷体_GB2312" w:cs="宋体"/>
                                        <w:b/>
                                        <w:bCs/>
                                        <w:color w:val="333333"/>
                                        <w:kern w:val="0"/>
                                        <w:sz w:val="28"/>
                                        <w:szCs w:val="28"/>
                                      </w:rPr>
                                      <w:br w:type="textWrapping"/>
                                    </w:r>
                                    <w:r>
                                      <w:rPr>
                                        <w:rFonts w:hint="eastAsia" w:ascii="仿宋_GB2312" w:hAnsi="宋体" w:eastAsia="仿宋_GB2312" w:cs="宋体"/>
                                        <w:color w:val="333333"/>
                                        <w:kern w:val="0"/>
                                        <w:sz w:val="28"/>
                                        <w:szCs w:val="28"/>
                                      </w:rPr>
                                      <w:t>　　</w:t>
                                    </w:r>
                                    <w:r>
                                      <w:rPr>
                                        <w:rFonts w:hint="eastAsia" w:ascii="仿宋_GB2312" w:eastAsia="仿宋_GB2312"/>
                                        <w:color w:val="000000"/>
                                        <w:sz w:val="32"/>
                                        <w:szCs w:val="32"/>
                                      </w:rPr>
                                      <w:t>畜牧局2019年支出预算1485.9597万元，其中：基本支出1472.4957万元，占99.1%；项目支出</w:t>
                                    </w:r>
                                    <w:r>
                                      <w:rPr>
                                        <w:rFonts w:hint="eastAsia" w:ascii="仿宋_GB2312" w:eastAsia="仿宋_GB2312"/>
                                        <w:color w:val="000000"/>
                                        <w:sz w:val="32"/>
                                        <w:szCs w:val="32"/>
                                        <w:lang w:val="en-US" w:eastAsia="zh-CN"/>
                                      </w:rPr>
                                      <w:t>13.464</w:t>
                                    </w:r>
                                    <w:r>
                                      <w:rPr>
                                        <w:rFonts w:hint="eastAsia" w:ascii="仿宋_GB2312" w:eastAsia="仿宋_GB2312"/>
                                        <w:color w:val="000000"/>
                                        <w:sz w:val="32"/>
                                        <w:szCs w:val="32"/>
                                      </w:rPr>
                                      <w:t>万元，占0.9%。</w:t>
                                    </w:r>
                                    <w:r>
                                      <w:rPr>
                                        <w:rFonts w:ascii="仿宋_GB2312" w:hAnsi="宋体" w:eastAsia="仿宋_GB2312" w:cs="宋体"/>
                                        <w:color w:val="333333"/>
                                        <w:kern w:val="0"/>
                                        <w:sz w:val="28"/>
                                        <w:szCs w:val="28"/>
                                      </w:rPr>
                                      <w:br w:type="textWrapping"/>
                                    </w:r>
                                    <w:r>
                                      <w:rPr>
                                        <w:rFonts w:hint="eastAsia" w:ascii="仿宋_GB2312" w:hAnsi="宋体" w:eastAsia="仿宋_GB2312" w:cs="宋体"/>
                                        <w:color w:val="333333"/>
                                        <w:kern w:val="0"/>
                                        <w:sz w:val="28"/>
                                        <w:szCs w:val="28"/>
                                      </w:rPr>
                                      <w:t>　　</w:t>
                                    </w:r>
                                    <w:r>
                                      <w:rPr>
                                        <w:rFonts w:hint="eastAsia" w:ascii="黑体" w:hAnsi="黑体" w:eastAsia="黑体" w:cs="黑体"/>
                                        <w:color w:val="auto"/>
                                        <w:sz w:val="32"/>
                                        <w:szCs w:val="32"/>
                                        <w:lang w:val="en-US" w:eastAsia="zh-CN"/>
                                      </w:rPr>
                                      <w:t>四、财政拨款收支预算情况说明</w:t>
                                    </w:r>
                                    <w:r>
                                      <w:rPr>
                                        <w:rFonts w:hint="eastAsia" w:ascii="黑体" w:hAnsi="黑体" w:eastAsia="黑体" w:cs="黑体"/>
                                        <w:color w:val="auto"/>
                                        <w:sz w:val="32"/>
                                        <w:szCs w:val="32"/>
                                        <w:lang w:val="en-US" w:eastAsia="zh-CN"/>
                                      </w:rPr>
                                      <w:br w:type="textWrapping"/>
                                    </w:r>
                                    <w:r>
                                      <w:rPr>
                                        <w:rFonts w:hint="eastAsia" w:ascii="仿宋_GB2312" w:hAnsi="宋体" w:eastAsia="仿宋_GB2312" w:cs="宋体"/>
                                        <w:color w:val="333333"/>
                                        <w:kern w:val="0"/>
                                        <w:sz w:val="28"/>
                                        <w:szCs w:val="28"/>
                                      </w:rPr>
                                      <w:t>　　</w:t>
                                    </w:r>
                                    <w:r>
                                      <w:rPr>
                                        <w:rFonts w:hint="eastAsia" w:ascii="仿宋_GB2312" w:eastAsia="仿宋_GB2312"/>
                                        <w:color w:val="000000"/>
                                        <w:sz w:val="32"/>
                                        <w:szCs w:val="32"/>
                                      </w:rPr>
                                      <w:t>畜牧局2019年财政拨款收支总预算1485.9597万元</w:t>
                                    </w:r>
                                    <w:r>
                                      <w:rPr>
                                        <w:rFonts w:hint="eastAsia" w:ascii="仿宋_GB2312" w:eastAsia="仿宋_GB2312"/>
                                        <w:color w:val="000000"/>
                                        <w:sz w:val="32"/>
                                        <w:szCs w:val="32"/>
                                        <w:lang w:eastAsia="zh-CN"/>
                                      </w:rPr>
                                      <w:t>，</w:t>
                                    </w:r>
                                    <w:r>
                                      <w:rPr>
                                        <w:rFonts w:hint="eastAsia" w:ascii="仿宋_GB2312" w:eastAsia="仿宋_GB2312"/>
                                        <w:color w:val="000000"/>
                                        <w:sz w:val="32"/>
                                        <w:szCs w:val="32"/>
                                      </w:rPr>
                                      <w:t>比2018年财政拨款收支总预算增加108.8446万元，主要是因为人员增加。</w:t>
                                    </w:r>
                                    <w:r>
                                      <w:rPr>
                                        <w:rFonts w:hint="eastAsia" w:ascii="仿宋_GB2312" w:eastAsia="仿宋_GB2312"/>
                                        <w:color w:val="000000"/>
                                        <w:sz w:val="32"/>
                                        <w:szCs w:val="32"/>
                                      </w:rPr>
                                      <w:br w:type="textWrapping"/>
                                    </w:r>
                                    <w:r>
                                      <w:rPr>
                                        <w:rFonts w:hint="eastAsia" w:ascii="仿宋_GB2312" w:eastAsia="仿宋_GB2312"/>
                                        <w:color w:val="000000"/>
                                        <w:sz w:val="32"/>
                                        <w:szCs w:val="32"/>
                                      </w:rPr>
                                      <w:t>　　收入包括：本年一般公共预算拨款收入1485.9597万元、上年结转一般公共预算拨款收入0万元；支出包括：一般公共服务支出986.9256万元、教育支出1万元、社会保障和就业支出286.8963万元、医疗卫生与计划生育支出85.3504万元、住房保障支出125.7872万元。</w:t>
                                    </w:r>
                                    <w:r>
                                      <w:rPr>
                                        <w:rFonts w:hint="eastAsia" w:ascii="仿宋_GB2312" w:eastAsia="仿宋_GB2312"/>
                                        <w:color w:val="000000"/>
                                        <w:sz w:val="32"/>
                                        <w:szCs w:val="32"/>
                                      </w:rPr>
                                      <w:br w:type="textWrapping"/>
                                    </w:r>
                                    <w:r>
                                      <w:rPr>
                                        <w:rFonts w:hint="eastAsia" w:ascii="仿宋_GB2312" w:hAnsi="宋体" w:eastAsia="仿宋_GB2312" w:cs="宋体"/>
                                        <w:color w:val="333333"/>
                                        <w:kern w:val="0"/>
                                        <w:sz w:val="28"/>
                                        <w:szCs w:val="28"/>
                                      </w:rPr>
                                      <w:t>　　</w:t>
                                    </w:r>
                                    <w:r>
                                      <w:rPr>
                                        <w:rFonts w:hint="eastAsia" w:ascii="黑体" w:hAnsi="黑体" w:eastAsia="黑体" w:cs="黑体"/>
                                        <w:color w:val="auto"/>
                                        <w:sz w:val="32"/>
                                        <w:szCs w:val="32"/>
                                        <w:lang w:val="en-US" w:eastAsia="zh-CN"/>
                                      </w:rPr>
                                      <w:t>五、一般公共预算当年拨款情况说明</w:t>
                                    </w:r>
                                    <w:r>
                                      <w:rPr>
                                        <w:rFonts w:hint="eastAsia" w:ascii="黑体" w:hAnsi="黑体" w:eastAsia="黑体" w:cs="黑体"/>
                                        <w:color w:val="auto"/>
                                        <w:sz w:val="32"/>
                                        <w:szCs w:val="32"/>
                                        <w:lang w:val="en-US" w:eastAsia="zh-CN"/>
                                      </w:rPr>
                                      <w:br w:type="textWrapping"/>
                                    </w:r>
                                    <w:r>
                                      <w:rPr>
                                        <w:rFonts w:hint="eastAsia" w:ascii="仿宋_GB2312" w:hAnsi="宋体" w:eastAsia="仿宋_GB2312" w:cs="宋体"/>
                                        <w:color w:val="333333"/>
                                        <w:kern w:val="0"/>
                                        <w:sz w:val="28"/>
                                        <w:szCs w:val="28"/>
                                      </w:rPr>
                                      <w:t>　　</w:t>
                                    </w:r>
                                    <w:r>
                                      <w:rPr>
                                        <w:rFonts w:hint="eastAsia" w:ascii="楷体_GB2312" w:hAnsi="宋体" w:eastAsia="楷体_GB2312" w:cs="宋体"/>
                                        <w:b/>
                                        <w:bCs/>
                                        <w:color w:val="333333"/>
                                        <w:kern w:val="0"/>
                                        <w:sz w:val="32"/>
                                        <w:szCs w:val="32"/>
                                      </w:rPr>
                                      <w:t>（一）一般公共预算当年拨款规模变化情况。</w:t>
                                    </w:r>
                                    <w:r>
                                      <w:rPr>
                                        <w:rFonts w:ascii="楷体_GB2312" w:hAnsi="宋体" w:eastAsia="楷体_GB2312" w:cs="宋体"/>
                                        <w:b/>
                                        <w:bCs/>
                                        <w:color w:val="333333"/>
                                        <w:kern w:val="0"/>
                                        <w:sz w:val="28"/>
                                        <w:szCs w:val="28"/>
                                      </w:rPr>
                                      <w:br w:type="textWrapping"/>
                                    </w:r>
                                    <w:r>
                                      <w:rPr>
                                        <w:rFonts w:hint="eastAsia" w:ascii="仿宋_GB2312" w:hAnsi="宋体" w:eastAsia="仿宋_GB2312" w:cs="宋体"/>
                                        <w:color w:val="333333"/>
                                        <w:kern w:val="0"/>
                                        <w:sz w:val="28"/>
                                        <w:szCs w:val="28"/>
                                      </w:rPr>
                                      <w:t>　　</w:t>
                                    </w:r>
                                    <w:r>
                                      <w:rPr>
                                        <w:rFonts w:hint="eastAsia" w:ascii="仿宋_GB2312" w:eastAsia="仿宋_GB2312"/>
                                        <w:color w:val="000000"/>
                                        <w:sz w:val="32"/>
                                        <w:szCs w:val="32"/>
                                      </w:rPr>
                                      <w:t>畜牧局2019年一般公共预算当年拨款1485.9597万元，比2018年预算数增加108.8446万元，主要是财政信息化建设等需求增加。</w:t>
                                    </w:r>
                                    <w:r>
                                      <w:rPr>
                                        <w:rFonts w:hint="eastAsia" w:ascii="仿宋_GB2312" w:eastAsia="仿宋_GB2312"/>
                                        <w:color w:val="000000"/>
                                        <w:sz w:val="32"/>
                                        <w:szCs w:val="32"/>
                                      </w:rPr>
                                      <w:br w:type="textWrapping"/>
                                    </w:r>
                                    <w:r>
                                      <w:rPr>
                                        <w:rFonts w:hint="eastAsia" w:ascii="仿宋_GB2312" w:hAnsi="宋体" w:eastAsia="仿宋_GB2312" w:cs="宋体"/>
                                        <w:color w:val="333333"/>
                                        <w:kern w:val="0"/>
                                        <w:sz w:val="28"/>
                                        <w:szCs w:val="28"/>
                                      </w:rPr>
                                      <w:t>　　</w:t>
                                    </w:r>
                                    <w:r>
                                      <w:rPr>
                                        <w:rFonts w:hint="eastAsia" w:ascii="楷体_GB2312" w:hAnsi="宋体" w:eastAsia="楷体_GB2312" w:cs="宋体"/>
                                        <w:b/>
                                        <w:bCs/>
                                        <w:color w:val="333333"/>
                                        <w:kern w:val="0"/>
                                        <w:sz w:val="32"/>
                                        <w:szCs w:val="32"/>
                                      </w:rPr>
                                      <w:t>（二）一般公共预算当年拨款结构情况。</w:t>
                                    </w:r>
                                    <w:r>
                                      <w:rPr>
                                        <w:rFonts w:ascii="楷体_GB2312" w:hAnsi="宋体" w:eastAsia="楷体_GB2312" w:cs="宋体"/>
                                        <w:b/>
                                        <w:bCs/>
                                        <w:color w:val="333333"/>
                                        <w:kern w:val="0"/>
                                        <w:sz w:val="28"/>
                                        <w:szCs w:val="28"/>
                                      </w:rPr>
                                      <w:br w:type="textWrapping"/>
                                    </w:r>
                                    <w:r>
                                      <w:rPr>
                                        <w:rFonts w:hint="eastAsia" w:ascii="仿宋_GB2312" w:hAnsi="宋体" w:eastAsia="仿宋_GB2312" w:cs="宋体"/>
                                        <w:color w:val="333333"/>
                                        <w:kern w:val="0"/>
                                        <w:sz w:val="28"/>
                                        <w:szCs w:val="28"/>
                                      </w:rPr>
                                      <w:t>　　</w:t>
                                    </w:r>
                                    <w:r>
                                      <w:rPr>
                                        <w:rFonts w:hint="eastAsia" w:ascii="仿宋_GB2312" w:eastAsia="仿宋_GB2312"/>
                                        <w:color w:val="000000"/>
                                        <w:sz w:val="32"/>
                                        <w:szCs w:val="32"/>
                                      </w:rPr>
                                      <w:t>一般公共服务支出986.9256万元，占66.42%；教育支出1万元，占0.07%；社会保障和就业支出286.8963万元，占19.3%；医疗卫生与计划生育支出85.3504万元，占5.71%；住房保障支出125.7872万元，占8.5%。</w:t>
                                    </w:r>
                                    <w:r>
                                      <w:rPr>
                                        <w:rFonts w:hint="eastAsia" w:ascii="仿宋_GB2312" w:eastAsia="仿宋_GB2312"/>
                                        <w:color w:val="000000"/>
                                        <w:sz w:val="32"/>
                                        <w:szCs w:val="32"/>
                                      </w:rPr>
                                      <w:br w:type="textWrapping"/>
                                    </w:r>
                                    <w:r>
                                      <w:rPr>
                                        <w:rFonts w:hint="eastAsia" w:ascii="仿宋_GB2312" w:hAnsi="宋体" w:eastAsia="仿宋_GB2312" w:cs="宋体"/>
                                        <w:color w:val="333333"/>
                                        <w:kern w:val="0"/>
                                        <w:sz w:val="28"/>
                                        <w:szCs w:val="28"/>
                                      </w:rPr>
                                      <w:t>　　</w:t>
                                    </w:r>
                                    <w:r>
                                      <w:rPr>
                                        <w:rFonts w:hint="eastAsia" w:ascii="楷体_GB2312" w:hAnsi="宋体" w:eastAsia="楷体_GB2312" w:cs="宋体"/>
                                        <w:b/>
                                        <w:bCs/>
                                        <w:color w:val="333333"/>
                                        <w:kern w:val="0"/>
                                        <w:sz w:val="32"/>
                                        <w:szCs w:val="32"/>
                                      </w:rPr>
                                      <w:t>（三）一般公共预算当年拨款具体使用情况。</w:t>
                                    </w:r>
                                    <w:r>
                                      <w:rPr>
                                        <w:rFonts w:ascii="楷体_GB2312" w:hAnsi="宋体" w:eastAsia="楷体_GB2312" w:cs="宋体"/>
                                        <w:b/>
                                        <w:bCs/>
                                        <w:color w:val="333333"/>
                                        <w:kern w:val="0"/>
                                        <w:sz w:val="28"/>
                                        <w:szCs w:val="28"/>
                                      </w:rPr>
                                      <w:br w:type="textWrapping"/>
                                    </w:r>
                                    <w:r>
                                      <w:rPr>
                                        <w:rFonts w:hint="eastAsia" w:ascii="仿宋_GB2312" w:hAnsi="宋体" w:eastAsia="仿宋_GB2312" w:cs="宋体"/>
                                        <w:color w:val="333333"/>
                                        <w:kern w:val="0"/>
                                        <w:sz w:val="28"/>
                                        <w:szCs w:val="28"/>
                                      </w:rPr>
                                      <w:t>　　　</w:t>
                                    </w:r>
                                    <w:r>
                                      <w:rPr>
                                        <w:rFonts w:ascii="仿宋_GB2312" w:hAnsi="宋体" w:eastAsia="仿宋_GB2312" w:cs="宋体"/>
                                        <w:b/>
                                        <w:bCs/>
                                        <w:color w:val="333333"/>
                                        <w:kern w:val="0"/>
                                        <w:sz w:val="32"/>
                                        <w:szCs w:val="32"/>
                                      </w:rPr>
                                      <w:t>1.</w:t>
                                    </w:r>
                                    <w:r>
                                      <w:rPr>
                                        <w:rFonts w:hint="eastAsia" w:ascii="仿宋_GB2312" w:hAnsi="宋体" w:eastAsia="仿宋_GB2312" w:cs="宋体"/>
                                        <w:b/>
                                        <w:bCs/>
                                        <w:color w:val="333333"/>
                                        <w:kern w:val="0"/>
                                        <w:sz w:val="32"/>
                                        <w:szCs w:val="32"/>
                                      </w:rPr>
                                      <w:t>一般公共服务（类）财政事务（款）事业运行（项）</w:t>
                                    </w:r>
                                    <w:r>
                                      <w:rPr>
                                        <w:rFonts w:hint="eastAsia" w:ascii="仿宋_GB2312" w:eastAsia="仿宋_GB2312"/>
                                        <w:color w:val="000000"/>
                                        <w:sz w:val="32"/>
                                        <w:szCs w:val="32"/>
                                      </w:rPr>
                                      <w:t>2019年预算数为1485.9597万元，主要用于：单位机构正常运行、开展日常工作的基本支出。</w:t>
                                    </w:r>
                                    <w:r>
                                      <w:rPr>
                                        <w:rFonts w:hint="eastAsia" w:ascii="仿宋_GB2312" w:eastAsia="仿宋_GB2312"/>
                                        <w:color w:val="000000"/>
                                        <w:sz w:val="32"/>
                                        <w:szCs w:val="32"/>
                                      </w:rPr>
                                      <w:br w:type="textWrapping"/>
                                    </w:r>
                                    <w:r>
                                      <w:rPr>
                                        <w:rFonts w:hint="eastAsia" w:ascii="仿宋_GB2312" w:hAnsi="宋体" w:eastAsia="仿宋_GB2312" w:cs="宋体"/>
                                        <w:color w:val="333333"/>
                                        <w:kern w:val="0"/>
                                        <w:sz w:val="28"/>
                                        <w:szCs w:val="28"/>
                                      </w:rPr>
                                      <w:t>　</w:t>
                                    </w:r>
                                    <w:r>
                                      <w:rPr>
                                        <w:rFonts w:hint="eastAsia" w:ascii="仿宋_GB2312" w:hAnsi="宋体" w:eastAsia="仿宋_GB2312" w:cs="宋体"/>
                                        <w:color w:val="333333"/>
                                        <w:kern w:val="0"/>
                                        <w:sz w:val="28"/>
                                        <w:szCs w:val="28"/>
                                        <w:lang w:val="en-US" w:eastAsia="zh-CN"/>
                                      </w:rPr>
                                      <w:t xml:space="preserve"> </w:t>
                                    </w:r>
                                    <w:r>
                                      <w:rPr>
                                        <w:rFonts w:hint="eastAsia" w:ascii="仿宋_GB2312" w:hAnsi="宋体" w:eastAsia="仿宋_GB2312" w:cs="宋体"/>
                                        <w:color w:val="333333"/>
                                        <w:kern w:val="0"/>
                                        <w:sz w:val="28"/>
                                        <w:szCs w:val="28"/>
                                      </w:rPr>
                                      <w:t>　</w:t>
                                    </w:r>
                                    <w:r>
                                      <w:rPr>
                                        <w:rFonts w:ascii="仿宋_GB2312" w:hAnsi="宋体" w:eastAsia="仿宋_GB2312" w:cs="宋体"/>
                                        <w:b/>
                                        <w:bCs/>
                                        <w:color w:val="333333"/>
                                        <w:kern w:val="0"/>
                                        <w:sz w:val="28"/>
                                      </w:rPr>
                                      <w:t>2.</w:t>
                                    </w:r>
                                    <w:r>
                                      <w:rPr>
                                        <w:rFonts w:hint="eastAsia" w:ascii="仿宋_GB2312" w:hAnsi="宋体" w:eastAsia="仿宋_GB2312" w:cs="宋体"/>
                                        <w:b/>
                                        <w:bCs/>
                                        <w:color w:val="333333"/>
                                        <w:kern w:val="0"/>
                                        <w:sz w:val="32"/>
                                        <w:szCs w:val="32"/>
                                      </w:rPr>
                                      <w:t>教育（类）进修及培训（款）培训支出（项）</w:t>
                                    </w:r>
                                    <w:r>
                                      <w:rPr>
                                        <w:rFonts w:hint="eastAsia" w:ascii="仿宋_GB2312" w:eastAsia="仿宋_GB2312"/>
                                        <w:color w:val="000000"/>
                                        <w:sz w:val="32"/>
                                        <w:szCs w:val="32"/>
                                      </w:rPr>
                                      <w:t>2019年预算数为1万元，主要用于：系统内培训及在职人员参加外部培训等经费支出。</w:t>
                                    </w:r>
                                    <w:r>
                                      <w:rPr>
                                        <w:rFonts w:ascii="仿宋_GB2312" w:hAnsi="宋体" w:eastAsia="仿宋_GB2312" w:cs="宋体"/>
                                        <w:color w:val="333333"/>
                                        <w:kern w:val="0"/>
                                        <w:sz w:val="28"/>
                                        <w:szCs w:val="28"/>
                                      </w:rPr>
                                      <w:br w:type="textWrapping"/>
                                    </w:r>
                                    <w:r>
                                      <w:rPr>
                                        <w:rFonts w:hint="eastAsia" w:ascii="仿宋_GB2312" w:hAnsi="宋体" w:eastAsia="仿宋_GB2312" w:cs="宋体"/>
                                        <w:color w:val="333333"/>
                                        <w:kern w:val="0"/>
                                        <w:sz w:val="28"/>
                                        <w:szCs w:val="28"/>
                                      </w:rPr>
                                      <w:t>　　</w:t>
                                    </w:r>
                                    <w:r>
                                      <w:rPr>
                                        <w:rFonts w:hint="eastAsia" w:ascii="仿宋_GB2312" w:hAnsi="宋体" w:eastAsia="仿宋_GB2312" w:cs="宋体"/>
                                        <w:color w:val="333333"/>
                                        <w:kern w:val="0"/>
                                        <w:sz w:val="32"/>
                                        <w:szCs w:val="32"/>
                                        <w:lang w:val="en-US" w:eastAsia="zh-CN"/>
                                      </w:rPr>
                                      <w:t xml:space="preserve"> </w:t>
                                    </w:r>
                                    <w:r>
                                      <w:rPr>
                                        <w:rFonts w:ascii="仿宋_GB2312" w:hAnsi="宋体" w:eastAsia="仿宋_GB2312" w:cs="宋体"/>
                                        <w:b/>
                                        <w:bCs/>
                                        <w:color w:val="333333"/>
                                        <w:kern w:val="0"/>
                                        <w:sz w:val="32"/>
                                        <w:szCs w:val="32"/>
                                      </w:rPr>
                                      <w:t xml:space="preserve">3. </w:t>
                                    </w:r>
                                    <w:r>
                                      <w:rPr>
                                        <w:rFonts w:hint="eastAsia" w:ascii="仿宋_GB2312" w:hAnsi="宋体" w:eastAsia="仿宋_GB2312" w:cs="宋体"/>
                                        <w:b/>
                                        <w:bCs/>
                                        <w:color w:val="333333"/>
                                        <w:kern w:val="0"/>
                                        <w:sz w:val="32"/>
                                        <w:szCs w:val="32"/>
                                      </w:rPr>
                                      <w:t>社会保障和就业（类）行政事业单位离退休（款）未归口管理的行政单位离退休（项）</w:t>
                                    </w:r>
                                    <w:r>
                                      <w:rPr>
                                        <w:rFonts w:hint="eastAsia" w:ascii="仿宋_GB2312" w:eastAsia="仿宋_GB2312"/>
                                        <w:color w:val="000000"/>
                                        <w:sz w:val="32"/>
                                        <w:szCs w:val="32"/>
                                      </w:rPr>
                                      <w:t>2019年预算数为0.0216万元，主要用于：离退休人员经费支出。</w:t>
                                    </w:r>
                                    <w:r>
                                      <w:rPr>
                                        <w:rFonts w:hint="eastAsia" w:ascii="仿宋_GB2312" w:eastAsia="仿宋_GB2312"/>
                                        <w:color w:val="000000"/>
                                        <w:sz w:val="32"/>
                                        <w:szCs w:val="32"/>
                                      </w:rPr>
                                      <w:br w:type="textWrapping"/>
                                    </w:r>
                                    <w:r>
                                      <w:rPr>
                                        <w:rFonts w:hint="eastAsia" w:ascii="仿宋_GB2312" w:hAnsi="宋体" w:eastAsia="仿宋_GB2312" w:cs="宋体"/>
                                        <w:color w:val="333333"/>
                                        <w:kern w:val="0"/>
                                        <w:sz w:val="28"/>
                                        <w:szCs w:val="28"/>
                                      </w:rPr>
                                      <w:t>　</w:t>
                                    </w:r>
                                    <w:r>
                                      <w:rPr>
                                        <w:rFonts w:hint="eastAsia" w:ascii="仿宋_GB2312" w:hAnsi="宋体" w:eastAsia="仿宋_GB2312" w:cs="宋体"/>
                                        <w:color w:val="333333"/>
                                        <w:kern w:val="0"/>
                                        <w:sz w:val="28"/>
                                        <w:szCs w:val="28"/>
                                        <w:lang w:val="en-US" w:eastAsia="zh-CN"/>
                                      </w:rPr>
                                      <w:t xml:space="preserve"> </w:t>
                                    </w:r>
                                    <w:r>
                                      <w:rPr>
                                        <w:rFonts w:hint="eastAsia" w:ascii="仿宋_GB2312" w:hAnsi="宋体" w:eastAsia="仿宋_GB2312" w:cs="宋体"/>
                                        <w:color w:val="333333"/>
                                        <w:kern w:val="0"/>
                                        <w:sz w:val="28"/>
                                        <w:szCs w:val="28"/>
                                      </w:rPr>
                                      <w:t>　</w:t>
                                    </w:r>
                                    <w:r>
                                      <w:rPr>
                                        <w:rFonts w:ascii="仿宋_GB2312" w:hAnsi="宋体" w:eastAsia="仿宋_GB2312" w:cs="宋体"/>
                                        <w:b/>
                                        <w:bCs/>
                                        <w:color w:val="333333"/>
                                        <w:kern w:val="0"/>
                                        <w:sz w:val="32"/>
                                        <w:szCs w:val="32"/>
                                      </w:rPr>
                                      <w:t>4.</w:t>
                                    </w:r>
                                    <w:r>
                                      <w:rPr>
                                        <w:rFonts w:hint="eastAsia" w:ascii="仿宋_GB2312" w:hAnsi="宋体" w:eastAsia="仿宋_GB2312" w:cs="宋体"/>
                                        <w:b/>
                                        <w:bCs/>
                                        <w:color w:val="333333"/>
                                        <w:kern w:val="0"/>
                                        <w:sz w:val="32"/>
                                        <w:szCs w:val="32"/>
                                      </w:rPr>
                                      <w:t>社会保障和就业（类）行政事业单位离退休（款）机关事业单位基本养老保险缴费支出（项）</w:t>
                                    </w:r>
                                    <w:r>
                                      <w:rPr>
                                        <w:rFonts w:hint="eastAsia" w:ascii="仿宋_GB2312" w:eastAsia="仿宋_GB2312"/>
                                        <w:color w:val="000000"/>
                                        <w:sz w:val="32"/>
                                        <w:szCs w:val="32"/>
                                      </w:rPr>
                                      <w:t>2019年预算数为186.7114万元，主要用于：实施养老保险制度后，部门按规定由单位缴纳的基本养老保险费支出。</w:t>
                                    </w:r>
                                    <w:r>
                                      <w:rPr>
                                        <w:rFonts w:hint="eastAsia" w:ascii="仿宋_GB2312" w:eastAsia="仿宋_GB2312"/>
                                        <w:color w:val="000000"/>
                                        <w:sz w:val="32"/>
                                        <w:szCs w:val="32"/>
                                      </w:rPr>
                                      <w:br w:type="textWrapping"/>
                                    </w:r>
                                    <w:r>
                                      <w:rPr>
                                        <w:rFonts w:hint="eastAsia" w:ascii="仿宋_GB2312" w:hAnsi="宋体" w:eastAsia="仿宋_GB2312" w:cs="宋体"/>
                                        <w:color w:val="333333"/>
                                        <w:kern w:val="0"/>
                                        <w:sz w:val="28"/>
                                        <w:szCs w:val="28"/>
                                      </w:rPr>
                                      <w:t>　　</w:t>
                                    </w:r>
                                    <w:r>
                                      <w:rPr>
                                        <w:rFonts w:ascii="仿宋_GB2312" w:hAnsi="宋体" w:eastAsia="仿宋_GB2312" w:cs="宋体"/>
                                        <w:b/>
                                        <w:bCs/>
                                        <w:color w:val="333333"/>
                                        <w:kern w:val="0"/>
                                        <w:sz w:val="32"/>
                                        <w:szCs w:val="32"/>
                                      </w:rPr>
                                      <w:t>5.</w:t>
                                    </w:r>
                                    <w:r>
                                      <w:rPr>
                                        <w:rFonts w:hint="eastAsia" w:ascii="仿宋_GB2312" w:hAnsi="宋体" w:eastAsia="仿宋_GB2312" w:cs="宋体"/>
                                        <w:b/>
                                        <w:bCs/>
                                        <w:color w:val="333333"/>
                                        <w:kern w:val="0"/>
                                        <w:sz w:val="32"/>
                                        <w:szCs w:val="32"/>
                                      </w:rPr>
                                      <w:t>社会保障和就业（类）行政事业单位离退休（款）机关事业单位职业年金缴费支出（项）</w:t>
                                    </w:r>
                                    <w:r>
                                      <w:rPr>
                                        <w:rFonts w:hint="eastAsia" w:ascii="仿宋_GB2312" w:eastAsia="仿宋_GB2312"/>
                                        <w:color w:val="000000"/>
                                        <w:sz w:val="32"/>
                                        <w:szCs w:val="32"/>
                                      </w:rPr>
                                      <w:t>2019年预算数为74.6845万元，主要用于：实施养老保险制度后，部门按规定由单位缴纳的职业年金支出。</w:t>
                                    </w:r>
                                    <w:r>
                                      <w:rPr>
                                        <w:rFonts w:hint="eastAsia" w:ascii="仿宋_GB2312" w:eastAsia="仿宋_GB2312"/>
                                        <w:color w:val="000000"/>
                                        <w:sz w:val="32"/>
                                        <w:szCs w:val="32"/>
                                      </w:rPr>
                                      <w:br w:type="textWrapping"/>
                                    </w:r>
                                    <w:r>
                                      <w:rPr>
                                        <w:rFonts w:hint="eastAsia" w:ascii="仿宋_GB2312" w:hAnsi="宋体" w:eastAsia="仿宋_GB2312" w:cs="宋体"/>
                                        <w:color w:val="333333"/>
                                        <w:kern w:val="0"/>
                                        <w:sz w:val="28"/>
                                        <w:szCs w:val="28"/>
                                      </w:rPr>
                                      <w:t>　　</w:t>
                                    </w:r>
                                    <w:r>
                                      <w:rPr>
                                        <w:rFonts w:ascii="仿宋_GB2312" w:hAnsi="宋体" w:eastAsia="仿宋_GB2312" w:cs="宋体"/>
                                        <w:color w:val="333333"/>
                                        <w:kern w:val="0"/>
                                        <w:sz w:val="32"/>
                                        <w:szCs w:val="32"/>
                                      </w:rPr>
                                      <w:t>6</w:t>
                                    </w:r>
                                    <w:r>
                                      <w:rPr>
                                        <w:rFonts w:ascii="仿宋_GB2312" w:hAnsi="宋体" w:eastAsia="仿宋_GB2312" w:cs="宋体"/>
                                        <w:b/>
                                        <w:bCs/>
                                        <w:color w:val="333333"/>
                                        <w:kern w:val="0"/>
                                        <w:sz w:val="32"/>
                                        <w:szCs w:val="32"/>
                                      </w:rPr>
                                      <w:t>.</w:t>
                                    </w:r>
                                    <w:r>
                                      <w:rPr>
                                        <w:rFonts w:hint="eastAsia" w:ascii="仿宋_GB2312" w:hAnsi="宋体" w:eastAsia="仿宋_GB2312" w:cs="宋体"/>
                                        <w:b/>
                                        <w:bCs/>
                                        <w:color w:val="333333"/>
                                        <w:kern w:val="0"/>
                                        <w:sz w:val="32"/>
                                        <w:szCs w:val="32"/>
                                      </w:rPr>
                                      <w:t>医疗卫生与计划生育（类）行政事业单位医疗（款）事业单位医疗（项）</w:t>
                                    </w:r>
                                    <w:r>
                                      <w:rPr>
                                        <w:rFonts w:hint="eastAsia" w:ascii="仿宋_GB2312" w:eastAsia="仿宋_GB2312"/>
                                        <w:color w:val="000000"/>
                                        <w:sz w:val="32"/>
                                        <w:szCs w:val="32"/>
                                      </w:rPr>
                                      <w:t>2019年预算数为65.8136万元，主要用于：部门下属事业单位基本医疗保险缴费支出。</w:t>
                                    </w:r>
                                    <w:r>
                                      <w:rPr>
                                        <w:rFonts w:hint="eastAsia" w:ascii="仿宋_GB2312" w:eastAsia="仿宋_GB2312"/>
                                        <w:color w:val="000000"/>
                                        <w:sz w:val="32"/>
                                        <w:szCs w:val="32"/>
                                      </w:rPr>
                                      <w:br w:type="textWrapping"/>
                                    </w:r>
                                    <w:r>
                                      <w:rPr>
                                        <w:rFonts w:hint="eastAsia" w:ascii="仿宋_GB2312" w:hAnsi="宋体" w:eastAsia="仿宋_GB2312" w:cs="宋体"/>
                                        <w:color w:val="333333"/>
                                        <w:kern w:val="0"/>
                                        <w:sz w:val="28"/>
                                        <w:szCs w:val="28"/>
                                      </w:rPr>
                                      <w:t>　　</w:t>
                                    </w:r>
                                    <w:r>
                                      <w:rPr>
                                        <w:rFonts w:ascii="仿宋_GB2312" w:hAnsi="宋体" w:eastAsia="仿宋_GB2312" w:cs="宋体"/>
                                        <w:b/>
                                        <w:bCs/>
                                        <w:color w:val="333333"/>
                                        <w:kern w:val="0"/>
                                        <w:sz w:val="32"/>
                                        <w:szCs w:val="32"/>
                                      </w:rPr>
                                      <w:t>7.</w:t>
                                    </w:r>
                                    <w:r>
                                      <w:rPr>
                                        <w:rFonts w:hint="eastAsia" w:ascii="仿宋_GB2312" w:hAnsi="宋体" w:eastAsia="仿宋_GB2312" w:cs="宋体"/>
                                        <w:b/>
                                        <w:bCs/>
                                        <w:color w:val="333333"/>
                                        <w:kern w:val="0"/>
                                        <w:sz w:val="32"/>
                                        <w:szCs w:val="32"/>
                                      </w:rPr>
                                      <w:t>医疗卫生与计划生育（类）行政事业单位医疗（款）公务员医疗补助（项）</w:t>
                                    </w:r>
                                    <w:r>
                                      <w:rPr>
                                        <w:rFonts w:hint="eastAsia" w:ascii="仿宋_GB2312" w:eastAsia="仿宋_GB2312"/>
                                        <w:color w:val="000000"/>
                                        <w:sz w:val="32"/>
                                        <w:szCs w:val="32"/>
                                      </w:rPr>
                                      <w:t>2018年预算数为19.5368万元，主要用于：事业单位集中缴纳公务员医疗补助支出。</w:t>
                                    </w:r>
                                    <w:r>
                                      <w:rPr>
                                        <w:rFonts w:hint="eastAsia" w:ascii="仿宋_GB2312" w:eastAsia="仿宋_GB2312"/>
                                        <w:color w:val="000000"/>
                                        <w:sz w:val="32"/>
                                        <w:szCs w:val="32"/>
                                      </w:rPr>
                                      <w:br w:type="textWrapping"/>
                                    </w:r>
                                    <w:r>
                                      <w:rPr>
                                        <w:rFonts w:hint="eastAsia" w:ascii="仿宋_GB2312" w:hAnsi="宋体" w:eastAsia="仿宋_GB2312" w:cs="宋体"/>
                                        <w:color w:val="333333"/>
                                        <w:kern w:val="0"/>
                                        <w:sz w:val="28"/>
                                        <w:szCs w:val="28"/>
                                      </w:rPr>
                                      <w:t>　</w:t>
                                    </w:r>
                                    <w:r>
                                      <w:rPr>
                                        <w:rFonts w:hint="eastAsia" w:ascii="仿宋_GB2312" w:hAnsi="宋体" w:eastAsia="仿宋_GB2312" w:cs="宋体"/>
                                        <w:color w:val="333333"/>
                                        <w:kern w:val="0"/>
                                        <w:sz w:val="32"/>
                                        <w:szCs w:val="32"/>
                                      </w:rPr>
                                      <w:t>　</w:t>
                                    </w:r>
                                    <w:r>
                                      <w:rPr>
                                        <w:rFonts w:ascii="仿宋_GB2312" w:hAnsi="宋体" w:eastAsia="仿宋_GB2312" w:cs="宋体"/>
                                        <w:b/>
                                        <w:bCs/>
                                        <w:color w:val="333333"/>
                                        <w:kern w:val="0"/>
                                        <w:sz w:val="32"/>
                                        <w:szCs w:val="32"/>
                                      </w:rPr>
                                      <w:t>8.</w:t>
                                    </w:r>
                                    <w:r>
                                      <w:rPr>
                                        <w:rFonts w:hint="eastAsia" w:ascii="仿宋_GB2312" w:hAnsi="宋体" w:eastAsia="仿宋_GB2312" w:cs="宋体"/>
                                        <w:b/>
                                        <w:bCs/>
                                        <w:color w:val="333333"/>
                                        <w:kern w:val="0"/>
                                        <w:sz w:val="32"/>
                                        <w:szCs w:val="32"/>
                                      </w:rPr>
                                      <w:t>住房保障（类）住房改革支出（款）住房公积金（项）</w:t>
                                    </w:r>
                                    <w:r>
                                      <w:rPr>
                                        <w:rFonts w:hint="eastAsia" w:ascii="仿宋_GB2312" w:eastAsia="仿宋_GB2312"/>
                                        <w:color w:val="000000"/>
                                        <w:sz w:val="32"/>
                                        <w:szCs w:val="32"/>
                                      </w:rPr>
                                      <w:t>2018年预算数为125.7872万元，主要用于：部门按人力资源和社会保障部、财政部规定的基本工资和津贴补贴以及规定比例为职工缴纳的住房公积金支出。</w:t>
                                    </w:r>
                                    <w:r>
                                      <w:rPr>
                                        <w:rFonts w:hint="eastAsia" w:ascii="仿宋_GB2312" w:eastAsia="仿宋_GB2312"/>
                                        <w:color w:val="000000"/>
                                        <w:sz w:val="32"/>
                                        <w:szCs w:val="32"/>
                                      </w:rPr>
                                      <w:br w:type="textWrapping"/>
                                    </w:r>
                                    <w:r>
                                      <w:rPr>
                                        <w:rFonts w:hint="eastAsia" w:ascii="仿宋_GB2312" w:hAnsi="宋体" w:eastAsia="仿宋_GB2312" w:cs="宋体"/>
                                        <w:color w:val="333333"/>
                                        <w:kern w:val="0"/>
                                        <w:sz w:val="28"/>
                                        <w:szCs w:val="28"/>
                                      </w:rPr>
                                      <w:t>　</w:t>
                                    </w:r>
                                    <w:r>
                                      <w:rPr>
                                        <w:rFonts w:hint="eastAsia" w:ascii="仿宋_GB2312" w:hAnsi="宋体" w:eastAsia="仿宋_GB2312" w:cs="宋体"/>
                                        <w:color w:val="333333"/>
                                        <w:kern w:val="0"/>
                                        <w:sz w:val="32"/>
                                        <w:szCs w:val="32"/>
                                      </w:rPr>
                                      <w:t>　</w:t>
                                    </w:r>
                                    <w:r>
                                      <w:rPr>
                                        <w:rFonts w:ascii="仿宋_GB2312" w:hAnsi="宋体" w:eastAsia="仿宋_GB2312" w:cs="宋体"/>
                                        <w:b/>
                                        <w:bCs/>
                                        <w:color w:val="333333"/>
                                        <w:kern w:val="0"/>
                                        <w:sz w:val="32"/>
                                        <w:szCs w:val="32"/>
                                      </w:rPr>
                                      <w:t>9.</w:t>
                                    </w:r>
                                    <w:r>
                                      <w:rPr>
                                        <w:rFonts w:hint="eastAsia" w:ascii="仿宋_GB2312" w:hAnsi="宋体" w:eastAsia="仿宋_GB2312" w:cs="宋体"/>
                                        <w:b/>
                                        <w:bCs/>
                                        <w:color w:val="333333"/>
                                        <w:kern w:val="0"/>
                                        <w:sz w:val="32"/>
                                        <w:szCs w:val="32"/>
                                      </w:rPr>
                                      <w:t>住房保障（类）住房改革支出（款）购房补贴（项）</w:t>
                                    </w:r>
                                    <w:r>
                                      <w:rPr>
                                        <w:rFonts w:hint="eastAsia" w:ascii="仿宋_GB2312" w:eastAsia="仿宋_GB2312"/>
                                        <w:color w:val="000000"/>
                                        <w:sz w:val="32"/>
                                        <w:szCs w:val="32"/>
                                      </w:rPr>
                                      <w:t>2019年预算数为0万元，主要用于：按房改政策规定的标准，向符合条件职工发放的用于购买住房的补贴。</w:t>
                                    </w:r>
                                    <w:r>
                                      <w:rPr>
                                        <w:rFonts w:hint="eastAsia" w:ascii="仿宋_GB2312" w:eastAsia="仿宋_GB2312"/>
                                        <w:color w:val="000000"/>
                                        <w:sz w:val="32"/>
                                        <w:szCs w:val="32"/>
                                      </w:rPr>
                                      <w:br w:type="textWrapping"/>
                                    </w:r>
                                    <w:r>
                                      <w:rPr>
                                        <w:rFonts w:hint="eastAsia" w:ascii="仿宋_GB2312" w:hAnsi="宋体" w:eastAsia="仿宋_GB2312" w:cs="宋体"/>
                                        <w:color w:val="333333"/>
                                        <w:kern w:val="0"/>
                                        <w:sz w:val="28"/>
                                        <w:szCs w:val="28"/>
                                      </w:rPr>
                                      <w:t>　　</w:t>
                                    </w:r>
                                    <w:r>
                                      <w:rPr>
                                        <w:rFonts w:hint="eastAsia" w:ascii="黑体" w:hAnsi="黑体" w:eastAsia="黑体" w:cs="黑体"/>
                                        <w:color w:val="auto"/>
                                        <w:sz w:val="32"/>
                                        <w:szCs w:val="32"/>
                                        <w:lang w:val="en-US" w:eastAsia="zh-CN"/>
                                      </w:rPr>
                                      <w:t>六、一般公共预算基本支出情况说明</w:t>
                                    </w:r>
                                    <w:r>
                                      <w:rPr>
                                        <w:rFonts w:hint="eastAsia" w:ascii="黑体" w:hAnsi="黑体" w:eastAsia="黑体" w:cs="黑体"/>
                                        <w:color w:val="auto"/>
                                        <w:sz w:val="32"/>
                                        <w:szCs w:val="32"/>
                                        <w:lang w:val="en-US" w:eastAsia="zh-CN"/>
                                      </w:rPr>
                                      <w:br w:type="textWrapping"/>
                                    </w:r>
                                    <w:r>
                                      <w:rPr>
                                        <w:rFonts w:hint="eastAsia" w:ascii="仿宋_GB2312" w:hAnsi="宋体" w:eastAsia="仿宋_GB2312" w:cs="宋体"/>
                                        <w:color w:val="333333"/>
                                        <w:kern w:val="0"/>
                                        <w:sz w:val="28"/>
                                        <w:szCs w:val="28"/>
                                      </w:rPr>
                                      <w:t>　　</w:t>
                                    </w:r>
                                    <w:r>
                                      <w:rPr>
                                        <w:rFonts w:hint="eastAsia" w:ascii="仿宋_GB2312" w:eastAsia="仿宋_GB2312"/>
                                        <w:color w:val="000000"/>
                                        <w:sz w:val="32"/>
                                        <w:szCs w:val="32"/>
                                      </w:rPr>
                                      <w:t>畜牧局201</w:t>
                                    </w:r>
                                    <w:r>
                                      <w:rPr>
                                        <w:rFonts w:hint="eastAsia" w:ascii="仿宋_GB2312" w:eastAsia="仿宋_GB2312"/>
                                        <w:color w:val="000000"/>
                                        <w:sz w:val="32"/>
                                        <w:szCs w:val="32"/>
                                        <w:lang w:val="en-US" w:eastAsia="zh-CN"/>
                                      </w:rPr>
                                      <w:t>9</w:t>
                                    </w:r>
                                    <w:r>
                                      <w:rPr>
                                        <w:rFonts w:hint="eastAsia" w:ascii="仿宋_GB2312" w:eastAsia="仿宋_GB2312"/>
                                        <w:color w:val="000000"/>
                                        <w:sz w:val="32"/>
                                        <w:szCs w:val="32"/>
                                      </w:rPr>
                                      <w:t>年一般公共预算基本支出</w:t>
                                    </w:r>
                                    <w:r>
                                      <w:rPr>
                                        <w:rFonts w:hint="eastAsia" w:ascii="仿宋_GB2312" w:eastAsia="仿宋_GB2312"/>
                                        <w:color w:val="000000"/>
                                        <w:sz w:val="32"/>
                                        <w:szCs w:val="32"/>
                                        <w:lang w:val="en-US" w:eastAsia="zh-CN"/>
                                      </w:rPr>
                                      <w:t>1472.49</w:t>
                                    </w:r>
                                    <w:r>
                                      <w:rPr>
                                        <w:rFonts w:hint="eastAsia" w:ascii="仿宋_GB2312" w:eastAsia="仿宋_GB2312"/>
                                        <w:color w:val="000000"/>
                                        <w:sz w:val="32"/>
                                        <w:szCs w:val="32"/>
                                      </w:rPr>
                                      <w:t>万元，其中：人员经费</w:t>
                                    </w:r>
                                    <w:r>
                                      <w:rPr>
                                        <w:rFonts w:hint="eastAsia" w:ascii="仿宋_GB2312" w:eastAsia="仿宋_GB2312"/>
                                        <w:color w:val="000000"/>
                                        <w:sz w:val="32"/>
                                        <w:szCs w:val="32"/>
                                        <w:lang w:val="en-US" w:eastAsia="zh-CN"/>
                                      </w:rPr>
                                      <w:t>1437.6</w:t>
                                    </w:r>
                                    <w:r>
                                      <w:rPr>
                                        <w:rFonts w:hint="eastAsia" w:ascii="仿宋_GB2312" w:eastAsia="仿宋_GB2312"/>
                                        <w:color w:val="000000"/>
                                        <w:sz w:val="32"/>
                                        <w:szCs w:val="32"/>
                                      </w:rPr>
                                      <w:t>万元，主要包括：基本工资、津贴补贴、奖金、社会保险缴费等支出。</w:t>
                                    </w:r>
                                    <w:r>
                                      <w:rPr>
                                        <w:rFonts w:hint="eastAsia" w:ascii="仿宋_GB2312" w:eastAsia="仿宋_GB2312"/>
                                        <w:color w:val="000000"/>
                                        <w:sz w:val="32"/>
                                        <w:szCs w:val="32"/>
                                      </w:rPr>
                                      <w:br w:type="textWrapping"/>
                                    </w:r>
                                    <w:r>
                                      <w:rPr>
                                        <w:rFonts w:hint="eastAsia" w:ascii="仿宋_GB2312" w:eastAsia="仿宋_GB2312"/>
                                        <w:color w:val="000000"/>
                                        <w:sz w:val="32"/>
                                        <w:szCs w:val="32"/>
                                      </w:rPr>
                                      <w:t>　　公用经费34.89万元，主要包括：办公费、水费、电费、邮电费、印刷费、差旅费、维修（护）费、劳务费等支出。</w:t>
                                    </w:r>
                                    <w:r>
                                      <w:rPr>
                                        <w:rFonts w:hint="eastAsia" w:ascii="仿宋_GB2312" w:eastAsia="仿宋_GB2312"/>
                                        <w:color w:val="000000"/>
                                        <w:sz w:val="32"/>
                                        <w:szCs w:val="32"/>
                                      </w:rPr>
                                      <w:br w:type="textWrapping"/>
                                    </w:r>
                                    <w:r>
                                      <w:rPr>
                                        <w:rFonts w:hint="eastAsia" w:ascii="仿宋_GB2312" w:hAnsi="宋体" w:eastAsia="仿宋_GB2312" w:cs="宋体"/>
                                        <w:color w:val="333333"/>
                                        <w:kern w:val="0"/>
                                        <w:sz w:val="28"/>
                                        <w:szCs w:val="28"/>
                                      </w:rPr>
                                      <w:t>　　</w:t>
                                    </w:r>
                                    <w:r>
                                      <w:rPr>
                                        <w:rFonts w:hint="eastAsia" w:ascii="黑体" w:hAnsi="黑体" w:eastAsia="黑体" w:cs="黑体"/>
                                        <w:color w:val="auto"/>
                                        <w:sz w:val="32"/>
                                        <w:szCs w:val="32"/>
                                        <w:lang w:val="en-US" w:eastAsia="zh-CN"/>
                                      </w:rPr>
                                      <w:t>七、“三公”经费财政拨款预算安排情况说明</w:t>
                                    </w:r>
                                    <w:r>
                                      <w:rPr>
                                        <w:rFonts w:hint="eastAsia" w:ascii="黑体" w:hAnsi="黑体" w:eastAsia="黑体" w:cs="黑体"/>
                                        <w:color w:val="auto"/>
                                        <w:sz w:val="32"/>
                                        <w:szCs w:val="32"/>
                                        <w:lang w:val="en-US" w:eastAsia="zh-CN"/>
                                      </w:rPr>
                                      <w:br w:type="textWrapping"/>
                                    </w:r>
                                    <w:r>
                                      <w:rPr>
                                        <w:rFonts w:hint="eastAsia" w:ascii="仿宋_GB2312" w:hAnsi="宋体" w:eastAsia="仿宋_GB2312" w:cs="宋体"/>
                                        <w:color w:val="333333"/>
                                        <w:kern w:val="0"/>
                                        <w:sz w:val="28"/>
                                        <w:szCs w:val="28"/>
                                      </w:rPr>
                                      <w:t>　　</w:t>
                                    </w:r>
                                    <w:r>
                                      <w:rPr>
                                        <w:rFonts w:hint="eastAsia" w:ascii="仿宋_GB2312" w:eastAsia="仿宋_GB2312"/>
                                        <w:color w:val="000000"/>
                                        <w:sz w:val="32"/>
                                        <w:szCs w:val="32"/>
                                      </w:rPr>
                                      <w:t>畜牧局201</w:t>
                                    </w:r>
                                    <w:r>
                                      <w:rPr>
                                        <w:rFonts w:hint="eastAsia" w:ascii="仿宋_GB2312" w:eastAsia="仿宋_GB2312"/>
                                        <w:color w:val="000000"/>
                                        <w:sz w:val="32"/>
                                        <w:szCs w:val="32"/>
                                        <w:lang w:val="en-US" w:eastAsia="zh-CN"/>
                                      </w:rPr>
                                      <w:t>9</w:t>
                                    </w:r>
                                    <w:r>
                                      <w:rPr>
                                        <w:rFonts w:hint="eastAsia" w:ascii="仿宋_GB2312" w:eastAsia="仿宋_GB2312"/>
                                        <w:color w:val="000000"/>
                                        <w:sz w:val="32"/>
                                        <w:szCs w:val="32"/>
                                      </w:rPr>
                                      <w:t>年“三公”经费财政拨款预算数3.5万元，其中：因公出国（境）经费0万元，公务接待费0.5万元，公务用车购置及运行维护费3万元。</w:t>
                                    </w:r>
                                    <w:r>
                                      <w:rPr>
                                        <w:rFonts w:hint="eastAsia" w:ascii="仿宋_GB2312" w:eastAsia="仿宋_GB2312"/>
                                        <w:color w:val="000000"/>
                                        <w:sz w:val="32"/>
                                        <w:szCs w:val="32"/>
                                      </w:rPr>
                                      <w:br w:type="textWrapping"/>
                                    </w:r>
                                    <w:r>
                                      <w:rPr>
                                        <w:rFonts w:hint="eastAsia" w:ascii="仿宋_GB2312" w:hAnsi="宋体" w:eastAsia="仿宋_GB2312" w:cs="宋体"/>
                                        <w:color w:val="333333"/>
                                        <w:kern w:val="0"/>
                                        <w:sz w:val="28"/>
                                        <w:szCs w:val="28"/>
                                      </w:rPr>
                                      <w:t>　　</w:t>
                                    </w:r>
                                    <w:r>
                                      <w:rPr>
                                        <w:rFonts w:hint="eastAsia" w:ascii="楷体_GB2312" w:hAnsi="宋体" w:eastAsia="楷体_GB2312" w:cs="宋体"/>
                                        <w:b/>
                                        <w:bCs/>
                                        <w:color w:val="333333"/>
                                        <w:kern w:val="0"/>
                                        <w:sz w:val="32"/>
                                        <w:szCs w:val="32"/>
                                      </w:rPr>
                                      <w:t>（一）因公出国（境）经费与</w:t>
                                    </w:r>
                                    <w:r>
                                      <w:rPr>
                                        <w:rFonts w:ascii="楷体_GB2312" w:hAnsi="宋体" w:eastAsia="楷体_GB2312" w:cs="宋体"/>
                                        <w:b/>
                                        <w:bCs/>
                                        <w:color w:val="333333"/>
                                        <w:kern w:val="0"/>
                                        <w:sz w:val="32"/>
                                        <w:szCs w:val="32"/>
                                      </w:rPr>
                                      <w:t>2018</w:t>
                                    </w:r>
                                    <w:r>
                                      <w:rPr>
                                        <w:rFonts w:hint="eastAsia" w:ascii="楷体_GB2312" w:hAnsi="宋体" w:eastAsia="楷体_GB2312" w:cs="宋体"/>
                                        <w:b/>
                                        <w:bCs/>
                                        <w:color w:val="333333"/>
                                        <w:kern w:val="0"/>
                                        <w:sz w:val="32"/>
                                        <w:szCs w:val="32"/>
                                      </w:rPr>
                                      <w:t>年预算持平。</w:t>
                                    </w:r>
                                    <w:r>
                                      <w:rPr>
                                        <w:rFonts w:ascii="楷体_GB2312" w:hAnsi="宋体" w:eastAsia="楷体_GB2312" w:cs="宋体"/>
                                        <w:b/>
                                        <w:bCs/>
                                        <w:color w:val="333333"/>
                                        <w:kern w:val="0"/>
                                        <w:sz w:val="32"/>
                                        <w:szCs w:val="32"/>
                                      </w:rPr>
                                      <w:br w:type="textWrapping"/>
                                    </w:r>
                                    <w:r>
                                      <w:rPr>
                                        <w:rFonts w:hint="eastAsia" w:ascii="仿宋_GB2312" w:hAnsi="宋体" w:eastAsia="仿宋_GB2312" w:cs="宋体"/>
                                        <w:color w:val="333333"/>
                                        <w:kern w:val="0"/>
                                        <w:sz w:val="28"/>
                                        <w:szCs w:val="28"/>
                                      </w:rPr>
                                      <w:t>　　</w:t>
                                    </w:r>
                                    <w:r>
                                      <w:rPr>
                                        <w:rFonts w:hint="eastAsia" w:ascii="仿宋_GB2312" w:eastAsia="仿宋_GB2312"/>
                                        <w:color w:val="000000"/>
                                        <w:sz w:val="32"/>
                                        <w:szCs w:val="32"/>
                                      </w:rPr>
                                      <w:t>根据省外侨办批准的201</w:t>
                                    </w:r>
                                    <w:r>
                                      <w:rPr>
                                        <w:rFonts w:hint="eastAsia" w:ascii="仿宋_GB2312" w:eastAsia="仿宋_GB2312"/>
                                        <w:color w:val="000000"/>
                                        <w:sz w:val="32"/>
                                        <w:szCs w:val="32"/>
                                        <w:lang w:val="en-US" w:eastAsia="zh-CN"/>
                                      </w:rPr>
                                      <w:t>9</w:t>
                                    </w:r>
                                    <w:r>
                                      <w:rPr>
                                        <w:rFonts w:hint="eastAsia" w:ascii="仿宋_GB2312" w:eastAsia="仿宋_GB2312"/>
                                        <w:color w:val="000000"/>
                                        <w:sz w:val="32"/>
                                        <w:szCs w:val="32"/>
                                      </w:rPr>
                                      <w:t>年因公临时出国（境）安排，拟安排出国（境）0人。</w:t>
                                    </w:r>
                                    <w:r>
                                      <w:rPr>
                                        <w:rFonts w:hint="eastAsia" w:ascii="仿宋_GB2312" w:eastAsia="仿宋_GB2312"/>
                                        <w:color w:val="000000"/>
                                        <w:sz w:val="32"/>
                                        <w:szCs w:val="32"/>
                                      </w:rPr>
                                      <w:br w:type="textWrapping"/>
                                    </w:r>
                                    <w:r>
                                      <w:rPr>
                                        <w:rFonts w:hint="eastAsia" w:ascii="仿宋_GB2312" w:hAnsi="宋体" w:eastAsia="仿宋_GB2312" w:cs="宋体"/>
                                        <w:color w:val="333333"/>
                                        <w:kern w:val="0"/>
                                        <w:sz w:val="28"/>
                                        <w:szCs w:val="28"/>
                                      </w:rPr>
                                      <w:t>　　</w:t>
                                    </w:r>
                                    <w:r>
                                      <w:rPr>
                                        <w:rFonts w:hint="eastAsia" w:ascii="楷体_GB2312" w:hAnsi="宋体" w:eastAsia="楷体_GB2312" w:cs="宋体"/>
                                        <w:b/>
                                        <w:bCs/>
                                        <w:color w:val="333333"/>
                                        <w:kern w:val="0"/>
                                        <w:sz w:val="32"/>
                                        <w:szCs w:val="32"/>
                                      </w:rPr>
                                      <w:t>（二）公务接待费较</w:t>
                                    </w:r>
                                    <w:r>
                                      <w:rPr>
                                        <w:rFonts w:ascii="楷体_GB2312" w:hAnsi="宋体" w:eastAsia="楷体_GB2312" w:cs="宋体"/>
                                        <w:b/>
                                        <w:bCs/>
                                        <w:color w:val="333333"/>
                                        <w:kern w:val="0"/>
                                        <w:sz w:val="32"/>
                                        <w:szCs w:val="32"/>
                                      </w:rPr>
                                      <w:t>2018</w:t>
                                    </w:r>
                                    <w:r>
                                      <w:rPr>
                                        <w:rFonts w:hint="eastAsia" w:ascii="楷体_GB2312" w:hAnsi="宋体" w:eastAsia="楷体_GB2312" w:cs="宋体"/>
                                        <w:b/>
                                        <w:bCs/>
                                        <w:color w:val="333333"/>
                                        <w:kern w:val="0"/>
                                        <w:sz w:val="32"/>
                                        <w:szCs w:val="32"/>
                                      </w:rPr>
                                      <w:t>年预算下降</w:t>
                                    </w:r>
                                    <w:r>
                                      <w:rPr>
                                        <w:rFonts w:ascii="楷体_GB2312" w:hAnsi="宋体" w:eastAsia="楷体_GB2312" w:cs="宋体"/>
                                        <w:b/>
                                        <w:bCs/>
                                        <w:color w:val="333333"/>
                                        <w:kern w:val="0"/>
                                        <w:sz w:val="32"/>
                                        <w:szCs w:val="32"/>
                                      </w:rPr>
                                      <w:t>41.09%</w:t>
                                    </w:r>
                                    <w:r>
                                      <w:rPr>
                                        <w:rFonts w:hint="eastAsia" w:ascii="楷体_GB2312" w:hAnsi="宋体" w:eastAsia="楷体_GB2312" w:cs="宋体"/>
                                        <w:b/>
                                        <w:bCs/>
                                        <w:color w:val="333333"/>
                                        <w:kern w:val="0"/>
                                        <w:sz w:val="32"/>
                                        <w:szCs w:val="32"/>
                                      </w:rPr>
                                      <w:t>。</w:t>
                                    </w:r>
                                    <w:r>
                                      <w:rPr>
                                        <w:rFonts w:ascii="楷体_GB2312" w:hAnsi="宋体" w:eastAsia="楷体_GB2312" w:cs="宋体"/>
                                        <w:b/>
                                        <w:bCs/>
                                        <w:color w:val="333333"/>
                                        <w:kern w:val="0"/>
                                        <w:sz w:val="28"/>
                                        <w:szCs w:val="28"/>
                                      </w:rPr>
                                      <w:br w:type="textWrapping"/>
                                    </w:r>
                                    <w:r>
                                      <w:rPr>
                                        <w:rFonts w:hint="eastAsia" w:ascii="仿宋_GB2312" w:hAnsi="宋体" w:eastAsia="仿宋_GB2312" w:cs="宋体"/>
                                        <w:color w:val="333333"/>
                                        <w:kern w:val="0"/>
                                        <w:sz w:val="28"/>
                                        <w:szCs w:val="28"/>
                                      </w:rPr>
                                      <w:t>　　</w:t>
                                    </w:r>
                                    <w:r>
                                      <w:rPr>
                                        <w:rFonts w:hint="eastAsia" w:ascii="仿宋_GB2312" w:eastAsia="仿宋_GB2312"/>
                                        <w:color w:val="000000"/>
                                        <w:sz w:val="32"/>
                                        <w:szCs w:val="32"/>
                                      </w:rPr>
                                      <w:t>2019年公务接待费计划用于执行公务、考察调研、检查指导等公务活动开支的交通费、住宿费、用餐费等。</w:t>
                                    </w:r>
                                    <w:r>
                                      <w:rPr>
                                        <w:rFonts w:hint="eastAsia" w:ascii="仿宋_GB2312" w:eastAsia="仿宋_GB2312"/>
                                        <w:color w:val="000000"/>
                                        <w:sz w:val="32"/>
                                        <w:szCs w:val="32"/>
                                      </w:rPr>
                                      <w:br w:type="textWrapping"/>
                                    </w:r>
                                    <w:r>
                                      <w:rPr>
                                        <w:rFonts w:hint="eastAsia" w:ascii="仿宋_GB2312" w:hAnsi="宋体" w:eastAsia="仿宋_GB2312" w:cs="宋体"/>
                                        <w:color w:val="333333"/>
                                        <w:kern w:val="0"/>
                                        <w:sz w:val="28"/>
                                        <w:szCs w:val="28"/>
                                      </w:rPr>
                                      <w:t>　　</w:t>
                                    </w:r>
                                    <w:r>
                                      <w:rPr>
                                        <w:rFonts w:hint="eastAsia" w:ascii="楷体_GB2312" w:hAnsi="宋体" w:eastAsia="楷体_GB2312" w:cs="宋体"/>
                                        <w:b/>
                                        <w:bCs/>
                                        <w:color w:val="333333"/>
                                        <w:kern w:val="0"/>
                                        <w:sz w:val="32"/>
                                        <w:szCs w:val="32"/>
                                      </w:rPr>
                                      <w:t>（三）公务用车购置及运行维护费与</w:t>
                                    </w:r>
                                    <w:r>
                                      <w:rPr>
                                        <w:rFonts w:ascii="楷体_GB2312" w:hAnsi="宋体" w:eastAsia="楷体_GB2312" w:cs="宋体"/>
                                        <w:b/>
                                        <w:bCs/>
                                        <w:color w:val="333333"/>
                                        <w:kern w:val="0"/>
                                        <w:sz w:val="32"/>
                                        <w:szCs w:val="32"/>
                                      </w:rPr>
                                      <w:t>2018</w:t>
                                    </w:r>
                                    <w:r>
                                      <w:rPr>
                                        <w:rFonts w:hint="eastAsia" w:ascii="楷体_GB2312" w:hAnsi="宋体" w:eastAsia="楷体_GB2312" w:cs="宋体"/>
                                        <w:b/>
                                        <w:bCs/>
                                        <w:color w:val="333333"/>
                                        <w:kern w:val="0"/>
                                        <w:sz w:val="32"/>
                                        <w:szCs w:val="32"/>
                                      </w:rPr>
                                      <w:t>年预算持平。</w:t>
                                    </w:r>
                                    <w:r>
                                      <w:rPr>
                                        <w:rFonts w:ascii="楷体_GB2312" w:hAnsi="宋体" w:eastAsia="楷体_GB2312" w:cs="宋体"/>
                                        <w:b/>
                                        <w:bCs/>
                                        <w:color w:val="333333"/>
                                        <w:kern w:val="0"/>
                                        <w:sz w:val="32"/>
                                        <w:szCs w:val="32"/>
                                      </w:rPr>
                                      <w:br w:type="textWrapping"/>
                                    </w:r>
                                    <w:r>
                                      <w:rPr>
                                        <w:rFonts w:hint="eastAsia" w:ascii="仿宋_GB2312" w:hAnsi="宋体" w:eastAsia="仿宋_GB2312" w:cs="宋体"/>
                                        <w:color w:val="333333"/>
                                        <w:kern w:val="0"/>
                                        <w:sz w:val="28"/>
                                        <w:szCs w:val="28"/>
                                      </w:rPr>
                                      <w:t>　　</w:t>
                                    </w:r>
                                    <w:r>
                                      <w:rPr>
                                        <w:rFonts w:hint="eastAsia" w:ascii="仿宋_GB2312" w:eastAsia="仿宋_GB2312"/>
                                        <w:color w:val="000000"/>
                                        <w:sz w:val="32"/>
                                        <w:szCs w:val="32"/>
                                      </w:rPr>
                                      <w:t>单位现有公务用车0辆，其中：轿车1辆、越野车1辆。</w:t>
                                    </w:r>
                                    <w:r>
                                      <w:rPr>
                                        <w:rFonts w:hint="eastAsia" w:ascii="仿宋_GB2312" w:eastAsia="仿宋_GB2312"/>
                                        <w:color w:val="000000"/>
                                        <w:sz w:val="32"/>
                                        <w:szCs w:val="32"/>
                                      </w:rPr>
                                      <w:br w:type="textWrapping"/>
                                    </w:r>
                                    <w:r>
                                      <w:rPr>
                                        <w:rFonts w:hint="eastAsia" w:ascii="仿宋_GB2312" w:eastAsia="仿宋_GB2312"/>
                                        <w:color w:val="000000"/>
                                        <w:sz w:val="32"/>
                                        <w:szCs w:val="32"/>
                                      </w:rPr>
                                      <w:t>　　2019年未安排公务用车购置费。</w:t>
                                    </w:r>
                                    <w:r>
                                      <w:rPr>
                                        <w:rFonts w:hint="eastAsia" w:ascii="仿宋_GB2312" w:eastAsia="仿宋_GB2312"/>
                                        <w:color w:val="000000"/>
                                        <w:sz w:val="32"/>
                                        <w:szCs w:val="32"/>
                                      </w:rPr>
                                      <w:br w:type="textWrapping"/>
                                    </w:r>
                                    <w:r>
                                      <w:rPr>
                                        <w:rFonts w:hint="eastAsia" w:ascii="仿宋_GB2312" w:eastAsia="仿宋_GB2312"/>
                                        <w:color w:val="000000"/>
                                        <w:sz w:val="32"/>
                                        <w:szCs w:val="32"/>
                                      </w:rPr>
                                      <w:t>　　2019年安排公务用车运行维护费3万元，用于24辆公务用车燃油、过路（桥）、维修、保险等方面支出，主要保障机关及下属单位财政改革工作调研、脱贫攻坚、财政监督检查及周转金清理、农村综合改革、财政支出绩效评价等工作开展。</w:t>
                                    </w:r>
                                    <w:r>
                                      <w:rPr>
                                        <w:rFonts w:hint="eastAsia" w:ascii="仿宋_GB2312" w:eastAsia="仿宋_GB2312"/>
                                        <w:color w:val="000000"/>
                                        <w:sz w:val="32"/>
                                        <w:szCs w:val="32"/>
                                      </w:rPr>
                                      <w:br w:type="textWrapping"/>
                                    </w:r>
                                    <w:r>
                                      <w:rPr>
                                        <w:rFonts w:hint="eastAsia" w:ascii="仿宋_GB2312" w:hAnsi="宋体" w:eastAsia="仿宋_GB2312" w:cs="宋体"/>
                                        <w:color w:val="333333"/>
                                        <w:kern w:val="0"/>
                                        <w:sz w:val="28"/>
                                        <w:szCs w:val="28"/>
                                      </w:rPr>
                                      <w:t>　</w:t>
                                    </w:r>
                                    <w:r>
                                      <w:rPr>
                                        <w:rFonts w:hint="eastAsia" w:ascii="黑体" w:hAnsi="宋体" w:eastAsia="黑体" w:cs="宋体"/>
                                        <w:color w:val="333333"/>
                                        <w:kern w:val="0"/>
                                        <w:sz w:val="28"/>
                                        <w:szCs w:val="28"/>
                                      </w:rPr>
                                      <w:t>　</w:t>
                                    </w:r>
                                    <w:r>
                                      <w:rPr>
                                        <w:rFonts w:hint="eastAsia" w:ascii="黑体" w:hAnsi="黑体" w:eastAsia="黑体" w:cs="黑体"/>
                                        <w:color w:val="auto"/>
                                        <w:sz w:val="32"/>
                                        <w:szCs w:val="32"/>
                                        <w:lang w:val="en-US" w:eastAsia="zh-CN"/>
                                      </w:rPr>
                                      <w:t>八、政府性基金预算支出情况说明</w:t>
                                    </w:r>
                                    <w:r>
                                      <w:rPr>
                                        <w:rFonts w:hint="eastAsia" w:ascii="黑体" w:hAnsi="黑体" w:eastAsia="黑体" w:cs="黑体"/>
                                        <w:color w:val="auto"/>
                                        <w:sz w:val="32"/>
                                        <w:szCs w:val="32"/>
                                        <w:lang w:val="en-US" w:eastAsia="zh-CN"/>
                                      </w:rPr>
                                      <w:br w:type="textWrapping"/>
                                    </w:r>
                                    <w:r>
                                      <w:rPr>
                                        <w:rFonts w:hint="eastAsia" w:ascii="仿宋_GB2312" w:hAnsi="宋体" w:eastAsia="仿宋_GB2312" w:cs="宋体"/>
                                        <w:color w:val="333333"/>
                                        <w:kern w:val="0"/>
                                        <w:sz w:val="28"/>
                                        <w:szCs w:val="28"/>
                                      </w:rPr>
                                      <w:t>　　</w:t>
                                    </w:r>
                                    <w:r>
                                      <w:rPr>
                                        <w:rFonts w:hint="eastAsia" w:ascii="仿宋_GB2312" w:eastAsia="仿宋_GB2312"/>
                                        <w:color w:val="000000"/>
                                        <w:sz w:val="32"/>
                                        <w:szCs w:val="32"/>
                                      </w:rPr>
                                      <w:t>畜牧局2019年没有使用政府性基金预算拨款安排的支出。</w:t>
                                    </w:r>
                                    <w:r>
                                      <w:rPr>
                                        <w:rFonts w:hint="eastAsia" w:ascii="仿宋_GB2312" w:eastAsia="仿宋_GB2312"/>
                                        <w:color w:val="000000"/>
                                        <w:sz w:val="32"/>
                                        <w:szCs w:val="32"/>
                                      </w:rPr>
                                      <w:br w:type="textWrapping"/>
                                    </w:r>
                                    <w:r>
                                      <w:rPr>
                                        <w:rFonts w:hint="eastAsia" w:ascii="仿宋_GB2312" w:hAnsi="宋体" w:eastAsia="仿宋_GB2312" w:cs="宋体"/>
                                        <w:color w:val="333333"/>
                                        <w:kern w:val="0"/>
                                        <w:sz w:val="28"/>
                                        <w:szCs w:val="28"/>
                                      </w:rPr>
                                      <w:t>　　</w:t>
                                    </w:r>
                                    <w:r>
                                      <w:rPr>
                                        <w:rFonts w:hint="eastAsia" w:ascii="黑体" w:hAnsi="黑体" w:eastAsia="黑体" w:cs="黑体"/>
                                        <w:color w:val="auto"/>
                                        <w:sz w:val="32"/>
                                        <w:szCs w:val="32"/>
                                        <w:lang w:val="en-US" w:eastAsia="zh-CN"/>
                                      </w:rPr>
                                      <w:t>九、其他重要事项的情况说明</w:t>
                                    </w:r>
                                    <w:r>
                                      <w:rPr>
                                        <w:rFonts w:hint="eastAsia" w:ascii="黑体" w:hAnsi="黑体" w:eastAsia="黑体" w:cs="黑体"/>
                                        <w:color w:val="auto"/>
                                        <w:sz w:val="32"/>
                                        <w:szCs w:val="32"/>
                                        <w:lang w:val="en-US" w:eastAsia="zh-CN"/>
                                      </w:rPr>
                                      <w:br w:type="textWrapping"/>
                                    </w:r>
                                    <w:r>
                                      <w:rPr>
                                        <w:rFonts w:hint="eastAsia" w:ascii="仿宋_GB2312" w:hAnsi="宋体" w:eastAsia="仿宋_GB2312" w:cs="宋体"/>
                                        <w:color w:val="333333"/>
                                        <w:kern w:val="0"/>
                                        <w:sz w:val="28"/>
                                        <w:szCs w:val="28"/>
                                      </w:rPr>
                                      <w:t>　　</w:t>
                                    </w:r>
                                    <w:r>
                                      <w:rPr>
                                        <w:rFonts w:hint="eastAsia" w:ascii="仿宋_GB2312" w:eastAsia="仿宋_GB2312"/>
                                        <w:color w:val="000000"/>
                                        <w:sz w:val="32"/>
                                        <w:szCs w:val="32"/>
                                      </w:rPr>
                                      <w:t>国有资产占有使用情况。</w:t>
                                    </w:r>
                                    <w:r>
                                      <w:rPr>
                                        <w:rFonts w:hint="eastAsia" w:ascii="仿宋_GB2312" w:eastAsia="仿宋_GB2312"/>
                                        <w:color w:val="000000"/>
                                        <w:sz w:val="32"/>
                                        <w:szCs w:val="32"/>
                                      </w:rPr>
                                      <w:br w:type="textWrapping"/>
                                    </w:r>
                                    <w:r>
                                      <w:rPr>
                                        <w:rFonts w:hint="eastAsia" w:ascii="仿宋_GB2312" w:eastAsia="仿宋_GB2312"/>
                                        <w:color w:val="000000"/>
                                        <w:sz w:val="32"/>
                                        <w:szCs w:val="32"/>
                                      </w:rPr>
                                      <w:t>　　截至201</w:t>
                                    </w:r>
                                    <w:r>
                                      <w:rPr>
                                        <w:rFonts w:hint="eastAsia" w:ascii="仿宋_GB2312" w:eastAsia="仿宋_GB2312"/>
                                        <w:color w:val="000000"/>
                                        <w:sz w:val="32"/>
                                        <w:szCs w:val="32"/>
                                        <w:lang w:val="en-US" w:eastAsia="zh-CN"/>
                                      </w:rPr>
                                      <w:t>8</w:t>
                                    </w:r>
                                    <w:bookmarkStart w:id="0" w:name="_GoBack"/>
                                    <w:bookmarkEnd w:id="0"/>
                                    <w:r>
                                      <w:rPr>
                                        <w:rFonts w:hint="eastAsia" w:ascii="仿宋_GB2312" w:eastAsia="仿宋_GB2312"/>
                                        <w:color w:val="000000"/>
                                        <w:sz w:val="32"/>
                                        <w:szCs w:val="32"/>
                                      </w:rPr>
                                      <w:t>年底，畜牧局所属各预算单位共有车辆2辆，其中，一般公务用车2辆。单位价值200万元以上大型设备0台（套）。</w:t>
                                    </w:r>
                                    <w:r>
                                      <w:rPr>
                                        <w:rFonts w:hint="eastAsia" w:ascii="仿宋_GB2312" w:eastAsia="仿宋_GB2312"/>
                                        <w:color w:val="000000"/>
                                        <w:sz w:val="32"/>
                                        <w:szCs w:val="32"/>
                                      </w:rPr>
                                      <w:br w:type="textWrapping"/>
                                    </w:r>
                                    <w:r>
                                      <w:rPr>
                                        <w:rFonts w:hint="eastAsia" w:ascii="仿宋_GB2312" w:eastAsia="仿宋_GB2312"/>
                                        <w:color w:val="000000"/>
                                        <w:sz w:val="32"/>
                                        <w:szCs w:val="32"/>
                                      </w:rPr>
                                      <w:t>　　2019年部门预算未安排购置车辆及单位价值200万元以上大型设备。</w:t>
                                    </w:r>
                                    <w:r>
                                      <w:rPr>
                                        <w:rFonts w:hint="eastAsia" w:ascii="仿宋_GB2312" w:eastAsia="仿宋_GB2312"/>
                                        <w:color w:val="000000"/>
                                        <w:sz w:val="32"/>
                                        <w:szCs w:val="32"/>
                                      </w:rPr>
                                      <w:br w:type="textWrapping"/>
                                    </w:r>
                                    <w:r>
                                      <w:rPr>
                                        <w:rFonts w:hint="eastAsia" w:ascii="仿宋_GB2312" w:hAnsi="宋体" w:eastAsia="仿宋_GB2312" w:cs="宋体"/>
                                        <w:color w:val="333333"/>
                                        <w:kern w:val="0"/>
                                        <w:sz w:val="28"/>
                                        <w:szCs w:val="28"/>
                                      </w:rPr>
                                      <w:t>　　</w:t>
                                    </w:r>
                                    <w:r>
                                      <w:rPr>
                                        <w:rFonts w:hint="eastAsia" w:ascii="黑体" w:hAnsi="黑体" w:eastAsia="黑体" w:cs="黑体"/>
                                        <w:color w:val="auto"/>
                                        <w:sz w:val="32"/>
                                        <w:szCs w:val="32"/>
                                        <w:lang w:val="en-US" w:eastAsia="zh-CN"/>
                                      </w:rPr>
                                      <w:t>十、名词解释</w:t>
                                    </w:r>
                                    <w:r>
                                      <w:rPr>
                                        <w:rFonts w:hint="eastAsia" w:ascii="黑体" w:hAnsi="黑体" w:eastAsia="黑体" w:cs="黑体"/>
                                        <w:color w:val="auto"/>
                                        <w:sz w:val="32"/>
                                        <w:szCs w:val="32"/>
                                        <w:lang w:val="en-US" w:eastAsia="zh-CN"/>
                                      </w:rPr>
                                      <w:br w:type="textWrapping"/>
                                    </w:r>
                                    <w:r>
                                      <w:rPr>
                                        <w:rFonts w:hint="eastAsia" w:ascii="仿宋_GB2312" w:hAnsi="宋体" w:eastAsia="仿宋_GB2312" w:cs="宋体"/>
                                        <w:color w:val="333333"/>
                                        <w:kern w:val="0"/>
                                        <w:sz w:val="28"/>
                                        <w:szCs w:val="28"/>
                                      </w:rPr>
                                      <w:t>　　</w:t>
                                    </w:r>
                                    <w:r>
                                      <w:rPr>
                                        <w:rFonts w:hint="eastAsia" w:ascii="仿宋_GB2312" w:eastAsia="仿宋_GB2312"/>
                                        <w:color w:val="000000"/>
                                        <w:sz w:val="32"/>
                                        <w:szCs w:val="32"/>
                                      </w:rPr>
                                      <w:t>1.一般公共预算拨款收入：指财政当年拨付的资金。</w:t>
                                    </w:r>
                                    <w:r>
                                      <w:rPr>
                                        <w:rFonts w:hint="eastAsia" w:ascii="仿宋_GB2312" w:eastAsia="仿宋_GB2312"/>
                                        <w:color w:val="000000"/>
                                        <w:sz w:val="32"/>
                                        <w:szCs w:val="32"/>
                                      </w:rPr>
                                      <w:br w:type="textWrapping"/>
                                    </w:r>
                                    <w:r>
                                      <w:rPr>
                                        <w:rFonts w:hint="eastAsia" w:ascii="仿宋_GB2312" w:eastAsia="仿宋_GB2312"/>
                                        <w:color w:val="000000"/>
                                        <w:sz w:val="32"/>
                                        <w:szCs w:val="32"/>
                                      </w:rPr>
                                      <w:t>　　2.上年结转：指以前年度尚未完成，结转到本年仍按原规定用途继续使用的资金。</w:t>
                                    </w:r>
                                    <w:r>
                                      <w:rPr>
                                        <w:rFonts w:hint="eastAsia" w:ascii="仿宋_GB2312" w:eastAsia="仿宋_GB2312"/>
                                        <w:color w:val="000000"/>
                                        <w:sz w:val="32"/>
                                        <w:szCs w:val="32"/>
                                      </w:rPr>
                                      <w:br w:type="textWrapping"/>
                                    </w:r>
                                    <w:r>
                                      <w:rPr>
                                        <w:rFonts w:hint="eastAsia" w:ascii="仿宋_GB2312" w:eastAsia="仿宋_GB2312"/>
                                        <w:color w:val="000000"/>
                                        <w:sz w:val="32"/>
                                        <w:szCs w:val="32"/>
                                      </w:rPr>
                                      <w:t>　　3.一般公共服务（类）财政事务（款）行政运行（项）：指单位用于保障机构正常运行、开展日常工作的基本支出。</w:t>
                                    </w:r>
                                    <w:r>
                                      <w:rPr>
                                        <w:rFonts w:hint="eastAsia" w:ascii="仿宋_GB2312" w:eastAsia="仿宋_GB2312"/>
                                        <w:color w:val="000000"/>
                                        <w:sz w:val="32"/>
                                        <w:szCs w:val="32"/>
                                      </w:rPr>
                                      <w:br w:type="textWrapping"/>
                                    </w:r>
                                    <w:r>
                                      <w:rPr>
                                        <w:rFonts w:hint="eastAsia" w:ascii="仿宋_GB2312" w:eastAsia="仿宋_GB2312"/>
                                        <w:color w:val="000000"/>
                                        <w:sz w:val="32"/>
                                        <w:szCs w:val="32"/>
                                      </w:rPr>
                                      <w:t>　　4.一般公共服务（类）财政事务（款）一般行政管理事务（项）：指单位开展财政综合业务、预决算编审等未单独设置项级科目的专门性财政管理工作的项目支出。</w:t>
                                    </w:r>
                                    <w:r>
                                      <w:rPr>
                                        <w:rFonts w:hint="eastAsia" w:ascii="仿宋_GB2312" w:eastAsia="仿宋_GB2312"/>
                                        <w:color w:val="000000"/>
                                        <w:sz w:val="32"/>
                                        <w:szCs w:val="32"/>
                                      </w:rPr>
                                      <w:br w:type="textWrapping"/>
                                    </w:r>
                                    <w:r>
                                      <w:rPr>
                                        <w:rFonts w:hint="eastAsia" w:ascii="仿宋_GB2312" w:eastAsia="仿宋_GB2312"/>
                                        <w:color w:val="000000"/>
                                        <w:sz w:val="32"/>
                                        <w:szCs w:val="32"/>
                                      </w:rPr>
                                      <w:t>　　5.一般公共服务（类）财政事务（款）机关服务（项）：指后勤服务中心、信息中心为本部门各单位正常运行提供服务的支出。</w:t>
                                    </w:r>
                                    <w:r>
                                      <w:rPr>
                                        <w:rFonts w:hint="eastAsia" w:ascii="仿宋_GB2312" w:eastAsia="仿宋_GB2312"/>
                                        <w:color w:val="000000"/>
                                        <w:sz w:val="32"/>
                                        <w:szCs w:val="32"/>
                                      </w:rPr>
                                      <w:br w:type="textWrapping"/>
                                    </w:r>
                                    <w:r>
                                      <w:rPr>
                                        <w:rFonts w:hint="eastAsia" w:ascii="仿宋_GB2312" w:eastAsia="仿宋_GB2312"/>
                                        <w:color w:val="000000"/>
                                        <w:sz w:val="32"/>
                                        <w:szCs w:val="32"/>
                                      </w:rPr>
                                      <w:t>　　6.一般公共服务（类）财政事务（款）信息化建设（项）：指用于财政信息化建设等方面的项目支出。</w:t>
                                    </w:r>
                                    <w:r>
                                      <w:rPr>
                                        <w:rFonts w:hint="eastAsia" w:ascii="仿宋_GB2312" w:eastAsia="仿宋_GB2312"/>
                                        <w:color w:val="000000"/>
                                        <w:sz w:val="32"/>
                                        <w:szCs w:val="32"/>
                                      </w:rPr>
                                      <w:br w:type="textWrapping"/>
                                    </w:r>
                                    <w:r>
                                      <w:rPr>
                                        <w:rFonts w:hint="eastAsia" w:ascii="仿宋_GB2312" w:eastAsia="仿宋_GB2312"/>
                                        <w:color w:val="000000"/>
                                        <w:sz w:val="32"/>
                                        <w:szCs w:val="32"/>
                                      </w:rPr>
                                      <w:t>　　7.一般公共服务（类）财政事务（款）事业运行（项）：用于保障机构正常运行、开展日常工作的基本支出。</w:t>
                                    </w:r>
                                    <w:r>
                                      <w:rPr>
                                        <w:rFonts w:hint="eastAsia" w:ascii="仿宋_GB2312" w:eastAsia="仿宋_GB2312"/>
                                        <w:color w:val="000000"/>
                                        <w:sz w:val="32"/>
                                        <w:szCs w:val="32"/>
                                      </w:rPr>
                                      <w:br w:type="textWrapping"/>
                                    </w:r>
                                    <w:r>
                                      <w:rPr>
                                        <w:rFonts w:hint="eastAsia" w:ascii="仿宋_GB2312" w:eastAsia="仿宋_GB2312"/>
                                        <w:color w:val="000000"/>
                                        <w:sz w:val="32"/>
                                        <w:szCs w:val="32"/>
                                      </w:rPr>
                                      <w:t>　　8.一般公共服务（类）财政事务（款）其他财政事务支出（项）：指除上述项目外，开展其他财政事务方面专门性工作任务的项目支出，如全省会计专业技术资格考试考务费等。</w:t>
                                    </w:r>
                                    <w:r>
                                      <w:rPr>
                                        <w:rFonts w:hint="eastAsia" w:ascii="仿宋_GB2312" w:eastAsia="仿宋_GB2312"/>
                                        <w:color w:val="000000"/>
                                        <w:sz w:val="32"/>
                                        <w:szCs w:val="32"/>
                                      </w:rPr>
                                      <w:br w:type="textWrapping"/>
                                    </w:r>
                                    <w:r>
                                      <w:rPr>
                                        <w:rFonts w:hint="eastAsia" w:ascii="仿宋_GB2312" w:eastAsia="仿宋_GB2312"/>
                                        <w:color w:val="000000"/>
                                        <w:sz w:val="32"/>
                                        <w:szCs w:val="32"/>
                                      </w:rPr>
                                      <w:t>　　9.教育（类）进修及培训（款）培训支出（项）：指培训的经费支出。</w:t>
                                    </w:r>
                                    <w:r>
                                      <w:rPr>
                                        <w:rFonts w:hint="eastAsia" w:ascii="仿宋_GB2312" w:eastAsia="仿宋_GB2312"/>
                                        <w:color w:val="000000"/>
                                        <w:sz w:val="32"/>
                                        <w:szCs w:val="32"/>
                                      </w:rPr>
                                      <w:br w:type="textWrapping"/>
                                    </w:r>
                                    <w:r>
                                      <w:rPr>
                                        <w:rFonts w:hint="eastAsia" w:ascii="仿宋_GB2312" w:eastAsia="仿宋_GB2312"/>
                                        <w:color w:val="000000"/>
                                        <w:sz w:val="32"/>
                                        <w:szCs w:val="32"/>
                                      </w:rPr>
                                      <w:t>　　10.社会保障和就业（类）行政事业单位离退休（款）事业单位离退休（项）：指离退休人员的支出。</w:t>
                                    </w:r>
                                    <w:r>
                                      <w:rPr>
                                        <w:rFonts w:hint="eastAsia" w:ascii="仿宋_GB2312" w:eastAsia="仿宋_GB2312"/>
                                        <w:color w:val="000000"/>
                                        <w:sz w:val="32"/>
                                        <w:szCs w:val="32"/>
                                      </w:rPr>
                                      <w:br w:type="textWrapping"/>
                                    </w:r>
                                    <w:r>
                                      <w:rPr>
                                        <w:rFonts w:hint="eastAsia" w:ascii="仿宋_GB2312" w:eastAsia="仿宋_GB2312"/>
                                        <w:color w:val="000000"/>
                                        <w:sz w:val="32"/>
                                        <w:szCs w:val="32"/>
                                      </w:rPr>
                                      <w:t>　　11.社会保障和就业（类）行政事业单位离退休（款）未归口管理的行政单位离退休（项）：指离退休人员的支出。</w:t>
                                    </w:r>
                                    <w:r>
                                      <w:rPr>
                                        <w:rFonts w:hint="eastAsia" w:ascii="仿宋_GB2312" w:eastAsia="仿宋_GB2312"/>
                                        <w:color w:val="000000"/>
                                        <w:sz w:val="32"/>
                                        <w:szCs w:val="32"/>
                                      </w:rPr>
                                      <w:br w:type="textWrapping"/>
                                    </w:r>
                                    <w:r>
                                      <w:rPr>
                                        <w:rFonts w:hint="eastAsia" w:ascii="仿宋_GB2312" w:eastAsia="仿宋_GB2312"/>
                                        <w:color w:val="000000"/>
                                        <w:sz w:val="32"/>
                                        <w:szCs w:val="32"/>
                                      </w:rPr>
                                      <w:t>　　12.社会保障和就业（类）行政事业单位离退休（款）机关事业单位基本养老保险缴费支出（项）：指部门实施养老保险制度由单位缴纳的养老保险费的支出。</w:t>
                                    </w:r>
                                    <w:r>
                                      <w:rPr>
                                        <w:rFonts w:hint="eastAsia" w:ascii="仿宋_GB2312" w:eastAsia="仿宋_GB2312"/>
                                        <w:color w:val="000000"/>
                                        <w:sz w:val="32"/>
                                        <w:szCs w:val="32"/>
                                      </w:rPr>
                                      <w:br w:type="textWrapping"/>
                                    </w:r>
                                    <w:r>
                                      <w:rPr>
                                        <w:rFonts w:hint="eastAsia" w:ascii="仿宋_GB2312" w:eastAsia="仿宋_GB2312"/>
                                        <w:color w:val="000000"/>
                                        <w:sz w:val="32"/>
                                        <w:szCs w:val="32"/>
                                      </w:rPr>
                                      <w:t>　　13.社会保障和就业（类）行政事业单位离退休（款）机关事业单位职业年金缴费支出（项）：指部门实施养老保险制度由单位缴纳的职业年金的支出。</w:t>
                                    </w:r>
                                    <w:r>
                                      <w:rPr>
                                        <w:rFonts w:hint="eastAsia" w:ascii="仿宋_GB2312" w:eastAsia="仿宋_GB2312"/>
                                        <w:color w:val="000000"/>
                                        <w:sz w:val="32"/>
                                        <w:szCs w:val="32"/>
                                      </w:rPr>
                                      <w:br w:type="textWrapping"/>
                                    </w:r>
                                    <w:r>
                                      <w:rPr>
                                        <w:rFonts w:hint="eastAsia" w:ascii="仿宋_GB2312" w:eastAsia="仿宋_GB2312"/>
                                        <w:color w:val="000000"/>
                                        <w:sz w:val="32"/>
                                        <w:szCs w:val="32"/>
                                      </w:rPr>
                                      <w:t>　　14.社会保障和就业（类）其他社会保障和就业（款）其他社会保障和就业支出（项）：指除上述项目外，其他用于行政事业单位离退休方面的支出。</w:t>
                                    </w:r>
                                    <w:r>
                                      <w:rPr>
                                        <w:rFonts w:hint="eastAsia" w:ascii="仿宋_GB2312" w:eastAsia="仿宋_GB2312"/>
                                        <w:color w:val="000000"/>
                                        <w:sz w:val="32"/>
                                        <w:szCs w:val="32"/>
                                      </w:rPr>
                                      <w:br w:type="textWrapping"/>
                                    </w:r>
                                    <w:r>
                                      <w:rPr>
                                        <w:rFonts w:hint="eastAsia" w:ascii="仿宋_GB2312" w:eastAsia="仿宋_GB2312"/>
                                        <w:color w:val="000000"/>
                                        <w:sz w:val="32"/>
                                        <w:szCs w:val="32"/>
                                      </w:rPr>
                                      <w:t>　　15.医疗卫生与计划生育（类）行政事业单位医疗（款）行政单位医疗（项）：指单位用于缴纳单位基本医疗保险支出。</w:t>
                                    </w:r>
                                    <w:r>
                                      <w:rPr>
                                        <w:rFonts w:hint="eastAsia" w:ascii="仿宋_GB2312" w:eastAsia="仿宋_GB2312"/>
                                        <w:color w:val="000000"/>
                                        <w:sz w:val="32"/>
                                        <w:szCs w:val="32"/>
                                      </w:rPr>
                                      <w:br w:type="textWrapping"/>
                                    </w:r>
                                    <w:r>
                                      <w:rPr>
                                        <w:rFonts w:hint="eastAsia" w:ascii="仿宋_GB2312" w:eastAsia="仿宋_GB2312"/>
                                        <w:color w:val="000000"/>
                                        <w:sz w:val="32"/>
                                        <w:szCs w:val="32"/>
                                      </w:rPr>
                                      <w:t>　　16.医疗卫生与计划生育（类）行政事业单位医疗（款）事业单位医疗（项）：指事业单位用于缴纳单位基本医疗保险支出。</w:t>
                                    </w:r>
                                    <w:r>
                                      <w:rPr>
                                        <w:rFonts w:hint="eastAsia" w:ascii="仿宋_GB2312" w:eastAsia="仿宋_GB2312"/>
                                        <w:color w:val="000000"/>
                                        <w:sz w:val="32"/>
                                        <w:szCs w:val="32"/>
                                      </w:rPr>
                                      <w:br w:type="textWrapping"/>
                                    </w:r>
                                    <w:r>
                                      <w:rPr>
                                        <w:rFonts w:hint="eastAsia" w:ascii="仿宋_GB2312" w:eastAsia="仿宋_GB2312"/>
                                        <w:color w:val="000000"/>
                                        <w:sz w:val="32"/>
                                        <w:szCs w:val="32"/>
                                      </w:rPr>
                                      <w:t>　　17.医疗卫生与计划生育（类）行政事业单位医疗（款）公务员医疗补助（项）：指单位用于集中缴纳公务员医疗补助支出。</w:t>
                                    </w:r>
                                    <w:r>
                                      <w:rPr>
                                        <w:rFonts w:hint="eastAsia" w:ascii="仿宋_GB2312" w:eastAsia="仿宋_GB2312"/>
                                        <w:color w:val="000000"/>
                                        <w:sz w:val="32"/>
                                        <w:szCs w:val="32"/>
                                      </w:rPr>
                                      <w:br w:type="textWrapping"/>
                                    </w:r>
                                    <w:r>
                                      <w:rPr>
                                        <w:rFonts w:hint="eastAsia" w:ascii="仿宋_GB2312" w:eastAsia="仿宋_GB2312"/>
                                        <w:color w:val="000000"/>
                                        <w:sz w:val="32"/>
                                        <w:szCs w:val="32"/>
                                      </w:rPr>
                                      <w:t>　　18.住房保障（类）住房改革支出（款）住房公积金（项）：指按照《住房公积金管理条例》的规定，由单位及其在职职工缴存的长期住房储金。</w:t>
                                    </w:r>
                                    <w:r>
                                      <w:rPr>
                                        <w:rFonts w:hint="eastAsia" w:ascii="仿宋_GB2312" w:eastAsia="仿宋_GB2312"/>
                                        <w:color w:val="000000"/>
                                        <w:sz w:val="32"/>
                                        <w:szCs w:val="32"/>
                                      </w:rPr>
                                      <w:br w:type="textWrapping"/>
                                    </w:r>
                                    <w:r>
                                      <w:rPr>
                                        <w:rFonts w:hint="eastAsia" w:ascii="仿宋_GB2312" w:eastAsia="仿宋_GB2312"/>
                                        <w:color w:val="000000"/>
                                        <w:sz w:val="32"/>
                                        <w:szCs w:val="32"/>
                                      </w:rPr>
                                      <w:t>　　19.住房保障（类）住房改革支出（款）购房补贴（项）：指按房改政策规定的标准，向符合条件职工发放的用于购买住房的补贴。</w:t>
                                    </w:r>
                                    <w:r>
                                      <w:rPr>
                                        <w:rFonts w:hint="eastAsia" w:ascii="仿宋_GB2312" w:eastAsia="仿宋_GB2312"/>
                                        <w:color w:val="000000"/>
                                        <w:sz w:val="32"/>
                                        <w:szCs w:val="32"/>
                                      </w:rPr>
                                      <w:br w:type="textWrapping"/>
                                    </w:r>
                                    <w:r>
                                      <w:rPr>
                                        <w:rFonts w:hint="eastAsia" w:ascii="仿宋_GB2312" w:eastAsia="仿宋_GB2312"/>
                                        <w:color w:val="000000"/>
                                        <w:sz w:val="32"/>
                                        <w:szCs w:val="32"/>
                                      </w:rPr>
                                      <w:t>　　20.基本支出：指为保证机构正常运转，完成日常工作任务而发生的人员支出和公用支出。</w:t>
                                    </w:r>
                                    <w:r>
                                      <w:rPr>
                                        <w:rFonts w:hint="eastAsia" w:ascii="仿宋_GB2312" w:eastAsia="仿宋_GB2312"/>
                                        <w:color w:val="000000"/>
                                        <w:sz w:val="32"/>
                                        <w:szCs w:val="32"/>
                                      </w:rPr>
                                      <w:br w:type="textWrapping"/>
                                    </w:r>
                                    <w:r>
                                      <w:rPr>
                                        <w:rFonts w:hint="eastAsia" w:ascii="仿宋_GB2312" w:eastAsia="仿宋_GB2312"/>
                                        <w:color w:val="000000"/>
                                        <w:sz w:val="32"/>
                                        <w:szCs w:val="32"/>
                                      </w:rPr>
                                      <w:t>　　21.项目支出：指在基本支出之外为完成特定行政任务和事业发展目标所发生的支出。</w:t>
                                    </w:r>
                                    <w:r>
                                      <w:rPr>
                                        <w:rFonts w:hint="eastAsia" w:ascii="仿宋_GB2312" w:eastAsia="仿宋_GB2312"/>
                                        <w:color w:val="000000"/>
                                        <w:sz w:val="32"/>
                                        <w:szCs w:val="32"/>
                                      </w:rPr>
                                      <w:br w:type="textWrapping"/>
                                    </w:r>
                                    <w:r>
                                      <w:rPr>
                                        <w:rFonts w:hint="eastAsia" w:ascii="仿宋_GB2312" w:eastAsia="仿宋_GB2312"/>
                                        <w:color w:val="000000"/>
                                        <w:sz w:val="32"/>
                                        <w:szCs w:val="32"/>
                                      </w:rPr>
                                      <w:t>　　22.“三公”经费：纳入财政厅预决算管理的“三公”经费，是指部门用财政拨款安排的因公出国（境）费、公务用车购置及运行费和公务接待费。其中，因公出国（境）费反映单位公务出国（境）的国际旅费、国外城市间交通费、住宿费、伙食费、培训费、公杂费等支出；公务用车购置及运行费反映单位公务用车车辆购置支出（含车辆购置税）及租用费、燃料费、维修费、过路过桥费、保险费等支出；公务接待费反映单位按规定开支的各类公务接待（含外宾接待）支出。</w:t>
                                    </w:r>
                                    <w:r>
                                      <w:rPr>
                                        <w:rFonts w:hint="eastAsia" w:ascii="仿宋_GB2312" w:eastAsia="仿宋_GB2312"/>
                                        <w:color w:val="000000"/>
                                        <w:sz w:val="32"/>
                                        <w:szCs w:val="32"/>
                                      </w:rPr>
                                      <w:br w:type="textWrapping"/>
                                    </w:r>
                                    <w:r>
                                      <w:rPr>
                                        <w:rFonts w:hint="eastAsia" w:ascii="仿宋_GB2312" w:eastAsia="仿宋_GB2312"/>
                                        <w:color w:val="000000"/>
                                        <w:sz w:val="32"/>
                                        <w:szCs w:val="32"/>
                                      </w:rPr>
                                      <w:t>　　23.机关运行经费：为保障行政单位（包含参照公务员法管理的事业单位）运行用于购买货物和服务的各项资金。包括办公及办公费、水费、电费、印刷费、邮电费、差旅费、会议费等费用开支。</w:t>
                                    </w:r>
                                    <w:r>
                                      <w:rPr>
                                        <w:rFonts w:hint="eastAsia" w:ascii="仿宋_GB2312" w:hAnsi="宋体" w:eastAsia="仿宋_GB2312" w:cs="宋体"/>
                                        <w:color w:val="333333"/>
                                        <w:kern w:val="0"/>
                                        <w:sz w:val="28"/>
                                        <w:szCs w:val="28"/>
                                      </w:rPr>
                                      <w:t>　　</w:t>
                                    </w:r>
                                  </w:p>
                                </w:tc>
                              </w:tr>
                            </w:tbl>
                            <w:p>
                              <w:pPr>
                                <w:widowControl/>
                                <w:spacing w:after="240"/>
                                <w:jc w:val="center"/>
                                <w:rPr>
                                  <w:rFonts w:ascii="宋体" w:cs="宋体"/>
                                  <w:kern w:val="0"/>
                                  <w:szCs w:val="21"/>
                                </w:rPr>
                              </w:pPr>
                            </w:p>
                          </w:tc>
                        </w:tr>
                        <w:tr>
                          <w:tblPrEx>
                            <w:tblCellMar>
                              <w:top w:w="0" w:type="dxa"/>
                              <w:left w:w="0" w:type="dxa"/>
                              <w:bottom w:w="0" w:type="dxa"/>
                              <w:right w:w="0" w:type="dxa"/>
                            </w:tblCellMar>
                          </w:tblPrEx>
                          <w:trPr>
                            <w:tblCellSpacing w:w="0" w:type="dxa"/>
                          </w:trPr>
                          <w:tc>
                            <w:tcPr>
                              <w:tcW w:w="0" w:type="auto"/>
                              <w:shd w:val="clear" w:color="auto" w:fill="FFFFFF"/>
                            </w:tcPr>
                            <w:p>
                              <w:pPr>
                                <w:widowControl/>
                                <w:spacing w:after="240"/>
                                <w:jc w:val="both"/>
                                <w:rPr>
                                  <w:rFonts w:ascii="宋体" w:cs="宋体"/>
                                  <w:kern w:val="0"/>
                                  <w:szCs w:val="21"/>
                                </w:rPr>
                              </w:pPr>
                            </w:p>
                          </w:tc>
                        </w:tr>
                      </w:tbl>
                      <w:p>
                        <w:pPr>
                          <w:widowControl/>
                          <w:jc w:val="left"/>
                          <w:rPr>
                            <w:rFonts w:ascii="宋体" w:cs="宋体"/>
                            <w:kern w:val="0"/>
                            <w:szCs w:val="21"/>
                          </w:rPr>
                        </w:pPr>
                      </w:p>
                    </w:tc>
                    <w:tc>
                      <w:tcPr>
                        <w:tcW w:w="1350" w:type="dxa"/>
                        <w:vAlign w:val="center"/>
                      </w:tcPr>
                      <w:p>
                        <w:pPr>
                          <w:widowControl/>
                          <w:jc w:val="left"/>
                          <w:rPr>
                            <w:rFonts w:ascii="宋体" w:cs="宋体"/>
                            <w:kern w:val="0"/>
                            <w:szCs w:val="21"/>
                          </w:rPr>
                        </w:pPr>
                        <w:r>
                          <w:rPr>
                            <w:rFonts w:ascii="宋体" w:cs="宋体"/>
                            <w:kern w:val="0"/>
                            <w:szCs w:val="21"/>
                          </w:rPr>
                          <w:t> </w:t>
                        </w:r>
                      </w:p>
                    </w:tc>
                  </w:tr>
                  <w:tr>
                    <w:tblPrEx>
                      <w:tblCellMar>
                        <w:top w:w="0" w:type="dxa"/>
                        <w:left w:w="0" w:type="dxa"/>
                        <w:bottom w:w="0" w:type="dxa"/>
                        <w:right w:w="0" w:type="dxa"/>
                      </w:tblCellMar>
                    </w:tblPrEx>
                    <w:trPr>
                      <w:trHeight w:val="450" w:hRule="atLeast"/>
                      <w:tblCellSpacing w:w="0" w:type="dxa"/>
                    </w:trPr>
                    <w:tc>
                      <w:tcPr>
                        <w:tcW w:w="0" w:type="auto"/>
                        <w:gridSpan w:val="2"/>
                        <w:tcMar>
                          <w:top w:w="0" w:type="dxa"/>
                          <w:left w:w="0" w:type="dxa"/>
                          <w:bottom w:w="0" w:type="dxa"/>
                          <w:right w:w="1950" w:type="dxa"/>
                        </w:tcMar>
                        <w:vAlign w:val="center"/>
                      </w:tcPr>
                      <w:p>
                        <w:pPr>
                          <w:widowControl/>
                          <w:jc w:val="both"/>
                          <w:rPr>
                            <w:rFonts w:ascii="宋体" w:cs="宋体"/>
                            <w:kern w:val="0"/>
                            <w:szCs w:val="21"/>
                          </w:rPr>
                        </w:pPr>
                      </w:p>
                    </w:tc>
                  </w:tr>
                </w:tbl>
                <w:p>
                  <w:pPr>
                    <w:widowControl/>
                    <w:jc w:val="left"/>
                    <w:rPr>
                      <w:rFonts w:ascii="宋体" w:cs="宋体"/>
                      <w:kern w:val="0"/>
                      <w:szCs w:val="21"/>
                    </w:rPr>
                  </w:pPr>
                </w:p>
              </w:tc>
            </w:tr>
          </w:tbl>
          <w:p>
            <w:pPr>
              <w:widowControl/>
              <w:jc w:val="left"/>
              <w:rPr>
                <w:rFonts w:ascii="宋体" w:cs="宋体"/>
                <w:kern w:val="0"/>
                <w:szCs w:val="21"/>
              </w:rPr>
            </w:pPr>
          </w:p>
        </w:tc>
      </w:tr>
      <w:tr>
        <w:tblPrEx>
          <w:tblCellMar>
            <w:top w:w="0" w:type="dxa"/>
            <w:left w:w="0" w:type="dxa"/>
            <w:bottom w:w="0" w:type="dxa"/>
            <w:right w:w="0" w:type="dxa"/>
          </w:tblCellMar>
        </w:tblPrEx>
        <w:trPr>
          <w:trHeight w:val="75" w:hRule="atLeast"/>
          <w:tblCellSpacing w:w="0" w:type="dxa"/>
          <w:jc w:val="center"/>
        </w:trPr>
        <w:tc>
          <w:tcPr>
            <w:tcW w:w="0" w:type="auto"/>
            <w:vAlign w:val="center"/>
          </w:tcPr>
          <w:p>
            <w:pPr>
              <w:widowControl/>
              <w:jc w:val="left"/>
              <w:rPr>
                <w:rFonts w:ascii="宋体" w:cs="宋体"/>
                <w:kern w:val="0"/>
                <w:sz w:val="8"/>
                <w:szCs w:val="21"/>
              </w:rPr>
            </w:pPr>
          </w:p>
        </w:tc>
      </w:tr>
    </w:tbl>
    <w:p/>
    <w:sectPr>
      <w:headerReference r:id="rId5" w:type="first"/>
      <w:footerReference r:id="rId8" w:type="first"/>
      <w:headerReference r:id="rId3" w:type="default"/>
      <w:footerReference r:id="rId6" w:type="default"/>
      <w:headerReference r:id="rId4" w:type="even"/>
      <w:footerReference r:id="rId7" w:type="even"/>
      <w:pgSz w:w="11906" w:h="16838"/>
      <w:pgMar w:top="1440" w:right="1800" w:bottom="1440" w:left="1800" w:header="851" w:footer="992" w:gutter="0"/>
      <w:pgBorders>
        <w:top w:val="none" w:sz="0" w:space="0"/>
        <w:left w:val="none" w:sz="0" w:space="0"/>
        <w:bottom w:val="none" w:sz="0" w:space="0"/>
        <w:right w:val="none" w:sz="0" w:space="0"/>
      </w:pgBorders>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_GB2312">
    <w:altName w:val="仿宋"/>
    <w:panose1 w:val="02010609030101010101"/>
    <w:charset w:val="86"/>
    <w:family w:val="modern"/>
    <w:pitch w:val="default"/>
    <w:sig w:usb0="00000000" w:usb1="00000000" w:usb2="00000010" w:usb3="00000000" w:csb0="00040000" w:csb1="00000000"/>
  </w:font>
  <w:font w:name="方正小标宋简体">
    <w:panose1 w:val="02010601030101010101"/>
    <w:charset w:val="86"/>
    <w:family w:val="auto"/>
    <w:pitch w:val="default"/>
    <w:sig w:usb0="00000001" w:usb1="080E0000" w:usb2="00000000" w:usb3="00000000" w:csb0="00040000" w:csb1="00000000"/>
  </w:font>
  <w:font w:name="楷体_GB2312">
    <w:altName w:val="楷体"/>
    <w:panose1 w:val="02010609030101010101"/>
    <w:charset w:val="86"/>
    <w:family w:val="modern"/>
    <w:pitch w:val="default"/>
    <w:sig w:usb0="00000000" w:usb1="00000000" w:usb2="00000010" w:usb3="00000000" w:csb0="00040000" w:csb1="00000000"/>
  </w:font>
  <w:font w:name="仿宋">
    <w:panose1 w:val="02010609060101010101"/>
    <w:charset w:val="86"/>
    <w:family w:val="auto"/>
    <w:pitch w:val="default"/>
    <w:sig w:usb0="800002BF" w:usb1="38CF7CFA" w:usb2="00000016" w:usb3="00000000" w:csb0="00040001" w:csb1="00000000"/>
  </w:font>
  <w:font w:name="楷体">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xtLst>
                        <a:ext uri="{909E8E84-426E-40DD-AFC4-6F175D3DCCD1}">
                          <a14:hiddenFill xmlns:a14="http://schemas.microsoft.com/office/drawing/2010/main">
                            <a:solidFill>
                              <a:schemeClr val="lt1"/>
                            </a:solidFill>
                          </a14:hiddenFill>
                        </a:ext>
                        <a:ext uri="{91240B29-F687-4F45-9708-019B960494DF}">
                          <a14:hiddenLine xmlns:a14="http://schemas.microsoft.com/office/drawing/2010/main" w="6350">
                            <a:solidFill>
                              <a:prstClr val="black"/>
                            </a:solidFill>
                          </a14:hiddenLine>
                        </a:ext>
                      </a:extLst>
                    </wps:spPr>
                    <wps:style>
                      <a:lnRef idx="0">
                        <a:schemeClr val="accent1"/>
                      </a:lnRef>
                      <a:fillRef idx="0">
                        <a:schemeClr val="accent1"/>
                      </a:fillRef>
                      <a:effectRef idx="0">
                        <a:schemeClr val="accent1"/>
                      </a:effectRef>
                      <a:fontRef idx="minor">
                        <a:schemeClr val="dk1"/>
                      </a:fontRef>
                    </wps:style>
                    <wps:txbx>
                      <w:txbxContent>
                        <w:p>
                          <w:pPr>
                            <w:pStyle w:val="2"/>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">
              <v:fill on="f" focussize="0,0"/>
              <v:stroke on="f" weight="0.5pt"/>
              <v:imagedata o:title=""/>
              <o:lock v:ext="edit" aspectratio="f"/>
              <v:textbox inset="0mm,0mm,0mm,0mm" style="mso-fit-shape-to-text:t;">
                <w:txbxContent>
                  <w:p>
                    <w:pPr>
                      <w:pStyle w:val="2"/>
                    </w:pPr>
                    <w:r>
                      <w:fldChar w:fldCharType="begin"/>
                    </w:r>
                    <w:r>
                      <w:instrText xml:space="preserve"> PAGE  \* MERGEFORMAT </w:instrText>
                    </w:r>
                    <w:r>
                      <w:fldChar w:fldCharType="separate"/>
                    </w:r>
                    <w:r>
                      <w:t>1</w:t>
                    </w:r>
                    <w:r>
                      <w:fldChar w:fldCharType="end"/>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pBdr>
        <w:bottom w:val="none" w:color="auto" w:sz="0" w:space="0"/>
      </w:pBd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7"/>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noLineBreaksAfter w:lang="zh-CN" w:val="$([{£¥·‘“〈《「『【〔〖〝﹙﹛﹝＄（．［｛￡￥"/>
  <w:noLineBreaksBefore w:lang="zh-CN" w:val="!%),.:;&gt;?]}¢¨°·ˇˉ―‖’”…‰′″›℃∶、。〃〉》」』】〕〗〞︶︺︾﹀﹄﹚﹜﹞！＂％＇），．：；？］｀｜｝～￠"/>
  <w:compat>
    <w:spaceForUL/>
    <w:balanceSingleByteDoubleByteWidth/>
    <w:doNotLeaveBackslashAlone/>
    <w:ulTrailSpace/>
    <w:doNotExpandShiftReturn/>
    <w:adjustLineHeightInTable/>
    <w:useFELayout/>
    <w:underlineTabInNumLis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04CCC"/>
    <w:rsid w:val="00060AC2"/>
    <w:rsid w:val="000C1BEC"/>
    <w:rsid w:val="00135309"/>
    <w:rsid w:val="00157393"/>
    <w:rsid w:val="0024437D"/>
    <w:rsid w:val="002A2AF7"/>
    <w:rsid w:val="003B0D0F"/>
    <w:rsid w:val="003B240F"/>
    <w:rsid w:val="0072048F"/>
    <w:rsid w:val="007537C1"/>
    <w:rsid w:val="0079144A"/>
    <w:rsid w:val="00791D58"/>
    <w:rsid w:val="007A7D6A"/>
    <w:rsid w:val="008314C4"/>
    <w:rsid w:val="009178CE"/>
    <w:rsid w:val="00932024"/>
    <w:rsid w:val="00B90517"/>
    <w:rsid w:val="00CC63FA"/>
    <w:rsid w:val="00CE5316"/>
    <w:rsid w:val="00D04CCC"/>
    <w:rsid w:val="00D43CAB"/>
    <w:rsid w:val="00D521D5"/>
    <w:rsid w:val="00FD7CC7"/>
    <w:rsid w:val="039B13F6"/>
    <w:rsid w:val="08C66FF6"/>
    <w:rsid w:val="0A550CE6"/>
    <w:rsid w:val="0A6010AF"/>
    <w:rsid w:val="0C5E3562"/>
    <w:rsid w:val="0CE75928"/>
    <w:rsid w:val="12161A3A"/>
    <w:rsid w:val="13A34F38"/>
    <w:rsid w:val="13AF2D81"/>
    <w:rsid w:val="185F1614"/>
    <w:rsid w:val="1DB70750"/>
    <w:rsid w:val="1E413E4A"/>
    <w:rsid w:val="22CA3A44"/>
    <w:rsid w:val="234A1ACD"/>
    <w:rsid w:val="274F616C"/>
    <w:rsid w:val="27566E07"/>
    <w:rsid w:val="291A446B"/>
    <w:rsid w:val="297E3AEB"/>
    <w:rsid w:val="299D25C2"/>
    <w:rsid w:val="37223440"/>
    <w:rsid w:val="372E7FCD"/>
    <w:rsid w:val="3B767FD0"/>
    <w:rsid w:val="3CA83517"/>
    <w:rsid w:val="40916767"/>
    <w:rsid w:val="44B71640"/>
    <w:rsid w:val="46502F40"/>
    <w:rsid w:val="48D61219"/>
    <w:rsid w:val="4DEC147B"/>
    <w:rsid w:val="4E2848C0"/>
    <w:rsid w:val="51355218"/>
    <w:rsid w:val="52A34ABF"/>
    <w:rsid w:val="586E1B35"/>
    <w:rsid w:val="5B5D4E76"/>
    <w:rsid w:val="5EED5D97"/>
    <w:rsid w:val="634B774B"/>
    <w:rsid w:val="641316D5"/>
    <w:rsid w:val="64A93097"/>
    <w:rsid w:val="64AC5623"/>
    <w:rsid w:val="66B538ED"/>
    <w:rsid w:val="672D1F8C"/>
    <w:rsid w:val="694A6230"/>
    <w:rsid w:val="70A16796"/>
    <w:rsid w:val="71341D38"/>
    <w:rsid w:val="737605C9"/>
    <w:rsid w:val="76A46DF2"/>
    <w:rsid w:val="76CA090E"/>
    <w:rsid w:val="7C864307"/>
    <w:rsid w:val="7F775808"/>
  </w:rsids>
  <m:mathPr>
    <m:mathFont m:val="Cambria Math"/>
    <m:brkBin m:val="before"/>
    <m:brkBinSub m:val="--"/>
    <m:smallFrac m:val="0"/>
    <m:dispDef/>
    <m:lMargin m:val="0"/>
    <m:rMargin m:val="0"/>
    <m:defJc m:val="centerGroup"/>
    <m:wrapIndent m:val="1440"/>
    <m:intLim m:val="subSup"/>
    <m:naryLim m:val="undOvr"/>
  </m:mathPr>
  <w:doNotAutoCompressPictures/>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Calibri" w:hAnsi="Calibri"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ocked="1"/>
    <w:lsdException w:qFormat="1" w:uiPriority="0" w:name="heading 2" w:locked="1"/>
    <w:lsdException w:qFormat="1" w:uiPriority="0" w:name="heading 3" w:locked="1"/>
    <w:lsdException w:qFormat="1" w:uiPriority="0" w:name="heading 4" w:locked="1"/>
    <w:lsdException w:qFormat="1" w:uiPriority="0" w:name="heading 5" w:locked="1"/>
    <w:lsdException w:qFormat="1" w:uiPriority="0" w:name="heading 6" w:locked="1"/>
    <w:lsdException w:qFormat="1" w:uiPriority="0" w:name="heading 7" w:locked="1"/>
    <w:lsdException w:qFormat="1" w:uiPriority="0" w:name="heading 8" w:locked="1"/>
    <w:lsdException w:qFormat="1" w:uiPriority="0" w:name="heading 9" w:locked="1"/>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iPriority="39" w:semiHidden="0" w:name="toc 1" w:locked="1"/>
    <w:lsdException w:unhideWhenUsed="0" w:uiPriority="0" w:semiHidden="0" w:name="toc 2" w:locked="1"/>
    <w:lsdException w:unhideWhenUsed="0" w:uiPriority="0" w:semiHidden="0" w:name="toc 3" w:locked="1"/>
    <w:lsdException w:unhideWhenUsed="0" w:uiPriority="0" w:semiHidden="0" w:name="toc 4" w:locked="1"/>
    <w:lsdException w:unhideWhenUsed="0" w:uiPriority="0" w:semiHidden="0" w:name="toc 5" w:locked="1"/>
    <w:lsdException w:unhideWhenUsed="0" w:uiPriority="0" w:semiHidden="0" w:name="toc 6" w:locked="1"/>
    <w:lsdException w:unhideWhenUsed="0" w:uiPriority="0" w:semiHidden="0" w:name="toc 7" w:locked="1"/>
    <w:lsdException w:unhideWhenUsed="0" w:uiPriority="0" w:semiHidden="0" w:name="toc 8" w:locked="1"/>
    <w:lsdException w:unhideWhenUsed="0" w:uiPriority="0" w:semiHidden="0" w:name="toc 9" w:locked="1"/>
    <w:lsdException w:uiPriority="99" w:name="Normal Indent"/>
    <w:lsdException w:uiPriority="99" w:name="footnote text"/>
    <w:lsdException w:uiPriority="99" w:name="annotation text"/>
    <w:lsdException w:unhideWhenUsed="0" w:uiPriority="99" w:name="header"/>
    <w:lsdException w:qFormat="1" w:unhideWhenUsed="0" w:uiPriority="99" w:name="footer"/>
    <w:lsdException w:uiPriority="99" w:name="index heading"/>
    <w:lsdException w:qFormat="1" w:uiPriority="0" w:name="caption" w:locked="1"/>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ocked="1"/>
    <w:lsdException w:uiPriority="99" w:name="Closing"/>
    <w:lsdException w:uiPriority="99" w:name="Signature"/>
    <w:lsdException w:qFormat="1" w:unhideWhenUsed="0" w:uiPriority="99"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0" w:semiHidden="0" w:name="Subtitle" w:locked="1"/>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99" w:semiHidden="0" w:name="Strong"/>
    <w:lsdException w:qFormat="1" w:unhideWhenUsed="0" w:uiPriority="0" w:semiHidden="0" w:name="Emphasis" w:locked="1"/>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0" w:semiHidden="0" w:name="Table Grid" w:locked="1"/>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2"/>
      <w:lang w:val="en-US" w:eastAsia="zh-CN" w:bidi="ar-SA"/>
    </w:rPr>
  </w:style>
  <w:style w:type="character" w:default="1" w:styleId="6">
    <w:name w:val="Default Paragraph Font"/>
    <w:semiHidden/>
    <w:qFormat/>
    <w:uiPriority w:val="99"/>
  </w:style>
  <w:style w:type="table" w:default="1" w:styleId="5">
    <w:name w:val="Normal Table"/>
    <w:semiHidden/>
    <w:unhideWhenUsed/>
    <w:qFormat/>
    <w:uiPriority w:val="99"/>
    <w:tblPr>
      <w:tblCellMar>
        <w:top w:w="0" w:type="dxa"/>
        <w:left w:w="108" w:type="dxa"/>
        <w:bottom w:w="0" w:type="dxa"/>
        <w:right w:w="108" w:type="dxa"/>
      </w:tblCellMar>
    </w:tblPr>
  </w:style>
  <w:style w:type="paragraph" w:styleId="2">
    <w:name w:val="footer"/>
    <w:basedOn w:val="1"/>
    <w:link w:val="10"/>
    <w:semiHidden/>
    <w:qFormat/>
    <w:uiPriority w:val="99"/>
    <w:pPr>
      <w:tabs>
        <w:tab w:val="center" w:pos="4153"/>
        <w:tab w:val="right" w:pos="8306"/>
      </w:tabs>
      <w:snapToGrid w:val="0"/>
      <w:jc w:val="left"/>
    </w:pPr>
    <w:rPr>
      <w:sz w:val="18"/>
      <w:szCs w:val="18"/>
    </w:rPr>
  </w:style>
  <w:style w:type="paragraph" w:styleId="3">
    <w:name w:val="header"/>
    <w:basedOn w:val="1"/>
    <w:link w:val="9"/>
    <w:semiHidden/>
    <w:uiPriority w:val="99"/>
    <w:pPr>
      <w:pBdr>
        <w:bottom w:val="single" w:color="auto" w:sz="6" w:space="1"/>
      </w:pBdr>
      <w:tabs>
        <w:tab w:val="center" w:pos="4153"/>
        <w:tab w:val="right" w:pos="8306"/>
      </w:tabs>
      <w:snapToGrid w:val="0"/>
      <w:jc w:val="center"/>
    </w:pPr>
    <w:rPr>
      <w:sz w:val="18"/>
      <w:szCs w:val="18"/>
    </w:rPr>
  </w:style>
  <w:style w:type="paragraph" w:styleId="4">
    <w:name w:val="toc 1"/>
    <w:basedOn w:val="1"/>
    <w:next w:val="1"/>
    <w:unhideWhenUsed/>
    <w:qFormat/>
    <w:locked/>
    <w:uiPriority w:val="39"/>
    <w:pPr>
      <w:tabs>
        <w:tab w:val="right" w:leader="dot" w:pos="8296"/>
      </w:tabs>
      <w:spacing w:before="93"/>
      <w:jc w:val="center"/>
    </w:pPr>
    <w:rPr>
      <w:rFonts w:ascii="仿宋" w:hAnsi="仿宋" w:eastAsia="仿宋"/>
      <w:sz w:val="28"/>
      <w:szCs w:val="28"/>
    </w:rPr>
  </w:style>
  <w:style w:type="character" w:styleId="7">
    <w:name w:val="Strong"/>
    <w:basedOn w:val="6"/>
    <w:qFormat/>
    <w:uiPriority w:val="99"/>
    <w:rPr>
      <w:rFonts w:cs="Times New Roman"/>
      <w:b/>
      <w:bCs/>
    </w:rPr>
  </w:style>
  <w:style w:type="character" w:customStyle="1" w:styleId="8">
    <w:name w:val="pagetext0031"/>
    <w:basedOn w:val="6"/>
    <w:qFormat/>
    <w:uiPriority w:val="99"/>
    <w:rPr>
      <w:rFonts w:ascii="宋体" w:hAnsi="宋体" w:eastAsia="宋体" w:cs="Times New Roman"/>
      <w:color w:val="555555"/>
      <w:sz w:val="21"/>
      <w:szCs w:val="21"/>
    </w:rPr>
  </w:style>
  <w:style w:type="character" w:customStyle="1" w:styleId="9">
    <w:name w:val="Header Char"/>
    <w:basedOn w:val="6"/>
    <w:link w:val="3"/>
    <w:semiHidden/>
    <w:locked/>
    <w:uiPriority w:val="99"/>
    <w:rPr>
      <w:rFonts w:cs="Times New Roman"/>
      <w:sz w:val="18"/>
      <w:szCs w:val="18"/>
    </w:rPr>
  </w:style>
  <w:style w:type="character" w:customStyle="1" w:styleId="10">
    <w:name w:val="Footer Char"/>
    <w:basedOn w:val="6"/>
    <w:link w:val="2"/>
    <w:semiHidden/>
    <w:locked/>
    <w:uiPriority w:val="99"/>
    <w:rPr>
      <w:rFonts w:cs="Times New Roman"/>
      <w:sz w:val="18"/>
      <w:szCs w:val="18"/>
    </w:rPr>
  </w:style>
  <w:style w:type="paragraph" w:customStyle="1" w:styleId="11">
    <w:name w:val="WPSOffice手动目录 1"/>
    <w:qFormat/>
    <w:uiPriority w:val="0"/>
    <w:pPr>
      <w:ind w:leftChars="0"/>
    </w:pPr>
    <w:rPr>
      <w:rFonts w:ascii="Times New Roman" w:hAnsi="Times New Roman" w:eastAsia="宋体" w:cs="Times New Roman"/>
      <w:sz w:val="20"/>
      <w:szCs w:val="20"/>
    </w:rPr>
  </w:style>
  <w:style w:type="paragraph" w:customStyle="1" w:styleId="12">
    <w:name w:val="WPSOffice手动目录 2"/>
    <w:qFormat/>
    <w:uiPriority w:val="0"/>
    <w:pPr>
      <w:ind w:leftChars="200"/>
    </w:pPr>
    <w:rPr>
      <w:rFonts w:ascii="Times New Roman" w:hAnsi="Times New Roman" w:eastAsia="宋体" w:cs="Times New Roman"/>
      <w:sz w:val="20"/>
      <w:szCs w:val="20"/>
    </w:rPr>
  </w:style>
</w:styles>
</file>

<file path=word/_rels/document.xml.rels><?xml version="1.0" encoding="UTF-8" standalone="yes"?>
<Relationships xmlns="http://schemas.openxmlformats.org/package/2006/relationships"><Relationship Id="rId9" Type="http://schemas.openxmlformats.org/officeDocument/2006/relationships/theme" Target="theme/theme1.xml"/><Relationship Id="rId8" Type="http://schemas.openxmlformats.org/officeDocument/2006/relationships/footer" Target="footer3.xml"/><Relationship Id="rId7" Type="http://schemas.openxmlformats.org/officeDocument/2006/relationships/footer" Target="footer2.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1" Type="http://schemas.openxmlformats.org/officeDocument/2006/relationships/fontTable" Target="fontTable.xml"/><Relationship Id="rId10" Type="http://schemas.openxmlformats.org/officeDocument/2006/relationships/customXml" Target="../customXml/item1.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Normal_Wordconv.dotm</Template>
  <Company>Lenovo (Beijing) Limited</Company>
  <Pages>13</Pages>
  <Words>965</Words>
  <Characters>5501</Characters>
  <Lines>0</Lines>
  <Paragraphs>0</Paragraphs>
  <TotalTime>11</TotalTime>
  <ScaleCrop>false</ScaleCrop>
  <LinksUpToDate>false</LinksUpToDate>
  <CharactersWithSpaces>0</CharactersWithSpaces>
  <Application>WPS Office_11.1.0.10463_F1E327BC-269C-435d-A152-05C5408002CA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2021-05-24T08:45:00Z</dcterms:created>
  <dc:creator>Lenovo User</dc:creator>
  <cp:lastModifiedBy>ws飞扬</cp:lastModifiedBy>
  <cp:lastPrinted>2021-05-25T01:34:37Z</cp:lastPrinted>
  <dcterms:modified xsi:type="dcterms:W3CDTF">2021-05-25T02:00:04Z</dcterms:modified>
  <dc:title>　金川县畜牧兽医服务中心2018年部门预算编制说明</dc:title>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2052-11.1.0.10463</vt:lpwstr>
  </property>
  <property fmtid="{D5CDD505-2E9C-101B-9397-08002B2CF9AE}" pid="3" name="ICV">
    <vt:lpwstr>021906230DB94665B5F1336713AC77EB</vt:lpwstr>
  </property>
</Properties>
</file>