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金川县畜牧兽医服务中心</w:t>
      </w:r>
    </w:p>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2018年决算公开</w:t>
      </w:r>
    </w:p>
    <w:p>
      <w:pPr>
        <w:spacing w:line="520" w:lineRule="exact"/>
        <w:jc w:val="center"/>
        <w:rPr>
          <w:rFonts w:ascii="仿宋" w:hAnsi="仿宋" w:eastAsia="仿宋" w:cs="仿宋"/>
          <w:sz w:val="32"/>
          <w:szCs w:val="32"/>
        </w:rPr>
      </w:pPr>
    </w:p>
    <w:p>
      <w:pPr>
        <w:spacing w:line="520" w:lineRule="exact"/>
        <w:jc w:val="center"/>
        <w:rPr>
          <w:rFonts w:ascii="仿宋" w:hAnsi="仿宋" w:eastAsia="仿宋" w:cs="仿宋"/>
          <w:b/>
          <w:bCs/>
          <w:sz w:val="32"/>
          <w:szCs w:val="32"/>
        </w:rPr>
      </w:pPr>
      <w:r>
        <w:rPr>
          <w:rFonts w:hint="eastAsia" w:ascii="仿宋" w:hAnsi="仿宋" w:eastAsia="仿宋" w:cs="仿宋"/>
          <w:b/>
          <w:bCs/>
          <w:sz w:val="32"/>
          <w:szCs w:val="32"/>
        </w:rPr>
        <w:t>目   录</w:t>
      </w:r>
    </w:p>
    <w:p>
      <w:pPr>
        <w:spacing w:line="520" w:lineRule="exact"/>
        <w:rPr>
          <w:rFonts w:ascii="仿宋" w:hAnsi="仿宋" w:eastAsia="仿宋" w:cs="仿宋"/>
          <w:sz w:val="32"/>
          <w:szCs w:val="32"/>
        </w:rPr>
      </w:pPr>
      <w:r>
        <w:rPr>
          <w:rFonts w:hint="eastAsia" w:ascii="仿宋" w:hAnsi="仿宋" w:eastAsia="仿宋" w:cs="仿宋"/>
          <w:sz w:val="32"/>
          <w:szCs w:val="32"/>
        </w:rPr>
        <w:t>一、基本职能及主要工作</w:t>
      </w:r>
    </w:p>
    <w:p>
      <w:pPr>
        <w:spacing w:line="520" w:lineRule="exact"/>
        <w:rPr>
          <w:rFonts w:ascii="仿宋" w:hAnsi="仿宋" w:eastAsia="仿宋" w:cs="仿宋"/>
          <w:sz w:val="32"/>
          <w:szCs w:val="32"/>
        </w:rPr>
      </w:pPr>
      <w:r>
        <w:rPr>
          <w:rFonts w:hint="eastAsia" w:ascii="仿宋" w:hAnsi="仿宋" w:eastAsia="仿宋" w:cs="仿宋"/>
          <w:sz w:val="32"/>
          <w:szCs w:val="32"/>
        </w:rPr>
        <w:t>（一）主要职能</w:t>
      </w:r>
    </w:p>
    <w:p>
      <w:pPr>
        <w:spacing w:line="520" w:lineRule="exact"/>
        <w:rPr>
          <w:rFonts w:ascii="仿宋" w:hAnsi="仿宋" w:eastAsia="仿宋" w:cs="仿宋"/>
          <w:sz w:val="32"/>
          <w:szCs w:val="32"/>
        </w:rPr>
      </w:pPr>
      <w:r>
        <w:rPr>
          <w:rFonts w:hint="eastAsia" w:ascii="仿宋" w:hAnsi="仿宋" w:eastAsia="仿宋" w:cs="仿宋"/>
          <w:sz w:val="32"/>
          <w:szCs w:val="32"/>
        </w:rPr>
        <w:t>（二）2018年重点工作完成情况</w:t>
      </w:r>
    </w:p>
    <w:p>
      <w:pPr>
        <w:spacing w:line="520" w:lineRule="exact"/>
        <w:rPr>
          <w:rFonts w:ascii="仿宋" w:hAnsi="仿宋" w:eastAsia="仿宋" w:cs="仿宋"/>
          <w:sz w:val="32"/>
          <w:szCs w:val="32"/>
        </w:rPr>
      </w:pPr>
      <w:r>
        <w:rPr>
          <w:rFonts w:hint="eastAsia" w:ascii="仿宋" w:hAnsi="仿宋" w:eastAsia="仿宋" w:cs="仿宋"/>
          <w:sz w:val="32"/>
          <w:szCs w:val="32"/>
        </w:rPr>
        <w:t>二、部门概况</w:t>
      </w:r>
    </w:p>
    <w:p>
      <w:pPr>
        <w:spacing w:line="520" w:lineRule="exact"/>
        <w:rPr>
          <w:rFonts w:ascii="仿宋" w:hAnsi="仿宋" w:eastAsia="仿宋" w:cs="仿宋"/>
          <w:sz w:val="32"/>
          <w:szCs w:val="32"/>
        </w:rPr>
      </w:pPr>
      <w:r>
        <w:rPr>
          <w:rFonts w:hint="eastAsia" w:ascii="仿宋" w:hAnsi="仿宋" w:eastAsia="仿宋" w:cs="仿宋"/>
          <w:sz w:val="32"/>
          <w:szCs w:val="32"/>
        </w:rPr>
        <w:t>三、收支决算总体情况说明</w:t>
      </w:r>
    </w:p>
    <w:p>
      <w:pPr>
        <w:spacing w:line="520" w:lineRule="exact"/>
        <w:rPr>
          <w:rFonts w:ascii="仿宋" w:hAnsi="仿宋" w:eastAsia="仿宋" w:cs="仿宋"/>
          <w:sz w:val="32"/>
          <w:szCs w:val="32"/>
        </w:rPr>
      </w:pPr>
      <w:r>
        <w:rPr>
          <w:rFonts w:hint="eastAsia" w:ascii="仿宋" w:hAnsi="仿宋" w:eastAsia="仿宋" w:cs="仿宋"/>
          <w:sz w:val="32"/>
          <w:szCs w:val="32"/>
        </w:rPr>
        <w:t>四、财政拨款收入支出决算总体情况说明</w:t>
      </w:r>
    </w:p>
    <w:p>
      <w:pPr>
        <w:spacing w:line="520" w:lineRule="exact"/>
        <w:rPr>
          <w:rFonts w:ascii="仿宋" w:hAnsi="仿宋" w:eastAsia="仿宋" w:cs="仿宋"/>
          <w:sz w:val="32"/>
          <w:szCs w:val="32"/>
        </w:rPr>
      </w:pPr>
      <w:r>
        <w:rPr>
          <w:rFonts w:hint="eastAsia" w:ascii="仿宋" w:hAnsi="仿宋" w:eastAsia="仿宋" w:cs="仿宋"/>
          <w:sz w:val="32"/>
          <w:szCs w:val="32"/>
        </w:rPr>
        <w:t>五、一般公共预算财政拨款支出决算情况说明</w:t>
      </w:r>
    </w:p>
    <w:p>
      <w:pPr>
        <w:spacing w:line="520" w:lineRule="exact"/>
        <w:rPr>
          <w:rFonts w:ascii="仿宋" w:hAnsi="仿宋" w:eastAsia="仿宋" w:cs="仿宋"/>
          <w:sz w:val="32"/>
          <w:szCs w:val="32"/>
        </w:rPr>
      </w:pPr>
      <w:r>
        <w:rPr>
          <w:rFonts w:hint="eastAsia" w:ascii="仿宋" w:hAnsi="仿宋" w:eastAsia="仿宋" w:cs="仿宋"/>
          <w:sz w:val="32"/>
          <w:szCs w:val="32"/>
        </w:rPr>
        <w:t>（一）一般公共预算财政拨款支出决算总体情况</w:t>
      </w:r>
    </w:p>
    <w:p>
      <w:pPr>
        <w:spacing w:line="520" w:lineRule="exact"/>
        <w:rPr>
          <w:rFonts w:ascii="仿宋" w:hAnsi="仿宋" w:eastAsia="仿宋" w:cs="仿宋"/>
          <w:sz w:val="32"/>
          <w:szCs w:val="32"/>
        </w:rPr>
      </w:pPr>
      <w:r>
        <w:rPr>
          <w:rFonts w:hint="eastAsia" w:ascii="仿宋" w:hAnsi="仿宋" w:eastAsia="仿宋" w:cs="仿宋"/>
          <w:sz w:val="32"/>
          <w:szCs w:val="32"/>
        </w:rPr>
        <w:t>（二）一般公共预算财政拨款支出决算结构情况</w:t>
      </w:r>
    </w:p>
    <w:p>
      <w:pPr>
        <w:spacing w:line="520" w:lineRule="exact"/>
        <w:rPr>
          <w:rFonts w:ascii="仿宋" w:hAnsi="仿宋" w:eastAsia="仿宋" w:cs="仿宋"/>
          <w:sz w:val="32"/>
          <w:szCs w:val="32"/>
        </w:rPr>
      </w:pPr>
      <w:r>
        <w:rPr>
          <w:rFonts w:hint="eastAsia" w:ascii="仿宋" w:hAnsi="仿宋" w:eastAsia="仿宋" w:cs="仿宋"/>
          <w:sz w:val="32"/>
          <w:szCs w:val="32"/>
        </w:rPr>
        <w:t>（三）一般公共预算财政拨款支出决算具体情况</w:t>
      </w:r>
    </w:p>
    <w:p>
      <w:pPr>
        <w:spacing w:line="520" w:lineRule="exact"/>
        <w:rPr>
          <w:rFonts w:ascii="仿宋" w:hAnsi="仿宋" w:eastAsia="仿宋" w:cs="仿宋"/>
          <w:sz w:val="32"/>
          <w:szCs w:val="32"/>
        </w:rPr>
      </w:pPr>
      <w:r>
        <w:rPr>
          <w:rFonts w:hint="eastAsia" w:ascii="仿宋" w:hAnsi="仿宋" w:eastAsia="仿宋" w:cs="仿宋"/>
          <w:sz w:val="32"/>
          <w:szCs w:val="32"/>
        </w:rPr>
        <w:t>六、一般公共预算财政拨款基本支出决算情况说明</w:t>
      </w:r>
    </w:p>
    <w:p>
      <w:pPr>
        <w:spacing w:line="520" w:lineRule="exact"/>
        <w:rPr>
          <w:rFonts w:ascii="仿宋" w:hAnsi="仿宋" w:eastAsia="仿宋" w:cs="仿宋"/>
          <w:sz w:val="32"/>
          <w:szCs w:val="32"/>
        </w:rPr>
      </w:pPr>
      <w:r>
        <w:rPr>
          <w:rFonts w:hint="eastAsia" w:ascii="仿宋" w:hAnsi="仿宋" w:eastAsia="仿宋" w:cs="仿宋"/>
          <w:sz w:val="32"/>
          <w:szCs w:val="32"/>
        </w:rPr>
        <w:t>七、“三公”经费财政拨款支出决算情况说明</w:t>
      </w:r>
    </w:p>
    <w:p>
      <w:pPr>
        <w:spacing w:line="520" w:lineRule="exact"/>
        <w:rPr>
          <w:rFonts w:ascii="仿宋" w:hAnsi="仿宋" w:eastAsia="仿宋" w:cs="仿宋"/>
          <w:sz w:val="32"/>
          <w:szCs w:val="32"/>
        </w:rPr>
      </w:pPr>
      <w:r>
        <w:rPr>
          <w:rFonts w:hint="eastAsia" w:ascii="仿宋" w:hAnsi="仿宋" w:eastAsia="仿宋" w:cs="仿宋"/>
          <w:sz w:val="32"/>
          <w:szCs w:val="32"/>
        </w:rPr>
        <w:t>（一）“三公”经费财政拨款支出决算总体情况说明</w:t>
      </w:r>
    </w:p>
    <w:p>
      <w:pPr>
        <w:spacing w:line="520" w:lineRule="exact"/>
        <w:rPr>
          <w:rFonts w:ascii="仿宋" w:hAnsi="仿宋" w:eastAsia="仿宋" w:cs="仿宋"/>
          <w:sz w:val="32"/>
          <w:szCs w:val="32"/>
        </w:rPr>
      </w:pPr>
      <w:r>
        <w:rPr>
          <w:rFonts w:hint="eastAsia" w:ascii="仿宋" w:hAnsi="仿宋" w:eastAsia="仿宋" w:cs="仿宋"/>
          <w:sz w:val="32"/>
          <w:szCs w:val="32"/>
        </w:rPr>
        <w:t>（二）“三公”经费财政拨款支出决算具体情况说明</w:t>
      </w:r>
    </w:p>
    <w:p>
      <w:pPr>
        <w:spacing w:line="520" w:lineRule="exact"/>
        <w:rPr>
          <w:rFonts w:ascii="仿宋" w:hAnsi="仿宋" w:eastAsia="仿宋" w:cs="仿宋"/>
          <w:sz w:val="32"/>
          <w:szCs w:val="32"/>
        </w:rPr>
      </w:pPr>
      <w:r>
        <w:rPr>
          <w:rFonts w:hint="eastAsia" w:ascii="仿宋" w:hAnsi="仿宋" w:eastAsia="仿宋" w:cs="仿宋"/>
          <w:sz w:val="32"/>
          <w:szCs w:val="32"/>
        </w:rPr>
        <w:t>八、政府性基金预算支出决算情况说明</w:t>
      </w:r>
    </w:p>
    <w:p>
      <w:pPr>
        <w:spacing w:line="520" w:lineRule="exact"/>
        <w:rPr>
          <w:rFonts w:ascii="仿宋" w:hAnsi="仿宋" w:eastAsia="仿宋" w:cs="仿宋"/>
          <w:sz w:val="32"/>
          <w:szCs w:val="32"/>
        </w:rPr>
      </w:pPr>
      <w:r>
        <w:rPr>
          <w:rFonts w:hint="eastAsia" w:ascii="仿宋" w:hAnsi="仿宋" w:eastAsia="仿宋" w:cs="仿宋"/>
          <w:sz w:val="32"/>
          <w:szCs w:val="32"/>
        </w:rPr>
        <w:t>九、国有资本经营预算支出决算情况说明</w:t>
      </w:r>
    </w:p>
    <w:p>
      <w:pPr>
        <w:spacing w:line="520" w:lineRule="exact"/>
        <w:rPr>
          <w:rFonts w:ascii="仿宋" w:hAnsi="仿宋" w:eastAsia="仿宋" w:cs="仿宋"/>
          <w:sz w:val="32"/>
          <w:szCs w:val="32"/>
        </w:rPr>
      </w:pPr>
      <w:r>
        <w:rPr>
          <w:rFonts w:hint="eastAsia" w:ascii="仿宋" w:hAnsi="仿宋" w:eastAsia="仿宋" w:cs="仿宋"/>
          <w:sz w:val="32"/>
          <w:szCs w:val="32"/>
        </w:rPr>
        <w:t>十、其他重要事项的情况说明</w:t>
      </w:r>
    </w:p>
    <w:p>
      <w:pPr>
        <w:spacing w:line="520" w:lineRule="exact"/>
        <w:rPr>
          <w:rFonts w:ascii="仿宋" w:hAnsi="仿宋" w:eastAsia="仿宋" w:cs="仿宋"/>
          <w:sz w:val="32"/>
          <w:szCs w:val="32"/>
        </w:rPr>
      </w:pPr>
      <w:r>
        <w:rPr>
          <w:rFonts w:hint="eastAsia" w:ascii="仿宋" w:hAnsi="仿宋" w:eastAsia="仿宋" w:cs="仿宋"/>
          <w:sz w:val="32"/>
          <w:szCs w:val="32"/>
        </w:rPr>
        <w:t>（一）机关运行经费支出情况</w:t>
      </w:r>
    </w:p>
    <w:p>
      <w:pPr>
        <w:spacing w:line="520" w:lineRule="exact"/>
        <w:rPr>
          <w:rFonts w:ascii="仿宋" w:hAnsi="仿宋" w:eastAsia="仿宋" w:cs="仿宋"/>
          <w:sz w:val="32"/>
          <w:szCs w:val="32"/>
        </w:rPr>
      </w:pPr>
      <w:r>
        <w:rPr>
          <w:rFonts w:hint="eastAsia" w:ascii="仿宋" w:hAnsi="仿宋" w:eastAsia="仿宋" w:cs="仿宋"/>
          <w:sz w:val="32"/>
          <w:szCs w:val="32"/>
        </w:rPr>
        <w:t>（二）政府采购支出情况</w:t>
      </w:r>
    </w:p>
    <w:p>
      <w:pPr>
        <w:spacing w:line="520" w:lineRule="exact"/>
        <w:rPr>
          <w:rFonts w:ascii="仿宋" w:hAnsi="仿宋" w:eastAsia="仿宋" w:cs="仿宋"/>
          <w:sz w:val="32"/>
          <w:szCs w:val="32"/>
        </w:rPr>
      </w:pPr>
      <w:r>
        <w:rPr>
          <w:rFonts w:hint="eastAsia" w:ascii="仿宋" w:hAnsi="仿宋" w:eastAsia="仿宋" w:cs="仿宋"/>
          <w:sz w:val="32"/>
          <w:szCs w:val="32"/>
        </w:rPr>
        <w:t>（三）国有资产占有使用情况</w:t>
      </w:r>
    </w:p>
    <w:p>
      <w:pPr>
        <w:spacing w:line="520" w:lineRule="exact"/>
        <w:rPr>
          <w:rFonts w:ascii="仿宋" w:hAnsi="仿宋" w:eastAsia="仿宋" w:cs="仿宋"/>
          <w:sz w:val="32"/>
          <w:szCs w:val="32"/>
        </w:rPr>
      </w:pPr>
      <w:r>
        <w:rPr>
          <w:rFonts w:hint="eastAsia" w:ascii="仿宋" w:hAnsi="仿宋" w:eastAsia="仿宋" w:cs="仿宋"/>
          <w:sz w:val="32"/>
          <w:szCs w:val="32"/>
        </w:rPr>
        <w:t>（四）预算绩效情况</w:t>
      </w:r>
    </w:p>
    <w:p>
      <w:pPr>
        <w:spacing w:line="520" w:lineRule="exact"/>
        <w:ind w:firstLine="320" w:firstLineChars="100"/>
        <w:rPr>
          <w:rFonts w:ascii="仿宋" w:hAnsi="仿宋" w:eastAsia="仿宋" w:cs="仿宋"/>
          <w:sz w:val="32"/>
          <w:szCs w:val="32"/>
        </w:rPr>
      </w:pPr>
      <w:r>
        <w:rPr>
          <w:rFonts w:hint="eastAsia" w:ascii="仿宋" w:hAnsi="仿宋" w:eastAsia="仿宋" w:cs="仿宋"/>
          <w:sz w:val="32"/>
          <w:szCs w:val="32"/>
        </w:rPr>
        <w:t>1.绩效目标管理情况。</w:t>
      </w:r>
    </w:p>
    <w:p>
      <w:pPr>
        <w:spacing w:line="520" w:lineRule="exact"/>
        <w:ind w:firstLine="320" w:firstLineChars="100"/>
        <w:rPr>
          <w:rFonts w:ascii="仿宋" w:hAnsi="仿宋" w:eastAsia="仿宋" w:cs="仿宋"/>
          <w:sz w:val="32"/>
          <w:szCs w:val="32"/>
        </w:rPr>
      </w:pPr>
      <w:r>
        <w:rPr>
          <w:rFonts w:hint="eastAsia" w:ascii="仿宋" w:hAnsi="仿宋" w:eastAsia="仿宋" w:cs="仿宋"/>
          <w:sz w:val="32"/>
          <w:szCs w:val="32"/>
        </w:rPr>
        <w:t>2.部门整体支出绩效自评开展情况。</w:t>
      </w:r>
    </w:p>
    <w:p>
      <w:pPr>
        <w:spacing w:line="520" w:lineRule="exact"/>
        <w:ind w:firstLine="320" w:firstLineChars="100"/>
        <w:rPr>
          <w:rFonts w:ascii="仿宋" w:hAnsi="仿宋" w:eastAsia="仿宋" w:cs="仿宋"/>
          <w:sz w:val="32"/>
          <w:szCs w:val="32"/>
        </w:rPr>
      </w:pPr>
      <w:r>
        <w:rPr>
          <w:rFonts w:hint="eastAsia" w:ascii="仿宋" w:hAnsi="仿宋" w:eastAsia="仿宋" w:cs="仿宋"/>
          <w:sz w:val="32"/>
          <w:szCs w:val="32"/>
        </w:rPr>
        <w:t>3.部门自行组织绩效评价开展情况。</w:t>
      </w:r>
    </w:p>
    <w:p>
      <w:pPr>
        <w:spacing w:line="520" w:lineRule="exact"/>
        <w:rPr>
          <w:rFonts w:ascii="仿宋" w:hAnsi="仿宋" w:eastAsia="仿宋" w:cs="仿宋"/>
          <w:sz w:val="32"/>
          <w:szCs w:val="32"/>
        </w:rPr>
      </w:pPr>
      <w:r>
        <w:rPr>
          <w:rFonts w:hint="eastAsia" w:ascii="仿宋" w:hAnsi="仿宋" w:eastAsia="仿宋" w:cs="仿宋"/>
          <w:sz w:val="32"/>
          <w:szCs w:val="32"/>
        </w:rPr>
        <w:t>十一、名词解释</w:t>
      </w:r>
    </w:p>
    <w:p>
      <w:pPr>
        <w:spacing w:line="520" w:lineRule="exact"/>
        <w:rPr>
          <w:rFonts w:ascii="仿宋" w:hAnsi="仿宋" w:eastAsia="仿宋" w:cs="仿宋"/>
          <w:sz w:val="32"/>
          <w:szCs w:val="32"/>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720" w:firstLineChars="200"/>
        <w:rPr>
          <w:rFonts w:hint="eastAsia" w:ascii="方正小标宋简体" w:hAnsi="宋体" w:eastAsia="方正小标宋简体"/>
          <w:color w:val="000000"/>
          <w:sz w:val="36"/>
          <w:szCs w:val="36"/>
        </w:rPr>
      </w:pP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一、基本职能及主要工作</w:t>
      </w:r>
    </w:p>
    <w:p>
      <w:pPr>
        <w:snapToGrid w:val="0"/>
        <w:spacing w:line="520" w:lineRule="exact"/>
        <w:ind w:firstLine="640" w:firstLineChars="200"/>
        <w:rPr>
          <w:rFonts w:ascii="楷体" w:hAnsi="楷体" w:eastAsia="楷体" w:cs="楷体"/>
          <w:bCs/>
          <w:color w:val="000000"/>
          <w:sz w:val="32"/>
          <w:szCs w:val="32"/>
        </w:rPr>
      </w:pPr>
      <w:r>
        <w:rPr>
          <w:rFonts w:hint="eastAsia" w:ascii="楷体" w:hAnsi="楷体" w:eastAsia="楷体" w:cs="楷体"/>
          <w:bCs/>
          <w:color w:val="000000"/>
          <w:sz w:val="32"/>
          <w:szCs w:val="32"/>
        </w:rPr>
        <w:t>（</w:t>
      </w:r>
      <w:r>
        <w:rPr>
          <w:rFonts w:hint="eastAsia" w:ascii="仿宋_GB2312" w:eastAsia="仿宋_GB2312"/>
          <w:b/>
          <w:color w:val="000000"/>
          <w:kern w:val="0"/>
          <w:sz w:val="32"/>
          <w:szCs w:val="32"/>
        </w:rPr>
        <w:t>一）主要职能。</w:t>
      </w:r>
    </w:p>
    <w:p>
      <w:pPr>
        <w:snapToGrid w:val="0"/>
        <w:spacing w:line="520" w:lineRule="exact"/>
        <w:ind w:firstLine="640" w:firstLineChars="200"/>
        <w:rPr>
          <w:rFonts w:ascii="仿宋" w:hAnsi="仿宋" w:eastAsia="仿宋" w:cs="仿宋"/>
          <w:bCs/>
          <w:sz w:val="32"/>
          <w:szCs w:val="32"/>
        </w:rPr>
      </w:pPr>
      <w:r>
        <w:rPr>
          <w:rFonts w:hint="eastAsia" w:ascii="仿宋" w:hAnsi="仿宋" w:eastAsia="仿宋" w:cs="仿宋"/>
          <w:bCs/>
          <w:sz w:val="32"/>
          <w:szCs w:val="32"/>
        </w:rPr>
        <w:t>(1)、宣传贯彻执行党和国家有关发展畜牧业的方针、政策和法律法规，参与研究</w:t>
      </w:r>
      <w:r>
        <w:rPr>
          <w:rFonts w:hint="eastAsia" w:ascii="仿宋" w:hAnsi="仿宋" w:eastAsia="仿宋" w:cs="仿宋"/>
          <w:bCs/>
          <w:sz w:val="32"/>
          <w:szCs w:val="32"/>
          <w:lang w:eastAsia="zh-CN"/>
        </w:rPr>
        <w:t>制定</w:t>
      </w:r>
      <w:r>
        <w:rPr>
          <w:rFonts w:hint="eastAsia" w:ascii="仿宋" w:hAnsi="仿宋" w:eastAsia="仿宋" w:cs="仿宋"/>
          <w:bCs/>
          <w:sz w:val="32"/>
          <w:szCs w:val="32"/>
        </w:rPr>
        <w:t>并组织实施农村经济发展战略、措施，拟定并组织实施全市畜牧业发展战略、中长期规划和年度计划。</w:t>
      </w:r>
    </w:p>
    <w:p>
      <w:pPr>
        <w:pStyle w:val="5"/>
        <w:spacing w:beforeAutospacing="0" w:afterAutospacing="0" w:line="520" w:lineRule="exact"/>
        <w:rPr>
          <w:rFonts w:ascii="仿宋" w:hAnsi="仿宋" w:eastAsia="仿宋" w:cs="仿宋"/>
          <w:sz w:val="32"/>
          <w:szCs w:val="32"/>
        </w:rPr>
      </w:pPr>
      <w:r>
        <w:rPr>
          <w:rFonts w:hint="eastAsia" w:ascii="仿宋" w:hAnsi="仿宋" w:eastAsia="仿宋" w:cs="仿宋"/>
          <w:bCs/>
          <w:sz w:val="32"/>
          <w:szCs w:val="32"/>
        </w:rPr>
        <w:t xml:space="preserve">    (2)</w:t>
      </w:r>
      <w:r>
        <w:rPr>
          <w:rFonts w:hint="eastAsia" w:ascii="仿宋" w:hAnsi="仿宋" w:eastAsia="仿宋" w:cs="仿宋"/>
          <w:sz w:val="32"/>
          <w:szCs w:val="32"/>
        </w:rPr>
        <w:t>、组织、指导全市畜牧兽医技术推广应用，广泛开展产前、产中、产后服务。开发畜牧业资源，加快健康养殖，围绕振兴农村经济，促进农民增收，发展优质、高产、高效、健康的现代畜牧业。</w:t>
      </w:r>
    </w:p>
    <w:p>
      <w:pPr>
        <w:pStyle w:val="5"/>
        <w:spacing w:beforeAutospacing="0" w:afterAutospacing="0" w:line="520" w:lineRule="exact"/>
        <w:rPr>
          <w:rFonts w:ascii="仿宋" w:hAnsi="仿宋" w:eastAsia="仿宋" w:cs="仿宋"/>
          <w:sz w:val="32"/>
          <w:szCs w:val="32"/>
        </w:rPr>
      </w:pPr>
      <w:r>
        <w:rPr>
          <w:rFonts w:hint="eastAsia" w:ascii="仿宋" w:hAnsi="仿宋" w:eastAsia="仿宋" w:cs="仿宋"/>
          <w:bCs/>
          <w:sz w:val="32"/>
          <w:szCs w:val="32"/>
        </w:rPr>
        <w:t xml:space="preserve">    (3)</w:t>
      </w:r>
      <w:r>
        <w:rPr>
          <w:rFonts w:hint="eastAsia" w:ascii="仿宋" w:hAnsi="仿宋" w:eastAsia="仿宋" w:cs="仿宋"/>
          <w:sz w:val="32"/>
          <w:szCs w:val="32"/>
        </w:rPr>
        <w:t>、组织畜牧兽医科学技术研究，开展新技术、新品种的宣传、试验、示范和推广，以及畜牧科研课题的技术攻关，科研成果的鉴定推广工作。</w:t>
      </w:r>
    </w:p>
    <w:p>
      <w:pPr>
        <w:pStyle w:val="5"/>
        <w:spacing w:beforeAutospacing="0" w:afterAutospacing="0" w:line="520" w:lineRule="exact"/>
        <w:rPr>
          <w:rFonts w:ascii="仿宋" w:hAnsi="仿宋" w:eastAsia="仿宋" w:cs="仿宋"/>
          <w:sz w:val="32"/>
          <w:szCs w:val="32"/>
        </w:rPr>
      </w:pPr>
      <w:r>
        <w:rPr>
          <w:rFonts w:hint="eastAsia" w:ascii="仿宋" w:hAnsi="仿宋" w:eastAsia="仿宋" w:cs="仿宋"/>
          <w:bCs/>
          <w:sz w:val="32"/>
          <w:szCs w:val="32"/>
        </w:rPr>
        <w:t xml:space="preserve">    (4)</w:t>
      </w:r>
      <w:r>
        <w:rPr>
          <w:rFonts w:hint="eastAsia" w:ascii="仿宋" w:hAnsi="仿宋" w:eastAsia="仿宋" w:cs="仿宋"/>
          <w:sz w:val="32"/>
          <w:szCs w:val="32"/>
        </w:rPr>
        <w:t>、指导和协调畜牧发展保障和服务体系建设，畜牧业合作经济组织建设。鼓励、引导和扶持发展龙头企业，加快贸、工、牧，产、加、销一体化畜牧业经济发展步伐。</w:t>
      </w:r>
    </w:p>
    <w:p>
      <w:pPr>
        <w:pStyle w:val="5"/>
        <w:spacing w:beforeAutospacing="0" w:afterAutospacing="0" w:line="520" w:lineRule="exact"/>
        <w:rPr>
          <w:rFonts w:ascii="仿宋" w:hAnsi="仿宋" w:eastAsia="仿宋" w:cs="仿宋"/>
          <w:sz w:val="32"/>
          <w:szCs w:val="32"/>
        </w:rPr>
      </w:pPr>
      <w:r>
        <w:rPr>
          <w:rFonts w:hint="eastAsia" w:ascii="仿宋" w:hAnsi="仿宋" w:eastAsia="仿宋" w:cs="仿宋"/>
          <w:bCs/>
          <w:sz w:val="32"/>
          <w:szCs w:val="32"/>
        </w:rPr>
        <w:t xml:space="preserve">    (5)</w:t>
      </w:r>
      <w:r>
        <w:rPr>
          <w:rFonts w:hint="eastAsia" w:ascii="仿宋" w:hAnsi="仿宋" w:eastAsia="仿宋" w:cs="仿宋"/>
          <w:sz w:val="32"/>
          <w:szCs w:val="32"/>
        </w:rPr>
        <w:t>、协调做好畜牧兽医科技人员的进修或培训工作，提高科技人员业务素质。</w:t>
      </w:r>
    </w:p>
    <w:p>
      <w:pPr>
        <w:pStyle w:val="5"/>
        <w:spacing w:beforeAutospacing="0" w:afterAutospacing="0" w:line="520" w:lineRule="exact"/>
        <w:rPr>
          <w:rFonts w:ascii="仿宋" w:hAnsi="仿宋" w:eastAsia="仿宋" w:cs="仿宋"/>
          <w:sz w:val="32"/>
          <w:szCs w:val="32"/>
        </w:rPr>
      </w:pPr>
      <w:r>
        <w:rPr>
          <w:rFonts w:hint="eastAsia" w:ascii="仿宋" w:hAnsi="仿宋" w:eastAsia="仿宋" w:cs="仿宋"/>
          <w:bCs/>
          <w:sz w:val="32"/>
          <w:szCs w:val="32"/>
        </w:rPr>
        <w:t xml:space="preserve">    (6)</w:t>
      </w:r>
      <w:r>
        <w:rPr>
          <w:rFonts w:hint="eastAsia" w:ascii="仿宋" w:hAnsi="仿宋" w:eastAsia="仿宋" w:cs="仿宋"/>
          <w:sz w:val="32"/>
          <w:szCs w:val="32"/>
        </w:rPr>
        <w:t xml:space="preserve">、依法指导和督促全市重大动物疫病防治工作，协调做好疫情监测、控制和组织扑灭疫情；负责组织实施全市畜禽及其产品的检疫、检验工作；负责全市兽医医政、药政的监督管理，审查动物、动物产品、兽药、种畜禽生产经营条件及资格。负责全市兽医药品、饲料和饲料添加剂的质量监督，查处兽药、饲料及饲料添加剂生产和经营销售中的假冒伪劣行为，整顿市场经营秩序，依法受理和查处动物卫生违法违规案件和兽药、饲料及饲料添加剂的违法违规案件，保护消费者的合法权益。 </w:t>
      </w:r>
    </w:p>
    <w:p>
      <w:pPr>
        <w:pStyle w:val="2"/>
        <w:adjustRightInd w:val="0"/>
        <w:snapToGrid w:val="0"/>
        <w:spacing w:before="93" w:line="600" w:lineRule="exact"/>
        <w:ind w:firstLine="675" w:firstLineChars="210"/>
        <w:rPr>
          <w:b/>
          <w:color w:val="000000"/>
          <w:sz w:val="32"/>
          <w:szCs w:val="32"/>
        </w:rPr>
      </w:pPr>
      <w:r>
        <w:rPr>
          <w:rFonts w:hint="eastAsia"/>
          <w:b/>
          <w:color w:val="000000"/>
          <w:sz w:val="32"/>
          <w:szCs w:val="32"/>
        </w:rPr>
        <w:t>（二）2018年重点工作完成情况。</w:t>
      </w:r>
    </w:p>
    <w:p>
      <w:pPr>
        <w:snapToGrid w:val="0"/>
        <w:spacing w:line="520" w:lineRule="exact"/>
        <w:ind w:firstLine="640" w:firstLineChars="200"/>
        <w:rPr>
          <w:rFonts w:ascii="仿宋" w:hAnsi="仿宋" w:eastAsia="仿宋" w:cs="仿宋"/>
          <w:color w:val="1E1E1E"/>
          <w:sz w:val="32"/>
          <w:szCs w:val="32"/>
        </w:rPr>
      </w:pPr>
      <w:r>
        <w:rPr>
          <w:rFonts w:ascii="仿宋" w:hAnsi="仿宋" w:eastAsia="仿宋" w:cs="仿宋"/>
          <w:color w:val="1E1E1E"/>
          <w:sz w:val="32"/>
          <w:szCs w:val="32"/>
        </w:rPr>
        <w:t>1</w:t>
      </w:r>
      <w:r>
        <w:rPr>
          <w:rFonts w:hint="eastAsia" w:ascii="仿宋" w:hAnsi="仿宋" w:eastAsia="仿宋" w:cs="仿宋"/>
          <w:color w:val="1E1E1E"/>
          <w:sz w:val="32"/>
          <w:szCs w:val="32"/>
        </w:rPr>
        <w:t>、完成草原生态保护补助奖励机制工作。</w:t>
      </w:r>
    </w:p>
    <w:p>
      <w:pPr>
        <w:snapToGrid w:val="0"/>
        <w:spacing w:line="520" w:lineRule="exact"/>
        <w:ind w:firstLine="640" w:firstLineChars="200"/>
        <w:rPr>
          <w:rFonts w:ascii="仿宋" w:hAnsi="仿宋" w:eastAsia="仿宋" w:cs="仿宋"/>
          <w:color w:val="1E1E1E"/>
          <w:sz w:val="32"/>
          <w:szCs w:val="32"/>
        </w:rPr>
      </w:pPr>
      <w:r>
        <w:rPr>
          <w:rFonts w:ascii="仿宋" w:hAnsi="仿宋" w:eastAsia="仿宋" w:cs="仿宋"/>
          <w:color w:val="1E1E1E"/>
          <w:sz w:val="32"/>
          <w:szCs w:val="32"/>
        </w:rPr>
        <w:t>2</w:t>
      </w:r>
      <w:r>
        <w:rPr>
          <w:rFonts w:hint="eastAsia" w:ascii="仿宋" w:hAnsi="仿宋" w:eastAsia="仿宋" w:cs="仿宋"/>
          <w:color w:val="1E1E1E"/>
          <w:sz w:val="32"/>
          <w:szCs w:val="32"/>
        </w:rPr>
        <w:t>、完成</w:t>
      </w:r>
      <w:r>
        <w:rPr>
          <w:rFonts w:hint="eastAsia" w:ascii="仿宋" w:hAnsi="仿宋" w:eastAsia="仿宋" w:cs="仿宋"/>
          <w:sz w:val="32"/>
          <w:szCs w:val="32"/>
        </w:rPr>
        <w:t>金川县安宁牧场阳山大沟泥石流治理工程建设项目</w:t>
      </w:r>
      <w:r>
        <w:rPr>
          <w:rFonts w:hint="eastAsia" w:ascii="仿宋" w:hAnsi="仿宋" w:eastAsia="仿宋" w:cs="仿宋"/>
          <w:color w:val="1E1E1E"/>
          <w:sz w:val="32"/>
          <w:szCs w:val="32"/>
        </w:rPr>
        <w:t>。</w:t>
      </w:r>
    </w:p>
    <w:p>
      <w:pPr>
        <w:snapToGrid w:val="0"/>
        <w:spacing w:line="520" w:lineRule="exact"/>
        <w:ind w:firstLine="640" w:firstLineChars="200"/>
        <w:rPr>
          <w:rFonts w:ascii="仿宋" w:hAnsi="仿宋" w:eastAsia="仿宋" w:cs="仿宋"/>
          <w:color w:val="1E1E1E"/>
          <w:sz w:val="32"/>
          <w:szCs w:val="32"/>
        </w:rPr>
      </w:pPr>
      <w:r>
        <w:rPr>
          <w:rFonts w:ascii="仿宋" w:hAnsi="仿宋" w:eastAsia="仿宋" w:cs="仿宋"/>
          <w:color w:val="1E1E1E"/>
          <w:sz w:val="32"/>
          <w:szCs w:val="32"/>
        </w:rPr>
        <w:t>3</w:t>
      </w:r>
      <w:r>
        <w:rPr>
          <w:rFonts w:hint="eastAsia" w:ascii="仿宋" w:hAnsi="仿宋" w:eastAsia="仿宋" w:cs="仿宋"/>
          <w:color w:val="1E1E1E"/>
          <w:sz w:val="32"/>
          <w:szCs w:val="32"/>
        </w:rPr>
        <w:t>、完成现代畜牧业开展情况</w:t>
      </w:r>
    </w:p>
    <w:p>
      <w:pPr>
        <w:snapToGrid w:val="0"/>
        <w:spacing w:line="520" w:lineRule="exact"/>
        <w:ind w:firstLine="640" w:firstLineChars="200"/>
        <w:rPr>
          <w:bCs/>
          <w:color w:val="000000"/>
          <w:sz w:val="32"/>
          <w:szCs w:val="32"/>
        </w:rPr>
      </w:pPr>
      <w:r>
        <w:rPr>
          <w:rFonts w:ascii="仿宋" w:hAnsi="仿宋" w:eastAsia="仿宋" w:cs="仿宋"/>
          <w:color w:val="1E1E1E"/>
          <w:sz w:val="32"/>
          <w:szCs w:val="32"/>
        </w:rPr>
        <w:t>4</w:t>
      </w:r>
      <w:r>
        <w:rPr>
          <w:rFonts w:hint="eastAsia" w:ascii="仿宋" w:hAnsi="仿宋" w:eastAsia="仿宋" w:cs="仿宋"/>
          <w:color w:val="1E1E1E"/>
          <w:sz w:val="32"/>
          <w:szCs w:val="32"/>
        </w:rPr>
        <w:t>、认真做好春防工作</w:t>
      </w:r>
      <w:r>
        <w:rPr>
          <w:rFonts w:ascii="仿宋" w:hAnsi="仿宋" w:eastAsia="仿宋" w:cs="仿宋"/>
          <w:color w:val="1E1E1E"/>
          <w:sz w:val="32"/>
          <w:szCs w:val="32"/>
        </w:rPr>
        <w:t>.</w:t>
      </w:r>
      <w:r>
        <w:rPr>
          <w:rFonts w:hint="eastAsia" w:ascii="仿宋" w:hAnsi="仿宋" w:eastAsia="仿宋" w:cs="仿宋"/>
          <w:color w:val="1E1E1E"/>
          <w:sz w:val="32"/>
          <w:szCs w:val="32"/>
        </w:rPr>
        <w:t>寄生虫病的防治</w:t>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二、部门概况</w:t>
      </w:r>
    </w:p>
    <w:p>
      <w:pPr>
        <w:pStyle w:val="2"/>
        <w:adjustRightInd w:val="0"/>
        <w:snapToGrid w:val="0"/>
        <w:spacing w:before="93" w:line="600" w:lineRule="exact"/>
        <w:ind w:firstLine="672" w:firstLineChars="210"/>
        <w:rPr>
          <w:color w:val="000000"/>
          <w:sz w:val="32"/>
          <w:szCs w:val="32"/>
        </w:rPr>
      </w:pPr>
      <w:r>
        <w:rPr>
          <w:rFonts w:hint="eastAsia"/>
          <w:color w:val="000000"/>
          <w:sz w:val="32"/>
          <w:szCs w:val="32"/>
        </w:rPr>
        <w:t>下属二级单位0个，其中行政单位0个，参照公务员法管理的事业单位</w:t>
      </w:r>
      <w:r>
        <w:rPr>
          <w:rFonts w:hint="eastAsia"/>
          <w:bCs/>
          <w:color w:val="000000"/>
          <w:sz w:val="32"/>
          <w:szCs w:val="32"/>
        </w:rPr>
        <w:t>0</w:t>
      </w:r>
      <w:r>
        <w:rPr>
          <w:rFonts w:hint="eastAsia"/>
          <w:color w:val="000000"/>
          <w:sz w:val="32"/>
          <w:szCs w:val="32"/>
        </w:rPr>
        <w:t>个，事业单位1个，2018年末在职人员106人。</w:t>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三、收支决算总体情况说明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2018年本年收入合计7094.75万元，其中：一般公共预算财政拨款收入7094.75万元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当年3864.14万元，财政应返还额度3236.61万元），占100%。</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2018年本年支出合计5762.88万元，其中：基本支出1454.8万元，占25.24%；项目支出4308.07万元，占74.76%。</w:t>
      </w:r>
    </w:p>
    <w:p>
      <w:pPr>
        <w:spacing w:line="600" w:lineRule="exact"/>
        <w:ind w:left="638" w:leftChars="304"/>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600" w:lineRule="exact"/>
        <w:ind w:left="638" w:leftChars="304"/>
        <w:rPr>
          <w:rFonts w:ascii="仿宋_GB2312" w:eastAsia="仿宋_GB2312"/>
          <w:color w:val="000000"/>
          <w:sz w:val="32"/>
          <w:szCs w:val="32"/>
        </w:rPr>
      </w:pPr>
    </w:p>
    <w:p>
      <w:pPr>
        <w:spacing w:line="600" w:lineRule="exact"/>
        <w:ind w:left="638" w:leftChars="304"/>
        <w:rPr>
          <w:rFonts w:ascii="仿宋_GB2312" w:eastAsia="仿宋_GB2312"/>
          <w:color w:val="000000"/>
          <w:sz w:val="32"/>
          <w:szCs w:val="32"/>
        </w:rPr>
      </w:pPr>
    </w:p>
    <w:p>
      <w:pPr>
        <w:spacing w:line="600" w:lineRule="exact"/>
        <w:ind w:left="638" w:leftChars="304"/>
        <w:rPr>
          <w:rFonts w:ascii="仿宋_GB2312" w:eastAsia="仿宋_GB2312"/>
          <w:color w:val="000000"/>
          <w:sz w:val="32"/>
          <w:szCs w:val="32"/>
        </w:rPr>
      </w:pPr>
    </w:p>
    <w:p>
      <w:pPr>
        <w:spacing w:line="600" w:lineRule="exact"/>
        <w:ind w:left="638" w:leftChars="304"/>
        <w:rPr>
          <w:rFonts w:ascii="仿宋_GB2312" w:eastAsia="仿宋_GB2312"/>
          <w:color w:val="000000"/>
          <w:sz w:val="32"/>
          <w:szCs w:val="32"/>
        </w:rPr>
      </w:pPr>
    </w:p>
    <w:p>
      <w:pPr>
        <w:spacing w:line="600" w:lineRule="exact"/>
        <w:ind w:left="638" w:leftChars="304"/>
        <w:rPr>
          <w:rFonts w:ascii="仿宋_GB2312" w:eastAsia="仿宋_GB2312"/>
          <w:color w:val="000000"/>
          <w:sz w:val="32"/>
          <w:szCs w:val="32"/>
        </w:rPr>
      </w:pPr>
      <w:r>
        <w:drawing>
          <wp:anchor distT="0" distB="0" distL="114300" distR="114300" simplePos="0" relativeHeight="251659264" behindDoc="1" locked="0" layoutInCell="1" allowOverlap="1">
            <wp:simplePos x="0" y="0"/>
            <wp:positionH relativeFrom="column">
              <wp:posOffset>408940</wp:posOffset>
            </wp:positionH>
            <wp:positionV relativeFrom="paragraph">
              <wp:posOffset>-1876425</wp:posOffset>
            </wp:positionV>
            <wp:extent cx="3249295" cy="2167890"/>
            <wp:effectExtent l="5080" t="4445" r="6985" b="6985"/>
            <wp:wrapThrough wrapText="bothSides">
              <wp:wrapPolygon>
                <wp:start x="-34" y="-44"/>
                <wp:lineTo x="-34" y="21518"/>
                <wp:lineTo x="21545" y="21518"/>
                <wp:lineTo x="21545" y="-44"/>
                <wp:lineTo x="-34" y="-44"/>
              </wp:wrapPolygon>
            </wp:wrapThrough>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spacing w:line="600" w:lineRule="exact"/>
        <w:ind w:left="638" w:leftChars="304"/>
        <w:rPr>
          <w:rFonts w:ascii="仿宋_GB2312" w:eastAsia="仿宋_GB2312"/>
          <w:color w:val="000000"/>
          <w:sz w:val="32"/>
          <w:szCs w:val="32"/>
        </w:rPr>
      </w:pPr>
    </w:p>
    <w:p>
      <w:pPr>
        <w:spacing w:line="600" w:lineRule="exact"/>
        <w:ind w:left="638" w:leftChars="304"/>
        <w:rPr>
          <w:rFonts w:ascii="仿宋_GB2312" w:eastAsia="仿宋_GB2312"/>
          <w:color w:val="000000"/>
          <w:sz w:val="32"/>
          <w:szCs w:val="32"/>
        </w:rPr>
      </w:pPr>
      <w:r>
        <w:rPr>
          <w:rFonts w:hint="eastAsia" w:ascii="黑体" w:eastAsia="黑体"/>
          <w:color w:val="000000"/>
          <w:sz w:val="32"/>
          <w:szCs w:val="32"/>
        </w:rPr>
        <w:t>四、财政拨款收入支出决算总体情况说明</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2018年度财政拨款收、支总计7094.75万元。与2017年相比，财政拨款收、支总计各增加199.12万元，增长2.8%。</w:t>
      </w:r>
    </w:p>
    <w:p>
      <w:pPr>
        <w:spacing w:line="600" w:lineRule="exact"/>
        <w:ind w:firstLine="420" w:firstLineChars="200"/>
        <w:rPr>
          <w:rFonts w:ascii="仿宋_GB2312" w:eastAsia="仿宋_GB2312"/>
          <w:color w:val="000000"/>
          <w:sz w:val="32"/>
          <w:szCs w:val="32"/>
        </w:rPr>
      </w:pPr>
      <w:r>
        <w:drawing>
          <wp:anchor distT="0" distB="0" distL="114300" distR="114300" simplePos="0" relativeHeight="251660288" behindDoc="1" locked="0" layoutInCell="1" allowOverlap="1">
            <wp:simplePos x="0" y="0"/>
            <wp:positionH relativeFrom="column">
              <wp:posOffset>1063625</wp:posOffset>
            </wp:positionH>
            <wp:positionV relativeFrom="paragraph">
              <wp:posOffset>233045</wp:posOffset>
            </wp:positionV>
            <wp:extent cx="3535680" cy="1935480"/>
            <wp:effectExtent l="4445" t="5080" r="10795" b="10160"/>
            <wp:wrapThrough wrapText="bothSides">
              <wp:wrapPolygon>
                <wp:start x="-27" y="-57"/>
                <wp:lineTo x="-27" y="21543"/>
                <wp:lineTo x="21573" y="21543"/>
                <wp:lineTo x="21573" y="-57"/>
                <wp:lineTo x="-27" y="-57"/>
              </wp:wrapPolygon>
            </wp:wrapThrough>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五、一般公共预算财政拨款支出决算情况说明</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（一）一般公共预算财政拨款支出决算总体情况</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2018年度一般公共预算财政拨款支出5762.88万元，占本年支出合计的100%。与2017年相比，一般公共预算财政拨款增加199.12万元，增长2.8%。</w:t>
      </w:r>
    </w:p>
    <w:p>
      <w:pPr>
        <w:spacing w:line="600" w:lineRule="exact"/>
        <w:ind w:firstLine="420" w:firstLineChars="200"/>
        <w:rPr>
          <w:rFonts w:ascii="仿宋_GB2312" w:eastAsia="仿宋_GB2312"/>
          <w:color w:val="000000"/>
          <w:sz w:val="32"/>
          <w:szCs w:val="32"/>
        </w:rPr>
      </w:pPr>
      <w:r>
        <w:drawing>
          <wp:anchor distT="0" distB="0" distL="114300" distR="114300" simplePos="0" relativeHeight="251663360" behindDoc="1" locked="0" layoutInCell="1" allowOverlap="1">
            <wp:simplePos x="0" y="0"/>
            <wp:positionH relativeFrom="column">
              <wp:posOffset>682625</wp:posOffset>
            </wp:positionH>
            <wp:positionV relativeFrom="paragraph">
              <wp:posOffset>132080</wp:posOffset>
            </wp:positionV>
            <wp:extent cx="4175760" cy="1950720"/>
            <wp:effectExtent l="4445" t="4445" r="10795" b="10795"/>
            <wp:wrapThrough wrapText="bothSides">
              <wp:wrapPolygon>
                <wp:start x="-23" y="-49"/>
                <wp:lineTo x="-23" y="21551"/>
                <wp:lineTo x="21577" y="21551"/>
                <wp:lineTo x="21577" y="-49"/>
                <wp:lineTo x="-23" y="-49"/>
              </wp:wrapPolygon>
            </wp:wrapThrough>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（二）一般公共预算财政拨款支出决算结构情况</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2018年一般公共预算财政拨款支出5762.88万元，主要用于以下方面</w:t>
      </w:r>
      <w:r>
        <w:rPr>
          <w:rFonts w:hint="eastAsia" w:ascii="仿宋_GB2312" w:eastAsia="仿宋_GB2312"/>
          <w:color w:val="000000"/>
          <w:sz w:val="32"/>
          <w:szCs w:val="32"/>
          <w:lang w:eastAsia="zh-CN"/>
        </w:rPr>
        <w:t>：</w:t>
      </w:r>
      <w:r>
        <w:rPr>
          <w:rFonts w:hint="eastAsia" w:ascii="仿宋_GB2312" w:eastAsia="仿宋_GB2312"/>
          <w:color w:val="000000"/>
          <w:sz w:val="32"/>
          <w:szCs w:val="32"/>
        </w:rPr>
        <w:t>2050803培训支出1万元；2080505养老保险165.99万元；2080506职业年金66.4万元；2101102医疗保险67.28万元；2110401生态保护1111.36万元；2110899退牧还草280.7万元；2130104事业运行1026.4万元；2130106科技转化与推广服务4.2万元；2130108病虫害控制51.21万元；2130119防灾减灾5.95万元；2130124农业组织化与产业化经营45万元；2130135农业资源保护修复与利用734.96万元；2130199其他农业支出1163.85万元；2130505生产发展106.5万元；2130803普惠金融发展支出18.78万元；2139999其他农林水支出585.5万元2210201住房公积金126.5万元；2210203购房补贴1.23万元；2299901其他支出200万元。</w:t>
      </w:r>
    </w:p>
    <w:p>
      <w:pPr>
        <w:spacing w:line="600" w:lineRule="exact"/>
        <w:ind w:firstLine="420" w:firstLineChars="200"/>
        <w:rPr>
          <w:rFonts w:ascii="仿宋_GB2312" w:eastAsia="仿宋_GB2312"/>
          <w:color w:val="000000"/>
          <w:sz w:val="32"/>
          <w:szCs w:val="32"/>
        </w:rPr>
      </w:pPr>
      <w:r>
        <w:pict>
          <v:shape id="_x0000_s1029" o:spid="_x0000_s1029" o:spt="75" type="#_x0000_t75" style="position:absolute;left:0pt;margin-left:30.55pt;margin-top:19.8pt;height:139.25pt;width:353.95pt;z-index:251662336;mso-width-relative:page;mso-height-relative:page;" o:ole="t" filled="f" o:preferrelative="t" stroked="f" coordsize="21600,21600">
            <v:path/>
            <v:fill on="f" focussize="0,0"/>
            <v:stroke on="f" weight="7.8740157480315e-5pt" joinstyle="miter"/>
            <v:imagedata r:id="rId8" o:title=""/>
            <o:lock v:ext="edit" rotation="t" aspectratio="t"/>
          </v:shape>
          <o:OLEObject Type="Embed" ProgID="Excel.Chart.8" ShapeID="_x0000_s1029" DrawAspect="Content" ObjectID="_1468075725" r:id="rId7">
            <o:LockedField>false</o:LockedField>
          </o:OLEObject>
        </w:pict>
      </w: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rPr>
          <w:rFonts w:ascii="黑体" w:eastAsia="黑体"/>
          <w:color w:val="000000"/>
          <w:sz w:val="32"/>
          <w:szCs w:val="32"/>
        </w:rPr>
      </w:pPr>
      <w:r>
        <w:rPr>
          <w:rFonts w:hint="eastAsia" w:ascii="黑体" w:eastAsia="黑体"/>
          <w:color w:val="000000"/>
          <w:sz w:val="32"/>
          <w:szCs w:val="32"/>
        </w:rPr>
        <w:t>六、一般公共预算财政拨款基本支出决算情况说明</w:t>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2018年度一般公共预算财政拨款基本支出1454.8万元，其中：</w:t>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人员经费1420.53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对个人和家庭的补助支出等。</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34.27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黑体" w:eastAsia="黑体"/>
          <w:color w:val="000000"/>
          <w:sz w:val="32"/>
          <w:szCs w:val="32"/>
        </w:rPr>
      </w:pPr>
      <w:r>
        <w:rPr>
          <w:rFonts w:hint="eastAsia" w:ascii="黑体" w:eastAsia="黑体"/>
          <w:color w:val="000000"/>
          <w:sz w:val="32"/>
          <w:szCs w:val="32"/>
        </w:rPr>
        <w:t>七、“三公”经费财政拨款支出决算情况说明</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（一）“三公”经费财政拨款支出决算总体情况说明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2018年度“三公”经费财政拨款支出决算为7.5万元，完成预算100%。</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（二）“三公”经费财政拨款支出决算具体情况说明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2018年度“三公”经费财政拨款支出决算中，因公出国（境）费支出决算0万元，占0%；公务用车购置及运行维护费支出决算7.5万元，占100%；公务接待费支出决算0万元，占0%。具体情况如下：</w:t>
      </w:r>
    </w:p>
    <w:p>
      <w:pPr>
        <w:spacing w:line="600" w:lineRule="exact"/>
        <w:ind w:firstLine="640"/>
        <w:rPr>
          <w:rFonts w:ascii="仿宋_GB2312" w:eastAsia="仿宋_GB2312"/>
          <w:color w:val="000000"/>
          <w:sz w:val="32"/>
          <w:szCs w:val="32"/>
        </w:rPr>
      </w:pPr>
      <w:r>
        <w:drawing>
          <wp:anchor distT="0" distB="0" distL="114300" distR="114300" simplePos="0" relativeHeight="251661312" behindDoc="1" locked="0" layoutInCell="1" allowOverlap="1">
            <wp:simplePos x="0" y="0"/>
            <wp:positionH relativeFrom="column">
              <wp:posOffset>944245</wp:posOffset>
            </wp:positionH>
            <wp:positionV relativeFrom="paragraph">
              <wp:posOffset>172085</wp:posOffset>
            </wp:positionV>
            <wp:extent cx="3474720" cy="1767840"/>
            <wp:effectExtent l="5080" t="4445" r="10160" b="10795"/>
            <wp:wrapThrough wrapText="bothSides">
              <wp:wrapPolygon>
                <wp:start x="-32" y="-54"/>
                <wp:lineTo x="-32" y="21546"/>
                <wp:lineTo x="21568" y="21546"/>
                <wp:lineTo x="21568" y="-54"/>
                <wp:lineTo x="-32" y="-54"/>
              </wp:wrapPolygon>
            </wp:wrapThrough>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_GB2312" w:eastAsia="仿宋_GB2312"/>
          <w:color w:val="000000"/>
          <w:sz w:val="32"/>
          <w:szCs w:val="32"/>
        </w:rPr>
      </w:pPr>
    </w:p>
    <w:p>
      <w:pPr>
        <w:spacing w:line="600" w:lineRule="exact"/>
        <w:ind w:firstLine="640"/>
        <w:rPr>
          <w:rFonts w:ascii="仿宋_GB2312" w:eastAsia="仿宋_GB2312"/>
          <w:color w:val="000000"/>
          <w:sz w:val="32"/>
          <w:szCs w:val="32"/>
        </w:rPr>
      </w:pPr>
    </w:p>
    <w:p>
      <w:pPr>
        <w:spacing w:line="600" w:lineRule="exact"/>
        <w:ind w:firstLine="640"/>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ind w:firstLine="640"/>
        <w:rPr>
          <w:rFonts w:ascii="仿宋_GB2312" w:eastAsia="仿宋_GB2312"/>
          <w:color w:val="000000"/>
          <w:sz w:val="32"/>
          <w:szCs w:val="32"/>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0万元。全年安排因公出国（境）团组0次，出国（境）0人。</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因公出国（境）支出决算比2017年增加/减少0万元，增长/下降0%。</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rPr>
        <w:t>0万元。其中：</w:t>
      </w:r>
    </w:p>
    <w:p>
      <w:p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0万元。全年按规定更新购置公务用车0辆，其中：轿车0辆、金额0万元，越野车0辆、金额0万元，载客汽车0辆、金额0万元。截至2018年12月底，单位共有公务用车2辆，其中：轿车1辆、越野车1辆、载客汽车0辆。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7.5万元。主要用于日常办公所需的公务用车燃料费、维修费、过路过桥费、保险费等支出。</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公务用车购置及运行维护费支出决算比2017年增加0.82万元，上升12.28%。主要原因是疫情防控宣传增加。</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0万元。主要用于执行公务、开展业务活动开支的交通费、住宿费、用餐费等。国内公务接待0批次，0人次（不包括陪同人员），共计支出0万元。</w:t>
      </w:r>
    </w:p>
    <w:p>
      <w:pPr>
        <w:spacing w:line="600" w:lineRule="exact"/>
        <w:ind w:firstLine="640"/>
        <w:rPr>
          <w:rFonts w:ascii="黑体" w:eastAsia="黑体"/>
          <w:color w:val="000000"/>
          <w:sz w:val="32"/>
          <w:szCs w:val="32"/>
        </w:rPr>
      </w:pPr>
      <w:r>
        <w:rPr>
          <w:rFonts w:hint="eastAsia" w:ascii="黑体" w:eastAsia="黑体"/>
          <w:color w:val="000000"/>
          <w:sz w:val="32"/>
          <w:szCs w:val="32"/>
        </w:rPr>
        <w:t>八、政府性基金预算支出决算情况说明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2018年度政府性基金预算拨款支出0万元。</w:t>
      </w:r>
    </w:p>
    <w:p>
      <w:pPr>
        <w:spacing w:line="600" w:lineRule="exact"/>
        <w:ind w:firstLine="640"/>
        <w:rPr>
          <w:rFonts w:ascii="黑体" w:eastAsia="黑体"/>
          <w:color w:val="000000"/>
          <w:sz w:val="32"/>
          <w:szCs w:val="32"/>
        </w:rPr>
      </w:pPr>
      <w:r>
        <w:rPr>
          <w:rFonts w:hint="eastAsia" w:ascii="黑体" w:eastAsia="黑体"/>
          <w:color w:val="000000"/>
          <w:sz w:val="32"/>
          <w:szCs w:val="32"/>
        </w:rPr>
        <w:t>九、国有资本经营预算支出决算情况说明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2018年度国有资本经营预算拨款支出0万元。</w:t>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十、其他重要事项的情况说明</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（一）机关运行经费支出情况</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2018年度，运行经费支出281.74万元，比2017年增加30.91万元，增长11%。</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（二）政府采购支出情况</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2018年度，政府采购支出总额58.75万元，其中：政府采购货物支出58.75万元、政府采购工程支出0万元、政府采购服务支出0万元。主要用于办公用品采购。</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（三）国有资产占有使用情况</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2018年12月31日，共有车辆2辆，其中：部级领导干部用车0辆、一般公务用车2辆、一般执法执勤用车0辆、特种专业技术用车0辆、其他用车0辆；单价50万元以上通用设备0台（套），单价100万元以上专用设备0台（套）。</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（四）预算绩效情况</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1.绩效目标管理情况。</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按照预算绩效管理要求，本部门对2018年一般公共预算项目支出开展了绩效目标管理，共编制绩效目标1个，涉及财政资金1013.75万元，覆盖率达到100%。</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2.部门整体支出绩效自评开展情况。</w:t>
      </w:r>
    </w:p>
    <w:p>
      <w:pPr>
        <w:spacing w:line="600" w:lineRule="atLeast"/>
        <w:ind w:firstLine="640" w:firstLineChars="200"/>
        <w:rPr>
          <w:rFonts w:ascii="仿宋_GB2312" w:eastAsia="仿宋_GB2312"/>
          <w:b/>
          <w:color w:val="000000"/>
          <w:sz w:val="32"/>
          <w:szCs w:val="32"/>
        </w:rPr>
      </w:pPr>
      <w:r>
        <w:rPr>
          <w:rFonts w:hint="eastAsia" w:ascii="仿宋_GB2312" w:eastAsia="仿宋_GB2312"/>
          <w:color w:val="000000"/>
          <w:sz w:val="32"/>
          <w:szCs w:val="32"/>
        </w:rPr>
        <w:t>按照预算绩效管理要求，本部门对2018年整体支出开展绩效自评，自评得分100分。</w:t>
      </w:r>
    </w:p>
    <w:p>
      <w:pPr>
        <w:jc w:val="center"/>
        <w:rPr>
          <w:rFonts w:ascii="黑体" w:hAnsi="黑体" w:eastAsia="黑体"/>
          <w:color w:val="000000"/>
          <w:sz w:val="32"/>
          <w:szCs w:val="32"/>
        </w:rPr>
      </w:pPr>
      <w:r>
        <w:rPr>
          <w:rFonts w:hint="eastAsia" w:ascii="黑体" w:hAnsi="黑体" w:eastAsia="黑体"/>
          <w:color w:val="000000"/>
          <w:sz w:val="32"/>
          <w:szCs w:val="32"/>
        </w:rPr>
        <w:t>2018年部门整体支出绩效评价得分表</w:t>
      </w:r>
    </w:p>
    <w:tbl>
      <w:tblPr>
        <w:tblStyle w:val="6"/>
        <w:tblW w:w="9498" w:type="dxa"/>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bookmarkStart w:id="0" w:name="_GoBack"/>
            <w:bookmarkEnd w:id="0"/>
            <w:r>
              <w:rPr>
                <w:rFonts w:hint="eastAsia" w:ascii="宋体" w:hAnsi="宋体" w:cs="宋体"/>
                <w:color w:val="000000"/>
                <w:kern w:val="0"/>
                <w:sz w:val="20"/>
                <w:szCs w:val="20"/>
              </w:rPr>
              <w:t>健全完整（2分）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tcPr>
          <w:p>
            <w:pPr>
              <w:widowControl/>
              <w:jc w:val="left"/>
              <w:rPr>
                <w:rFonts w:ascii="宋体" w:hAnsi="宋体" w:eastAsia="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tcPr>
          <w:p>
            <w:pPr>
              <w:widowControl/>
              <w:jc w:val="center"/>
              <w:rPr>
                <w:rFonts w:ascii="宋体" w:hAnsi="宋体" w:eastAsia="宋体" w:cs="宋体"/>
                <w:color w:val="000000"/>
                <w:kern w:val="0"/>
                <w:sz w:val="20"/>
                <w:szCs w:val="20"/>
              </w:rPr>
            </w:pPr>
            <w:r>
              <w:rPr>
                <w:rFonts w:hint="eastAsia" w:ascii="宋体" w:hAnsi="宋体" w:cs="宋体"/>
                <w:color w:val="000000"/>
                <w:kern w:val="0"/>
                <w:sz w:val="20"/>
                <w:szCs w:val="20"/>
              </w:rPr>
              <w:t>20</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tcPr>
          <w:p>
            <w:pPr>
              <w:widowControl/>
              <w:jc w:val="center"/>
              <w:rPr>
                <w:rFonts w:ascii="宋体" w:hAnsi="宋体" w:eastAsia="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tcPr>
          <w:p>
            <w:pPr>
              <w:widowControl/>
              <w:jc w:val="center"/>
              <w:rPr>
                <w:rFonts w:ascii="宋体" w:hAnsi="宋体" w:eastAsia="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tcPr>
          <w:p>
            <w:pPr>
              <w:widowControl/>
              <w:jc w:val="center"/>
              <w:rPr>
                <w:rFonts w:ascii="宋体" w:hAnsi="宋体" w:eastAsia="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tcPr>
          <w:p>
            <w:pPr>
              <w:widowControl/>
              <w:jc w:val="center"/>
              <w:rPr>
                <w:rFonts w:ascii="宋体" w:hAnsi="宋体" w:eastAsia="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tcPr>
          <w:p>
            <w:pPr>
              <w:widowControl/>
              <w:jc w:val="center"/>
              <w:rPr>
                <w:rFonts w:ascii="宋体" w:hAnsi="宋体" w:eastAsia="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tcPr>
          <w:p>
            <w:pPr>
              <w:widowControl/>
              <w:jc w:val="center"/>
              <w:rPr>
                <w:rFonts w:ascii="宋体" w:hAnsi="宋体" w:eastAsia="宋体" w:cs="宋体"/>
                <w:color w:val="000000"/>
                <w:kern w:val="0"/>
                <w:sz w:val="20"/>
                <w:szCs w:val="20"/>
              </w:rPr>
            </w:pPr>
            <w:r>
              <w:rPr>
                <w:rFonts w:hint="eastAsia" w:ascii="宋体" w:hAnsi="宋体" w:cs="宋体"/>
                <w:color w:val="000000"/>
                <w:kern w:val="0"/>
                <w:sz w:val="20"/>
                <w:szCs w:val="20"/>
              </w:rPr>
              <w:t>4</w:t>
            </w:r>
          </w:p>
        </w:tc>
      </w:tr>
    </w:tbl>
    <w:p>
      <w:pPr>
        <w:rPr>
          <w:color w:val="000000"/>
        </w:rPr>
      </w:pPr>
    </w:p>
    <w:p>
      <w:pPr>
        <w:spacing w:line="600" w:lineRule="atLeast"/>
        <w:ind w:firstLine="643" w:firstLineChars="200"/>
        <w:rPr>
          <w:rFonts w:ascii="仿宋_GB2312" w:eastAsia="仿宋_GB2312"/>
          <w:b/>
          <w:color w:val="000000"/>
          <w:sz w:val="32"/>
          <w:szCs w:val="32"/>
        </w:rPr>
      </w:pP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3.部门自行组织绩效评价开展情况。</w:t>
      </w:r>
    </w:p>
    <w:p>
      <w:pPr>
        <w:spacing w:line="600" w:lineRule="atLeast"/>
        <w:ind w:firstLine="640" w:firstLineChars="200"/>
        <w:rPr>
          <w:rFonts w:ascii="仿宋_GB2312" w:eastAsia="仿宋_GB2312"/>
          <w:b/>
          <w:color w:val="000000"/>
          <w:sz w:val="32"/>
          <w:szCs w:val="32"/>
        </w:rPr>
      </w:pPr>
      <w:r>
        <w:rPr>
          <w:rFonts w:hint="eastAsia" w:ascii="仿宋_GB2312" w:eastAsia="仿宋_GB2312"/>
          <w:color w:val="000000"/>
          <w:sz w:val="32"/>
          <w:szCs w:val="32"/>
        </w:rPr>
        <w:t>本部门对下属单位开展了整体支出绩效评价，得分为99分。</w:t>
      </w:r>
    </w:p>
    <w:p>
      <w:pPr>
        <w:jc w:val="center"/>
        <w:rPr>
          <w:rFonts w:ascii="黑体" w:hAnsi="黑体" w:eastAsia="黑体"/>
          <w:color w:val="000000"/>
          <w:sz w:val="32"/>
          <w:szCs w:val="32"/>
        </w:rPr>
      </w:pPr>
      <w:r>
        <w:rPr>
          <w:rFonts w:hint="eastAsia" w:ascii="黑体" w:hAnsi="黑体" w:eastAsia="黑体"/>
          <w:color w:val="000000"/>
          <w:sz w:val="32"/>
          <w:szCs w:val="32"/>
        </w:rPr>
        <w:t>2018年项目支出绩效评价得分表</w:t>
      </w:r>
    </w:p>
    <w:tbl>
      <w:tblPr>
        <w:tblStyle w:val="6"/>
        <w:tblW w:w="9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618"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单位名称/</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项目名称</w:t>
            </w:r>
          </w:p>
        </w:tc>
        <w:tc>
          <w:tcPr>
            <w:tcW w:w="8270" w:type="dxa"/>
            <w:gridSpan w:val="4"/>
            <w:vAlign w:val="center"/>
          </w:tcPr>
          <w:p>
            <w:pPr>
              <w:widowControl/>
              <w:spacing w:line="260" w:lineRule="exact"/>
              <w:jc w:val="center"/>
              <w:rPr>
                <w:rFonts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618"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一级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2113"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二级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3535"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1311"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分值</w:t>
            </w:r>
          </w:p>
        </w:tc>
        <w:tc>
          <w:tcPr>
            <w:tcW w:w="1311" w:type="dxa"/>
            <w:vAlign w:val="center"/>
          </w:tcPr>
          <w:p>
            <w:pPr>
              <w:widowControl/>
              <w:spacing w:line="2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项目决策</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科学决策</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必要性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（政策依据</w:t>
            </w:r>
            <w:r>
              <w:rPr>
                <w:rFonts w:hint="eastAsia" w:ascii="宋体" w:hAnsi="宋体" w:cs="宋体"/>
                <w:color w:val="000000"/>
                <w:kern w:val="0"/>
                <w:sz w:val="20"/>
                <w:szCs w:val="20"/>
                <w:lang w:eastAsia="zh-CN"/>
              </w:rPr>
              <w:t>）</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可行性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（政策完善）</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绩效目标    </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明确性</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合理性</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项目管理</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（7分）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资金管理</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资金分配</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textDirection w:val="tbRlV"/>
            <w:vAlign w:val="center"/>
          </w:tcPr>
          <w:p>
            <w:pPr>
              <w:widowControl/>
              <w:spacing w:line="260" w:lineRule="exact"/>
              <w:jc w:val="center"/>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资金使用</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311" w:type="dxa"/>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项目执行</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执行规范</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（特性指标70分）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项目绩效  </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项目完成</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完成数量</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20"/>
                <w:szCs w:val="20"/>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完成质量</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20"/>
                <w:szCs w:val="20"/>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完成时效</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完成成本</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项目效益</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经济效益（可选项）</w:t>
            </w:r>
          </w:p>
        </w:tc>
        <w:tc>
          <w:tcPr>
            <w:tcW w:w="1311" w:type="dxa"/>
            <w:vMerge w:val="restart"/>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1311" w:type="dxa"/>
            <w:vAlign w:val="center"/>
          </w:tcPr>
          <w:p>
            <w:pPr>
              <w:widowControl/>
              <w:spacing w:line="260" w:lineRule="exact"/>
              <w:jc w:val="center"/>
              <w:rPr>
                <w:rFonts w:ascii="宋体" w:hAnsi="宋体" w:eastAsia="宋体" w:cs="宋体"/>
                <w:color w:val="000000"/>
                <w:kern w:val="0"/>
                <w:sz w:val="15"/>
                <w:szCs w:val="15"/>
              </w:rPr>
            </w:pPr>
            <w:r>
              <w:rPr>
                <w:rFonts w:hint="eastAsia" w:ascii="宋体" w:hAnsi="宋体" w:cs="宋体"/>
                <w:color w:val="000000"/>
                <w:kern w:val="0"/>
                <w:sz w:val="20"/>
                <w:szCs w:val="20"/>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社会效益（可选项）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vAlign w:val="center"/>
          </w:tcPr>
          <w:p>
            <w:pPr>
              <w:widowControl/>
              <w:spacing w:line="260" w:lineRule="exact"/>
              <w:jc w:val="center"/>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生态效益（可选项）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可持续效益（可选项）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公平效率（可选项）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使用效率（可选项）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服务对象满意度    </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311" w:type="dxa"/>
          </w:tcPr>
          <w:p>
            <w:pPr>
              <w:widowControl/>
              <w:spacing w:line="260" w:lineRule="exact"/>
              <w:jc w:val="center"/>
              <w:rPr>
                <w:rFonts w:ascii="宋体" w:hAnsi="宋体" w:eastAsia="宋体" w:cs="宋体"/>
                <w:color w:val="000000"/>
                <w:kern w:val="0"/>
                <w:sz w:val="15"/>
                <w:szCs w:val="15"/>
              </w:rPr>
            </w:pPr>
            <w:r>
              <w:rPr>
                <w:rFonts w:hint="eastAsia" w:ascii="宋体" w:hAnsi="宋体" w:cs="宋体"/>
                <w:color w:val="000000"/>
                <w:kern w:val="0"/>
                <w:sz w:val="15"/>
                <w:szCs w:val="15"/>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18" w:type="dxa"/>
            <w:vAlign w:val="center"/>
          </w:tcPr>
          <w:p>
            <w:pPr>
              <w:widowControl/>
              <w:spacing w:line="260" w:lineRule="exact"/>
              <w:jc w:val="left"/>
              <w:rPr>
                <w:rFonts w:ascii="宋体" w:hAnsi="宋体" w:cs="宋体"/>
                <w:color w:val="000000"/>
                <w:kern w:val="0"/>
                <w:sz w:val="20"/>
                <w:szCs w:val="20"/>
              </w:rPr>
            </w:pPr>
            <w:r>
              <w:rPr>
                <w:rFonts w:hint="eastAsia" w:ascii="宋体" w:hAnsi="宋体" w:cs="宋体"/>
                <w:color w:val="000000"/>
                <w:kern w:val="0"/>
                <w:sz w:val="20"/>
                <w:szCs w:val="20"/>
              </w:rPr>
              <w:t>总分</w:t>
            </w:r>
          </w:p>
        </w:tc>
        <w:tc>
          <w:tcPr>
            <w:tcW w:w="8270" w:type="dxa"/>
            <w:gridSpan w:val="4"/>
            <w:vAlign w:val="center"/>
          </w:tcPr>
          <w:p>
            <w:pPr>
              <w:widowControl/>
              <w:spacing w:line="260" w:lineRule="exact"/>
              <w:jc w:val="center"/>
              <w:rPr>
                <w:rFonts w:ascii="宋体" w:hAnsi="宋体" w:eastAsia="宋体" w:cs="宋体"/>
                <w:color w:val="000000"/>
                <w:kern w:val="0"/>
                <w:sz w:val="15"/>
                <w:szCs w:val="15"/>
              </w:rPr>
            </w:pPr>
            <w:r>
              <w:rPr>
                <w:rFonts w:hint="eastAsia" w:ascii="宋体" w:hAnsi="宋体" w:cs="宋体"/>
                <w:color w:val="000000"/>
                <w:kern w:val="0"/>
                <w:sz w:val="15"/>
                <w:szCs w:val="15"/>
              </w:rPr>
              <w:t>99</w:t>
            </w:r>
          </w:p>
        </w:tc>
      </w:tr>
    </w:tbl>
    <w:p>
      <w:pPr>
        <w:rPr>
          <w:color w:val="000000"/>
        </w:rPr>
      </w:pPr>
    </w:p>
    <w:p>
      <w:pPr>
        <w:autoSpaceDE w:val="0"/>
        <w:autoSpaceDN w:val="0"/>
        <w:adjustRightInd w:val="0"/>
        <w:spacing w:line="600" w:lineRule="exact"/>
        <w:ind w:firstLine="640" w:firstLineChars="200"/>
        <w:jc w:val="left"/>
        <w:rPr>
          <w:rFonts w:ascii="黑体" w:eastAsia="黑体"/>
          <w:color w:val="000000"/>
          <w:sz w:val="32"/>
          <w:szCs w:val="32"/>
        </w:rPr>
      </w:pPr>
      <w:r>
        <w:rPr>
          <w:rFonts w:hint="eastAsia" w:ascii="黑体" w:eastAsia="黑体"/>
          <w:color w:val="000000"/>
          <w:sz w:val="32"/>
          <w:szCs w:val="32"/>
        </w:rPr>
        <w:t>十一、名词解释</w:t>
      </w:r>
    </w:p>
    <w:p>
      <w:pPr>
        <w:pStyle w:val="8"/>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8"/>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2.事业收入：指事业单位开展专业业务活动及辅助活动取得的收入。如…（二级预算单位事业收入情况）等。</w:t>
      </w:r>
    </w:p>
    <w:p>
      <w:pPr>
        <w:pStyle w:val="8"/>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3.经营收入：指事业单位在专业业务活动及其辅助活动之外开展非独立核算经营活动取得的收入。如…（二级预算单位经营收入情况）等。</w:t>
      </w:r>
    </w:p>
    <w:p>
      <w:pPr>
        <w:pStyle w:val="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4.其他收入：指单位取得的除上述收入以外的各项收入。主要是…（收入类型）等。 </w:t>
      </w:r>
    </w:p>
    <w:p>
      <w:pPr>
        <w:pStyle w:val="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8"/>
        <w:spacing w:line="560"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8"/>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9.2050803培训支出，指单位用于培训的支出；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10.2080505养老保险，指由单位缴纳的基本医疗保险费支出；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11.2080506职业年金，指由单位缴纳的职业年金支出；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12.2101102医疗保险，指由单位缴纳的医疗保险支出；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13.2110401生态保护，指单位用于生态保护的支出；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14.2110899退牧还草，指单位用于退牧还草的支出；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15.2130104事业运行，指单位与事业运行的支出；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16.2130106科技转化与推广服务，指单位用于科技推广的支出；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17.2130108病虫害控制，指单位用于病虫害控制的支出；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18.2130119防灾减灾，指单位用于防灾减灾的支出；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19.2130124农业组织化与产业化经营，指单位用于农业组织化与产业化经营的支出；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20.2130135农业资源保护修复与利用，指单位用于农业资源保护修复与利用的支出；</w:t>
      </w:r>
    </w:p>
    <w:p>
      <w:pPr>
        <w:numPr>
          <w:ilvl w:val="0"/>
          <w:numId w:val="1"/>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2130199其他农业支出，指单位用于其他农业方面的支出；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22.2130505生产发展，指单位用于生产发展方面的支出；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23.2130803普惠金融发展支出，指单位用于普惠金融发展方面的支出；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24.2139999其他农林水支出，指单位用于其他农林水支出的支出</w:t>
      </w:r>
      <w:r>
        <w:rPr>
          <w:rFonts w:hint="eastAsia" w:ascii="仿宋_GB2312" w:eastAsia="仿宋_GB2312"/>
          <w:color w:val="000000"/>
          <w:sz w:val="32"/>
          <w:szCs w:val="32"/>
          <w:lang w:eastAsia="zh-CN"/>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25.2210201住房公积金，指由单位缴纳的住房公积金支出；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26.2210203购房补贴，指由单位用于退休人员的住房保障支出；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27.2299901其他支出，指由单位用于其他方面的支出</w:t>
      </w:r>
      <w:r>
        <w:rPr>
          <w:rFonts w:hint="eastAsia" w:ascii="仿宋_GB2312" w:eastAsia="仿宋_GB2312"/>
          <w:color w:val="000000"/>
          <w:sz w:val="32"/>
          <w:szCs w:val="32"/>
          <w:lang w:eastAsia="zh-CN"/>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28.基本支出：指为保障机构正常运转、完成日常工作任务而发生的人员支出和公用支出</w:t>
      </w:r>
      <w:r>
        <w:rPr>
          <w:rFonts w:hint="eastAsia" w:ascii="仿宋_GB2312" w:eastAsia="仿宋_GB2312"/>
          <w:color w:val="000000"/>
          <w:sz w:val="32"/>
          <w:szCs w:val="32"/>
          <w:lang w:eastAsia="zh-CN"/>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29.项目支出：指在基本支出之外为完成特定行政任务和事业发展目标所发生的支出。;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30.经营支出：指事业单位在专业业务活动及其辅助活动之外开展非独立核算经营活动发生的支出</w:t>
      </w:r>
      <w:r>
        <w:rPr>
          <w:rFonts w:hint="eastAsia" w:ascii="仿宋_GB2312" w:eastAsia="仿宋_GB2312"/>
          <w:color w:val="000000"/>
          <w:sz w:val="32"/>
          <w:szCs w:val="32"/>
          <w:lang w:eastAsia="zh-CN"/>
        </w:rPr>
        <w:t>；</w:t>
      </w:r>
    </w:p>
    <w:p>
      <w:pPr>
        <w:pStyle w:val="8"/>
        <w:spacing w:line="560" w:lineRule="exact"/>
        <w:ind w:firstLine="640" w:firstLineChars="200"/>
        <w:rPr>
          <w:rFonts w:ascii="仿宋_GB2312" w:eastAsia="仿宋_GB2312"/>
          <w:sz w:val="32"/>
          <w:szCs w:val="32"/>
        </w:rPr>
      </w:pPr>
      <w:r>
        <w:rPr>
          <w:rFonts w:hint="eastAsia" w:ascii="仿宋_GB2312" w:eastAsia="仿宋_GB2312"/>
          <w:sz w:val="32"/>
          <w:szCs w:val="32"/>
        </w:rPr>
        <w:t>31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eastAsia="仿宋_GB2312"/>
          <w:sz w:val="32"/>
          <w:szCs w:val="32"/>
          <w:lang w:eastAsia="zh-CN"/>
        </w:rPr>
        <w:t>；</w:t>
      </w:r>
    </w:p>
    <w:p>
      <w:pPr>
        <w:pStyle w:val="8"/>
        <w:spacing w:line="560" w:lineRule="exact"/>
        <w:ind w:firstLine="640" w:firstLineChars="200"/>
        <w:rPr>
          <w:rFonts w:ascii="仿宋_GB2312" w:eastAsia="仿宋_GB2312"/>
          <w:sz w:val="32"/>
          <w:szCs w:val="32"/>
        </w:rPr>
      </w:pPr>
      <w:r>
        <w:rPr>
          <w:rFonts w:hint="eastAsia" w:ascii="仿宋_GB2312" w:eastAsia="仿宋_GB2312"/>
          <w:sz w:val="32"/>
          <w:szCs w:val="32"/>
        </w:rPr>
        <w:t>32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_GB2312" w:eastAsia="仿宋_GB2312"/>
          <w:b/>
          <w:color w:val="000000"/>
          <w:sz w:val="32"/>
          <w:szCs w:val="32"/>
        </w:rPr>
      </w:pPr>
    </w:p>
    <w:p>
      <w:pPr>
        <w:spacing w:line="520" w:lineRule="exact"/>
        <w:jc w:val="center"/>
        <w:rPr>
          <w:rFonts w:ascii="仿宋" w:hAnsi="仿宋" w:eastAsia="仿宋" w:cs="仿宋"/>
          <w:sz w:val="32"/>
          <w:szCs w:val="32"/>
        </w:rPr>
      </w:pPr>
    </w:p>
    <w:sectPr>
      <w:pgSz w:w="11906" w:h="16838"/>
      <w:pgMar w:top="2211" w:right="164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39283E"/>
    <w:multiLevelType w:val="singleLevel"/>
    <w:tmpl w:val="1139283E"/>
    <w:lvl w:ilvl="0" w:tentative="0">
      <w:start w:val="2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E974413"/>
    <w:rsid w:val="001D6CBE"/>
    <w:rsid w:val="00886211"/>
    <w:rsid w:val="0097299F"/>
    <w:rsid w:val="031A725B"/>
    <w:rsid w:val="037D7F8F"/>
    <w:rsid w:val="039D48F8"/>
    <w:rsid w:val="05083CB5"/>
    <w:rsid w:val="05C204FE"/>
    <w:rsid w:val="07FF08A1"/>
    <w:rsid w:val="0B574F31"/>
    <w:rsid w:val="0CED3C40"/>
    <w:rsid w:val="0D4F3A5D"/>
    <w:rsid w:val="0DF77F9B"/>
    <w:rsid w:val="0F102F45"/>
    <w:rsid w:val="0FF217FC"/>
    <w:rsid w:val="10C80C7D"/>
    <w:rsid w:val="15C71CA3"/>
    <w:rsid w:val="184B71A8"/>
    <w:rsid w:val="1B9E08A8"/>
    <w:rsid w:val="1D8C7714"/>
    <w:rsid w:val="1D9D0A9B"/>
    <w:rsid w:val="1E974413"/>
    <w:rsid w:val="1E9D10F9"/>
    <w:rsid w:val="1FAA6ADF"/>
    <w:rsid w:val="22CF0F38"/>
    <w:rsid w:val="25EA2A57"/>
    <w:rsid w:val="271A6FD6"/>
    <w:rsid w:val="29662E3B"/>
    <w:rsid w:val="29EB5557"/>
    <w:rsid w:val="2A681DA3"/>
    <w:rsid w:val="2FEE4577"/>
    <w:rsid w:val="318F66CD"/>
    <w:rsid w:val="37296DAE"/>
    <w:rsid w:val="38C20222"/>
    <w:rsid w:val="3A4569E2"/>
    <w:rsid w:val="407415F8"/>
    <w:rsid w:val="40C169B2"/>
    <w:rsid w:val="4C6D37F7"/>
    <w:rsid w:val="4CE90718"/>
    <w:rsid w:val="4E3F06BD"/>
    <w:rsid w:val="4ED56CDE"/>
    <w:rsid w:val="50611AD3"/>
    <w:rsid w:val="510B2972"/>
    <w:rsid w:val="517D4E86"/>
    <w:rsid w:val="526672AC"/>
    <w:rsid w:val="544E4156"/>
    <w:rsid w:val="545D2E75"/>
    <w:rsid w:val="59526514"/>
    <w:rsid w:val="61543E41"/>
    <w:rsid w:val="63217D90"/>
    <w:rsid w:val="651D1D63"/>
    <w:rsid w:val="6CEF0715"/>
    <w:rsid w:val="72DE315F"/>
    <w:rsid w:val="72E822EE"/>
    <w:rsid w:val="797A6352"/>
    <w:rsid w:val="7A6D7536"/>
    <w:rsid w:val="7BFD3638"/>
    <w:rsid w:val="7C804F81"/>
    <w:rsid w:val="7C8735B6"/>
    <w:rsid w:val="7D9A6471"/>
    <w:rsid w:val="7E714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kern w:val="0"/>
      <w:sz w:val="30"/>
    </w:rPr>
  </w:style>
  <w:style w:type="paragraph" w:styleId="3">
    <w:name w:val="footer"/>
    <w:basedOn w:val="1"/>
    <w:unhideWhenUsed/>
    <w:qFormat/>
    <w:uiPriority w:val="99"/>
    <w:pPr>
      <w:tabs>
        <w:tab w:val="center" w:pos="4153"/>
        <w:tab w:val="right" w:pos="8306"/>
      </w:tabs>
      <w:snapToGrid w:val="0"/>
      <w:jc w:val="left"/>
    </w:pPr>
    <w:rPr>
      <w:rFonts w:ascii="Calibri" w:hAnsi="Calibri"/>
      <w:kern w:val="0"/>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paragraph" w:customStyle="1" w:styleId="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PC-20161220USVT\AppData\Local\kingsoft\WPS%20Cloud%20Files\userdata\qing\filecache\ws&#39134;&#25196;&#30340;&#20113;&#25991;&#26723;\&#24037;&#20316;&#31807;%201&#26376;15&#26085;17&#26102;40&#20998;59&#31186;.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PC-20161220USVT\AppData\Local\kingsoft\WPS%20Cloud%20Files\userdata\qing\filecache\ws&#39134;&#25196;&#30340;&#20113;&#25991;&#26723;\&#24037;&#20316;&#31807;%201&#26376;15&#26085;17&#26102;40&#20998;59&#31186;.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PC-20161220USVT\AppData\Local\kingsoft\WPS%20Cloud%20Files\userdata\qing\filecache\ws&#39134;&#25196;&#30340;&#20113;&#25991;&#26723;\&#24037;&#20316;&#31807;%201&#26376;15&#26085;17&#26102;40&#20998;59&#31186;.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PC-20161220USVT\AppData\Local\kingsoft\WPS%20Cloud%20Files\userdata\qing\filecache\ws&#39134;&#25196;&#30340;&#20113;&#25991;&#26723;\&#24037;&#20316;&#31807;%201&#26376;15&#26085;17&#26102;40&#20998;59&#3118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barChart>
        <c:barDir val="col"/>
        <c:grouping val="clustered"/>
        <c:varyColors val="0"/>
        <c:ser>
          <c:idx val="0"/>
          <c:order val="0"/>
          <c:spPr>
            <a:solidFill>
              <a:srgbClr val="4F81BD"/>
            </a:solidFill>
            <a:ln>
              <a:noFill/>
            </a:ln>
            <a:effectLst/>
          </c:spPr>
          <c:invertIfNegative val="0"/>
          <c:dLbls>
            <c:delete val="1"/>
          </c:dLbls>
          <c:cat>
            <c:strRef>
              <c:f>'[工作簿 1月15日17时40分59秒.xlsx]Sheet1'!$A$1:$A$2</c:f>
              <c:strCache>
                <c:ptCount val="2"/>
                <c:pt idx="0">
                  <c:v>基本支出</c:v>
                </c:pt>
                <c:pt idx="1">
                  <c:v>项目支出</c:v>
                </c:pt>
              </c:strCache>
            </c:strRef>
          </c:cat>
          <c:val>
            <c:numRef>
              <c:f>'[工作簿 1月15日17时40分59秒.xlsx]Sheet1'!$B$1:$B$2</c:f>
              <c:numCache>
                <c:formatCode>General</c:formatCode>
                <c:ptCount val="2"/>
                <c:pt idx="0">
                  <c:v>1454.8</c:v>
                </c:pt>
                <c:pt idx="1">
                  <c:v>4308</c:v>
                </c:pt>
              </c:numCache>
            </c:numRef>
          </c:val>
        </c:ser>
        <c:dLbls>
          <c:showLegendKey val="0"/>
          <c:showVal val="0"/>
          <c:showCatName val="0"/>
          <c:showSerName val="0"/>
          <c:showPercent val="0"/>
          <c:showBubbleSize val="0"/>
        </c:dLbls>
        <c:gapWidth val="219"/>
        <c:overlap val="-27"/>
        <c:axId val="122703872"/>
        <c:axId val="122705408"/>
      </c:barChart>
      <c:catAx>
        <c:axId val="122703872"/>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22705408"/>
        <c:crosses val="autoZero"/>
        <c:auto val="1"/>
        <c:lblAlgn val="ctr"/>
        <c:lblOffset val="100"/>
        <c:noMultiLvlLbl val="0"/>
      </c:catAx>
      <c:valAx>
        <c:axId val="122705408"/>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22703872"/>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 1月15日17时40分59秒.xlsx]Sheet1'!$B$4</c:f>
              <c:strCache>
                <c:ptCount val="1"/>
                <c:pt idx="0">
                  <c:v/>
                </c:pt>
              </c:strCache>
            </c:strRef>
          </c:tx>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elete val="1"/>
          </c:dLbls>
          <c:cat>
            <c:numRef>
              <c:f>'[工作簿 1月15日17时40分59秒.xlsx]Sheet1'!$A$5:$A$6</c:f>
              <c:numCache>
                <c:formatCode>General</c:formatCode>
                <c:ptCount val="2"/>
                <c:pt idx="0">
                  <c:v>2017</c:v>
                </c:pt>
                <c:pt idx="1">
                  <c:v>2018</c:v>
                </c:pt>
              </c:numCache>
            </c:numRef>
          </c:cat>
          <c:val>
            <c:numRef>
              <c:f>'[工作簿 1月15日17时40分59秒.xlsx]Sheet1'!$B$5:$B$6</c:f>
              <c:numCache>
                <c:formatCode>General</c:formatCode>
                <c:ptCount val="2"/>
                <c:pt idx="0">
                  <c:v>6895.64</c:v>
                </c:pt>
                <c:pt idx="1">
                  <c:v>7094.75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barChart>
        <c:barDir val="col"/>
        <c:grouping val="stacked"/>
        <c:varyColors val="0"/>
        <c:ser>
          <c:idx val="0"/>
          <c:order val="0"/>
          <c:spPr>
            <a:solidFill>
              <a:srgbClr val="4F81BD"/>
            </a:solidFill>
            <a:ln>
              <a:noFill/>
            </a:ln>
            <a:effectLst/>
          </c:spPr>
          <c:invertIfNegative val="0"/>
          <c:dLbls>
            <c:delete val="1"/>
          </c:dLbls>
          <c:cat>
            <c:strRef>
              <c:f>'[工作簿 1月15日17时40分59秒.xlsx]Sheet1'!$A$5:$A$6</c:f>
              <c:strCache>
                <c:ptCount val="2"/>
                <c:pt idx="0">
                  <c:v>2017年</c:v>
                </c:pt>
                <c:pt idx="1">
                  <c:v>2018年</c:v>
                </c:pt>
              </c:strCache>
            </c:strRef>
          </c:cat>
          <c:val>
            <c:numRef>
              <c:f>'[工作簿 1月15日17时40分59秒.xlsx]Sheet1'!$B$5:$B$6</c:f>
              <c:numCache>
                <c:formatCode>General</c:formatCode>
                <c:ptCount val="2"/>
                <c:pt idx="0">
                  <c:v>6895.64</c:v>
                </c:pt>
                <c:pt idx="1">
                  <c:v>7094.75</c:v>
                </c:pt>
              </c:numCache>
            </c:numRef>
          </c:val>
        </c:ser>
        <c:dLbls>
          <c:showLegendKey val="0"/>
          <c:showVal val="0"/>
          <c:showCatName val="0"/>
          <c:showSerName val="0"/>
          <c:showPercent val="0"/>
          <c:showBubbleSize val="0"/>
        </c:dLbls>
        <c:gapWidth val="150"/>
        <c:overlap val="100"/>
        <c:axId val="122737024"/>
        <c:axId val="122738560"/>
      </c:barChart>
      <c:catAx>
        <c:axId val="122737024"/>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22738560"/>
        <c:crosses val="autoZero"/>
        <c:auto val="1"/>
        <c:lblAlgn val="ctr"/>
        <c:lblOffset val="100"/>
        <c:noMultiLvlLbl val="0"/>
      </c:catAx>
      <c:valAx>
        <c:axId val="122738560"/>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22737024"/>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barChart>
        <c:barDir val="col"/>
        <c:grouping val="clustered"/>
        <c:varyColors val="0"/>
        <c:ser>
          <c:idx val="0"/>
          <c:order val="0"/>
          <c:spPr>
            <a:solidFill>
              <a:srgbClr val="4F81BD"/>
            </a:solidFill>
            <a:ln>
              <a:noFill/>
            </a:ln>
            <a:effectLst/>
          </c:spPr>
          <c:invertIfNegative val="0"/>
          <c:dLbls>
            <c:delete val="1"/>
          </c:dLbls>
          <c:cat>
            <c:strRef>
              <c:f>'[工作簿 1月15日17时40分59秒.xlsx]Sheet1'!$A$8:$A$11</c:f>
              <c:strCache>
                <c:ptCount val="4"/>
                <c:pt idx="0">
                  <c:v>2017决算</c:v>
                </c:pt>
                <c:pt idx="1">
                  <c:v>2018决算</c:v>
                </c:pt>
                <c:pt idx="2">
                  <c:v>2017预算</c:v>
                </c:pt>
                <c:pt idx="3">
                  <c:v>2018预算</c:v>
                </c:pt>
              </c:strCache>
            </c:strRef>
          </c:cat>
          <c:val>
            <c:numRef>
              <c:f>'[工作簿 1月15日17时40分59秒.xlsx]Sheet1'!$B$8:$B$11</c:f>
              <c:numCache>
                <c:formatCode>General</c:formatCode>
                <c:ptCount val="4"/>
                <c:pt idx="0">
                  <c:v>73534</c:v>
                </c:pt>
                <c:pt idx="1">
                  <c:v>65000</c:v>
                </c:pt>
                <c:pt idx="2">
                  <c:v>73600</c:v>
                </c:pt>
                <c:pt idx="3">
                  <c:v>73400</c:v>
                </c:pt>
              </c:numCache>
            </c:numRef>
          </c:val>
        </c:ser>
        <c:dLbls>
          <c:showLegendKey val="0"/>
          <c:showVal val="0"/>
          <c:showCatName val="0"/>
          <c:showSerName val="0"/>
          <c:showPercent val="0"/>
          <c:showBubbleSize val="0"/>
        </c:dLbls>
        <c:gapWidth val="219"/>
        <c:overlap val="-27"/>
        <c:axId val="124957056"/>
        <c:axId val="124960128"/>
      </c:barChart>
      <c:catAx>
        <c:axId val="124957056"/>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24960128"/>
        <c:crosses val="autoZero"/>
        <c:auto val="1"/>
        <c:lblAlgn val="ctr"/>
        <c:lblOffset val="100"/>
        <c:noMultiLvlLbl val="0"/>
      </c:catAx>
      <c:valAx>
        <c:axId val="124960128"/>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24957056"/>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5078</Words>
  <Characters>1184</Characters>
  <Lines>9</Lines>
  <Paragraphs>12</Paragraphs>
  <TotalTime>63</TotalTime>
  <ScaleCrop>false</ScaleCrop>
  <LinksUpToDate>false</LinksUpToDate>
  <CharactersWithSpaces>6250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2019-07-26T01:21:00Z</dcterms:created>
  <dc:creator>ws飞扬</dc:creator>
  <cp:lastModifiedBy>不改</cp:lastModifiedBy>
  <cp:lastPrinted>2021-05-20T01:24:00Z</cp:lastPrinted>
  <dcterms:modified xsi:type="dcterms:W3CDTF">2021-06-07T02:42:04Z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4FBFBDF151CE41C598595D802657698E</vt:lpwstr>
  </property>
</Properties>
</file>