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畜牧兽医服务中心单位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409" w:firstLineChars="128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我中心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0.475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0.025万元，下降5%，原因为：严格按照规定接待，不符合规定一律不接待。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>2.85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0.15万元，下降5 %，原因为：严格按照规定执行公务用车运行维护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2.85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用于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0.15万元，下降5%，原因为：严格按照规定执行公务用车运行维护，不符合规定一律不报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畜牧兽医服务中心单位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0.475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2.85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2.85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altName w:val="Gloucester MT Extra Condensed"/>
    <w:panose1 w:val="05050102010205020202"/>
    <w:charset w:val="02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Gloucester MT Extra Condensed">
    <w:panose1 w:val="02030808020601010101"/>
    <w:charset w:val="02"/>
    <w:family w:val="roman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A279D"/>
    <w:rsid w:val="5B5A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MT Extra" w:hAnsi="MT Extra" w:eastAsia="宋体" w:cs="MT Extr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2019-12-13T08:50:00Z</dcterms:created>
  <dc:creator>ws飞扬</dc:creator>
  <cp:lastModifiedBy>ws飞扬</cp:lastModifiedBy>
  <dcterms:modified xsi:type="dcterms:W3CDTF">2019-12-13T08:59:10Z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