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3"/>
        <w:rPr>
          <w:rFonts w:ascii="Times New Roman" w:eastAsia="方正小标宋简体"/>
          <w:kern w:val="2"/>
          <w:sz w:val="72"/>
          <w:szCs w:val="72"/>
        </w:rPr>
      </w:pPr>
      <w:bookmarkStart w:id="0" w:name="_Toc15396597"/>
      <w:bookmarkStart w:id="1" w:name="_Toc15378441"/>
      <w:bookmarkStart w:id="2" w:name="_Toc15396475"/>
      <w:bookmarkStart w:id="3" w:name="_Toc15377425"/>
      <w:bookmarkStart w:id="4" w:name="_Toc15377193"/>
      <w:bookmarkStart w:id="5" w:name="_Toc15306267"/>
    </w:p>
    <w:p>
      <w:pPr>
        <w:pStyle w:val="2"/>
        <w:spacing w:before="93"/>
        <w:rPr>
          <w:rFonts w:ascii="Times New Roman" w:eastAsia="方正小标宋简体"/>
          <w:kern w:val="2"/>
          <w:sz w:val="72"/>
          <w:szCs w:val="72"/>
        </w:rPr>
      </w:pPr>
    </w:p>
    <w:p>
      <w:pPr>
        <w:pStyle w:val="2"/>
        <w:spacing w:before="93"/>
        <w:rPr>
          <w:rFonts w:ascii="Times New Roman" w:eastAsia="方正小标宋简体"/>
          <w:kern w:val="2"/>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2024年度</w:t>
      </w:r>
    </w:p>
    <w:p>
      <w:pPr>
        <w:adjustRightInd w:val="0"/>
        <w:snapToGrid w:val="0"/>
        <w:spacing w:line="360" w:lineRule="auto"/>
        <w:jc w:val="center"/>
        <w:outlineLvl w:val="0"/>
        <w:rPr>
          <w:rFonts w:hint="eastAsia" w:ascii="方正小标宋简体" w:eastAsia="方正小标宋简体" w:cs="方正小标宋简体"/>
          <w:sz w:val="72"/>
          <w:szCs w:val="72"/>
          <w:lang w:eastAsia="zh-CN"/>
        </w:rPr>
      </w:pPr>
      <w:r>
        <w:rPr>
          <w:rFonts w:hint="eastAsia" w:ascii="方正小标宋简体" w:eastAsia="方正小标宋简体" w:cs="方正小标宋简体"/>
          <w:sz w:val="72"/>
          <w:szCs w:val="72"/>
        </w:rPr>
        <w:t>金川县</w:t>
      </w:r>
      <w:r>
        <w:rPr>
          <w:rFonts w:hint="eastAsia" w:ascii="方正小标宋简体" w:eastAsia="方正小标宋简体" w:cs="方正小标宋简体"/>
          <w:sz w:val="72"/>
          <w:szCs w:val="72"/>
          <w:lang w:eastAsia="zh-CN"/>
        </w:rPr>
        <w:t>水务局</w:t>
      </w: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部门决算</w:t>
      </w:r>
    </w:p>
    <w:p>
      <w:pPr>
        <w:adjustRightInd w:val="0"/>
        <w:snapToGrid w:val="0"/>
        <w:spacing w:line="360" w:lineRule="auto"/>
        <w:jc w:val="center"/>
        <w:outlineLvl w:val="0"/>
        <w:rPr>
          <w:rFonts w:ascii="方正小标宋简体" w:eastAsia="方正小标宋简体"/>
          <w:sz w:val="52"/>
          <w:szCs w:val="52"/>
        </w:rPr>
      </w:pPr>
      <w:r>
        <w:rPr>
          <w:rFonts w:hint="eastAsia" w:ascii="方正小标宋简体" w:eastAsia="方正小标宋简体"/>
          <w:sz w:val="52"/>
          <w:szCs w:val="52"/>
        </w:rPr>
        <w:t>(部门公开)</w:t>
      </w:r>
    </w:p>
    <w:p>
      <w:pPr>
        <w:spacing w:line="600" w:lineRule="exact"/>
        <w:jc w:val="center"/>
        <w:outlineLvl w:val="0"/>
        <w:rPr>
          <w:rFonts w:eastAsia="方正小标宋简体"/>
          <w:sz w:val="72"/>
          <w:szCs w:val="72"/>
        </w:rPr>
      </w:pPr>
    </w:p>
    <w:p>
      <w:pPr>
        <w:pStyle w:val="24"/>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bookmarkStart w:id="80" w:name="_GoBack"/>
      <w:bookmarkEnd w:id="80"/>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公开时间：2025年8月</w:t>
      </w:r>
      <w:r>
        <w:rPr>
          <w:rFonts w:hint="eastAsia" w:ascii="Times New Roman" w:hAnsi="Times New Roman" w:eastAsia="仿宋_GB2312" w:cs="仿宋_GB2312"/>
          <w:sz w:val="32"/>
          <w:szCs w:val="32"/>
          <w:lang w:val="en-US" w:eastAsia="zh-CN"/>
        </w:rPr>
        <w:t>28</w:t>
      </w:r>
      <w:r>
        <w:rPr>
          <w:rFonts w:hint="eastAsia" w:ascii="Times New Roman" w:hAnsi="Times New Roman" w:eastAsia="仿宋_GB2312" w:cs="仿宋_GB2312"/>
          <w:sz w:val="32"/>
          <w:szCs w:val="32"/>
        </w:rPr>
        <w:t>日</w:t>
      </w:r>
    </w:p>
    <w:p/>
    <w:p>
      <w:pPr>
        <w:pStyle w:val="13"/>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pPr>
        <w:pStyle w:val="15"/>
        <w:tabs>
          <w:tab w:val="right" w:leader="middleDot" w:pos="7980"/>
        </w:tabs>
        <w:adjustRightInd w:val="0"/>
        <w:snapToGrid w:val="0"/>
        <w:spacing w:line="560" w:lineRule="exact"/>
        <w:ind w:left="0" w:leftChars="0"/>
        <w:jc w:val="left"/>
        <w:rPr>
          <w:rFonts w:hint="eastAsia" w:eastAsia="仿宋_GB2312" w:cs="仿宋_GB2312"/>
          <w:sz w:val="32"/>
          <w:szCs w:val="32"/>
        </w:rPr>
      </w:pPr>
      <w:r>
        <w:rPr>
          <w:rFonts w:hint="eastAsia" w:eastAsia="仿宋_GB2312" w:cs="仿宋_GB2312"/>
          <w:sz w:val="32"/>
          <w:szCs w:val="32"/>
        </w:rPr>
        <w:t>一、部门职责</w:t>
      </w:r>
      <w:r>
        <w:rPr>
          <w:rFonts w:hint="eastAsia" w:eastAsia="仿宋_GB2312" w:cs="仿宋_GB2312"/>
          <w:sz w:val="32"/>
          <w:szCs w:val="32"/>
        </w:rPr>
        <w:tab/>
      </w:r>
      <w:r>
        <w:rPr>
          <w:rFonts w:hint="eastAsia" w:eastAsia="仿宋_GB2312" w:cs="仿宋_GB2312"/>
          <w:sz w:val="32"/>
          <w:szCs w:val="32"/>
        </w:rPr>
        <w:t>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二、机构设置</w:t>
      </w:r>
      <w:r>
        <w:rPr>
          <w:rFonts w:hint="eastAsia" w:eastAsia="仿宋_GB2312" w:cs="仿宋_GB2312"/>
          <w:sz w:val="32"/>
          <w:szCs w:val="32"/>
        </w:rPr>
        <w:tab/>
      </w:r>
      <w:r>
        <w:rPr>
          <w:rFonts w:hint="eastAsia" w:eastAsia="仿宋_GB2312" w:cs="仿宋_GB2312"/>
          <w:sz w:val="32"/>
          <w:szCs w:val="32"/>
        </w:rPr>
        <w:t>4</w:t>
      </w:r>
    </w:p>
    <w:p>
      <w:pPr>
        <w:pStyle w:val="13"/>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rPr>
        <w:tab/>
      </w:r>
      <w:r>
        <w:rPr>
          <w:rFonts w:hint="eastAsia" w:ascii="Times New Roman" w:hAnsi="Times New Roman" w:eastAsia="黑体" w:cs="黑体"/>
          <w:sz w:val="32"/>
          <w:szCs w:val="32"/>
        </w:rPr>
        <w:t>6</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一、收入支出决算总体情况说明</w:t>
      </w:r>
      <w:r>
        <w:rPr>
          <w:rFonts w:hint="eastAsia" w:eastAsia="仿宋_GB2312" w:cs="仿宋_GB2312"/>
          <w:sz w:val="32"/>
          <w:szCs w:val="32"/>
        </w:rPr>
        <w:tab/>
      </w:r>
      <w:r>
        <w:rPr>
          <w:rFonts w:hint="eastAsia" w:eastAsia="仿宋_GB2312" w:cs="仿宋_GB2312"/>
          <w:sz w:val="32"/>
          <w:szCs w:val="32"/>
        </w:rPr>
        <w:t>6</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二、收入决算情况说明</w:t>
      </w:r>
      <w:r>
        <w:rPr>
          <w:rFonts w:hint="eastAsia" w:eastAsia="仿宋_GB2312" w:cs="仿宋_GB2312"/>
          <w:sz w:val="32"/>
          <w:szCs w:val="32"/>
        </w:rPr>
        <w:tab/>
      </w:r>
      <w:r>
        <w:rPr>
          <w:rFonts w:hint="eastAsia" w:eastAsia="仿宋_GB2312" w:cs="仿宋_GB2312"/>
          <w:sz w:val="32"/>
          <w:szCs w:val="32"/>
        </w:rPr>
        <w:t>6</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三、支出决算情况说明</w:t>
      </w:r>
      <w:r>
        <w:rPr>
          <w:rFonts w:hint="eastAsia" w:eastAsia="仿宋_GB2312" w:cs="仿宋_GB2312"/>
          <w:sz w:val="32"/>
          <w:szCs w:val="32"/>
        </w:rPr>
        <w:tab/>
      </w:r>
      <w:r>
        <w:rPr>
          <w:rFonts w:hint="eastAsia" w:eastAsia="仿宋_GB2312" w:cs="仿宋_GB2312"/>
          <w:sz w:val="32"/>
          <w:szCs w:val="32"/>
        </w:rPr>
        <w:t>7</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四、财政拨款收入支出决算总体情况说明</w:t>
      </w:r>
      <w:r>
        <w:rPr>
          <w:rFonts w:hint="eastAsia" w:eastAsia="仿宋_GB2312" w:cs="仿宋_GB2312"/>
          <w:sz w:val="32"/>
          <w:szCs w:val="32"/>
        </w:rPr>
        <w:tab/>
      </w:r>
      <w:r>
        <w:rPr>
          <w:rFonts w:hint="eastAsia" w:eastAsia="仿宋_GB2312" w:cs="仿宋_GB2312"/>
          <w:sz w:val="32"/>
          <w:szCs w:val="32"/>
        </w:rPr>
        <w:t>7</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hint="eastAsia" w:eastAsia="仿宋_GB2312" w:cs="仿宋_GB2312"/>
          <w:sz w:val="32"/>
          <w:szCs w:val="32"/>
        </w:rPr>
        <w:tab/>
      </w:r>
      <w:r>
        <w:rPr>
          <w:rFonts w:hint="eastAsia" w:eastAsia="仿宋_GB2312" w:cs="仿宋_GB2312"/>
          <w:sz w:val="32"/>
          <w:szCs w:val="32"/>
        </w:rPr>
        <w:t>8</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六、一般公共预算财政拨款基本支出决算情况说明</w:t>
      </w:r>
      <w:r>
        <w:rPr>
          <w:rFonts w:hint="eastAsia" w:eastAsia="仿宋_GB2312" w:cs="仿宋_GB2312"/>
          <w:sz w:val="32"/>
          <w:szCs w:val="32"/>
        </w:rPr>
        <w:tab/>
      </w:r>
      <w:r>
        <w:rPr>
          <w:rFonts w:hint="eastAsia" w:eastAsia="仿宋_GB2312" w:cs="仿宋_GB2312"/>
          <w:sz w:val="32"/>
          <w:szCs w:val="32"/>
        </w:rPr>
        <w:t>10</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七、财政拨款“三公”经费支出决算情况说明</w:t>
      </w:r>
      <w:r>
        <w:rPr>
          <w:rFonts w:hint="eastAsia" w:eastAsia="仿宋_GB2312" w:cs="仿宋_GB2312"/>
          <w:sz w:val="32"/>
          <w:szCs w:val="32"/>
        </w:rPr>
        <w:tab/>
      </w:r>
      <w:r>
        <w:rPr>
          <w:rFonts w:hint="eastAsia" w:eastAsia="仿宋_GB2312" w:cs="仿宋_GB2312"/>
          <w:sz w:val="32"/>
          <w:szCs w:val="32"/>
        </w:rPr>
        <w:t>10</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八、政府性基金预算支出决算情况说明</w:t>
      </w:r>
      <w:r>
        <w:rPr>
          <w:rFonts w:hint="eastAsia" w:eastAsia="仿宋_GB2312" w:cs="仿宋_GB2312"/>
          <w:sz w:val="32"/>
          <w:szCs w:val="32"/>
        </w:rPr>
        <w:tab/>
      </w:r>
      <w:r>
        <w:rPr>
          <w:rFonts w:hint="eastAsia" w:eastAsia="仿宋_GB2312" w:cs="仿宋_GB2312"/>
          <w:sz w:val="32"/>
          <w:szCs w:val="32"/>
        </w:rPr>
        <w:t>12</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九、国有资本经营预算支出决算情况说明</w:t>
      </w:r>
      <w:r>
        <w:rPr>
          <w:rFonts w:hint="eastAsia" w:eastAsia="仿宋_GB2312" w:cs="仿宋_GB2312"/>
          <w:sz w:val="32"/>
          <w:szCs w:val="32"/>
        </w:rPr>
        <w:tab/>
      </w:r>
      <w:r>
        <w:rPr>
          <w:rFonts w:hint="eastAsia" w:eastAsia="仿宋_GB2312" w:cs="仿宋_GB2312"/>
          <w:sz w:val="32"/>
          <w:szCs w:val="32"/>
        </w:rPr>
        <w:t>12</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十、其他重要事项的情况说明</w:t>
      </w:r>
      <w:r>
        <w:rPr>
          <w:rFonts w:hint="eastAsia" w:eastAsia="仿宋_GB2312" w:cs="仿宋_GB2312"/>
          <w:sz w:val="32"/>
          <w:szCs w:val="32"/>
        </w:rPr>
        <w:tab/>
      </w:r>
      <w:r>
        <w:rPr>
          <w:rFonts w:hint="eastAsia" w:eastAsia="仿宋_GB2312" w:cs="仿宋_GB2312"/>
          <w:sz w:val="32"/>
          <w:szCs w:val="32"/>
        </w:rPr>
        <w:t>12</w:t>
      </w:r>
    </w:p>
    <w:p>
      <w:pPr>
        <w:pStyle w:val="13"/>
        <w:tabs>
          <w:tab w:val="right" w:leader="middleDot" w:pos="7980"/>
        </w:tabs>
        <w:adjustRightInd w:val="0"/>
        <w:snapToGrid w:val="0"/>
        <w:spacing w:before="0" w:line="560" w:lineRule="exact"/>
        <w:jc w:val="left"/>
        <w:rPr>
          <w:rFonts w:hint="eastAsia" w:ascii="Times New Roman" w:hAnsi="Times New Roman" w:eastAsia="黑体" w:cs="黑体"/>
          <w:sz w:val="32"/>
          <w:szCs w:val="32"/>
          <w:lang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rPr>
        <w:tab/>
      </w:r>
      <w:r>
        <w:rPr>
          <w:rFonts w:hint="eastAsia" w:ascii="Times New Roman" w:hAnsi="Times New Roman" w:eastAsia="黑体" w:cs="黑体"/>
          <w:sz w:val="32"/>
          <w:szCs w:val="32"/>
        </w:rPr>
        <w:t>1</w:t>
      </w:r>
      <w:r>
        <w:rPr>
          <w:rFonts w:hint="eastAsia" w:ascii="Times New Roman" w:hAnsi="Times New Roman" w:eastAsia="黑体" w:cs="黑体"/>
          <w:sz w:val="32"/>
          <w:szCs w:val="32"/>
          <w:lang w:val="en-US" w:eastAsia="zh-CN"/>
        </w:rPr>
        <w:t>5</w:t>
      </w:r>
    </w:p>
    <w:p>
      <w:pPr>
        <w:pStyle w:val="13"/>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rPr>
        <w:tab/>
      </w:r>
      <w:r>
        <w:rPr>
          <w:rFonts w:hint="eastAsia" w:ascii="Times New Roman" w:hAnsi="Times New Roman" w:eastAsia="黑体" w:cs="黑体"/>
          <w:sz w:val="32"/>
          <w:szCs w:val="32"/>
        </w:rPr>
        <w:t>18</w:t>
      </w:r>
    </w:p>
    <w:p>
      <w:pPr>
        <w:pStyle w:val="13"/>
        <w:tabs>
          <w:tab w:val="right" w:leader="middleDot" w:pos="798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rPr>
        <w:tab/>
      </w:r>
      <w:r>
        <w:rPr>
          <w:rFonts w:hint="eastAsia" w:ascii="Times New Roman" w:hAnsi="Times New Roman" w:eastAsia="黑体" w:cs="黑体"/>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十一、国有资本经营预算财政拨款收入支出决算表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eastAsia" w:eastAsia="仿宋_GB2312" w:cs="仿宋_GB2312"/>
          <w:sz w:val="32"/>
          <w:szCs w:val="32"/>
        </w:rPr>
        <w:t>44</w:t>
      </w:r>
    </w:p>
    <w:p>
      <w:pPr>
        <w:pStyle w:val="15"/>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eastAsia" w:eastAsia="仿宋_GB2312" w:cs="仿宋_GB2312"/>
          <w:sz w:val="32"/>
          <w:szCs w:val="32"/>
        </w:rPr>
        <w:t>44</w:t>
      </w:r>
    </w:p>
    <w:p>
      <w:pPr>
        <w:widowControl/>
        <w:spacing w:line="560" w:lineRule="exact"/>
        <w:jc w:val="left"/>
        <w:rPr>
          <w:rFonts w:eastAsia="仿宋_GB2312" w:cs="仿宋_GB2312"/>
          <w:bCs/>
          <w:kern w:val="44"/>
          <w:sz w:val="32"/>
          <w:szCs w:val="32"/>
        </w:rPr>
      </w:pPr>
      <w:bookmarkStart w:id="6" w:name="_Toc15396599"/>
      <w:bookmarkStart w:id="7" w:name="_Toc15377196"/>
      <w:r>
        <w:rPr>
          <w:rFonts w:hint="eastAsia" w:eastAsia="仿宋_GB2312" w:cs="仿宋_GB2312"/>
          <w:b/>
          <w:sz w:val="32"/>
          <w:szCs w:val="32"/>
        </w:rPr>
        <w:br w:type="page"/>
      </w:r>
    </w:p>
    <w:p>
      <w:pPr>
        <w:pStyle w:val="3"/>
        <w:jc w:val="center"/>
        <w:rPr>
          <w:rFonts w:hint="eastAsia" w:ascii="方正小标宋_GBK" w:hAnsi="方正小标宋_GBK" w:eastAsia="方正小标宋_GBK" w:cs="方正小标宋_GBK"/>
          <w:bCs w:val="0"/>
        </w:rPr>
      </w:pPr>
      <w:r>
        <w:rPr>
          <w:rFonts w:hint="eastAsia" w:ascii="方正小标宋_GBK" w:hAnsi="方正小标宋_GBK" w:eastAsia="方正小标宋_GBK" w:cs="方正小标宋_GBK"/>
          <w:b w:val="0"/>
        </w:rPr>
        <w:t xml:space="preserve">第一部分  </w:t>
      </w:r>
      <w:r>
        <w:rPr>
          <w:rStyle w:val="32"/>
          <w:rFonts w:hint="eastAsia" w:ascii="方正小标宋_GBK" w:hAnsi="方正小标宋_GBK" w:eastAsia="方正小标宋_GBK" w:cs="方正小标宋_GBK"/>
          <w:b w:val="0"/>
          <w:bCs w:val="0"/>
        </w:rPr>
        <w:t>部门概况</w:t>
      </w:r>
      <w:bookmarkEnd w:id="6"/>
      <w:bookmarkEnd w:id="7"/>
    </w:p>
    <w:p>
      <w:pPr>
        <w:pStyle w:val="16"/>
        <w:spacing w:before="0" w:beforeAutospacing="0" w:after="0" w:afterAutospacing="0" w:line="400" w:lineRule="exact"/>
        <w:ind w:firstLine="480" w:firstLineChars="200"/>
        <w:rPr>
          <w:rFonts w:hint="eastAsia" w:ascii="方正黑体_GBK" w:hAnsi="方正黑体_GBK" w:eastAsia="方正黑体_GBK" w:cs="方正黑体_GBK"/>
          <w:b w:val="0"/>
        </w:rPr>
      </w:pPr>
      <w:r>
        <w:rPr>
          <w:rFonts w:hint="eastAsia" w:ascii="方正黑体_GBK" w:hAnsi="方正黑体_GBK" w:eastAsia="方正黑体_GBK" w:cs="方正黑体_GBK"/>
          <w:b w:val="0"/>
        </w:rPr>
        <w:t>部门职责</w:t>
      </w:r>
    </w:p>
    <w:p>
      <w:pPr>
        <w:pStyle w:val="16"/>
        <w:spacing w:before="0" w:beforeAutospacing="0" w:after="0" w:afterAutospacing="0" w:line="400" w:lineRule="exact"/>
        <w:ind w:firstLine="560" w:firstLineChars="200"/>
        <w:rPr>
          <w:rFonts w:hint="eastAsia" w:ascii="仿宋_GB2312" w:hAnsi="仿宋_GB2312" w:eastAsia="仿宋_GB2312" w:cs="Arial"/>
          <w:sz w:val="32"/>
          <w:szCs w:val="32"/>
        </w:rPr>
      </w:pPr>
      <w:r>
        <w:rPr>
          <w:rFonts w:hint="eastAsia" w:ascii="仿宋_GB2312" w:eastAsia="仿宋_GB2312"/>
          <w:color w:val="333333"/>
          <w:sz w:val="28"/>
          <w:szCs w:val="28"/>
        </w:rPr>
        <w:t>（1）</w:t>
      </w:r>
      <w:r>
        <w:rPr>
          <w:rFonts w:hint="eastAsia" w:ascii="仿宋_GB2312" w:hAnsi="仿宋_GB2312" w:eastAsia="仿宋_GB2312" w:cs="Arial"/>
          <w:sz w:val="32"/>
          <w:szCs w:val="32"/>
        </w:rPr>
        <w:t>贯彻执行国家、省、州有关水行政管理工作的方针、政策和法律、法规，研究制定配套的适合县情的实施办法和规范性文件，并监督实施；负责保障水资源的合理开发利用，组织编制全县重要江河的流域综合规划、防洪规划等重大水利规划；制定水利、水产发展目标和水利工程建设有关制度并组织实施。</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2）统一管理全县水资源，拟定节约用水政策，负责生活、生产经营和生态环境用水的统筹兼顾和保障。实施水资源的统一监督管理，拟订全县和跨县水中长期供求规划、水量分配方案、计划用水、节约用水规划，制定和贯彻用水标准，指导和推动节水型社会建设工作；组织开展水资源调查评价工作；组织实施取水许可、水资源有偿使用制度和水资源论证、防洪论证、水土保持论证制度；指导全县水文水资源监测，发布水资源公报。</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3）负责水资源保护工作。组织编制水资源保护和水源地保护规划，组织拟订重要江河的水功能区划并监督实施，核定水域纳污能力，提出限制排污总量建议。指导饮用水水源保护和建设项目排污口设置工作，指导地下水开发利用和城市规划区地下水资源保护管理工作。</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（4）负责防治水旱灾害，承担县政府防汛抗旱指挥部的具体工作。组织、协调、监督、指挥全县防汛抗旱工作，编制全县防汛抗旱应急预案并组织实施，指导水利突发公共事件应急管理工作。</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5）按照管理权限，编制、审查全县水利基本建设项目建议书和可行性研究报告；初审、转报水利基本建设项目初步设计；指导水利设施、水域的管理与保护，指导全县重要江河、湖泊、水库、滩涂的治理和开发，指导水利工程建设与运行管理，组织实施具有控制性或跨县重要水利工程建设与运行管理，负责河道采砂的统一监督管理工作。</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6）负责防治水土流失。拟订水土保持规划并监督实施，组织实施全县水土流失的综合防治、监测预报，负责有关重大建设项目水土保持方案的审批、监督实施及水土保持设施的验收工作，指导重点水土保持建设项目的实施。</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7）指导农村水利工作。组织协调全县农田水利基本建设，指导农村饮水安全、节水灌溉等工程建设与管理工作，协调牧区水利工作，指导农村水利社会化服务体系建设。按规定指导农村水能资源开发工作；指导水电农村电气化、小水电代燃料和农网建设改造工作。</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8）负责重大涉水违法事件的查处，协调、仲裁跨县或部门间水事纠纷，指导水政监察和水行政执法。负责水利建设工程项目的招标投标活动的监督执法。依法负责水利行业安全生产工作，组织、指导水库大坝、水电站大坝等水利工程的安全监管，组织实施水利工程建设的监督和定额管理。承担水利统计工作。</w:t>
      </w:r>
    </w:p>
    <w:p>
      <w:pPr>
        <w:pStyle w:val="16"/>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（9）拟订水利行业经济调节措施，对全县水利资金的使用、管理进行宏观调节、监督、审计；提出水利价格、税收、信贷、财务等经济调节意见，承担县级和指导各县水利国有资产的管理。</w:t>
      </w:r>
    </w:p>
    <w:p>
      <w:pPr>
        <w:widowControl/>
        <w:spacing w:line="400" w:lineRule="exact"/>
        <w:ind w:firstLine="630" w:firstLineChars="197"/>
        <w:jc w:val="left"/>
        <w:rPr>
          <w:rFonts w:hint="eastAsia" w:ascii="仿宋_GB2312" w:hAnsi="仿宋_GB2312" w:eastAsia="仿宋_GB2312" w:cs="Arial"/>
          <w:kern w:val="0"/>
          <w:sz w:val="32"/>
          <w:szCs w:val="32"/>
        </w:rPr>
      </w:pPr>
      <w:r>
        <w:rPr>
          <w:rFonts w:hint="eastAsia" w:ascii="仿宋_GB2312" w:hAnsi="仿宋_GB2312" w:eastAsia="仿宋_GB2312" w:cs="Arial"/>
          <w:kern w:val="0"/>
          <w:sz w:val="32"/>
          <w:szCs w:val="32"/>
        </w:rPr>
        <w:t>（10）负责全县水利科技和合作交流工作。组织开展水利行业质量监督工作，贯彻水利行业的技术标准、规程规范，组织水利科学研究、技术推广和成果管理；指导全县水利行业队伍和服务体系建设，组织水利行业教育培训、职称评定和思想政治工作。</w:t>
      </w:r>
    </w:p>
    <w:p>
      <w:pPr>
        <w:widowControl/>
        <w:spacing w:line="400" w:lineRule="exact"/>
        <w:ind w:firstLine="630" w:firstLineChars="197"/>
        <w:jc w:val="left"/>
        <w:rPr>
          <w:rFonts w:hint="eastAsia" w:ascii="仿宋_GB2312" w:hAnsi="仿宋_GB2312" w:eastAsia="仿宋_GB2312" w:cs="宋体"/>
          <w:kern w:val="0"/>
          <w:sz w:val="32"/>
          <w:szCs w:val="32"/>
        </w:rPr>
      </w:pPr>
      <w:r>
        <w:rPr>
          <w:rFonts w:hint="eastAsia" w:ascii="仿宋_GB2312" w:hAnsi="仿宋_GB2312" w:eastAsia="仿宋_GB2312" w:cs="Arial"/>
          <w:kern w:val="0"/>
          <w:sz w:val="32"/>
          <w:szCs w:val="32"/>
        </w:rPr>
        <w:t>（11）</w:t>
      </w:r>
      <w:r>
        <w:rPr>
          <w:rFonts w:hint="eastAsia" w:ascii="仿宋_GB2312" w:hAnsi="仿宋_GB2312" w:eastAsia="仿宋_GB2312" w:cs="宋体"/>
          <w:kern w:val="0"/>
          <w:sz w:val="32"/>
          <w:szCs w:val="32"/>
        </w:rPr>
        <w:t>承担县政府公布的有关行政审批事项。</w:t>
      </w:r>
    </w:p>
    <w:p>
      <w:pPr>
        <w:pStyle w:val="4"/>
        <w:numPr>
          <w:ilvl w:val="0"/>
          <w:numId w:val="0"/>
        </w:numPr>
        <w:ind w:leftChars="0" w:firstLine="640" w:firstLineChars="200"/>
        <w:rPr>
          <w:rFonts w:hint="eastAsia" w:ascii="方正黑体_GBK" w:hAnsi="方正黑体_GBK" w:eastAsia="方正黑体_GBK" w:cs="方正黑体_GBK"/>
          <w:b w:val="0"/>
        </w:rPr>
      </w:pPr>
      <w:r>
        <w:rPr>
          <w:rFonts w:hint="eastAsia" w:ascii="仿宋_GB2312" w:hAnsi="仿宋_GB2312" w:eastAsia="仿宋_GB2312" w:cs="Arial"/>
          <w:b w:val="0"/>
          <w:bCs w:val="0"/>
          <w:kern w:val="0"/>
          <w:sz w:val="32"/>
          <w:szCs w:val="32"/>
          <w:lang w:val="en-US" w:eastAsia="zh-CN" w:bidi="ar-SA"/>
        </w:rPr>
        <w:t>（12）承办县政府交办的其他事项。</w:t>
      </w:r>
    </w:p>
    <w:p>
      <w:pPr>
        <w:pStyle w:val="4"/>
        <w:numPr>
          <w:ilvl w:val="0"/>
          <w:numId w:val="1"/>
        </w:numPr>
        <w:rPr>
          <w:rFonts w:hint="eastAsia" w:ascii="方正黑体_GBK" w:hAnsi="方正黑体_GBK" w:eastAsia="方正黑体_GBK" w:cs="方正黑体_GBK"/>
          <w:b w:val="0"/>
        </w:rPr>
      </w:pPr>
      <w:bookmarkStart w:id="8" w:name="_Toc15396601"/>
      <w:bookmarkStart w:id="9" w:name="_Toc15377200"/>
      <w:r>
        <w:rPr>
          <w:rFonts w:hint="eastAsia" w:ascii="方正黑体_GBK" w:hAnsi="方正黑体_GBK" w:eastAsia="方正黑体_GBK" w:cs="方正黑体_GBK"/>
          <w:b w:val="0"/>
        </w:rPr>
        <w:t>机构设置</w:t>
      </w:r>
      <w:bookmarkEnd w:id="8"/>
      <w:bookmarkEnd w:id="9"/>
    </w:p>
    <w:p>
      <w:pPr>
        <w:pStyle w:val="2"/>
        <w:adjustRightInd w:val="0"/>
        <w:snapToGrid w:val="0"/>
        <w:spacing w:before="93" w:line="600" w:lineRule="exact"/>
        <w:outlineLvl w:val="2"/>
        <w:rPr>
          <w:rFonts w:ascii="Times New Roman" w:cs="仿宋_GB2312"/>
          <w:sz w:val="32"/>
          <w:szCs w:val="32"/>
        </w:rPr>
      </w:pP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2．机构情况：</w:t>
      </w:r>
    </w:p>
    <w:p>
      <w:pPr>
        <w:snapToGrid w:val="0"/>
        <w:spacing w:line="540" w:lineRule="atLeast"/>
        <w:ind w:firstLine="640" w:firstLineChars="200"/>
        <w:rPr>
          <w:rFonts w:hint="eastAsia" w:ascii="仿宋_GB2312" w:hAnsi="宋体" w:eastAsia="仿宋_GB2312" w:cs="宋体"/>
          <w:color w:val="333333"/>
          <w:kern w:val="0"/>
          <w:sz w:val="28"/>
          <w:szCs w:val="28"/>
          <w:lang w:val="zh-CN"/>
        </w:rPr>
      </w:pPr>
      <w:r>
        <w:rPr>
          <w:rFonts w:hint="eastAsia" w:ascii="仿宋_GB2312" w:hAnsi="仿宋_GB2312" w:eastAsia="仿宋_GB2312" w:cs="Arial"/>
          <w:kern w:val="0"/>
          <w:sz w:val="32"/>
          <w:szCs w:val="32"/>
          <w:lang w:val="zh-CN" w:eastAsia="zh-CN" w:bidi="ar-SA"/>
        </w:rPr>
        <w:t>我单位纳入本部门决算汇编范围的独立核算单位共</w:t>
      </w:r>
      <w:r>
        <w:rPr>
          <w:rFonts w:hint="eastAsia" w:ascii="仿宋_GB2312" w:hAnsi="仿宋_GB2312" w:eastAsia="仿宋_GB2312" w:cs="Arial"/>
          <w:kern w:val="0"/>
          <w:sz w:val="32"/>
          <w:szCs w:val="32"/>
          <w:lang w:val="en-US" w:eastAsia="zh-CN" w:bidi="ar-SA"/>
        </w:rPr>
        <w:t>1</w:t>
      </w:r>
      <w:r>
        <w:rPr>
          <w:rFonts w:hint="eastAsia" w:ascii="仿宋_GB2312" w:hAnsi="仿宋_GB2312" w:eastAsia="仿宋_GB2312" w:cs="Arial"/>
          <w:kern w:val="0"/>
          <w:sz w:val="32"/>
          <w:szCs w:val="32"/>
          <w:lang w:val="zh-CN" w:eastAsia="zh-CN" w:bidi="ar-SA"/>
        </w:rPr>
        <w:t>个，无增减变动。</w:t>
      </w:r>
    </w:p>
    <w:p>
      <w:pPr>
        <w:snapToGrid w:val="0"/>
        <w:spacing w:line="540" w:lineRule="atLeast"/>
        <w:ind w:firstLine="640" w:firstLineChars="200"/>
        <w:rPr>
          <w:rFonts w:hint="eastAsia" w:ascii="仿宋_GB2312" w:hAnsi="仿宋" w:eastAsia="仿宋_GB2312"/>
          <w:sz w:val="32"/>
          <w:szCs w:val="32"/>
        </w:rPr>
      </w:pPr>
      <w:r>
        <w:rPr>
          <w:rFonts w:hint="eastAsia" w:ascii="仿宋_GB2312" w:hAnsi="仿宋" w:eastAsia="仿宋_GB2312"/>
          <w:sz w:val="32"/>
          <w:szCs w:val="32"/>
        </w:rPr>
        <w:t>3．人员情况：</w:t>
      </w:r>
    </w:p>
    <w:p>
      <w:pPr>
        <w:snapToGrid w:val="0"/>
        <w:spacing w:line="520" w:lineRule="exact"/>
        <w:ind w:firstLine="640" w:firstLineChars="200"/>
        <w:rPr>
          <w:rFonts w:hint="default" w:ascii="仿宋_GB2312" w:hAnsi="仿宋_GB2312" w:eastAsia="仿宋_GB2312" w:cs="Arial"/>
          <w:color w:val="auto"/>
          <w:kern w:val="0"/>
          <w:sz w:val="32"/>
          <w:szCs w:val="32"/>
          <w:lang w:val="en-US" w:eastAsia="zh-CN" w:bidi="ar-SA"/>
        </w:rPr>
      </w:pPr>
      <w:r>
        <w:rPr>
          <w:rFonts w:hint="eastAsia" w:ascii="仿宋_GB2312" w:eastAsia="仿宋_GB2312"/>
          <w:color w:val="auto"/>
          <w:sz w:val="32"/>
          <w:szCs w:val="32"/>
          <w:lang w:eastAsia="zh-CN"/>
        </w:rPr>
        <w:t>金川县水务局</w:t>
      </w:r>
      <w:r>
        <w:rPr>
          <w:rFonts w:hint="eastAsia" w:ascii="仿宋_GB2312" w:eastAsia="仿宋_GB2312"/>
          <w:color w:val="auto"/>
          <w:sz w:val="32"/>
          <w:szCs w:val="32"/>
        </w:rPr>
        <w:t>是</w:t>
      </w:r>
      <w:r>
        <w:rPr>
          <w:rFonts w:hint="eastAsia" w:ascii="仿宋_GB2312" w:eastAsia="仿宋_GB2312"/>
          <w:bCs/>
          <w:color w:val="auto"/>
          <w:sz w:val="32"/>
          <w:szCs w:val="32"/>
        </w:rPr>
        <w:t>政府组成部门，</w:t>
      </w:r>
      <w:r>
        <w:rPr>
          <w:rFonts w:hint="eastAsia" w:ascii="仿宋_GB2312" w:eastAsia="仿宋_GB2312"/>
          <w:color w:val="auto"/>
          <w:sz w:val="32"/>
          <w:szCs w:val="32"/>
        </w:rPr>
        <w:t>核算机构1个，</w:t>
      </w:r>
      <w:r>
        <w:rPr>
          <w:rFonts w:hint="eastAsia" w:ascii="仿宋_GB2312" w:hAnsi="仿宋_GB2312" w:eastAsia="仿宋_GB2312" w:cs="Arial"/>
          <w:color w:val="auto"/>
          <w:kern w:val="0"/>
          <w:sz w:val="32"/>
          <w:szCs w:val="32"/>
          <w:lang w:val="zh-CN" w:eastAsia="zh-CN" w:bidi="ar-SA"/>
        </w:rPr>
        <w:t>我单位在职职工</w:t>
      </w:r>
      <w:r>
        <w:rPr>
          <w:rFonts w:hint="eastAsia" w:ascii="仿宋_GB2312" w:hAnsi="仿宋_GB2312" w:eastAsia="仿宋_GB2312" w:cs="Arial"/>
          <w:color w:val="auto"/>
          <w:kern w:val="0"/>
          <w:sz w:val="32"/>
          <w:szCs w:val="32"/>
          <w:lang w:val="en-US" w:eastAsia="zh-CN" w:bidi="ar-SA"/>
        </w:rPr>
        <w:t>30人，其中</w:t>
      </w:r>
      <w:r>
        <w:rPr>
          <w:rFonts w:hint="eastAsia" w:ascii="仿宋_GB2312" w:hAnsi="仿宋_GB2312" w:eastAsia="仿宋_GB2312" w:cs="Arial"/>
          <w:color w:val="auto"/>
          <w:kern w:val="0"/>
          <w:sz w:val="32"/>
          <w:szCs w:val="32"/>
          <w:lang w:val="zh-CN" w:eastAsia="zh-CN" w:bidi="ar-SA"/>
        </w:rPr>
        <w:t>行政人员</w:t>
      </w:r>
      <w:r>
        <w:rPr>
          <w:rFonts w:hint="eastAsia" w:ascii="仿宋_GB2312" w:hAnsi="仿宋_GB2312" w:eastAsia="仿宋_GB2312" w:cs="Arial"/>
          <w:color w:val="auto"/>
          <w:kern w:val="0"/>
          <w:sz w:val="32"/>
          <w:szCs w:val="32"/>
          <w:lang w:val="en-US" w:eastAsia="zh-CN" w:bidi="ar-SA"/>
        </w:rPr>
        <w:t>6</w:t>
      </w:r>
      <w:r>
        <w:rPr>
          <w:rFonts w:hint="eastAsia" w:ascii="仿宋_GB2312" w:hAnsi="仿宋_GB2312" w:eastAsia="仿宋_GB2312" w:cs="Arial"/>
          <w:color w:val="auto"/>
          <w:kern w:val="0"/>
          <w:sz w:val="32"/>
          <w:szCs w:val="32"/>
          <w:lang w:val="zh-CN" w:eastAsia="zh-CN" w:bidi="ar-SA"/>
        </w:rPr>
        <w:t>名，行政工勤</w:t>
      </w:r>
      <w:r>
        <w:rPr>
          <w:rFonts w:hint="eastAsia" w:ascii="仿宋_GB2312" w:hAnsi="仿宋_GB2312" w:eastAsia="仿宋_GB2312" w:cs="Arial"/>
          <w:color w:val="auto"/>
          <w:kern w:val="0"/>
          <w:sz w:val="32"/>
          <w:szCs w:val="32"/>
          <w:lang w:val="en-US" w:eastAsia="zh-CN" w:bidi="ar-SA"/>
        </w:rPr>
        <w:t>1人，事业技术人员23人.</w:t>
      </w: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hint="eastAsia" w:ascii="Times New Roman" w:cs="仿宋_GB2312"/>
          <w:sz w:val="32"/>
          <w:szCs w:val="32"/>
        </w:rPr>
      </w:pPr>
    </w:p>
    <w:p>
      <w:pPr>
        <w:pStyle w:val="2"/>
        <w:adjustRightInd w:val="0"/>
        <w:snapToGrid w:val="0"/>
        <w:spacing w:before="93" w:line="600" w:lineRule="exact"/>
        <w:outlineLvl w:val="2"/>
        <w:rPr>
          <w:rFonts w:hint="eastAsia"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2"/>
        <w:adjustRightInd w:val="0"/>
        <w:snapToGrid w:val="0"/>
        <w:spacing w:before="93" w:line="600" w:lineRule="exact"/>
        <w:outlineLvl w:val="2"/>
        <w:rPr>
          <w:rFonts w:ascii="Times New Roman" w:cs="仿宋_GB2312"/>
          <w:sz w:val="32"/>
          <w:szCs w:val="32"/>
        </w:rPr>
      </w:pPr>
    </w:p>
    <w:p>
      <w:pPr>
        <w:pStyle w:val="3"/>
        <w:jc w:val="center"/>
        <w:rPr>
          <w:rFonts w:hint="eastAsia" w:ascii="方正小标宋_GBK" w:hAnsi="方正小标宋_GBK" w:eastAsia="方正小标宋_GBK" w:cs="方正小标宋_GBK"/>
          <w:b w:val="0"/>
        </w:rPr>
      </w:pPr>
      <w:bookmarkStart w:id="10" w:name="_Toc15377204"/>
      <w:bookmarkStart w:id="11" w:name="_Toc15396602"/>
      <w:r>
        <w:rPr>
          <w:rFonts w:hint="eastAsia" w:ascii="方正小标宋_GBK" w:hAnsi="方正小标宋_GBK" w:eastAsia="方正小标宋_GBK" w:cs="方正小标宋_GBK"/>
          <w:b w:val="0"/>
        </w:rPr>
        <w:t>第二部分  2024年度部门决算情况说明</w:t>
      </w:r>
      <w:bookmarkEnd w:id="10"/>
      <w:bookmarkEnd w:id="11"/>
    </w:p>
    <w:p/>
    <w:p>
      <w:pPr>
        <w:pStyle w:val="31"/>
        <w:spacing w:line="600" w:lineRule="exact"/>
        <w:ind w:firstLine="640"/>
        <w:outlineLvl w:val="1"/>
        <w:rPr>
          <w:rStyle w:val="33"/>
          <w:rFonts w:hint="eastAsia" w:ascii="方正黑体_GBK" w:hAnsi="方正黑体_GBK" w:eastAsia="方正黑体_GBK" w:cs="方正黑体_GBK"/>
          <w:b w:val="0"/>
        </w:rPr>
      </w:pPr>
      <w:bookmarkStart w:id="12" w:name="_Toc15396603"/>
      <w:bookmarkStart w:id="13" w:name="_Toc15377205"/>
      <w:r>
        <w:rPr>
          <w:rFonts w:hint="eastAsia" w:ascii="方正黑体_GBK" w:hAnsi="方正黑体_GBK" w:eastAsia="方正黑体_GBK" w:cs="方正黑体_GBK"/>
          <w:sz w:val="32"/>
          <w:szCs w:val="32"/>
        </w:rPr>
        <w:t>一、收</w:t>
      </w:r>
      <w:r>
        <w:rPr>
          <w:rStyle w:val="33"/>
          <w:rFonts w:hint="eastAsia" w:ascii="方正黑体_GBK" w:hAnsi="方正黑体_GBK" w:eastAsia="方正黑体_GBK" w:cs="方正黑体_GBK"/>
          <w:b w:val="0"/>
        </w:rPr>
        <w:t>入支出决算总体情况说明</w:t>
      </w:r>
      <w:bookmarkEnd w:id="12"/>
      <w:bookmarkEnd w:id="13"/>
    </w:p>
    <w:p>
      <w:pPr>
        <w:pStyle w:val="31"/>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2024年度收入、支出总计均为</w:t>
      </w:r>
      <w:r>
        <w:rPr>
          <w:rFonts w:hint="eastAsia" w:ascii="仿宋_GB2312" w:eastAsia="仿宋_GB2312"/>
          <w:color w:val="000000"/>
          <w:spacing w:val="-2"/>
          <w:kern w:val="2"/>
          <w:sz w:val="32"/>
          <w:szCs w:val="32"/>
          <w:lang w:val="en-US" w:eastAsia="zh-CN" w:bidi="ar-SA"/>
        </w:rPr>
        <w:t>10003.41</w:t>
      </w:r>
      <w:r>
        <w:rPr>
          <w:rFonts w:hint="eastAsia" w:eastAsia="仿宋_GB2312" w:cs="仿宋_GB2312"/>
          <w:sz w:val="32"/>
          <w:szCs w:val="32"/>
        </w:rPr>
        <w:t>万元。与2023年度相比，收入、支出总计各</w:t>
      </w:r>
      <w:r>
        <w:rPr>
          <w:rFonts w:hint="eastAsia" w:eastAsia="仿宋_GB2312" w:cs="仿宋_GB2312"/>
          <w:sz w:val="32"/>
          <w:szCs w:val="32"/>
          <w:lang w:eastAsia="zh-CN"/>
        </w:rPr>
        <w:t>增加</w:t>
      </w:r>
      <w:r>
        <w:rPr>
          <w:rFonts w:hint="eastAsia" w:ascii="仿宋_GB2312" w:eastAsia="仿宋_GB2312"/>
          <w:color w:val="000000"/>
          <w:spacing w:val="-2"/>
          <w:kern w:val="2"/>
          <w:sz w:val="32"/>
          <w:szCs w:val="32"/>
          <w:lang w:val="en-US" w:eastAsia="zh-CN" w:bidi="ar-SA"/>
        </w:rPr>
        <w:t>4020.97</w:t>
      </w:r>
      <w:r>
        <w:rPr>
          <w:rFonts w:hint="eastAsia" w:eastAsia="仿宋_GB2312" w:cs="仿宋_GB2312"/>
          <w:sz w:val="32"/>
          <w:szCs w:val="32"/>
        </w:rPr>
        <w:t>万元，</w:t>
      </w:r>
      <w:r>
        <w:rPr>
          <w:rFonts w:hint="eastAsia" w:eastAsia="仿宋_GB2312" w:cs="仿宋_GB2312"/>
          <w:sz w:val="32"/>
          <w:szCs w:val="32"/>
          <w:lang w:eastAsia="zh-CN"/>
        </w:rPr>
        <w:t>增长</w:t>
      </w:r>
      <w:r>
        <w:rPr>
          <w:rFonts w:hint="eastAsia" w:eastAsia="仿宋_GB2312" w:cs="仿宋_GB2312"/>
          <w:sz w:val="32"/>
          <w:szCs w:val="32"/>
          <w:lang w:val="en-US" w:eastAsia="zh-CN"/>
        </w:rPr>
        <w:t>40</w:t>
      </w:r>
      <w:r>
        <w:rPr>
          <w:rFonts w:hint="eastAsia" w:eastAsia="仿宋_GB2312" w:cs="仿宋_GB2312"/>
          <w:sz w:val="32"/>
          <w:szCs w:val="32"/>
        </w:rPr>
        <w:t>%。主要变动原因是</w:t>
      </w:r>
      <w:r>
        <w:rPr>
          <w:rFonts w:hint="eastAsia" w:eastAsia="仿宋_GB2312" w:cs="仿宋_GB2312"/>
          <w:sz w:val="32"/>
          <w:szCs w:val="32"/>
          <w:lang w:eastAsia="zh-CN"/>
        </w:rPr>
        <w:t>我单位项目增加。</w:t>
      </w:r>
    </w:p>
    <w:p>
      <w:pPr>
        <w:ind w:firstLine="640" w:firstLineChars="200"/>
        <w:rPr>
          <w:rFonts w:eastAsia="仿宋_GB2312" w:cs="仿宋_GB2312"/>
          <w:sz w:val="32"/>
          <w:szCs w:val="32"/>
        </w:rPr>
      </w:pPr>
      <w:r>
        <w:rPr>
          <w:rFonts w:eastAsia="仿宋_GB2312" w:cs="仿宋_GB2312"/>
          <w:sz w:val="32"/>
          <w:szCs w:val="32"/>
        </w:rPr>
        <w:drawing>
          <wp:inline distT="0" distB="0" distL="0" distR="0">
            <wp:extent cx="4572000" cy="2743200"/>
            <wp:effectExtent l="4445" t="4445" r="1079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1"/>
        <w:spacing w:line="600" w:lineRule="exact"/>
        <w:ind w:firstLine="640"/>
        <w:outlineLvl w:val="1"/>
        <w:rPr>
          <w:rFonts w:hint="eastAsia" w:ascii="方正黑体_GBK" w:hAnsi="方正黑体_GBK" w:eastAsia="方正黑体_GBK" w:cs="方正黑体_GBK"/>
          <w:sz w:val="32"/>
          <w:szCs w:val="32"/>
        </w:rPr>
      </w:pPr>
      <w:bookmarkStart w:id="14" w:name="_Toc15377206"/>
      <w:bookmarkStart w:id="15" w:name="_Toc15396604"/>
      <w:r>
        <w:rPr>
          <w:rFonts w:hint="eastAsia" w:ascii="方正黑体_GBK" w:hAnsi="方正黑体_GBK" w:eastAsia="方正黑体_GBK" w:cs="方正黑体_GBK"/>
          <w:sz w:val="32"/>
          <w:szCs w:val="32"/>
        </w:rPr>
        <w:t>二、收入决算情况说明</w:t>
      </w:r>
      <w:bookmarkEnd w:id="14"/>
      <w:bookmarkEnd w:id="15"/>
    </w:p>
    <w:p>
      <w:pPr>
        <w:pStyle w:val="31"/>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w:t>
      </w:r>
      <w:r>
        <w:rPr>
          <w:rFonts w:hint="eastAsia" w:ascii="仿宋_GB2312" w:hAnsi="仿宋_GB2312" w:eastAsia="仿宋_GB2312" w:cs="仿宋_GB2312"/>
          <w:sz w:val="32"/>
          <w:szCs w:val="32"/>
          <w:lang w:val="en-US" w:eastAsia="zh-CN"/>
        </w:rPr>
        <w:t>10003.41</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10003.41</w:t>
      </w:r>
      <w:r>
        <w:rPr>
          <w:rFonts w:hint="eastAsia" w:ascii="仿宋_GB2312" w:hAnsi="仿宋_GB2312" w:eastAsia="仿宋_GB2312" w:cs="仿宋_GB2312"/>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p>
    <w:p>
      <w:pPr>
        <w:ind w:firstLine="800" w:firstLineChars="250"/>
        <w:rPr>
          <w:rFonts w:eastAsia="仿宋_GB2312" w:cs="仿宋_GB2312"/>
          <w:sz w:val="32"/>
          <w:szCs w:val="32"/>
        </w:rPr>
      </w:pPr>
      <w:r>
        <w:rPr>
          <w:rFonts w:eastAsia="仿宋_GB2312" w:cs="仿宋_GB2312"/>
          <w:sz w:val="32"/>
          <w:szCs w:val="32"/>
        </w:rPr>
        <w:drawing>
          <wp:inline distT="0" distB="0" distL="0" distR="0">
            <wp:extent cx="4572000" cy="2743200"/>
            <wp:effectExtent l="19050" t="0" r="190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1"/>
        <w:spacing w:line="600" w:lineRule="exact"/>
        <w:ind w:firstLine="640"/>
        <w:outlineLvl w:val="1"/>
        <w:rPr>
          <w:rFonts w:hint="eastAsia" w:ascii="方正黑体_GBK" w:hAnsi="方正黑体_GBK" w:eastAsia="方正黑体_GBK" w:cs="方正黑体_GBK"/>
          <w:sz w:val="32"/>
          <w:szCs w:val="32"/>
        </w:rPr>
      </w:pPr>
      <w:bookmarkStart w:id="16" w:name="_Toc15396605"/>
      <w:bookmarkStart w:id="17" w:name="_Toc15377207"/>
      <w:r>
        <w:rPr>
          <w:rFonts w:hint="eastAsia" w:ascii="方正黑体_GBK" w:hAnsi="方正黑体_GBK" w:eastAsia="方正黑体_GBK" w:cs="方正黑体_GBK"/>
          <w:sz w:val="32"/>
          <w:szCs w:val="32"/>
        </w:rPr>
        <w:t>三、支出决算情况说明</w:t>
      </w:r>
      <w:bookmarkEnd w:id="16"/>
      <w:bookmarkEnd w:id="17"/>
    </w:p>
    <w:p>
      <w:pPr>
        <w:pStyle w:val="31"/>
        <w:spacing w:line="600" w:lineRule="exact"/>
        <w:ind w:firstLine="640"/>
        <w:jc w:val="left"/>
        <w:outlineLvl w:val="1"/>
        <w:rPr>
          <w:rFonts w:eastAsia="仿宋_GB2312" w:cs="仿宋_GB2312"/>
          <w:sz w:val="32"/>
          <w:szCs w:val="32"/>
        </w:rPr>
      </w:pPr>
      <w:r>
        <w:rPr>
          <w:rFonts w:hint="eastAsia" w:ascii="仿宋_GB2312" w:hAnsi="仿宋_GB2312" w:eastAsia="仿宋_GB2312" w:cs="仿宋_GB2312"/>
          <w:sz w:val="32"/>
          <w:szCs w:val="32"/>
        </w:rPr>
        <w:t>2024年度本年支出合计1</w:t>
      </w:r>
      <w:r>
        <w:rPr>
          <w:rFonts w:hint="eastAsia" w:ascii="仿宋_GB2312" w:hAnsi="仿宋_GB2312" w:eastAsia="仿宋_GB2312" w:cs="仿宋_GB2312"/>
          <w:sz w:val="32"/>
          <w:szCs w:val="32"/>
          <w:lang w:val="en-US" w:eastAsia="zh-CN"/>
        </w:rPr>
        <w:t>0003.41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694.89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%；项目支出</w:t>
      </w:r>
      <w:r>
        <w:rPr>
          <w:rFonts w:hint="eastAsia" w:ascii="仿宋" w:eastAsia="仿宋"/>
          <w:color w:val="000000"/>
          <w:sz w:val="32"/>
          <w:szCs w:val="32"/>
          <w:lang w:val="en-US" w:eastAsia="zh-CN"/>
        </w:rPr>
        <w:t>9308.51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%；上缴上级支出0万元，占0%；经营支出0万元，占0%；对附属单位补助支出0万元，占0%%。</w:t>
      </w:r>
    </w:p>
    <w:p>
      <w:pPr>
        <w:ind w:firstLine="800" w:firstLineChars="250"/>
        <w:rPr>
          <w:rFonts w:eastAsia="仿宋_GB2312" w:cs="仿宋_GB2312"/>
          <w:sz w:val="32"/>
          <w:szCs w:val="32"/>
        </w:rPr>
      </w:pPr>
      <w:r>
        <w:rPr>
          <w:rFonts w:eastAsia="仿宋_GB2312" w:cs="仿宋_GB2312"/>
          <w:sz w:val="32"/>
          <w:szCs w:val="32"/>
        </w:rPr>
        <w:drawing>
          <wp:inline distT="0" distB="0" distL="0" distR="0">
            <wp:extent cx="4572000" cy="2743200"/>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31"/>
        <w:spacing w:line="600" w:lineRule="exact"/>
        <w:ind w:firstLine="640"/>
        <w:outlineLvl w:val="1"/>
        <w:rPr>
          <w:rFonts w:hint="eastAsia" w:ascii="方正黑体_GBK" w:hAnsi="方正黑体_GBK" w:eastAsia="方正黑体_GBK" w:cs="方正黑体_GBK"/>
          <w:sz w:val="32"/>
          <w:szCs w:val="32"/>
        </w:rPr>
      </w:pPr>
      <w:bookmarkStart w:id="18" w:name="_Toc15396606"/>
      <w:bookmarkStart w:id="19" w:name="_Toc15377208"/>
      <w:r>
        <w:rPr>
          <w:rFonts w:hint="eastAsia" w:ascii="方正黑体_GBK" w:hAnsi="方正黑体_GBK" w:eastAsia="方正黑体_GBK" w:cs="方正黑体_GBK"/>
          <w:sz w:val="32"/>
          <w:szCs w:val="32"/>
        </w:rPr>
        <w:t>四、财政拨款收入支出决算总体情况说明</w:t>
      </w:r>
      <w:bookmarkEnd w:id="18"/>
      <w:bookmarkEnd w:id="19"/>
    </w:p>
    <w:p>
      <w:pPr>
        <w:pStyle w:val="31"/>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2024年度财政拨款收入、支出总计均为</w:t>
      </w:r>
      <w:r>
        <w:rPr>
          <w:rFonts w:hint="eastAsia" w:eastAsia="仿宋_GB2312" w:cs="仿宋_GB2312"/>
          <w:sz w:val="32"/>
          <w:szCs w:val="32"/>
          <w:lang w:val="en-US" w:eastAsia="zh-CN"/>
        </w:rPr>
        <w:t>10003.41</w:t>
      </w:r>
      <w:r>
        <w:rPr>
          <w:rFonts w:hint="eastAsia" w:eastAsia="仿宋_GB2312" w:cs="仿宋_GB2312"/>
          <w:sz w:val="32"/>
          <w:szCs w:val="32"/>
        </w:rPr>
        <w:t>万元。与2023年度相比，财政拨款收入总计、支出总计各</w:t>
      </w:r>
      <w:r>
        <w:rPr>
          <w:rFonts w:hint="eastAsia" w:eastAsia="仿宋_GB2312" w:cs="仿宋_GB2312"/>
          <w:sz w:val="32"/>
          <w:szCs w:val="32"/>
          <w:lang w:eastAsia="zh-CN"/>
        </w:rPr>
        <w:t>增加</w:t>
      </w:r>
      <w:r>
        <w:rPr>
          <w:rFonts w:hint="eastAsia" w:ascii="仿宋_GB2312" w:eastAsia="仿宋_GB2312"/>
          <w:color w:val="000000"/>
          <w:spacing w:val="-2"/>
          <w:kern w:val="2"/>
          <w:sz w:val="32"/>
          <w:szCs w:val="32"/>
          <w:lang w:val="en-US" w:eastAsia="zh-CN" w:bidi="ar-SA"/>
        </w:rPr>
        <w:t>4020.97</w:t>
      </w:r>
      <w:r>
        <w:rPr>
          <w:rFonts w:hint="eastAsia" w:eastAsia="仿宋_GB2312" w:cs="仿宋_GB2312"/>
          <w:sz w:val="32"/>
          <w:szCs w:val="32"/>
        </w:rPr>
        <w:t>万元，</w:t>
      </w:r>
      <w:r>
        <w:rPr>
          <w:rFonts w:hint="eastAsia" w:eastAsia="仿宋_GB2312" w:cs="仿宋_GB2312"/>
          <w:sz w:val="32"/>
          <w:szCs w:val="32"/>
          <w:lang w:eastAsia="zh-CN"/>
        </w:rPr>
        <w:t>增长</w:t>
      </w:r>
      <w:r>
        <w:rPr>
          <w:rFonts w:hint="eastAsia" w:eastAsia="仿宋_GB2312" w:cs="仿宋_GB2312"/>
          <w:sz w:val="32"/>
          <w:szCs w:val="32"/>
          <w:lang w:val="en-US" w:eastAsia="zh-CN"/>
        </w:rPr>
        <w:t>40</w:t>
      </w:r>
      <w:r>
        <w:rPr>
          <w:rFonts w:hint="eastAsia" w:eastAsia="仿宋_GB2312" w:cs="仿宋_GB2312"/>
          <w:sz w:val="32"/>
          <w:szCs w:val="32"/>
        </w:rPr>
        <w:t>%。主要变动原因是</w:t>
      </w:r>
      <w:r>
        <w:rPr>
          <w:rFonts w:hint="eastAsia" w:eastAsia="仿宋_GB2312" w:cs="仿宋_GB2312"/>
          <w:sz w:val="32"/>
          <w:szCs w:val="32"/>
          <w:lang w:eastAsia="zh-CN"/>
        </w:rPr>
        <w:t>项目增加。</w:t>
      </w:r>
    </w:p>
    <w:p>
      <w:pPr>
        <w:pStyle w:val="7"/>
        <w:ind w:left="420"/>
      </w:pPr>
    </w:p>
    <w:p>
      <w:pPr>
        <w:pStyle w:val="7"/>
        <w:ind w:left="420"/>
      </w:pPr>
      <w:r>
        <w:rPr>
          <w:rFonts w:eastAsia="仿宋_GB2312" w:cs="仿宋_GB2312"/>
          <w:sz w:val="32"/>
          <w:szCs w:val="32"/>
        </w:rPr>
        <w:drawing>
          <wp:inline distT="0" distB="0" distL="0" distR="0">
            <wp:extent cx="4572000" cy="2743200"/>
            <wp:effectExtent l="4445" t="4445" r="10795" b="107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4"/>
      </w:pPr>
    </w:p>
    <w:p>
      <w:pPr>
        <w:pStyle w:val="31"/>
        <w:spacing w:line="600" w:lineRule="exact"/>
        <w:ind w:firstLine="640"/>
        <w:outlineLvl w:val="1"/>
        <w:rPr>
          <w:rFonts w:hint="eastAsia" w:ascii="方正黑体_GBK" w:hAnsi="方正黑体_GBK" w:eastAsia="方正黑体_GBK" w:cs="方正黑体_GBK"/>
          <w:sz w:val="32"/>
          <w:szCs w:val="32"/>
        </w:rPr>
      </w:pPr>
      <w:bookmarkStart w:id="20" w:name="_Toc15396607"/>
      <w:bookmarkStart w:id="21" w:name="_Toc15377209"/>
      <w:r>
        <w:rPr>
          <w:rFonts w:hint="eastAsia" w:ascii="方正黑体_GBK" w:hAnsi="方正黑体_GBK" w:eastAsia="方正黑体_GBK" w:cs="方正黑体_GBK"/>
          <w:sz w:val="32"/>
          <w:szCs w:val="32"/>
        </w:rPr>
        <w:t>五、一般公共预算财政拨款支出决算情况说明</w:t>
      </w:r>
      <w:bookmarkEnd w:id="20"/>
      <w:bookmarkEnd w:id="21"/>
    </w:p>
    <w:p>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pPr>
        <w:pStyle w:val="31"/>
        <w:spacing w:line="600" w:lineRule="exact"/>
        <w:ind w:firstLine="640"/>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10003.41</w:t>
      </w:r>
      <w:r>
        <w:rPr>
          <w:rFonts w:hint="eastAsia" w:ascii="仿宋_GB2312" w:hAnsi="仿宋_GB2312" w:eastAsia="仿宋_GB2312" w:cs="仿宋_GB2312"/>
          <w:sz w:val="32"/>
          <w:szCs w:val="32"/>
        </w:rPr>
        <w:t>万元，占本年支出合计的100%。与2023年度相比，一般公共预算财政拨款支出</w:t>
      </w:r>
      <w:r>
        <w:rPr>
          <w:rFonts w:hint="eastAsia" w:ascii="仿宋_GB2312" w:hAnsi="仿宋_GB2312" w:eastAsia="仿宋_GB2312" w:cs="仿宋_GB2312"/>
          <w:sz w:val="32"/>
          <w:szCs w:val="32"/>
          <w:lang w:eastAsia="zh-CN"/>
        </w:rPr>
        <w:t>增加</w:t>
      </w:r>
      <w:r>
        <w:rPr>
          <w:rFonts w:hint="eastAsia" w:ascii="仿宋_GB2312" w:eastAsia="仿宋_GB2312"/>
          <w:color w:val="000000"/>
          <w:spacing w:val="-2"/>
          <w:kern w:val="2"/>
          <w:sz w:val="32"/>
          <w:szCs w:val="32"/>
          <w:lang w:val="en-US" w:eastAsia="zh-CN" w:bidi="ar-SA"/>
        </w:rPr>
        <w:t>4020.97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%。主要变动</w:t>
      </w:r>
      <w:r>
        <w:rPr>
          <w:rFonts w:hint="eastAsia" w:ascii="仿宋_GB2312" w:hAnsi="仿宋_GB2312" w:eastAsia="仿宋_GB2312" w:cs="仿宋_GB2312"/>
          <w:sz w:val="32"/>
          <w:szCs w:val="32"/>
          <w:lang w:eastAsia="zh-CN"/>
        </w:rPr>
        <w:t>原因是我单位项目增加。</w:t>
      </w:r>
    </w:p>
    <w:p>
      <w:pPr>
        <w:pStyle w:val="31"/>
        <w:spacing w:line="600" w:lineRule="exact"/>
        <w:ind w:firstLine="640"/>
        <w:outlineLvl w:val="1"/>
        <w:rPr>
          <w:rFonts w:hint="eastAsia" w:ascii="仿宋_GB2312" w:hAnsi="仿宋_GB2312" w:eastAsia="仿宋_GB2312" w:cs="仿宋_GB2312"/>
          <w:sz w:val="32"/>
          <w:szCs w:val="32"/>
          <w:lang w:eastAsia="zh-CN"/>
        </w:rPr>
      </w:pPr>
    </w:p>
    <w:p>
      <w:pPr>
        <w:pStyle w:val="7"/>
        <w:ind w:left="420"/>
      </w:pPr>
      <w:r>
        <w:rPr>
          <w:rFonts w:eastAsia="仿宋_GB2312" w:cs="仿宋_GB2312"/>
          <w:sz w:val="32"/>
          <w:szCs w:val="32"/>
        </w:rPr>
        <w:drawing>
          <wp:inline distT="0" distB="0" distL="0" distR="0">
            <wp:extent cx="4572000" cy="2743200"/>
            <wp:effectExtent l="4445" t="4445" r="1079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pPr>
        <w:spacing w:line="600" w:lineRule="exact"/>
        <w:ind w:firstLine="640"/>
        <w:rPr>
          <w:rFonts w:hint="default" w:eastAsia="宋体" w:cs="仿宋_GB2312"/>
          <w:b/>
          <w:bCs/>
          <w:sz w:val="32"/>
          <w:szCs w:val="32"/>
          <w:lang w:val="en-US" w:eastAsia="zh-CN"/>
        </w:rPr>
      </w:pPr>
      <w:r>
        <w:rPr>
          <w:rFonts w:hint="eastAsia" w:eastAsia="仿宋_GB2312" w:cs="仿宋_GB2312"/>
          <w:sz w:val="32"/>
          <w:szCs w:val="32"/>
        </w:rPr>
        <w:t>2024年度一般公共预算财政拨款支出</w:t>
      </w:r>
      <w:r>
        <w:rPr>
          <w:rFonts w:hint="eastAsia" w:eastAsia="仿宋_GB2312" w:cs="仿宋_GB2312"/>
          <w:sz w:val="32"/>
          <w:szCs w:val="32"/>
          <w:lang w:val="en-US" w:eastAsia="zh-CN"/>
        </w:rPr>
        <w:t>10003.41</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w:t>
      </w:r>
      <w:r>
        <w:rPr>
          <w:rFonts w:hint="eastAsia" w:eastAsia="仿宋_GB2312" w:cs="仿宋_GB2312"/>
          <w:sz w:val="32"/>
          <w:szCs w:val="32"/>
          <w:lang w:eastAsia="zh-CN"/>
        </w:rPr>
        <w:t>教育支出</w:t>
      </w:r>
      <w:r>
        <w:rPr>
          <w:rFonts w:hint="eastAsia" w:eastAsia="仿宋_GB2312" w:cs="仿宋_GB2312"/>
          <w:sz w:val="32"/>
          <w:szCs w:val="32"/>
          <w:lang w:val="en-US" w:eastAsia="zh-CN"/>
        </w:rPr>
        <w:t>0.36</w:t>
      </w:r>
      <w:r>
        <w:rPr>
          <w:rFonts w:hint="eastAsia" w:eastAsia="仿宋_GB2312" w:cs="仿宋_GB2312"/>
          <w:sz w:val="32"/>
          <w:szCs w:val="32"/>
        </w:rPr>
        <w:t>万元，社会保障和就业支出</w:t>
      </w:r>
      <w:r>
        <w:rPr>
          <w:rFonts w:hint="eastAsia" w:eastAsia="仿宋_GB2312" w:cs="仿宋_GB2312"/>
          <w:sz w:val="32"/>
          <w:szCs w:val="32"/>
          <w:lang w:val="en-US" w:eastAsia="zh-CN"/>
        </w:rPr>
        <w:t>105.56</w:t>
      </w:r>
      <w:r>
        <w:rPr>
          <w:rFonts w:hint="eastAsia" w:eastAsia="仿宋_GB2312" w:cs="仿宋_GB2312"/>
          <w:sz w:val="32"/>
          <w:szCs w:val="32"/>
        </w:rPr>
        <w:t>万元，占</w:t>
      </w:r>
      <w:r>
        <w:rPr>
          <w:rFonts w:hint="eastAsia" w:eastAsia="仿宋_GB2312" w:cs="仿宋_GB2312"/>
          <w:sz w:val="32"/>
          <w:szCs w:val="32"/>
          <w:lang w:val="en-US" w:eastAsia="zh-CN"/>
        </w:rPr>
        <w:t>1</w:t>
      </w:r>
      <w:r>
        <w:rPr>
          <w:rFonts w:hint="eastAsia" w:eastAsia="仿宋_GB2312" w:cs="仿宋_GB2312"/>
          <w:sz w:val="32"/>
          <w:szCs w:val="32"/>
        </w:rPr>
        <w:t>%；卫生健康支出</w:t>
      </w:r>
      <w:r>
        <w:rPr>
          <w:rFonts w:hint="eastAsia" w:eastAsia="仿宋_GB2312" w:cs="仿宋_GB2312"/>
          <w:sz w:val="32"/>
          <w:szCs w:val="32"/>
          <w:lang w:val="en-US" w:eastAsia="zh-CN"/>
        </w:rPr>
        <w:t>41.44</w:t>
      </w:r>
      <w:r>
        <w:rPr>
          <w:rFonts w:hint="eastAsia" w:eastAsia="仿宋_GB2312" w:cs="仿宋_GB2312"/>
          <w:sz w:val="32"/>
          <w:szCs w:val="32"/>
        </w:rPr>
        <w:t>万元，占</w:t>
      </w:r>
      <w:r>
        <w:rPr>
          <w:rFonts w:hint="eastAsia" w:eastAsia="仿宋_GB2312" w:cs="仿宋_GB2312"/>
          <w:sz w:val="32"/>
          <w:szCs w:val="32"/>
          <w:lang w:val="en-US" w:eastAsia="zh-CN"/>
        </w:rPr>
        <w:t>0.4</w:t>
      </w:r>
      <w:r>
        <w:rPr>
          <w:rFonts w:hint="eastAsia" w:eastAsia="仿宋_GB2312" w:cs="仿宋_GB2312"/>
          <w:sz w:val="32"/>
          <w:szCs w:val="32"/>
        </w:rPr>
        <w:t>%；</w:t>
      </w:r>
      <w:r>
        <w:rPr>
          <w:rFonts w:hint="eastAsia" w:eastAsia="仿宋"/>
          <w:sz w:val="32"/>
          <w:szCs w:val="32"/>
        </w:rPr>
        <w:t>农林水支出</w:t>
      </w:r>
      <w:r>
        <w:rPr>
          <w:rFonts w:eastAsia="仿宋"/>
          <w:sz w:val="32"/>
          <w:szCs w:val="32"/>
        </w:rPr>
        <w:t>（类）支出</w:t>
      </w:r>
      <w:r>
        <w:rPr>
          <w:rFonts w:hint="eastAsia" w:eastAsia="仿宋"/>
          <w:sz w:val="32"/>
          <w:szCs w:val="32"/>
          <w:lang w:val="en-US" w:eastAsia="zh-CN"/>
        </w:rPr>
        <w:t>9204.03</w:t>
      </w:r>
      <w:r>
        <w:rPr>
          <w:rFonts w:hint="eastAsia" w:eastAsia="仿宋"/>
          <w:sz w:val="32"/>
          <w:szCs w:val="32"/>
        </w:rPr>
        <w:t>万元，</w:t>
      </w:r>
      <w:r>
        <w:rPr>
          <w:rFonts w:eastAsia="仿宋"/>
          <w:sz w:val="32"/>
          <w:szCs w:val="32"/>
        </w:rPr>
        <w:t>占</w:t>
      </w:r>
      <w:r>
        <w:rPr>
          <w:rFonts w:hint="eastAsia" w:eastAsia="仿宋"/>
          <w:sz w:val="32"/>
          <w:szCs w:val="32"/>
          <w:lang w:val="en-US" w:eastAsia="zh-CN"/>
        </w:rPr>
        <w:t>92</w:t>
      </w:r>
      <w:r>
        <w:rPr>
          <w:rFonts w:eastAsia="仿宋"/>
          <w:sz w:val="32"/>
          <w:szCs w:val="32"/>
        </w:rPr>
        <w:t>%；</w:t>
      </w:r>
      <w:r>
        <w:rPr>
          <w:rFonts w:hint="eastAsia" w:eastAsia="仿宋_GB2312" w:cs="仿宋_GB2312"/>
          <w:sz w:val="32"/>
          <w:szCs w:val="32"/>
        </w:rPr>
        <w:t>住房保障支出</w:t>
      </w:r>
      <w:r>
        <w:rPr>
          <w:rFonts w:hint="eastAsia" w:eastAsia="仿宋_GB2312" w:cs="仿宋_GB2312"/>
          <w:sz w:val="32"/>
          <w:szCs w:val="32"/>
          <w:lang w:val="en-US" w:eastAsia="zh-CN"/>
        </w:rPr>
        <w:t>51.43</w:t>
      </w:r>
      <w:r>
        <w:rPr>
          <w:rFonts w:hint="eastAsia" w:eastAsia="仿宋_GB2312" w:cs="仿宋_GB2312"/>
          <w:sz w:val="32"/>
          <w:szCs w:val="32"/>
        </w:rPr>
        <w:t>万元，占</w:t>
      </w:r>
      <w:r>
        <w:rPr>
          <w:rFonts w:hint="eastAsia" w:eastAsia="仿宋_GB2312" w:cs="仿宋_GB2312"/>
          <w:sz w:val="32"/>
          <w:szCs w:val="32"/>
          <w:lang w:val="en-US" w:eastAsia="zh-CN"/>
        </w:rPr>
        <w:t>0.05</w:t>
      </w:r>
      <w:r>
        <w:rPr>
          <w:rFonts w:hint="eastAsia" w:eastAsia="仿宋_GB2312" w:cs="仿宋_GB2312"/>
          <w:sz w:val="32"/>
          <w:szCs w:val="32"/>
        </w:rPr>
        <w:t>%</w:t>
      </w:r>
      <w:r>
        <w:rPr>
          <w:rFonts w:eastAsia="仿宋"/>
          <w:sz w:val="32"/>
          <w:szCs w:val="32"/>
        </w:rPr>
        <w:t>。</w:t>
      </w:r>
      <w:r>
        <w:rPr>
          <w:rFonts w:ascii="宋体" w:hAnsi="宋体" w:eastAsia="宋体" w:cs="宋体"/>
          <w:sz w:val="24"/>
          <w:szCs w:val="24"/>
        </w:rPr>
        <w:t>灾害防治及应急管理支出</w:t>
      </w:r>
      <w:r>
        <w:rPr>
          <w:rFonts w:hint="eastAsia" w:ascii="宋体" w:hAnsi="宋体" w:eastAsia="宋体" w:cs="宋体"/>
          <w:sz w:val="24"/>
          <w:szCs w:val="24"/>
          <w:lang w:val="en-US" w:eastAsia="zh-CN"/>
        </w:rPr>
        <w:t>600.59万元，占6%。</w:t>
      </w:r>
    </w:p>
    <w:p>
      <w:pPr>
        <w:pStyle w:val="7"/>
        <w:ind w:left="420"/>
      </w:pPr>
    </w:p>
    <w:p>
      <w:pPr>
        <w:pStyle w:val="7"/>
        <w:ind w:left="420"/>
      </w:pPr>
      <w:r>
        <w:drawing>
          <wp:inline distT="0" distB="0" distL="0" distR="0">
            <wp:extent cx="4258310" cy="2989580"/>
            <wp:effectExtent l="19050" t="0" r="27498" b="1159"/>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7"/>
        <w:ind w:left="420"/>
      </w:pPr>
    </w:p>
    <w:p>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pPr>
        <w:spacing w:line="600" w:lineRule="exact"/>
        <w:ind w:firstLine="640"/>
        <w:rPr>
          <w:rFonts w:eastAsia="仿宋_GB2312" w:cs="仿宋_GB2312"/>
          <w:sz w:val="32"/>
          <w:szCs w:val="32"/>
        </w:rPr>
      </w:pPr>
      <w:bookmarkStart w:id="25" w:name="_Toc15378460"/>
      <w:bookmarkStart w:id="26" w:name="_Toc15377213"/>
      <w:bookmarkStart w:id="27" w:name="_Toc15377444"/>
      <w:r>
        <w:rPr>
          <w:rFonts w:hint="eastAsia" w:eastAsia="仿宋_GB2312" w:cs="仿宋_GB2312"/>
          <w:sz w:val="32"/>
          <w:szCs w:val="32"/>
        </w:rPr>
        <w:t>2024年度一般公共预算财政拨款支出决算数为</w:t>
      </w:r>
      <w:r>
        <w:rPr>
          <w:rFonts w:hint="eastAsia" w:eastAsia="仿宋_GB2312" w:cs="仿宋_GB2312"/>
          <w:sz w:val="32"/>
          <w:szCs w:val="32"/>
          <w:lang w:val="en-US" w:eastAsia="zh-CN"/>
        </w:rPr>
        <w:t>10003.41万元</w:t>
      </w:r>
      <w:r>
        <w:rPr>
          <w:rFonts w:hint="eastAsia" w:ascii="仿宋_GB2312" w:hAnsi="仿宋_GB2312" w:eastAsia="仿宋_GB2312" w:cs="仿宋_GB2312"/>
          <w:sz w:val="32"/>
          <w:szCs w:val="32"/>
        </w:rPr>
        <w:t>，</w:t>
      </w:r>
      <w:r>
        <w:rPr>
          <w:rFonts w:hint="eastAsia" w:eastAsia="仿宋_GB2312" w:cs="仿宋_GB2312"/>
          <w:sz w:val="32"/>
          <w:szCs w:val="32"/>
        </w:rPr>
        <w:t>完成预算100%。其中：</w:t>
      </w:r>
      <w:bookmarkEnd w:id="25"/>
      <w:bookmarkEnd w:id="26"/>
      <w:bookmarkEnd w:id="27"/>
    </w:p>
    <w:p>
      <w:pPr>
        <w:spacing w:line="600" w:lineRule="exact"/>
        <w:ind w:firstLine="640" w:firstLineChars="200"/>
        <w:rPr>
          <w:rFonts w:eastAsia="仿宋"/>
          <w:sz w:val="32"/>
          <w:szCs w:val="32"/>
        </w:rPr>
      </w:pPr>
      <w:r>
        <w:rPr>
          <w:rFonts w:hint="eastAsia" w:eastAsia="仿宋"/>
          <w:sz w:val="32"/>
          <w:szCs w:val="32"/>
          <w:lang w:val="en-US" w:eastAsia="zh-CN"/>
        </w:rPr>
        <w:t>1</w:t>
      </w:r>
      <w:r>
        <w:rPr>
          <w:rFonts w:hint="eastAsia" w:eastAsia="仿宋"/>
          <w:sz w:val="32"/>
          <w:szCs w:val="32"/>
        </w:rPr>
        <w:t>.教育支出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lang w:val="en-US" w:eastAsia="zh-CN"/>
        </w:rPr>
        <w:t>0.36</w:t>
      </w:r>
      <w:r>
        <w:rPr>
          <w:rFonts w:eastAsia="仿宋"/>
          <w:sz w:val="32"/>
          <w:szCs w:val="32"/>
        </w:rPr>
        <w:t>万元，</w:t>
      </w:r>
      <w:r>
        <w:rPr>
          <w:rFonts w:hint="eastAsia" w:eastAsia="仿宋"/>
          <w:sz w:val="32"/>
          <w:szCs w:val="32"/>
        </w:rPr>
        <w:t>完成100</w:t>
      </w:r>
      <w:r>
        <w:rPr>
          <w:rFonts w:eastAsia="仿宋"/>
          <w:sz w:val="32"/>
          <w:szCs w:val="32"/>
        </w:rPr>
        <w:t>%；</w:t>
      </w:r>
    </w:p>
    <w:p>
      <w:pPr>
        <w:spacing w:line="600" w:lineRule="exact"/>
        <w:ind w:firstLine="640"/>
        <w:rPr>
          <w:rFonts w:eastAsia="仿宋"/>
          <w:sz w:val="32"/>
          <w:szCs w:val="32"/>
        </w:rPr>
      </w:pPr>
      <w:r>
        <w:rPr>
          <w:rFonts w:hint="eastAsia" w:eastAsia="仿宋"/>
          <w:sz w:val="32"/>
          <w:szCs w:val="32"/>
          <w:lang w:val="en-US" w:eastAsia="zh-CN"/>
        </w:rPr>
        <w:t>2</w:t>
      </w:r>
      <w:r>
        <w:rPr>
          <w:rFonts w:hint="eastAsia" w:eastAsia="仿宋"/>
          <w:sz w:val="32"/>
          <w:szCs w:val="32"/>
        </w:rPr>
        <w:t>.</w:t>
      </w:r>
      <w:r>
        <w:rPr>
          <w:rFonts w:eastAsia="仿宋"/>
          <w:sz w:val="32"/>
          <w:szCs w:val="32"/>
        </w:rPr>
        <w:t>社会保障和就业</w:t>
      </w:r>
      <w:r>
        <w:rPr>
          <w:rFonts w:hint="eastAsia" w:eastAsia="仿宋"/>
          <w:sz w:val="32"/>
          <w:szCs w:val="32"/>
        </w:rPr>
        <w:t>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lang w:val="en-US" w:eastAsia="zh-CN"/>
        </w:rPr>
        <w:t>105.56</w:t>
      </w:r>
      <w:r>
        <w:rPr>
          <w:rFonts w:eastAsia="仿宋"/>
          <w:sz w:val="32"/>
          <w:szCs w:val="32"/>
        </w:rPr>
        <w:t>万元</w:t>
      </w:r>
      <w:r>
        <w:rPr>
          <w:rFonts w:hint="eastAsia" w:eastAsia="仿宋"/>
          <w:sz w:val="32"/>
          <w:szCs w:val="32"/>
        </w:rPr>
        <w:t>,完成100</w:t>
      </w:r>
      <w:r>
        <w:rPr>
          <w:rFonts w:eastAsia="仿宋"/>
          <w:sz w:val="32"/>
          <w:szCs w:val="32"/>
        </w:rPr>
        <w:t>%；</w:t>
      </w:r>
    </w:p>
    <w:p>
      <w:pPr>
        <w:spacing w:line="600" w:lineRule="exact"/>
        <w:ind w:firstLine="640"/>
        <w:rPr>
          <w:rFonts w:eastAsia="仿宋"/>
          <w:sz w:val="32"/>
          <w:szCs w:val="32"/>
        </w:rPr>
      </w:pPr>
      <w:r>
        <w:rPr>
          <w:rFonts w:hint="eastAsia" w:eastAsia="仿宋"/>
          <w:sz w:val="32"/>
          <w:szCs w:val="32"/>
          <w:lang w:val="en-US" w:eastAsia="zh-CN"/>
        </w:rPr>
        <w:t>3</w:t>
      </w:r>
      <w:r>
        <w:rPr>
          <w:rFonts w:hint="eastAsia" w:eastAsia="仿宋"/>
          <w:sz w:val="32"/>
          <w:szCs w:val="32"/>
        </w:rPr>
        <w:t>.</w:t>
      </w:r>
      <w:r>
        <w:rPr>
          <w:rFonts w:eastAsia="仿宋"/>
          <w:sz w:val="32"/>
          <w:szCs w:val="32"/>
        </w:rPr>
        <w:t>卫生健康支出（类）</w:t>
      </w:r>
      <w:r>
        <w:rPr>
          <w:rFonts w:hint="eastAsia" w:eastAsia="仿宋"/>
          <w:sz w:val="32"/>
          <w:szCs w:val="32"/>
        </w:rPr>
        <w:t>:</w:t>
      </w:r>
      <w:r>
        <w:rPr>
          <w:rFonts w:eastAsia="仿宋"/>
          <w:sz w:val="32"/>
          <w:szCs w:val="32"/>
        </w:rPr>
        <w:t>支出决算为</w:t>
      </w:r>
      <w:r>
        <w:rPr>
          <w:rFonts w:hint="eastAsia" w:eastAsia="仿宋"/>
          <w:sz w:val="32"/>
          <w:szCs w:val="32"/>
          <w:lang w:val="en-US" w:eastAsia="zh-CN"/>
        </w:rPr>
        <w:t>41.44</w:t>
      </w:r>
      <w:r>
        <w:rPr>
          <w:rFonts w:eastAsia="仿宋"/>
          <w:sz w:val="32"/>
          <w:szCs w:val="32"/>
        </w:rPr>
        <w:t>万元，</w:t>
      </w:r>
      <w:r>
        <w:rPr>
          <w:rFonts w:hint="eastAsia" w:eastAsia="仿宋"/>
          <w:sz w:val="32"/>
          <w:szCs w:val="32"/>
        </w:rPr>
        <w:t>完成100</w:t>
      </w:r>
      <w:r>
        <w:rPr>
          <w:rFonts w:eastAsia="仿宋"/>
          <w:sz w:val="32"/>
          <w:szCs w:val="32"/>
        </w:rPr>
        <w:t>%；</w:t>
      </w:r>
    </w:p>
    <w:p>
      <w:pPr>
        <w:spacing w:line="600" w:lineRule="exact"/>
        <w:ind w:firstLine="640"/>
        <w:rPr>
          <w:rFonts w:eastAsia="仿宋"/>
          <w:sz w:val="32"/>
          <w:szCs w:val="32"/>
        </w:rPr>
      </w:pPr>
      <w:r>
        <w:rPr>
          <w:rFonts w:hint="eastAsia" w:eastAsia="仿宋"/>
          <w:sz w:val="32"/>
          <w:szCs w:val="32"/>
          <w:lang w:val="en-US" w:eastAsia="zh-CN"/>
        </w:rPr>
        <w:t>4</w:t>
      </w:r>
      <w:r>
        <w:rPr>
          <w:rFonts w:hint="eastAsia" w:eastAsia="仿宋"/>
          <w:sz w:val="32"/>
          <w:szCs w:val="32"/>
        </w:rPr>
        <w:t>.农林水支出</w:t>
      </w:r>
      <w:r>
        <w:rPr>
          <w:rFonts w:eastAsia="仿宋"/>
          <w:sz w:val="32"/>
          <w:szCs w:val="32"/>
        </w:rPr>
        <w:t>（类）</w:t>
      </w:r>
      <w:r>
        <w:rPr>
          <w:rFonts w:hint="eastAsia" w:eastAsia="仿宋"/>
          <w:sz w:val="32"/>
          <w:szCs w:val="32"/>
        </w:rPr>
        <w:t>:</w:t>
      </w:r>
      <w:r>
        <w:rPr>
          <w:rFonts w:eastAsia="仿宋"/>
          <w:sz w:val="32"/>
          <w:szCs w:val="32"/>
        </w:rPr>
        <w:t>支出决算为</w:t>
      </w:r>
      <w:r>
        <w:rPr>
          <w:rFonts w:hint="eastAsia" w:eastAsia="仿宋"/>
          <w:sz w:val="32"/>
          <w:szCs w:val="32"/>
          <w:lang w:val="en-US" w:eastAsia="zh-CN"/>
        </w:rPr>
        <w:t>9204.03</w:t>
      </w:r>
      <w:r>
        <w:rPr>
          <w:rFonts w:hint="eastAsia" w:eastAsia="仿宋"/>
          <w:sz w:val="32"/>
          <w:szCs w:val="32"/>
        </w:rPr>
        <w:t>万元，完成100</w:t>
      </w:r>
      <w:r>
        <w:rPr>
          <w:rFonts w:eastAsia="仿宋"/>
          <w:sz w:val="32"/>
          <w:szCs w:val="32"/>
        </w:rPr>
        <w:t>%；</w:t>
      </w:r>
    </w:p>
    <w:p>
      <w:pPr>
        <w:spacing w:line="600" w:lineRule="exact"/>
        <w:ind w:firstLine="640"/>
        <w:rPr>
          <w:rFonts w:hint="eastAsia" w:eastAsia="仿宋"/>
          <w:sz w:val="32"/>
          <w:szCs w:val="32"/>
        </w:rPr>
      </w:pPr>
      <w:r>
        <w:rPr>
          <w:rFonts w:hint="eastAsia" w:eastAsia="仿宋"/>
          <w:sz w:val="32"/>
          <w:szCs w:val="32"/>
          <w:lang w:val="en-US" w:eastAsia="zh-CN"/>
        </w:rPr>
        <w:t>5</w:t>
      </w:r>
      <w:r>
        <w:rPr>
          <w:rFonts w:hint="eastAsia" w:eastAsia="仿宋"/>
          <w:sz w:val="32"/>
          <w:szCs w:val="32"/>
        </w:rPr>
        <w:t>.</w:t>
      </w:r>
      <w:r>
        <w:rPr>
          <w:rFonts w:eastAsia="仿宋"/>
          <w:sz w:val="32"/>
          <w:szCs w:val="32"/>
        </w:rPr>
        <w:t>住房保障支出（类）</w:t>
      </w:r>
      <w:r>
        <w:rPr>
          <w:rFonts w:hint="eastAsia" w:eastAsia="仿宋"/>
          <w:sz w:val="32"/>
          <w:szCs w:val="32"/>
        </w:rPr>
        <w:t>:</w:t>
      </w:r>
      <w:r>
        <w:rPr>
          <w:rFonts w:eastAsia="仿宋"/>
          <w:sz w:val="32"/>
          <w:szCs w:val="32"/>
        </w:rPr>
        <w:t>支出决算为</w:t>
      </w:r>
      <w:r>
        <w:rPr>
          <w:rFonts w:hint="eastAsia" w:eastAsia="仿宋_GB2312" w:cs="仿宋_GB2312"/>
          <w:sz w:val="32"/>
          <w:szCs w:val="32"/>
          <w:lang w:val="en-US" w:eastAsia="zh-CN"/>
        </w:rPr>
        <w:t>51.43</w:t>
      </w:r>
      <w:r>
        <w:rPr>
          <w:rFonts w:eastAsia="仿宋"/>
          <w:sz w:val="32"/>
          <w:szCs w:val="32"/>
        </w:rPr>
        <w:t>万元，</w:t>
      </w:r>
      <w:r>
        <w:rPr>
          <w:rFonts w:hint="eastAsia" w:eastAsia="仿宋"/>
          <w:sz w:val="32"/>
          <w:szCs w:val="32"/>
        </w:rPr>
        <w:t>完成100</w:t>
      </w:r>
      <w:r>
        <w:rPr>
          <w:rFonts w:eastAsia="仿宋"/>
          <w:sz w:val="32"/>
          <w:szCs w:val="32"/>
        </w:rPr>
        <w:t>%</w:t>
      </w:r>
      <w:r>
        <w:rPr>
          <w:rFonts w:hint="eastAsia" w:eastAsia="仿宋"/>
          <w:sz w:val="32"/>
          <w:szCs w:val="32"/>
        </w:rPr>
        <w:t>。</w:t>
      </w:r>
    </w:p>
    <w:p>
      <w:pPr>
        <w:spacing w:line="600" w:lineRule="exact"/>
        <w:ind w:firstLine="64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6.灾害防治及应急管理支出600.59万元，完成100%。</w:t>
      </w:r>
    </w:p>
    <w:p>
      <w:pPr>
        <w:spacing w:line="600" w:lineRule="exact"/>
        <w:ind w:firstLine="640"/>
        <w:rPr>
          <w:rFonts w:hint="eastAsia" w:ascii="Times New Roman" w:hAnsi="Times New Roman" w:eastAsia="仿宋" w:cs="Times New Roman"/>
          <w:sz w:val="32"/>
          <w:szCs w:val="32"/>
          <w:lang w:val="en-US" w:eastAsia="zh-CN"/>
        </w:rPr>
      </w:pPr>
    </w:p>
    <w:p>
      <w:pPr>
        <w:pStyle w:val="31"/>
        <w:spacing w:line="600" w:lineRule="exact"/>
        <w:ind w:firstLine="640"/>
        <w:outlineLvl w:val="1"/>
        <w:rPr>
          <w:rFonts w:hint="eastAsia" w:ascii="方正黑体_GBK" w:hAnsi="方正黑体_GBK" w:eastAsia="方正黑体_GBK" w:cs="方正黑体_GBK"/>
          <w:sz w:val="32"/>
          <w:szCs w:val="32"/>
        </w:rPr>
      </w:pPr>
      <w:bookmarkStart w:id="28" w:name="_Toc15396608"/>
      <w:bookmarkStart w:id="29" w:name="_Toc15377214"/>
      <w:r>
        <w:rPr>
          <w:rFonts w:hint="eastAsia" w:ascii="方正黑体_GBK" w:hAnsi="方正黑体_GBK" w:eastAsia="方正黑体_GBK" w:cs="方正黑体_GBK"/>
          <w:sz w:val="32"/>
          <w:szCs w:val="32"/>
        </w:rPr>
        <w:t>六、一般公共预算财政拨款基本支出决算情况说明</w:t>
      </w:r>
      <w:bookmarkEnd w:id="28"/>
      <w:bookmarkEnd w:id="29"/>
      <w:r>
        <w:rPr>
          <w:rFonts w:hint="eastAsia" w:ascii="方正黑体_GBK" w:hAnsi="方正黑体_GBK" w:eastAsia="方正黑体_GBK" w:cs="方正黑体_GBK"/>
          <w:sz w:val="32"/>
          <w:szCs w:val="32"/>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eastAsia="仿宋_GB2312" w:cs="仿宋_GB2312"/>
          <w:sz w:val="32"/>
          <w:szCs w:val="32"/>
          <w:lang w:val="en-US" w:eastAsia="zh-CN"/>
        </w:rPr>
        <w:t>694.89</w:t>
      </w:r>
      <w:r>
        <w:rPr>
          <w:rFonts w:hint="eastAsia" w:ascii="仿宋_GB2312" w:hAnsi="仿宋_GB2312" w:eastAsia="仿宋_GB2312" w:cs="仿宋_GB2312"/>
          <w:sz w:val="32"/>
          <w:szCs w:val="32"/>
        </w:rPr>
        <w:t>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673.22</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w:t>
      </w:r>
      <w:r>
        <w:rPr>
          <w:rFonts w:hint="eastAsia" w:eastAsia="仿宋_GB2312" w:cs="仿宋_GB2312"/>
          <w:sz w:val="32"/>
          <w:szCs w:val="32"/>
          <w:lang w:val="en-US" w:eastAsia="zh-CN"/>
        </w:rPr>
        <w:t>128.08</w:t>
      </w:r>
      <w:r>
        <w:rPr>
          <w:rFonts w:hint="eastAsia" w:eastAsia="仿宋_GB2312" w:cs="仿宋_GB2312"/>
          <w:sz w:val="32"/>
          <w:szCs w:val="32"/>
        </w:rPr>
        <w:t>万元、津贴补贴</w:t>
      </w:r>
      <w:r>
        <w:rPr>
          <w:rFonts w:hint="eastAsia" w:eastAsia="仿宋_GB2312" w:cs="仿宋_GB2312"/>
          <w:sz w:val="32"/>
          <w:szCs w:val="32"/>
          <w:lang w:val="en-US" w:eastAsia="zh-CN"/>
        </w:rPr>
        <w:t>89.73</w:t>
      </w:r>
      <w:r>
        <w:rPr>
          <w:rFonts w:hint="eastAsia" w:eastAsia="仿宋_GB2312" w:cs="仿宋_GB2312"/>
          <w:sz w:val="32"/>
          <w:szCs w:val="32"/>
        </w:rPr>
        <w:t>万元、奖金</w:t>
      </w:r>
      <w:r>
        <w:rPr>
          <w:rFonts w:hint="eastAsia" w:eastAsia="仿宋_GB2312" w:cs="仿宋_GB2312"/>
          <w:sz w:val="32"/>
          <w:szCs w:val="32"/>
          <w:lang w:val="en-US" w:eastAsia="zh-CN"/>
        </w:rPr>
        <w:t>160.2</w:t>
      </w:r>
      <w:r>
        <w:rPr>
          <w:rFonts w:hint="eastAsia" w:eastAsia="仿宋_GB2312" w:cs="仿宋_GB2312"/>
          <w:sz w:val="32"/>
          <w:szCs w:val="32"/>
        </w:rPr>
        <w:t>万元、绩效工资</w:t>
      </w:r>
      <w:r>
        <w:rPr>
          <w:rFonts w:hint="eastAsia" w:eastAsia="仿宋_GB2312" w:cs="仿宋_GB2312"/>
          <w:sz w:val="32"/>
          <w:szCs w:val="32"/>
          <w:lang w:val="en-US" w:eastAsia="zh-CN"/>
        </w:rPr>
        <w:t>69.74</w:t>
      </w:r>
      <w:r>
        <w:rPr>
          <w:rFonts w:hint="eastAsia" w:eastAsia="仿宋_GB2312" w:cs="仿宋_GB2312"/>
          <w:sz w:val="32"/>
          <w:szCs w:val="32"/>
        </w:rPr>
        <w:t>万元、机关事业单位基本养老保险缴费</w:t>
      </w:r>
      <w:r>
        <w:rPr>
          <w:rFonts w:hint="eastAsia" w:eastAsia="仿宋_GB2312" w:cs="仿宋_GB2312"/>
          <w:sz w:val="32"/>
          <w:szCs w:val="32"/>
          <w:lang w:val="en-US" w:eastAsia="zh-CN"/>
        </w:rPr>
        <w:t>62.7</w:t>
      </w:r>
      <w:r>
        <w:rPr>
          <w:rFonts w:hint="eastAsia" w:eastAsia="仿宋_GB2312" w:cs="仿宋_GB2312"/>
          <w:sz w:val="32"/>
          <w:szCs w:val="32"/>
        </w:rPr>
        <w:t>万元、职业年金缴费</w:t>
      </w:r>
      <w:r>
        <w:rPr>
          <w:rFonts w:hint="eastAsia" w:eastAsia="仿宋_GB2312" w:cs="仿宋_GB2312"/>
          <w:sz w:val="32"/>
          <w:szCs w:val="32"/>
          <w:lang w:val="en-US" w:eastAsia="zh-CN"/>
        </w:rPr>
        <w:t>31.35</w:t>
      </w:r>
      <w:r>
        <w:rPr>
          <w:rFonts w:hint="eastAsia" w:eastAsia="仿宋_GB2312" w:cs="仿宋_GB2312"/>
          <w:sz w:val="32"/>
          <w:szCs w:val="32"/>
        </w:rPr>
        <w:t>万元、</w:t>
      </w:r>
      <w:r>
        <w:rPr>
          <w:rFonts w:hint="eastAsia" w:ascii="Times New Roman" w:hAnsi="Times New Roman" w:eastAsia="仿宋_GB2312" w:cs="仿宋_GB2312"/>
          <w:sz w:val="32"/>
          <w:szCs w:val="32"/>
        </w:rPr>
        <w:t>职工基本医疗保险缴费</w:t>
      </w:r>
      <w:r>
        <w:rPr>
          <w:rFonts w:hint="eastAsia" w:ascii="Times New Roman" w:hAnsi="Times New Roman" w:eastAsia="仿宋_GB2312" w:cs="仿宋_GB2312"/>
          <w:sz w:val="32"/>
          <w:szCs w:val="32"/>
          <w:lang w:val="en-US" w:eastAsia="zh-CN"/>
        </w:rPr>
        <w:t>30.54</w:t>
      </w:r>
      <w:r>
        <w:rPr>
          <w:rFonts w:hint="eastAsia" w:ascii="Times New Roman" w:hAnsi="Times New Roman" w:eastAsia="仿宋_GB2312" w:cs="仿宋_GB2312"/>
          <w:sz w:val="32"/>
          <w:szCs w:val="32"/>
        </w:rPr>
        <w:t>万元、公务员医疗补助缴费</w:t>
      </w:r>
      <w:r>
        <w:rPr>
          <w:rFonts w:hint="eastAsia" w:ascii="Times New Roman" w:hAnsi="Times New Roman" w:eastAsia="仿宋_GB2312" w:cs="仿宋_GB2312"/>
          <w:sz w:val="32"/>
          <w:szCs w:val="32"/>
          <w:lang w:val="en-US" w:eastAsia="zh-CN"/>
        </w:rPr>
        <w:t>3.43</w:t>
      </w:r>
      <w:r>
        <w:rPr>
          <w:rFonts w:hint="eastAsia" w:ascii="Times New Roman" w:hAnsi="Times New Roman" w:eastAsia="仿宋_GB2312" w:cs="仿宋_GB2312"/>
          <w:sz w:val="32"/>
          <w:szCs w:val="32"/>
        </w:rPr>
        <w:t>万元、其他社会保障缴费</w:t>
      </w:r>
      <w:r>
        <w:rPr>
          <w:rFonts w:hint="eastAsia" w:ascii="Times New Roman" w:hAnsi="Times New Roman" w:eastAsia="仿宋_GB2312" w:cs="仿宋_GB2312"/>
          <w:sz w:val="32"/>
          <w:szCs w:val="32"/>
          <w:lang w:val="en-US" w:eastAsia="zh-CN"/>
        </w:rPr>
        <w:t>16.07</w:t>
      </w:r>
      <w:r>
        <w:rPr>
          <w:rFonts w:hint="eastAsia" w:ascii="Times New Roman" w:hAnsi="Times New Roman" w:eastAsia="仿宋_GB2312" w:cs="仿宋_GB2312"/>
          <w:sz w:val="32"/>
          <w:szCs w:val="32"/>
        </w:rPr>
        <w:t>万元、住房公积金</w:t>
      </w:r>
      <w:r>
        <w:rPr>
          <w:rFonts w:hint="eastAsia" w:ascii="Times New Roman" w:hAnsi="Times New Roman" w:eastAsia="仿宋_GB2312" w:cs="仿宋_GB2312"/>
          <w:sz w:val="32"/>
          <w:szCs w:val="32"/>
          <w:lang w:val="en-US" w:eastAsia="zh-CN"/>
        </w:rPr>
        <w:t>50.24</w:t>
      </w:r>
      <w:r>
        <w:rPr>
          <w:rFonts w:hint="eastAsia" w:ascii="Times New Roman" w:hAnsi="Times New Roman" w:eastAsia="仿宋_GB2312" w:cs="仿宋_GB2312"/>
          <w:sz w:val="32"/>
          <w:szCs w:val="32"/>
        </w:rPr>
        <w:t>万元、</w:t>
      </w:r>
      <w:r>
        <w:rPr>
          <w:rFonts w:hint="eastAsia" w:eastAsia="仿宋_GB2312" w:cs="仿宋_GB2312"/>
          <w:sz w:val="32"/>
          <w:szCs w:val="32"/>
        </w:rPr>
        <w:t>生活补助</w:t>
      </w:r>
      <w:r>
        <w:rPr>
          <w:rFonts w:hint="eastAsia" w:eastAsia="仿宋_GB2312" w:cs="仿宋_GB2312"/>
          <w:sz w:val="32"/>
          <w:szCs w:val="32"/>
          <w:lang w:val="en-US" w:eastAsia="zh-CN"/>
        </w:rPr>
        <w:t>31.11</w:t>
      </w:r>
      <w:r>
        <w:rPr>
          <w:rFonts w:hint="eastAsia" w:eastAsia="仿宋_GB2312" w:cs="仿宋_GB2312"/>
          <w:sz w:val="32"/>
          <w:szCs w:val="32"/>
        </w:rPr>
        <w:t>万元。</w:t>
      </w:r>
      <w:r>
        <w:rPr>
          <w:rFonts w:hint="eastAsia" w:eastAsia="仿宋_GB2312" w:cs="仿宋_GB2312"/>
          <w:sz w:val="32"/>
          <w:szCs w:val="32"/>
        </w:rPr>
        <w:br w:type="textWrapping"/>
      </w:r>
      <w:r>
        <w:rPr>
          <w:rFonts w:hint="eastAsia" w:eastAsia="仿宋_GB2312" w:cs="仿宋_GB2312"/>
          <w:sz w:val="32"/>
          <w:szCs w:val="32"/>
        </w:rPr>
        <w:t>　　</w:t>
      </w:r>
      <w:r>
        <w:rPr>
          <w:rFonts w:hint="eastAsia" w:ascii="仿宋" w:eastAsia="仿宋"/>
          <w:color w:val="auto"/>
          <w:sz w:val="32"/>
          <w:szCs w:val="32"/>
        </w:rPr>
        <w:t>　公用经费</w:t>
      </w:r>
      <w:r>
        <w:rPr>
          <w:rFonts w:hint="eastAsia" w:ascii="仿宋" w:eastAsia="仿宋"/>
          <w:color w:val="auto"/>
          <w:sz w:val="32"/>
          <w:szCs w:val="32"/>
          <w:lang w:val="en-US" w:eastAsia="zh-CN"/>
        </w:rPr>
        <w:t>21.68</w:t>
      </w:r>
      <w:r>
        <w:rPr>
          <w:rFonts w:hint="eastAsia" w:ascii="仿宋" w:eastAsia="仿宋"/>
          <w:color w:val="auto"/>
          <w:sz w:val="32"/>
          <w:szCs w:val="32"/>
        </w:rPr>
        <w:t>万元，主要包括：</w:t>
      </w:r>
      <w:r>
        <w:rPr>
          <w:rFonts w:hint="eastAsia" w:ascii="仿宋" w:eastAsia="仿宋"/>
          <w:color w:val="auto"/>
          <w:sz w:val="32"/>
          <w:szCs w:val="32"/>
          <w:lang w:val="en-US" w:eastAsia="zh-CN"/>
        </w:rPr>
        <w:t>办公费2.07万元、咨询费0.2万元，电费0.5万元，邮电费0.98万元、差旅费12.97万元、劳务费0.98万元、公务用车运行维护费1.98万元。其他交通费2万元</w:t>
      </w:r>
      <w:r>
        <w:rPr>
          <w:rFonts w:hint="eastAsia" w:ascii="仿宋" w:eastAsia="仿宋"/>
          <w:color w:val="auto"/>
          <w:sz w:val="32"/>
          <w:szCs w:val="32"/>
        </w:rPr>
        <w:t>。</w:t>
      </w:r>
    </w:p>
    <w:p>
      <w:pPr>
        <w:pStyle w:val="31"/>
        <w:spacing w:line="600" w:lineRule="exact"/>
        <w:ind w:firstLine="640"/>
        <w:outlineLvl w:val="1"/>
        <w:rPr>
          <w:rFonts w:hint="eastAsia" w:ascii="方正黑体_GBK" w:hAnsi="方正黑体_GBK" w:eastAsia="方正黑体_GBK" w:cs="方正黑体_GBK"/>
          <w:sz w:val="32"/>
          <w:szCs w:val="32"/>
        </w:rPr>
      </w:pPr>
      <w:bookmarkStart w:id="30" w:name="_Toc15377215"/>
      <w:bookmarkStart w:id="31" w:name="_Toc15396609"/>
      <w:r>
        <w:rPr>
          <w:rFonts w:hint="eastAsia" w:ascii="方正黑体_GBK" w:hAnsi="方正黑体_GBK" w:eastAsia="方正黑体_GBK" w:cs="方正黑体_GBK"/>
          <w:sz w:val="32"/>
          <w:szCs w:val="32"/>
        </w:rPr>
        <w:t>七、财政拨款“三公”经费支出决算情况说明</w:t>
      </w:r>
      <w:bookmarkEnd w:id="30"/>
      <w:bookmarkEnd w:id="31"/>
    </w:p>
    <w:p>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1.98</w:t>
      </w:r>
      <w:r>
        <w:rPr>
          <w:rFonts w:hint="eastAsia" w:ascii="仿宋_GB2312" w:hAnsi="仿宋_GB2312" w:eastAsia="仿宋_GB2312" w:cs="仿宋_GB2312"/>
          <w:sz w:val="32"/>
          <w:szCs w:val="32"/>
        </w:rPr>
        <w:t>万元</w:t>
      </w:r>
    </w:p>
    <w:p>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w:t>
      </w:r>
      <w:r>
        <w:rPr>
          <w:rFonts w:hint="eastAsia" w:ascii="仿宋_GB2312" w:hAnsi="仿宋_GB2312" w:eastAsia="仿宋_GB2312" w:cs="仿宋_GB2312"/>
          <w:sz w:val="32"/>
          <w:szCs w:val="32"/>
          <w:lang w:val="en-US" w:eastAsia="zh-CN"/>
        </w:rPr>
        <w:t>1.98</w:t>
      </w:r>
      <w:r>
        <w:rPr>
          <w:rFonts w:hint="eastAsia" w:ascii="仿宋_GB2312" w:hAnsi="仿宋_GB2312" w:eastAsia="仿宋_GB2312" w:cs="仿宋_GB2312"/>
          <w:sz w:val="32"/>
          <w:szCs w:val="32"/>
        </w:rPr>
        <w:t>万元，占100%；公务接待费支出决算0万元，占0%。具体情况如下：</w:t>
      </w:r>
    </w:p>
    <w:p>
      <w:pPr>
        <w:pStyle w:val="7"/>
        <w:ind w:left="420"/>
      </w:pPr>
    </w:p>
    <w:p>
      <w:pPr>
        <w:pStyle w:val="7"/>
        <w:ind w:left="420"/>
      </w:pPr>
      <w:r>
        <w:drawing>
          <wp:inline distT="0" distB="0" distL="0" distR="0">
            <wp:extent cx="4572000" cy="2743200"/>
            <wp:effectExtent l="19050" t="0" r="19050" b="0"/>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。因公出国（境）支出决算与2023年相比</w:t>
      </w:r>
      <w:r>
        <w:rPr>
          <w:rFonts w:hint="eastAsia" w:eastAsia="仿宋_GB2312" w:cs="仿宋_GB2312"/>
          <w:sz w:val="32"/>
          <w:szCs w:val="32"/>
          <w:lang w:eastAsia="zh-CN"/>
        </w:rPr>
        <w:t>增加</w:t>
      </w:r>
      <w:r>
        <w:rPr>
          <w:rFonts w:hint="eastAsia" w:eastAsia="仿宋_GB2312" w:cs="仿宋_GB2312"/>
          <w:sz w:val="32"/>
          <w:szCs w:val="32"/>
          <w:lang w:val="en-US" w:eastAsia="zh-CN"/>
        </w:rPr>
        <w:t>1.98万元</w:t>
      </w:r>
      <w:r>
        <w:rPr>
          <w:rFonts w:hint="eastAsia" w:eastAsia="仿宋_GB2312" w:cs="仿宋_GB2312"/>
          <w:sz w:val="32"/>
          <w:szCs w:val="32"/>
        </w:rPr>
        <w:t>。</w:t>
      </w:r>
    </w:p>
    <w:p>
      <w:pPr>
        <w:spacing w:line="600" w:lineRule="exact"/>
        <w:ind w:firstLine="640"/>
        <w:rPr>
          <w:rFonts w:ascii="仿宋_GB2312" w:eastAsia="仿宋_GB2312"/>
          <w:b/>
          <w:color w:val="auto"/>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1.98</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元，完成预算100%。</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1.98</w:t>
      </w:r>
      <w:r>
        <w:rPr>
          <w:rFonts w:hint="eastAsia" w:eastAsia="仿宋_GB2312" w:cs="仿宋_GB2312"/>
          <w:sz w:val="32"/>
          <w:szCs w:val="32"/>
        </w:rPr>
        <w:t>万元，</w:t>
      </w:r>
      <w:r>
        <w:rPr>
          <w:rFonts w:hint="eastAsia" w:ascii="仿宋_GB2312" w:eastAsia="仿宋_GB2312"/>
          <w:color w:val="auto"/>
          <w:sz w:val="32"/>
          <w:szCs w:val="32"/>
        </w:rPr>
        <w:t>主要</w:t>
      </w:r>
      <w:r>
        <w:rPr>
          <w:rFonts w:hint="eastAsia" w:ascii="仿宋_GB2312" w:eastAsia="仿宋_GB2312"/>
          <w:color w:val="auto"/>
          <w:sz w:val="32"/>
          <w:szCs w:val="32"/>
          <w:lang w:eastAsia="zh-CN"/>
        </w:rPr>
        <w:t>原因为我单位严格执行励行节约。</w:t>
      </w:r>
    </w:p>
    <w:p>
      <w:pPr>
        <w:spacing w:line="600" w:lineRule="exact"/>
        <w:ind w:firstLine="640"/>
        <w:rPr>
          <w:rFonts w:hint="eastAsia" w:ascii="仿宋_GB2312" w:hAnsi="仿宋_GB2312" w:eastAsia="仿宋_GB2312" w:cs="仿宋_GB2312"/>
          <w:sz w:val="32"/>
          <w:szCs w:val="32"/>
          <w:lang w:val="en-US" w:eastAsia="zh-CN"/>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1.98</w:t>
      </w:r>
      <w:r>
        <w:rPr>
          <w:rFonts w:hint="eastAsia" w:eastAsia="仿宋_GB2312" w:cs="仿宋_GB2312"/>
          <w:sz w:val="32"/>
          <w:szCs w:val="32"/>
        </w:rPr>
        <w:t>万元。主要用于</w:t>
      </w:r>
      <w:r>
        <w:rPr>
          <w:rFonts w:hint="eastAsia" w:eastAsia="方正仿宋_GBK"/>
          <w:kern w:val="0"/>
          <w:sz w:val="32"/>
          <w:szCs w:val="32"/>
        </w:rPr>
        <w:t>我</w:t>
      </w:r>
      <w:r>
        <w:rPr>
          <w:rFonts w:hint="eastAsia" w:ascii="仿宋_GB2312" w:hAnsi="仿宋_GB2312" w:eastAsia="仿宋_GB2312" w:cs="仿宋_GB2312"/>
          <w:sz w:val="32"/>
          <w:szCs w:val="32"/>
          <w:lang w:val="en-US" w:eastAsia="zh-CN"/>
        </w:rPr>
        <w:t>单位开展日常工作等所需的公务用车燃料费、维修费、过路过桥费、保险费等支出。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公务接待费支出决算与2023年度相比无变化。其中：</w:t>
      </w:r>
    </w:p>
    <w:p>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出0万</w:t>
      </w:r>
      <w:r>
        <w:rPr>
          <w:rFonts w:hint="eastAsia" w:eastAsia="仿宋_GB2312" w:cs="仿宋_GB2312"/>
          <w:sz w:val="32"/>
          <w:szCs w:val="32"/>
        </w:rPr>
        <w:t>元。</w:t>
      </w:r>
    </w:p>
    <w:p>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w:t>
      </w:r>
      <w:r>
        <w:rPr>
          <w:rFonts w:hint="eastAsia" w:eastAsia="仿宋_GB2312" w:cs="仿宋_GB2312"/>
          <w:sz w:val="32"/>
          <w:szCs w:val="32"/>
        </w:rPr>
        <w:t>。</w:t>
      </w:r>
      <w:bookmarkStart w:id="34" w:name="_Toc15396610"/>
      <w:bookmarkStart w:id="35" w:name="_Toc15377218"/>
    </w:p>
    <w:p>
      <w:pPr>
        <w:pStyle w:val="31"/>
        <w:spacing w:line="600" w:lineRule="exact"/>
        <w:ind w:firstLine="640"/>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八、政府性基金预算支出决算情况说明</w:t>
      </w:r>
      <w:bookmarkEnd w:id="34"/>
      <w:bookmarkEnd w:id="35"/>
    </w:p>
    <w:p>
      <w:pPr>
        <w:spacing w:line="600" w:lineRule="exact"/>
        <w:ind w:firstLine="640"/>
        <w:rPr>
          <w:rFonts w:eastAsia="仿宋_GB2312" w:cs="仿宋_GB2312"/>
          <w:b/>
          <w:bCs/>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eastAsia="仿宋_GB2312"/>
          <w:color w:val="000000"/>
          <w:sz w:val="32"/>
          <w:szCs w:val="32"/>
          <w:lang w:val="en-US" w:eastAsia="zh-CN"/>
        </w:rPr>
        <w:t>266.11</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eastAsia="仿宋_GB2312" w:cs="仿宋_GB2312"/>
          <w:sz w:val="32"/>
          <w:szCs w:val="32"/>
        </w:rPr>
        <w:t>。</w:t>
      </w:r>
    </w:p>
    <w:p>
      <w:pPr>
        <w:pStyle w:val="31"/>
        <w:spacing w:line="600" w:lineRule="exact"/>
        <w:ind w:firstLine="640"/>
        <w:outlineLvl w:val="1"/>
        <w:rPr>
          <w:rFonts w:hint="eastAsia" w:ascii="方正黑体_GBK" w:hAnsi="方正黑体_GBK" w:eastAsia="方正黑体_GBK" w:cs="方正黑体_GBK"/>
          <w:sz w:val="32"/>
          <w:szCs w:val="32"/>
        </w:rPr>
      </w:pPr>
      <w:bookmarkStart w:id="36" w:name="_Toc15396611"/>
      <w:bookmarkStart w:id="37" w:name="_Toc15377219"/>
      <w:r>
        <w:rPr>
          <w:rFonts w:hint="eastAsia" w:ascii="方正黑体_GBK" w:hAnsi="方正黑体_GBK" w:eastAsia="方正黑体_GBK" w:cs="方正黑体_GBK"/>
          <w:sz w:val="32"/>
          <w:szCs w:val="32"/>
        </w:rPr>
        <w:t>九、国有资本经营预算支出决算情况说明</w:t>
      </w:r>
      <w:bookmarkEnd w:id="36"/>
      <w:bookmarkEnd w:id="37"/>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。与2023年度相比，无变化。</w:t>
      </w:r>
    </w:p>
    <w:p>
      <w:pPr>
        <w:pStyle w:val="31"/>
        <w:spacing w:line="600" w:lineRule="exact"/>
        <w:ind w:firstLine="640"/>
        <w:outlineLvl w:val="1"/>
        <w:rPr>
          <w:rFonts w:hint="eastAsia" w:ascii="方正黑体_GBK" w:hAnsi="方正黑体_GBK" w:eastAsia="方正黑体_GBK" w:cs="方正黑体_GBK"/>
          <w:sz w:val="32"/>
          <w:szCs w:val="32"/>
        </w:rPr>
      </w:pPr>
      <w:bookmarkStart w:id="38" w:name="_Toc15377221"/>
      <w:bookmarkStart w:id="39" w:name="_Toc15396612"/>
      <w:r>
        <w:rPr>
          <w:rFonts w:hint="eastAsia" w:ascii="方正黑体_GBK" w:hAnsi="方正黑体_GBK" w:eastAsia="方正黑体_GBK" w:cs="方正黑体_GBK"/>
          <w:sz w:val="32"/>
          <w:szCs w:val="32"/>
        </w:rPr>
        <w:t>十、其他重要事项的情况说明</w:t>
      </w:r>
      <w:bookmarkEnd w:id="38"/>
      <w:bookmarkEnd w:id="39"/>
    </w:p>
    <w:p>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，中共金川县委组织部机关运行经费支出</w:t>
      </w:r>
      <w:r>
        <w:rPr>
          <w:rFonts w:hint="eastAsia" w:ascii="仿宋_GB2312" w:hAnsi="仿宋_GB2312" w:eastAsia="仿宋_GB2312" w:cs="仿宋_GB2312"/>
          <w:sz w:val="32"/>
          <w:szCs w:val="32"/>
          <w:lang w:val="en-US" w:eastAsia="zh-CN"/>
        </w:rPr>
        <w:t>8.85</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lang w:eastAsia="zh-CN"/>
        </w:rPr>
        <w:t>。</w:t>
      </w:r>
      <w:r>
        <w:rPr>
          <w:rFonts w:hint="eastAsia" w:ascii="仿宋_GB2312" w:eastAsia="仿宋_GB2312"/>
          <w:color w:val="auto"/>
          <w:sz w:val="32"/>
          <w:szCs w:val="32"/>
          <w:shd w:val="clear" w:color="auto" w:fill="auto"/>
        </w:rPr>
        <w:t>比</w:t>
      </w:r>
      <w:r>
        <w:rPr>
          <w:rFonts w:ascii="仿宋_GB2312" w:eastAsia="仿宋_GB2312"/>
          <w:color w:val="auto"/>
          <w:sz w:val="32"/>
          <w:szCs w:val="32"/>
          <w:shd w:val="clear" w:color="auto" w:fill="auto"/>
        </w:rPr>
        <w:t>20</w:t>
      </w:r>
      <w:r>
        <w:rPr>
          <w:rFonts w:hint="eastAsia" w:ascii="仿宋_GB2312" w:eastAsia="仿宋_GB2312"/>
          <w:color w:val="auto"/>
          <w:sz w:val="32"/>
          <w:szCs w:val="32"/>
          <w:shd w:val="clear" w:color="auto" w:fill="auto"/>
          <w:lang w:val="en-US" w:eastAsia="zh-CN"/>
        </w:rPr>
        <w:t>23</w:t>
      </w:r>
      <w:r>
        <w:rPr>
          <w:rFonts w:hint="eastAsia" w:ascii="仿宋_GB2312" w:eastAsia="仿宋_GB2312"/>
          <w:color w:val="auto"/>
          <w:sz w:val="32"/>
          <w:szCs w:val="32"/>
          <w:shd w:val="clear" w:color="auto" w:fill="auto"/>
        </w:rPr>
        <w:t>年</w:t>
      </w:r>
      <w:r>
        <w:rPr>
          <w:rFonts w:hint="eastAsia" w:ascii="仿宋_GB2312" w:eastAsia="仿宋_GB2312"/>
          <w:color w:val="auto"/>
          <w:sz w:val="32"/>
          <w:szCs w:val="32"/>
          <w:shd w:val="clear" w:color="auto" w:fill="auto"/>
          <w:lang w:eastAsia="zh-CN"/>
        </w:rPr>
        <w:t>增加</w:t>
      </w:r>
      <w:r>
        <w:rPr>
          <w:rFonts w:hint="eastAsia" w:ascii="仿宋_GB2312" w:eastAsia="仿宋_GB2312"/>
          <w:color w:val="auto"/>
          <w:sz w:val="32"/>
          <w:szCs w:val="32"/>
          <w:shd w:val="clear" w:color="auto" w:fill="auto"/>
          <w:lang w:val="en-US" w:eastAsia="zh-CN"/>
        </w:rPr>
        <w:t>2.96</w:t>
      </w:r>
      <w:r>
        <w:rPr>
          <w:rFonts w:hint="eastAsia" w:ascii="仿宋_GB2312" w:eastAsia="仿宋_GB2312"/>
          <w:color w:val="auto"/>
          <w:sz w:val="32"/>
          <w:szCs w:val="32"/>
          <w:shd w:val="clear" w:color="auto" w:fill="auto"/>
        </w:rPr>
        <w:t>万元。</w:t>
      </w:r>
    </w:p>
    <w:p>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pPr>
        <w:spacing w:line="600" w:lineRule="exact"/>
        <w:ind w:firstLine="640"/>
        <w:rPr>
          <w:rFonts w:ascii="仿宋_GB2312" w:hAnsi="仿宋_GB2312" w:eastAsia="仿宋_GB2312" w:cs="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802.65</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802.65</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eastAsia="zh-CN"/>
        </w:rPr>
        <w:t>项目建设</w:t>
      </w:r>
      <w:r>
        <w:rPr>
          <w:rFonts w:hint="eastAsia" w:ascii="仿宋_GB2312" w:eastAsia="仿宋_GB2312"/>
          <w:color w:val="auto"/>
          <w:sz w:val="32"/>
          <w:szCs w:val="32"/>
          <w:lang w:val="en-US" w:eastAsia="zh-CN"/>
        </w:rPr>
        <w:t>。</w:t>
      </w:r>
    </w:p>
    <w:p>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截至2024年12月31日，中共金川县委组织部共有车辆2辆，其中：主要负责人用车0辆、机要通信用车0辆、应急保障用车0辆、其他用车2辆，其他用车主要是用于</w:t>
      </w:r>
      <w:r>
        <w:rPr>
          <w:rFonts w:hint="eastAsia" w:eastAsia="方正仿宋_GBK"/>
          <w:kern w:val="0"/>
          <w:sz w:val="32"/>
          <w:szCs w:val="32"/>
        </w:rPr>
        <w:t>日常工作及应急保障用车。</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根据预算绩效管理要求，本部门在2024年度预算编制阶段，组织对乡村人才振兴五年行动等</w:t>
      </w:r>
      <w:r>
        <w:rPr>
          <w:rFonts w:hint="eastAsia" w:eastAsia="仿宋_GB2312" w:cs="仿宋_GB2312"/>
          <w:sz w:val="32"/>
          <w:szCs w:val="32"/>
          <w:lang w:val="en-US" w:eastAsia="zh-CN"/>
        </w:rPr>
        <w:t>103</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103</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103</w:t>
      </w:r>
      <w:r>
        <w:rPr>
          <w:rFonts w:hint="eastAsia" w:eastAsia="仿宋_GB2312" w:cs="仿宋_GB2312"/>
          <w:sz w:val="32"/>
          <w:szCs w:val="32"/>
        </w:rPr>
        <w:t>个项目开展绩效监控。</w:t>
      </w:r>
    </w:p>
    <w:p>
      <w:pPr>
        <w:spacing w:line="600" w:lineRule="exact"/>
        <w:ind w:firstLine="640"/>
        <w:rPr>
          <w:rFonts w:hint="eastAsia"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eastAsia="方正仿宋_GBK"/>
          <w:sz w:val="32"/>
          <w:szCs w:val="32"/>
        </w:rPr>
        <w:t>金川县</w:t>
      </w:r>
      <w:r>
        <w:rPr>
          <w:rFonts w:hint="eastAsia" w:eastAsia="方正仿宋_GBK"/>
          <w:sz w:val="32"/>
          <w:szCs w:val="32"/>
          <w:lang w:eastAsia="zh-CN"/>
        </w:rPr>
        <w:t>水务局</w:t>
      </w:r>
      <w:r>
        <w:rPr>
          <w:rFonts w:hint="eastAsia" w:eastAsia="仿宋_GB2312" w:cs="仿宋_GB2312"/>
          <w:sz w:val="32"/>
          <w:szCs w:val="32"/>
        </w:rPr>
        <w:t>专项预算项目绩效自评报告，其中，自评得分为95分，绩效自评综述我部2024年部门预算收支与年初预算基本一致，达到预期绩效目标；绩效自评综述人才专项预算项目分配合理，绩效自评报告详见附件。</w:t>
      </w:r>
    </w:p>
    <w:p>
      <w:pPr>
        <w:pStyle w:val="14"/>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pStyle w:val="7"/>
        <w:ind w:left="420"/>
      </w:pPr>
    </w:p>
    <w:p>
      <w:pPr>
        <w:spacing w:line="600" w:lineRule="exact"/>
        <w:ind w:firstLine="640"/>
        <w:rPr>
          <w:rFonts w:eastAsia="仿宋_GB2312" w:cs="仿宋_GB2312"/>
          <w:sz w:val="32"/>
          <w:szCs w:val="32"/>
        </w:rPr>
      </w:pPr>
    </w:p>
    <w:p>
      <w:pPr>
        <w:pStyle w:val="3"/>
        <w:jc w:val="center"/>
        <w:rPr>
          <w:rFonts w:hint="eastAsia" w:ascii="方正小标宋_GBK" w:hAnsi="方正小标宋_GBK" w:eastAsia="方正小标宋_GBK" w:cs="方正小标宋_GBK"/>
          <w:b w:val="0"/>
        </w:rPr>
      </w:pPr>
      <w:bookmarkStart w:id="43" w:name="_Toc15377225"/>
      <w:bookmarkStart w:id="44" w:name="_Toc15396613"/>
      <w:r>
        <w:rPr>
          <w:rFonts w:hint="eastAsia" w:ascii="方正小标宋_GBK" w:hAnsi="方正小标宋_GBK" w:eastAsia="方正小标宋_GBK" w:cs="方正小标宋_GBK"/>
          <w:b w:val="0"/>
        </w:rPr>
        <w:t>第三部分  名词解释</w:t>
      </w:r>
      <w:bookmarkEnd w:id="43"/>
      <w:bookmarkEnd w:id="44"/>
    </w:p>
    <w:p>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 </w:t>
      </w:r>
    </w:p>
    <w:p>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pPr>
        <w:spacing w:line="576" w:lineRule="exact"/>
        <w:ind w:firstLine="640" w:firstLineChars="200"/>
        <w:rPr>
          <w:rFonts w:eastAsia="方正仿宋_GBK"/>
          <w:kern w:val="0"/>
          <w:sz w:val="32"/>
          <w:szCs w:val="32"/>
        </w:rPr>
      </w:pPr>
      <w:r>
        <w:rPr>
          <w:rFonts w:hint="eastAsia" w:eastAsia="方正仿宋_GBK"/>
          <w:kern w:val="0"/>
          <w:sz w:val="32"/>
          <w:szCs w:val="32"/>
        </w:rPr>
        <w:t>9.一般公共服务（类）政府办公厅（室）及相关机构事务（款）行政运行（项）：指行政单位的基本支出。</w:t>
      </w:r>
    </w:p>
    <w:p>
      <w:pPr>
        <w:spacing w:line="576" w:lineRule="exact"/>
        <w:ind w:firstLine="640" w:firstLineChars="200"/>
        <w:rPr>
          <w:rFonts w:eastAsia="方正仿宋_GBK"/>
          <w:kern w:val="0"/>
          <w:sz w:val="32"/>
          <w:szCs w:val="32"/>
        </w:rPr>
      </w:pPr>
      <w:r>
        <w:rPr>
          <w:rFonts w:hint="eastAsia" w:eastAsia="方正仿宋_GBK"/>
          <w:kern w:val="0"/>
          <w:sz w:val="32"/>
          <w:szCs w:val="32"/>
        </w:rPr>
        <w:t>10.一般公共服务（类）政府办公厅（室）及相关机构事务（款）一般行政管理事务（项）：指反映行政单位未单独设置顶级科目的其他项目支出。</w:t>
      </w:r>
    </w:p>
    <w:p>
      <w:pPr>
        <w:spacing w:line="576" w:lineRule="exact"/>
        <w:ind w:firstLine="640" w:firstLineChars="200"/>
        <w:rPr>
          <w:rFonts w:eastAsia="方正仿宋_GBK"/>
          <w:kern w:val="0"/>
          <w:sz w:val="32"/>
          <w:szCs w:val="32"/>
        </w:rPr>
      </w:pPr>
      <w:r>
        <w:rPr>
          <w:rFonts w:hint="eastAsia" w:eastAsia="方正仿宋_GBK"/>
          <w:kern w:val="0"/>
          <w:sz w:val="32"/>
          <w:szCs w:val="32"/>
        </w:rPr>
        <w:t>11.教育（类）其他教育支出（款）其他教育支出（项）：除上诉项目以外用于教育管理事务方面的支出。</w:t>
      </w:r>
    </w:p>
    <w:p>
      <w:pPr>
        <w:spacing w:line="576" w:lineRule="exact"/>
        <w:ind w:firstLine="640" w:firstLineChars="200"/>
        <w:rPr>
          <w:rFonts w:eastAsia="方正仿宋_GBK"/>
          <w:kern w:val="0"/>
          <w:sz w:val="32"/>
          <w:szCs w:val="32"/>
        </w:rPr>
      </w:pPr>
      <w:r>
        <w:rPr>
          <w:rFonts w:hint="eastAsia" w:eastAsia="方正仿宋_GBK"/>
          <w:kern w:val="0"/>
          <w:sz w:val="32"/>
          <w:szCs w:val="32"/>
        </w:rPr>
        <w:t>12.社会保障和就业（类）行政事业单位离退休（款）机关事业单位基本养老保险缴费支出（项）：指单位为职工缴纳的基本养老保险费。</w:t>
      </w:r>
    </w:p>
    <w:p>
      <w:pPr>
        <w:spacing w:line="576" w:lineRule="exact"/>
        <w:ind w:firstLine="640" w:firstLineChars="200"/>
        <w:rPr>
          <w:rFonts w:eastAsia="方正仿宋_GBK"/>
          <w:kern w:val="0"/>
          <w:sz w:val="32"/>
          <w:szCs w:val="32"/>
        </w:rPr>
      </w:pPr>
      <w:r>
        <w:rPr>
          <w:rFonts w:hint="eastAsia" w:eastAsia="方正仿宋_GBK"/>
          <w:kern w:val="0"/>
          <w:sz w:val="32"/>
          <w:szCs w:val="32"/>
        </w:rPr>
        <w:t>13.社会保障和就业（类）行政事业单位离退休（款）机关事业单位基本职业年金缴费支出（项）：指单位为职工实际缴纳的职业年金。</w:t>
      </w:r>
    </w:p>
    <w:p>
      <w:pPr>
        <w:spacing w:line="576" w:lineRule="exact"/>
        <w:ind w:firstLine="640" w:firstLineChars="200"/>
        <w:rPr>
          <w:rFonts w:eastAsia="方正仿宋_GBK"/>
          <w:kern w:val="0"/>
          <w:sz w:val="32"/>
          <w:szCs w:val="32"/>
        </w:rPr>
      </w:pPr>
      <w:r>
        <w:rPr>
          <w:rFonts w:hint="eastAsia" w:eastAsia="方正仿宋_GBK"/>
          <w:kern w:val="0"/>
          <w:sz w:val="32"/>
          <w:szCs w:val="32"/>
        </w:rPr>
        <w:t>14.医疗卫生与计划生育（类）行政事业单位医疗（款）行政单位医疗（项）：指反映职工缴纳的基本医疗保险费。</w:t>
      </w:r>
    </w:p>
    <w:p>
      <w:pPr>
        <w:spacing w:line="576" w:lineRule="exact"/>
        <w:ind w:firstLine="640" w:firstLineChars="200"/>
        <w:rPr>
          <w:rFonts w:eastAsia="方正仿宋_GBK"/>
          <w:kern w:val="0"/>
          <w:sz w:val="32"/>
          <w:szCs w:val="32"/>
        </w:rPr>
      </w:pPr>
      <w:r>
        <w:rPr>
          <w:rFonts w:hint="eastAsia" w:eastAsia="方正仿宋_GBK"/>
          <w:kern w:val="0"/>
          <w:sz w:val="32"/>
          <w:szCs w:val="32"/>
        </w:rPr>
        <w:t>15.医疗卫生与计划生育（类）行政事业单位医疗（款）公务员医疗补助（项）：指按规定可享受公务员医疗补助单位为职工缴纳的公务员医疗补助费。</w:t>
      </w:r>
    </w:p>
    <w:p>
      <w:pPr>
        <w:spacing w:line="576" w:lineRule="exact"/>
        <w:ind w:firstLine="640" w:firstLineChars="200"/>
        <w:rPr>
          <w:rFonts w:eastAsia="方正仿宋_GBK"/>
          <w:kern w:val="0"/>
          <w:sz w:val="32"/>
          <w:szCs w:val="32"/>
        </w:rPr>
      </w:pPr>
      <w:r>
        <w:rPr>
          <w:rFonts w:hint="eastAsia" w:eastAsia="方正仿宋_GBK"/>
          <w:kern w:val="0"/>
          <w:sz w:val="32"/>
          <w:szCs w:val="32"/>
        </w:rPr>
        <w:t>16.住房保障（类）住房改革支出（款）住房公积金（项）：指单位按规定为职工缴纳的住房公积金。</w:t>
      </w:r>
    </w:p>
    <w:p>
      <w:pPr>
        <w:spacing w:line="600" w:lineRule="exact"/>
        <w:ind w:firstLine="640"/>
        <w:rPr>
          <w:rFonts w:eastAsia="仿宋_GB2312" w:cs="仿宋_GB2312"/>
          <w:sz w:val="32"/>
          <w:szCs w:val="32"/>
        </w:rPr>
      </w:pPr>
      <w:r>
        <w:rPr>
          <w:rFonts w:hint="eastAsia" w:eastAsia="仿宋_GB2312" w:cs="仿宋_GB2312"/>
          <w:sz w:val="32"/>
          <w:szCs w:val="32"/>
        </w:rPr>
        <w:t>17.基本支出：指为保障机构正常运转、完成日常工作任务而发生的人员支出和公用支出。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rPr>
        <w:t xml:space="preserve">18.项目支出：指在基本支出之外为完成特定行政任务和事业发展目标所发生的支出。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rPr>
        <w:t>19.经营支出：指事业单位在专业业务活动及其辅助活动之外开展非独立核算经营活动发生的支出。</w:t>
      </w:r>
    </w:p>
    <w:p>
      <w:pPr>
        <w:spacing w:line="600" w:lineRule="exact"/>
        <w:ind w:firstLine="640"/>
        <w:rPr>
          <w:rFonts w:eastAsia="仿宋_GB2312" w:cs="仿宋_GB2312"/>
          <w:sz w:val="32"/>
          <w:szCs w:val="32"/>
        </w:rPr>
      </w:pPr>
      <w:r>
        <w:rPr>
          <w:rFonts w:hint="eastAsia" w:eastAsia="仿宋_GB2312" w:cs="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sz w:val="32"/>
          <w:szCs w:val="32"/>
        </w:rPr>
      </w:pPr>
      <w:r>
        <w:rPr>
          <w:rFonts w:hint="eastAsia" w:eastAsia="仿宋_GB2312" w:cs="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jc w:val="center"/>
        <w:rPr>
          <w:rFonts w:eastAsia="黑体" w:cs="黑体"/>
          <w:color w:val="FF0000"/>
          <w:sz w:val="32"/>
          <w:szCs w:val="32"/>
        </w:rPr>
      </w:pPr>
      <w:bookmarkStart w:id="45" w:name="_Toc15377226"/>
      <w:r>
        <w:rPr>
          <w:rFonts w:hint="eastAsia" w:eastAsia="仿宋_GB2312" w:cs="仿宋_GB2312"/>
          <w:sz w:val="32"/>
          <w:szCs w:val="32"/>
        </w:rPr>
        <w:br w:type="page"/>
      </w:r>
      <w:bookmarkStart w:id="46" w:name="_Toc15396614"/>
      <w:r>
        <w:rPr>
          <w:rFonts w:hint="eastAsia" w:ascii="方正小标宋_GBK" w:hAnsi="方正小标宋_GBK" w:eastAsia="方正小标宋_GBK" w:cs="方正小标宋_GBK"/>
          <w:b w:val="0"/>
        </w:rPr>
        <w:t>第四部分  附件</w:t>
      </w:r>
      <w:bookmarkEnd w:id="46"/>
    </w:p>
    <w:p>
      <w:pPr>
        <w:keepNext w:val="0"/>
        <w:keepLines w:val="0"/>
        <w:pageBreakBefore w:val="0"/>
        <w:widowControl/>
        <w:tabs>
          <w:tab w:val="left" w:pos="1582"/>
          <w:tab w:val="center" w:pos="4212"/>
        </w:tabs>
        <w:bidi w:val="0"/>
        <w:spacing w:line="600" w:lineRule="exact"/>
        <w:contextualSpacing/>
        <w:jc w:val="left"/>
        <w:textAlignment w:val="auto"/>
        <w:rPr>
          <w:rFonts w:hint="eastAsia" w:ascii="方正小标宋简体" w:hAnsi="方正小标宋简体" w:eastAsia="方正小标宋简体" w:cs="方正小标宋简体"/>
          <w:b/>
          <w:spacing w:val="34"/>
          <w:sz w:val="44"/>
          <w:szCs w:val="44"/>
          <w:shd w:val="clear" w:color="auto" w:fill="FFFFFF"/>
          <w:lang w:eastAsia="zh-CN"/>
        </w:rPr>
      </w:pPr>
      <w:r>
        <w:rPr>
          <w:rFonts w:hint="eastAsia" w:eastAsia="黑体" w:cs="黑体"/>
          <w:sz w:val="32"/>
          <w:szCs w:val="32"/>
        </w:rPr>
        <w:t>附件1</w:t>
      </w:r>
      <w:r>
        <w:rPr>
          <w:rFonts w:hint="eastAsia" w:ascii="方正小标宋简体" w:hAnsi="方正小标宋简体" w:eastAsia="方正小标宋简体" w:cs="方正小标宋简体"/>
          <w:b/>
          <w:spacing w:val="34"/>
          <w:sz w:val="44"/>
          <w:szCs w:val="44"/>
          <w:shd w:val="clear" w:color="auto" w:fill="FFFFFF"/>
        </w:rPr>
        <w:t>金川县</w:t>
      </w:r>
      <w:r>
        <w:rPr>
          <w:rFonts w:hint="eastAsia" w:ascii="方正小标宋简体" w:hAnsi="方正小标宋简体" w:eastAsia="方正小标宋简体" w:cs="方正小标宋简体"/>
          <w:b/>
          <w:spacing w:val="34"/>
          <w:sz w:val="44"/>
          <w:szCs w:val="44"/>
          <w:shd w:val="clear" w:color="auto" w:fill="FFFFFF"/>
          <w:lang w:eastAsia="zh-CN"/>
        </w:rPr>
        <w:t>水务局</w:t>
      </w:r>
    </w:p>
    <w:p>
      <w:pPr>
        <w:keepNext w:val="0"/>
        <w:keepLines w:val="0"/>
        <w:pageBreakBefore w:val="0"/>
        <w:widowControl/>
        <w:bidi w:val="0"/>
        <w:spacing w:line="600" w:lineRule="exact"/>
        <w:contextualSpacing/>
        <w:jc w:val="center"/>
        <w:textAlignment w:val="auto"/>
        <w:rPr>
          <w:rFonts w:hint="eastAsia" w:ascii="方正小标宋简体" w:hAnsi="方正小标宋简体" w:eastAsia="方正小标宋简体" w:cs="方正小标宋简体"/>
          <w:b/>
          <w:spacing w:val="34"/>
          <w:sz w:val="44"/>
          <w:szCs w:val="44"/>
          <w:shd w:val="clear" w:color="auto" w:fill="FFFFFF"/>
        </w:rPr>
      </w:pPr>
      <w:r>
        <w:rPr>
          <w:rFonts w:hint="eastAsia" w:ascii="方正小标宋简体" w:hAnsi="方正小标宋简体" w:eastAsia="方正小标宋简体" w:cs="方正小标宋简体"/>
          <w:b/>
          <w:spacing w:val="34"/>
          <w:sz w:val="44"/>
          <w:szCs w:val="44"/>
          <w:shd w:val="clear" w:color="auto" w:fill="FFFFFF"/>
        </w:rPr>
        <w:t>202</w:t>
      </w:r>
      <w:r>
        <w:rPr>
          <w:rFonts w:hint="eastAsia" w:ascii="方正小标宋简体" w:hAnsi="方正小标宋简体" w:eastAsia="方正小标宋简体" w:cs="方正小标宋简体"/>
          <w:b/>
          <w:spacing w:val="34"/>
          <w:sz w:val="44"/>
          <w:szCs w:val="44"/>
          <w:shd w:val="clear" w:color="auto" w:fill="FFFFFF"/>
          <w:lang w:val="en-US" w:eastAsia="zh-CN"/>
        </w:rPr>
        <w:t>4</w:t>
      </w:r>
      <w:r>
        <w:rPr>
          <w:rFonts w:hint="eastAsia" w:ascii="方正小标宋简体" w:hAnsi="方正小标宋简体" w:eastAsia="方正小标宋简体" w:cs="方正小标宋简体"/>
          <w:b/>
          <w:spacing w:val="34"/>
          <w:sz w:val="44"/>
          <w:szCs w:val="44"/>
          <w:shd w:val="clear" w:color="auto" w:fill="FFFFFF"/>
        </w:rPr>
        <w:t>年部门整体支出绩效</w:t>
      </w:r>
    </w:p>
    <w:p>
      <w:pPr>
        <w:keepNext w:val="0"/>
        <w:keepLines w:val="0"/>
        <w:pageBreakBefore w:val="0"/>
        <w:widowControl/>
        <w:bidi w:val="0"/>
        <w:spacing w:line="600" w:lineRule="exact"/>
        <w:contextualSpacing/>
        <w:jc w:val="center"/>
        <w:textAlignment w:val="auto"/>
        <w:rPr>
          <w:rFonts w:hint="eastAsia"/>
          <w:sz w:val="44"/>
          <w:szCs w:val="44"/>
        </w:rPr>
      </w:pPr>
      <w:r>
        <w:rPr>
          <w:rFonts w:hint="eastAsia" w:ascii="方正小标宋简体" w:hAnsi="方正小标宋简体" w:eastAsia="方正小标宋简体" w:cs="方正小标宋简体"/>
          <w:b/>
          <w:spacing w:val="34"/>
          <w:sz w:val="44"/>
          <w:szCs w:val="44"/>
          <w:shd w:val="clear" w:color="auto" w:fill="FFFFFF"/>
        </w:rPr>
        <w:t>评价报告</w:t>
      </w:r>
    </w:p>
    <w:p>
      <w:pPr>
        <w:keepNext w:val="0"/>
        <w:keepLines w:val="0"/>
        <w:pageBreakBefore w:val="0"/>
        <w:widowControl/>
        <w:kinsoku w:val="0"/>
        <w:overflowPunct w:val="0"/>
        <w:autoSpaceDE w:val="0"/>
        <w:autoSpaceDN w:val="0"/>
        <w:bidi w:val="0"/>
        <w:spacing w:line="600" w:lineRule="exact"/>
        <w:ind w:firstLine="640" w:firstLineChars="200"/>
        <w:jc w:val="left"/>
        <w:textAlignment w:val="auto"/>
        <w:rPr>
          <w:rFonts w:hint="eastAsia" w:ascii="仿宋" w:eastAsia="仿宋"/>
          <w:color w:val="000000"/>
          <w:sz w:val="32"/>
          <w:szCs w:val="32"/>
        </w:rPr>
      </w:pPr>
    </w:p>
    <w:p>
      <w:pPr>
        <w:keepNext w:val="0"/>
        <w:keepLines w:val="0"/>
        <w:pageBreakBefore w:val="0"/>
        <w:widowControl/>
        <w:kinsoku w:val="0"/>
        <w:overflowPunct w:val="0"/>
        <w:autoSpaceDE w:val="0"/>
        <w:autoSpaceDN w:val="0"/>
        <w:bidi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w:t>
      </w:r>
      <w:r>
        <w:rPr>
          <w:rFonts w:hint="eastAsia" w:ascii="仿宋" w:eastAsia="仿宋"/>
          <w:color w:val="000000"/>
          <w:sz w:val="32"/>
          <w:szCs w:val="32"/>
          <w:lang w:eastAsia="zh-CN"/>
        </w:rPr>
        <w:t>乡</w:t>
      </w:r>
      <w:r>
        <w:rPr>
          <w:rFonts w:hint="eastAsia" w:ascii="仿宋" w:eastAsia="仿宋"/>
          <w:color w:val="000000"/>
          <w:sz w:val="32"/>
          <w:szCs w:val="32"/>
        </w:rPr>
        <w:t>高度重视，庚即成立了绩效评价工作组负责开展202</w:t>
      </w:r>
      <w:r>
        <w:rPr>
          <w:rFonts w:hint="eastAsia" w:ascii="仿宋" w:eastAsia="仿宋"/>
          <w:color w:val="000000"/>
          <w:sz w:val="32"/>
          <w:szCs w:val="32"/>
          <w:lang w:val="en-US" w:eastAsia="zh-CN"/>
        </w:rPr>
        <w:t>2</w:t>
      </w:r>
      <w:r>
        <w:rPr>
          <w:rFonts w:hint="eastAsia" w:ascii="仿宋" w:eastAsia="仿宋"/>
          <w:color w:val="000000"/>
          <w:sz w:val="32"/>
          <w:szCs w:val="32"/>
        </w:rPr>
        <w:t>年财政支出绩效评价。</w:t>
      </w:r>
    </w:p>
    <w:p>
      <w:pPr>
        <w:keepNext w:val="0"/>
        <w:keepLines w:val="0"/>
        <w:pageBreakBefore w:val="0"/>
        <w:bidi w:val="0"/>
        <w:spacing w:line="600" w:lineRule="exact"/>
        <w:textAlignment w:val="auto"/>
        <w:rPr>
          <w:rFonts w:hint="eastAsia"/>
          <w:lang w:val="zh-CN"/>
        </w:rPr>
      </w:pPr>
    </w:p>
    <w:p>
      <w:pPr>
        <w:widowControl/>
        <w:spacing w:line="400" w:lineRule="exact"/>
        <w:ind w:firstLine="630" w:firstLineChars="197"/>
        <w:jc w:val="left"/>
        <w:outlineLvl w:val="1"/>
        <w:rPr>
          <w:rStyle w:val="40"/>
          <w:b w:val="0"/>
          <w:bCs w:val="0"/>
        </w:rPr>
      </w:pPr>
      <w:bookmarkStart w:id="47" w:name="_Toc18089"/>
      <w:bookmarkStart w:id="48" w:name="_Toc20121"/>
      <w:bookmarkStart w:id="49" w:name="_Toc13478"/>
      <w:r>
        <w:rPr>
          <w:rStyle w:val="40"/>
          <w:rFonts w:hint="eastAsia" w:ascii="黑体" w:eastAsia="黑体"/>
          <w:b w:val="0"/>
          <w:bCs w:val="0"/>
        </w:rPr>
        <w:t>二、机构设置</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2．机构情况：</w:t>
      </w:r>
    </w:p>
    <w:p>
      <w:pPr>
        <w:snapToGrid w:val="0"/>
        <w:spacing w:line="540" w:lineRule="atLeast"/>
        <w:ind w:firstLine="640" w:firstLineChars="200"/>
        <w:rPr>
          <w:rFonts w:hint="eastAsia" w:ascii="仿宋_GB2312" w:hAnsi="宋体" w:eastAsia="仿宋_GB2312" w:cs="宋体"/>
          <w:color w:val="333333"/>
          <w:kern w:val="0"/>
          <w:sz w:val="28"/>
          <w:szCs w:val="28"/>
          <w:lang w:val="zh-CN"/>
        </w:rPr>
      </w:pPr>
      <w:r>
        <w:rPr>
          <w:rFonts w:hint="eastAsia" w:ascii="仿宋_GB2312" w:hAnsi="仿宋_GB2312" w:eastAsia="仿宋_GB2312" w:cs="Arial"/>
          <w:kern w:val="0"/>
          <w:sz w:val="32"/>
          <w:szCs w:val="32"/>
          <w:lang w:val="zh-CN" w:eastAsia="zh-CN" w:bidi="ar-SA"/>
        </w:rPr>
        <w:t>我单位纳入本部门决算汇编范围的独立核算单位共</w:t>
      </w:r>
      <w:r>
        <w:rPr>
          <w:rFonts w:hint="eastAsia" w:ascii="仿宋_GB2312" w:hAnsi="仿宋_GB2312" w:eastAsia="仿宋_GB2312" w:cs="Arial"/>
          <w:kern w:val="0"/>
          <w:sz w:val="32"/>
          <w:szCs w:val="32"/>
          <w:lang w:val="en-US" w:eastAsia="zh-CN" w:bidi="ar-SA"/>
        </w:rPr>
        <w:t>1</w:t>
      </w:r>
      <w:r>
        <w:rPr>
          <w:rFonts w:hint="eastAsia" w:ascii="仿宋_GB2312" w:hAnsi="仿宋_GB2312" w:eastAsia="仿宋_GB2312" w:cs="Arial"/>
          <w:kern w:val="0"/>
          <w:sz w:val="32"/>
          <w:szCs w:val="32"/>
          <w:lang w:val="zh-CN" w:eastAsia="zh-CN" w:bidi="ar-SA"/>
        </w:rPr>
        <w:t>个，无增减变动。</w:t>
      </w:r>
    </w:p>
    <w:p>
      <w:pPr>
        <w:snapToGrid w:val="0"/>
        <w:spacing w:line="540" w:lineRule="atLeast"/>
        <w:ind w:firstLine="640" w:firstLineChars="200"/>
        <w:rPr>
          <w:rFonts w:hint="eastAsia" w:ascii="仿宋_GB2312" w:hAnsi="仿宋" w:eastAsia="仿宋_GB2312"/>
          <w:sz w:val="32"/>
          <w:szCs w:val="32"/>
        </w:rPr>
      </w:pPr>
      <w:r>
        <w:rPr>
          <w:rFonts w:hint="eastAsia" w:ascii="仿宋_GB2312" w:hAnsi="仿宋" w:eastAsia="仿宋_GB2312"/>
          <w:sz w:val="32"/>
          <w:szCs w:val="32"/>
        </w:rPr>
        <w:t>3．人员情况：</w:t>
      </w:r>
    </w:p>
    <w:p>
      <w:pPr>
        <w:snapToGrid w:val="0"/>
        <w:spacing w:line="520" w:lineRule="exact"/>
        <w:ind w:firstLine="640" w:firstLineChars="200"/>
        <w:rPr>
          <w:rFonts w:hint="eastAsia" w:ascii="仿宋_GB2312" w:hAnsi="仿宋_GB2312" w:eastAsia="仿宋_GB2312" w:cs="Arial"/>
          <w:color w:val="auto"/>
          <w:kern w:val="0"/>
          <w:sz w:val="32"/>
          <w:szCs w:val="32"/>
          <w:lang w:val="zh-CN" w:eastAsia="zh-CN" w:bidi="ar-SA"/>
        </w:rPr>
      </w:pPr>
      <w:r>
        <w:rPr>
          <w:rFonts w:hint="eastAsia" w:ascii="仿宋_GB2312" w:eastAsia="仿宋_GB2312"/>
          <w:color w:val="auto"/>
          <w:sz w:val="32"/>
          <w:szCs w:val="32"/>
          <w:lang w:eastAsia="zh-CN"/>
        </w:rPr>
        <w:t>金川县水务局</w:t>
      </w:r>
      <w:r>
        <w:rPr>
          <w:rFonts w:hint="eastAsia" w:ascii="仿宋_GB2312" w:eastAsia="仿宋_GB2312"/>
          <w:color w:val="auto"/>
          <w:sz w:val="32"/>
          <w:szCs w:val="32"/>
        </w:rPr>
        <w:t>是</w:t>
      </w:r>
      <w:r>
        <w:rPr>
          <w:rFonts w:hint="eastAsia" w:ascii="仿宋_GB2312" w:eastAsia="仿宋_GB2312"/>
          <w:bCs/>
          <w:color w:val="auto"/>
          <w:sz w:val="32"/>
          <w:szCs w:val="32"/>
        </w:rPr>
        <w:t>政府组成部门，</w:t>
      </w:r>
      <w:r>
        <w:rPr>
          <w:rFonts w:hint="eastAsia" w:ascii="仿宋_GB2312" w:eastAsia="仿宋_GB2312"/>
          <w:color w:val="auto"/>
          <w:sz w:val="32"/>
          <w:szCs w:val="32"/>
        </w:rPr>
        <w:t>核算机构1个，</w:t>
      </w:r>
      <w:r>
        <w:rPr>
          <w:rFonts w:hint="eastAsia" w:ascii="仿宋_GB2312" w:hAnsi="仿宋_GB2312" w:eastAsia="仿宋_GB2312" w:cs="Arial"/>
          <w:color w:val="auto"/>
          <w:kern w:val="0"/>
          <w:sz w:val="32"/>
          <w:szCs w:val="32"/>
          <w:lang w:val="zh-CN" w:eastAsia="zh-CN" w:bidi="ar-SA"/>
        </w:rPr>
        <w:t>我单位在职职工</w:t>
      </w:r>
      <w:r>
        <w:rPr>
          <w:rFonts w:hint="eastAsia" w:ascii="仿宋_GB2312" w:hAnsi="仿宋_GB2312" w:eastAsia="仿宋_GB2312" w:cs="Arial"/>
          <w:color w:val="auto"/>
          <w:kern w:val="0"/>
          <w:sz w:val="32"/>
          <w:szCs w:val="32"/>
          <w:lang w:val="en-US" w:eastAsia="zh-CN" w:bidi="ar-SA"/>
        </w:rPr>
        <w:t>30人，其中</w:t>
      </w:r>
      <w:r>
        <w:rPr>
          <w:rFonts w:hint="eastAsia" w:ascii="仿宋_GB2312" w:hAnsi="仿宋_GB2312" w:eastAsia="仿宋_GB2312" w:cs="Arial"/>
          <w:color w:val="auto"/>
          <w:kern w:val="0"/>
          <w:sz w:val="32"/>
          <w:szCs w:val="32"/>
          <w:lang w:val="zh-CN" w:eastAsia="zh-CN" w:bidi="ar-SA"/>
        </w:rPr>
        <w:t>行政人员</w:t>
      </w:r>
      <w:r>
        <w:rPr>
          <w:rFonts w:hint="eastAsia" w:ascii="仿宋_GB2312" w:hAnsi="仿宋_GB2312" w:eastAsia="仿宋_GB2312" w:cs="Arial"/>
          <w:color w:val="auto"/>
          <w:kern w:val="0"/>
          <w:sz w:val="32"/>
          <w:szCs w:val="32"/>
          <w:lang w:val="en-US" w:eastAsia="zh-CN" w:bidi="ar-SA"/>
        </w:rPr>
        <w:t>7</w:t>
      </w:r>
      <w:r>
        <w:rPr>
          <w:rFonts w:hint="eastAsia" w:ascii="仿宋_GB2312" w:hAnsi="仿宋_GB2312" w:eastAsia="仿宋_GB2312" w:cs="Arial"/>
          <w:color w:val="auto"/>
          <w:kern w:val="0"/>
          <w:sz w:val="32"/>
          <w:szCs w:val="32"/>
          <w:lang w:val="zh-CN" w:eastAsia="zh-CN" w:bidi="ar-SA"/>
        </w:rPr>
        <w:t>名，行政工勤</w:t>
      </w:r>
      <w:r>
        <w:rPr>
          <w:rFonts w:hint="eastAsia" w:ascii="仿宋_GB2312" w:hAnsi="仿宋_GB2312" w:eastAsia="仿宋_GB2312" w:cs="Arial"/>
          <w:color w:val="auto"/>
          <w:kern w:val="0"/>
          <w:sz w:val="32"/>
          <w:szCs w:val="32"/>
          <w:lang w:val="en-US" w:eastAsia="zh-CN" w:bidi="ar-SA"/>
        </w:rPr>
        <w:t>1人，事业技术人员23人。</w:t>
      </w:r>
    </w:p>
    <w:p>
      <w:pPr>
        <w:keepNext w:val="0"/>
        <w:keepLines w:val="0"/>
        <w:pageBreakBefore w:val="0"/>
        <w:widowControl/>
        <w:wordWrap w:val="0"/>
        <w:topLinePunct/>
        <w:bidi w:val="0"/>
        <w:adjustRightInd w:val="0"/>
        <w:snapToGrid w:val="0"/>
        <w:spacing w:line="600" w:lineRule="exact"/>
        <w:ind w:firstLine="779" w:firstLineChars="200"/>
        <w:jc w:val="left"/>
        <w:textAlignment w:val="auto"/>
        <w:outlineLvl w:val="1"/>
        <w:rPr>
          <w:rFonts w:hint="eastAsia" w:ascii="黑体" w:hAnsi="黑体" w:eastAsia="黑体" w:cs="黑体"/>
          <w:b/>
          <w:bCs/>
          <w:color w:val="000000"/>
          <w:spacing w:val="34"/>
          <w:sz w:val="32"/>
          <w:szCs w:val="48"/>
          <w:lang w:val="zh-CN"/>
        </w:rPr>
      </w:pPr>
      <w:r>
        <w:rPr>
          <w:rFonts w:hint="eastAsia" w:ascii="黑体" w:hAnsi="黑体" w:eastAsia="黑体" w:cs="黑体"/>
          <w:b/>
          <w:bCs/>
          <w:color w:val="000000"/>
          <w:spacing w:val="34"/>
          <w:sz w:val="32"/>
          <w:szCs w:val="48"/>
          <w:lang w:val="zh-CN"/>
        </w:rPr>
        <w:t>一、部门（单位）概况</w:t>
      </w:r>
      <w:bookmarkEnd w:id="47"/>
      <w:bookmarkEnd w:id="48"/>
      <w:bookmarkEnd w:id="49"/>
    </w:p>
    <w:p>
      <w:pPr>
        <w:keepNext w:val="0"/>
        <w:keepLines w:val="0"/>
        <w:pageBreakBefore w:val="0"/>
        <w:bidi w:val="0"/>
        <w:snapToGrid w:val="0"/>
        <w:spacing w:line="600" w:lineRule="exact"/>
        <w:ind w:firstLine="643" w:firstLineChars="200"/>
        <w:textAlignment w:val="auto"/>
        <w:outlineLvl w:val="1"/>
        <w:rPr>
          <w:rFonts w:hint="eastAsia" w:ascii="仿宋_GB2312" w:eastAsia="仿宋_GB2312"/>
          <w:sz w:val="30"/>
          <w:szCs w:val="30"/>
        </w:rPr>
      </w:pPr>
      <w:bookmarkStart w:id="50" w:name="_Toc1399"/>
      <w:bookmarkStart w:id="51" w:name="_Toc30120"/>
      <w:r>
        <w:rPr>
          <w:rFonts w:hint="eastAsia" w:ascii="楷体" w:hAnsi="楷体" w:eastAsia="楷体" w:cs="楷体"/>
          <w:b/>
          <w:bCs/>
          <w:sz w:val="32"/>
          <w:szCs w:val="32"/>
        </w:rPr>
        <w:t>（一）机构和人员情况</w:t>
      </w:r>
      <w:bookmarkEnd w:id="50"/>
    </w:p>
    <w:bookmarkEnd w:id="51"/>
    <w:p>
      <w:pPr>
        <w:keepNext w:val="0"/>
        <w:keepLines w:val="0"/>
        <w:pageBreakBefore w:val="0"/>
        <w:widowControl/>
        <w:wordWrap w:val="0"/>
        <w:topLinePunct/>
        <w:bidi w:val="0"/>
        <w:adjustRightInd w:val="0"/>
        <w:snapToGrid w:val="0"/>
        <w:spacing w:line="600" w:lineRule="exact"/>
        <w:ind w:firstLine="779" w:firstLineChars="200"/>
        <w:jc w:val="left"/>
        <w:textAlignment w:val="auto"/>
        <w:outlineLvl w:val="1"/>
        <w:rPr>
          <w:rFonts w:hint="eastAsia" w:ascii="黑体" w:hAnsi="黑体" w:eastAsia="黑体" w:cs="黑体"/>
          <w:b/>
          <w:bCs/>
          <w:color w:val="000000"/>
          <w:spacing w:val="34"/>
          <w:sz w:val="32"/>
          <w:szCs w:val="32"/>
          <w:lang w:val="zh-CN"/>
        </w:rPr>
      </w:pPr>
      <w:bookmarkStart w:id="52" w:name="_Toc3827"/>
      <w:bookmarkStart w:id="53" w:name="_Toc13280"/>
      <w:bookmarkStart w:id="54" w:name="_Toc14408"/>
      <w:r>
        <w:rPr>
          <w:rFonts w:hint="eastAsia" w:ascii="黑体" w:hAnsi="黑体" w:eastAsia="黑体" w:cs="黑体"/>
          <w:b/>
          <w:bCs/>
          <w:color w:val="000000"/>
          <w:spacing w:val="34"/>
          <w:sz w:val="32"/>
          <w:szCs w:val="32"/>
          <w:lang w:val="zh-CN"/>
        </w:rPr>
        <w:t>二、部门财政资金收支情况</w:t>
      </w:r>
      <w:bookmarkEnd w:id="52"/>
      <w:bookmarkEnd w:id="53"/>
      <w:bookmarkEnd w:id="54"/>
    </w:p>
    <w:p>
      <w:pPr>
        <w:keepNext w:val="0"/>
        <w:keepLines w:val="0"/>
        <w:pageBreakBefore w:val="0"/>
        <w:widowControl/>
        <w:wordWrap w:val="0"/>
        <w:topLinePunct/>
        <w:bidi w:val="0"/>
        <w:adjustRightInd w:val="0"/>
        <w:snapToGrid w:val="0"/>
        <w:spacing w:line="600" w:lineRule="exact"/>
        <w:ind w:firstLine="779" w:firstLineChars="200"/>
        <w:jc w:val="left"/>
        <w:textAlignment w:val="auto"/>
        <w:outlineLvl w:val="2"/>
        <w:rPr>
          <w:rFonts w:hint="eastAsia" w:ascii="楷体" w:hAnsi="楷体" w:eastAsia="楷体" w:cs="楷体"/>
          <w:b/>
          <w:bCs/>
          <w:color w:val="000000"/>
          <w:spacing w:val="34"/>
          <w:sz w:val="32"/>
          <w:szCs w:val="32"/>
          <w:lang w:val="zh-CN"/>
        </w:rPr>
      </w:pPr>
      <w:bookmarkStart w:id="55" w:name="_Toc912"/>
      <w:r>
        <w:rPr>
          <w:rFonts w:hint="eastAsia" w:ascii="楷体" w:hAnsi="楷体" w:eastAsia="楷体" w:cs="楷体"/>
          <w:b/>
          <w:bCs/>
          <w:color w:val="000000"/>
          <w:spacing w:val="34"/>
          <w:sz w:val="32"/>
          <w:szCs w:val="32"/>
          <w:lang w:val="zh-CN"/>
        </w:rPr>
        <w:t>（一）部门财政资金收入情况</w:t>
      </w:r>
      <w:bookmarkEnd w:id="55"/>
    </w:p>
    <w:p>
      <w:pPr>
        <w:keepNext w:val="0"/>
        <w:keepLines w:val="0"/>
        <w:pageBreakBefore w:val="0"/>
        <w:bidi w:val="0"/>
        <w:snapToGrid w:val="0"/>
        <w:spacing w:line="600" w:lineRule="exact"/>
        <w:ind w:firstLine="640" w:firstLineChars="200"/>
        <w:textAlignment w:val="auto"/>
        <w:rPr>
          <w:rFonts w:hint="eastAsia"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度财政拨款收入</w:t>
      </w:r>
      <w:r>
        <w:rPr>
          <w:rFonts w:hint="eastAsia" w:ascii="仿宋" w:eastAsia="仿宋"/>
          <w:color w:val="000000"/>
          <w:sz w:val="32"/>
          <w:szCs w:val="32"/>
          <w:lang w:val="en-US" w:eastAsia="zh-CN"/>
        </w:rPr>
        <w:t>10003.41</w:t>
      </w:r>
      <w:r>
        <w:rPr>
          <w:rFonts w:hint="eastAsia" w:ascii="仿宋" w:eastAsia="仿宋"/>
          <w:color w:val="000000"/>
          <w:sz w:val="32"/>
          <w:szCs w:val="32"/>
        </w:rPr>
        <w:t>万元，其他收入0万元，上年结转收入0万元。</w:t>
      </w:r>
    </w:p>
    <w:p>
      <w:pPr>
        <w:keepNext w:val="0"/>
        <w:keepLines w:val="0"/>
        <w:pageBreakBefore w:val="0"/>
        <w:bidi w:val="0"/>
        <w:snapToGrid w:val="0"/>
        <w:spacing w:line="600" w:lineRule="exact"/>
        <w:ind w:firstLine="558" w:firstLineChars="200"/>
        <w:textAlignment w:val="auto"/>
        <w:rPr>
          <w:rFonts w:ascii="仿宋" w:eastAsia="仿宋"/>
          <w:color w:val="000000"/>
          <w:sz w:val="32"/>
          <w:szCs w:val="32"/>
        </w:rPr>
      </w:pPr>
      <w:r>
        <w:rPr>
          <w:rFonts w:hint="eastAsia" w:ascii="楷体" w:hAnsi="楷体" w:eastAsia="楷体" w:cs="楷体"/>
          <w:b/>
          <w:bCs/>
          <w:color w:val="000000"/>
          <w:spacing w:val="34"/>
          <w:szCs w:val="32"/>
          <w:lang w:val="zh-CN"/>
        </w:rPr>
        <w:t>（</w:t>
      </w:r>
      <w:r>
        <w:rPr>
          <w:rFonts w:hint="eastAsia" w:ascii="楷体" w:hAnsi="楷体" w:eastAsia="楷体" w:cs="楷体"/>
          <w:b/>
          <w:bCs/>
          <w:color w:val="000000"/>
          <w:spacing w:val="34"/>
          <w:sz w:val="32"/>
          <w:szCs w:val="32"/>
          <w:lang w:val="zh-CN"/>
        </w:rPr>
        <w:t>二）部门财政资金支出情况</w:t>
      </w:r>
      <w:r>
        <w:rPr>
          <w:rFonts w:hint="eastAsia" w:ascii="仿宋_GB2312" w:hAnsi="宋体" w:cs="宋体"/>
          <w:color w:val="000000"/>
          <w:spacing w:val="34"/>
          <w:sz w:val="32"/>
          <w:szCs w:val="32"/>
          <w:lang w:val="zh-CN"/>
        </w:rPr>
        <w:t>。 </w:t>
      </w:r>
    </w:p>
    <w:p>
      <w:pPr>
        <w:spacing w:line="600" w:lineRule="exact"/>
        <w:ind w:firstLine="645"/>
        <w:rPr>
          <w:rFonts w:hint="eastAsia" w:ascii="仿宋" w:eastAsia="仿宋"/>
          <w:color w:val="000000"/>
          <w:sz w:val="32"/>
          <w:szCs w:val="32"/>
          <w:lang w:val="en-US" w:eastAsia="zh-CN"/>
        </w:rPr>
      </w:pPr>
      <w:bookmarkStart w:id="56" w:name="_Toc31292"/>
      <w:bookmarkStart w:id="57" w:name="_Toc18927"/>
      <w:bookmarkStart w:id="58" w:name="_Toc9555"/>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9737.29</w:t>
      </w:r>
      <w:r>
        <w:rPr>
          <w:rFonts w:hint="eastAsia" w:ascii="仿宋" w:eastAsia="仿宋"/>
          <w:color w:val="000000"/>
          <w:sz w:val="32"/>
          <w:szCs w:val="32"/>
        </w:rPr>
        <w:t>万元</w:t>
      </w:r>
      <w:r>
        <w:rPr>
          <w:rFonts w:hint="eastAsia" w:ascii="仿宋" w:eastAsia="仿宋"/>
          <w:color w:val="000000"/>
          <w:sz w:val="32"/>
          <w:szCs w:val="32"/>
          <w:lang w:eastAsia="zh-CN"/>
        </w:rPr>
        <w:t>。</w:t>
      </w:r>
    </w:p>
    <w:p>
      <w:pPr>
        <w:snapToGrid w:val="0"/>
        <w:spacing w:line="520" w:lineRule="exact"/>
        <w:ind w:firstLine="640" w:firstLineChars="200"/>
        <w:rPr>
          <w:rFonts w:ascii="仿宋_GB2312" w:eastAsia="仿宋_GB2312"/>
          <w:color w:val="000000" w:themeColor="text1"/>
          <w:sz w:val="32"/>
          <w:szCs w:val="32"/>
        </w:rPr>
      </w:pPr>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694.89</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673.21</w:t>
      </w:r>
      <w:r>
        <w:rPr>
          <w:rFonts w:hint="eastAsia" w:ascii="仿宋_GB2312" w:eastAsia="仿宋_GB2312"/>
          <w:color w:val="000000"/>
          <w:sz w:val="32"/>
          <w:szCs w:val="32"/>
        </w:rPr>
        <w:t>万元，</w:t>
      </w:r>
      <w:r>
        <w:rPr>
          <w:rFonts w:hint="eastAsia" w:ascii="仿宋_GB2312" w:eastAsia="仿宋_GB2312"/>
          <w:color w:val="000000" w:themeColor="text1"/>
          <w:sz w:val="32"/>
          <w:szCs w:val="32"/>
        </w:rPr>
        <w:t>主要包括：基本工资</w:t>
      </w:r>
      <w:r>
        <w:rPr>
          <w:rFonts w:hint="eastAsia" w:ascii="仿宋_GB2312" w:eastAsia="仿宋_GB2312"/>
          <w:color w:val="000000" w:themeColor="text1"/>
          <w:sz w:val="32"/>
          <w:szCs w:val="32"/>
          <w:lang w:val="en-US" w:eastAsia="zh-CN"/>
        </w:rPr>
        <w:t>128.08</w:t>
      </w:r>
      <w:r>
        <w:rPr>
          <w:rFonts w:hint="eastAsia" w:ascii="仿宋_GB2312" w:eastAsia="仿宋_GB2312"/>
          <w:color w:val="000000" w:themeColor="text1"/>
          <w:sz w:val="32"/>
          <w:szCs w:val="32"/>
        </w:rPr>
        <w:t>万元、津贴补贴</w:t>
      </w:r>
      <w:r>
        <w:rPr>
          <w:rFonts w:hint="eastAsia" w:ascii="仿宋_GB2312" w:eastAsia="仿宋_GB2312"/>
          <w:color w:val="000000" w:themeColor="text1"/>
          <w:sz w:val="32"/>
          <w:szCs w:val="32"/>
          <w:lang w:val="en-US" w:eastAsia="zh-CN"/>
        </w:rPr>
        <w:t>89.73</w:t>
      </w:r>
      <w:r>
        <w:rPr>
          <w:rFonts w:hint="eastAsia" w:ascii="仿宋_GB2312" w:eastAsia="仿宋_GB2312"/>
          <w:color w:val="000000" w:themeColor="text1"/>
          <w:sz w:val="32"/>
          <w:szCs w:val="32"/>
        </w:rPr>
        <w:t>万元、奖金</w:t>
      </w:r>
      <w:r>
        <w:rPr>
          <w:rFonts w:hint="eastAsia" w:ascii="仿宋_GB2312" w:eastAsia="仿宋_GB2312"/>
          <w:color w:val="000000" w:themeColor="text1"/>
          <w:sz w:val="32"/>
          <w:szCs w:val="32"/>
          <w:lang w:val="en-US" w:eastAsia="zh-CN"/>
        </w:rPr>
        <w:t>160.2</w:t>
      </w:r>
      <w:r>
        <w:rPr>
          <w:rFonts w:hint="eastAsia" w:ascii="仿宋_GB2312" w:eastAsia="仿宋_GB2312"/>
          <w:color w:val="000000" w:themeColor="text1"/>
          <w:sz w:val="32"/>
          <w:szCs w:val="32"/>
        </w:rPr>
        <w:t>万元、绩效工资</w:t>
      </w:r>
      <w:r>
        <w:rPr>
          <w:rFonts w:hint="eastAsia" w:ascii="仿宋_GB2312" w:eastAsia="仿宋_GB2312"/>
          <w:color w:val="000000" w:themeColor="text1"/>
          <w:sz w:val="32"/>
          <w:szCs w:val="32"/>
          <w:lang w:val="en-US" w:eastAsia="zh-CN"/>
        </w:rPr>
        <w:t>69.74</w:t>
      </w:r>
      <w:r>
        <w:rPr>
          <w:rFonts w:hint="eastAsia" w:ascii="仿宋_GB2312" w:eastAsia="仿宋_GB2312"/>
          <w:color w:val="000000" w:themeColor="text1"/>
          <w:sz w:val="32"/>
          <w:szCs w:val="32"/>
        </w:rPr>
        <w:t>万元、机关事业单位基本养老保险缴费</w:t>
      </w:r>
      <w:r>
        <w:rPr>
          <w:rFonts w:hint="eastAsia" w:ascii="仿宋_GB2312" w:eastAsia="仿宋_GB2312"/>
          <w:color w:val="000000" w:themeColor="text1"/>
          <w:sz w:val="32"/>
          <w:szCs w:val="32"/>
          <w:lang w:val="en-US" w:eastAsia="zh-CN"/>
        </w:rPr>
        <w:t>62.7</w:t>
      </w:r>
      <w:r>
        <w:rPr>
          <w:rFonts w:hint="eastAsia" w:ascii="仿宋_GB2312" w:eastAsia="仿宋_GB2312"/>
          <w:color w:val="000000" w:themeColor="text1"/>
          <w:sz w:val="32"/>
          <w:szCs w:val="32"/>
        </w:rPr>
        <w:t>万元、职业年金缴费</w:t>
      </w:r>
      <w:r>
        <w:rPr>
          <w:rFonts w:hint="eastAsia" w:ascii="仿宋_GB2312" w:eastAsia="仿宋_GB2312"/>
          <w:color w:val="000000" w:themeColor="text1"/>
          <w:sz w:val="32"/>
          <w:szCs w:val="32"/>
          <w:lang w:val="en-US" w:eastAsia="zh-CN"/>
        </w:rPr>
        <w:t>31.35</w:t>
      </w:r>
      <w:r>
        <w:rPr>
          <w:rFonts w:hint="eastAsia" w:ascii="仿宋_GB2312" w:eastAsia="仿宋_GB2312"/>
          <w:color w:val="000000" w:themeColor="text1"/>
          <w:sz w:val="32"/>
          <w:szCs w:val="32"/>
        </w:rPr>
        <w:t>万元、其他社会保障缴费</w:t>
      </w:r>
      <w:r>
        <w:rPr>
          <w:rFonts w:hint="eastAsia" w:ascii="仿宋_GB2312" w:eastAsia="仿宋_GB2312"/>
          <w:color w:val="000000" w:themeColor="text1"/>
          <w:sz w:val="32"/>
          <w:szCs w:val="32"/>
          <w:lang w:val="en-US" w:eastAsia="zh-CN"/>
        </w:rPr>
        <w:t>16.07</w:t>
      </w:r>
      <w:r>
        <w:rPr>
          <w:rFonts w:hint="eastAsia" w:ascii="仿宋_GB2312" w:eastAsia="仿宋_GB2312"/>
          <w:color w:val="000000" w:themeColor="text1"/>
          <w:sz w:val="32"/>
          <w:szCs w:val="32"/>
        </w:rPr>
        <w:t>万元、住房公积金</w:t>
      </w:r>
      <w:r>
        <w:rPr>
          <w:rFonts w:hint="eastAsia" w:ascii="仿宋_GB2312" w:eastAsia="仿宋_GB2312"/>
          <w:color w:val="000000" w:themeColor="text1"/>
          <w:sz w:val="32"/>
          <w:szCs w:val="32"/>
          <w:lang w:val="en-US" w:eastAsia="zh-CN"/>
        </w:rPr>
        <w:t>50.24</w:t>
      </w:r>
      <w:r>
        <w:rPr>
          <w:rFonts w:hint="eastAsia" w:ascii="仿宋_GB2312" w:eastAsia="仿宋_GB2312"/>
          <w:color w:val="000000" w:themeColor="text1"/>
          <w:sz w:val="32"/>
          <w:szCs w:val="32"/>
        </w:rPr>
        <w:t>万元、职工基本医疗保险缴费</w:t>
      </w:r>
      <w:r>
        <w:rPr>
          <w:rFonts w:hint="eastAsia" w:ascii="仿宋_GB2312" w:eastAsia="仿宋_GB2312"/>
          <w:color w:val="000000" w:themeColor="text1"/>
          <w:sz w:val="32"/>
          <w:szCs w:val="32"/>
          <w:lang w:val="en-US" w:eastAsia="zh-CN"/>
        </w:rPr>
        <w:t>30.54</w:t>
      </w:r>
      <w:r>
        <w:rPr>
          <w:rFonts w:hint="eastAsia" w:ascii="仿宋_GB2312" w:eastAsia="仿宋_GB2312"/>
          <w:color w:val="000000" w:themeColor="text1"/>
          <w:sz w:val="32"/>
          <w:szCs w:val="32"/>
        </w:rPr>
        <w:t>万元、公务员医疗补助</w:t>
      </w:r>
      <w:r>
        <w:rPr>
          <w:rFonts w:hint="eastAsia" w:ascii="仿宋_GB2312" w:eastAsia="仿宋_GB2312"/>
          <w:color w:val="000000" w:themeColor="text1"/>
          <w:sz w:val="32"/>
          <w:szCs w:val="32"/>
          <w:lang w:val="en-US" w:eastAsia="zh-CN"/>
        </w:rPr>
        <w:t>3.43</w:t>
      </w:r>
      <w:r>
        <w:rPr>
          <w:rFonts w:hint="eastAsia" w:ascii="仿宋_GB2312" w:eastAsia="仿宋_GB2312"/>
          <w:color w:val="000000" w:themeColor="text1"/>
          <w:sz w:val="32"/>
          <w:szCs w:val="32"/>
        </w:rPr>
        <w:t>万元、生活补助</w:t>
      </w:r>
      <w:r>
        <w:rPr>
          <w:rFonts w:hint="eastAsia" w:ascii="仿宋_GB2312" w:eastAsia="仿宋_GB2312"/>
          <w:color w:val="000000" w:themeColor="text1"/>
          <w:sz w:val="32"/>
          <w:szCs w:val="32"/>
          <w:lang w:val="en-US" w:eastAsia="zh-CN"/>
        </w:rPr>
        <w:t>31.11</w:t>
      </w:r>
      <w:r>
        <w:rPr>
          <w:rFonts w:hint="eastAsia" w:ascii="仿宋_GB2312" w:eastAsia="仿宋_GB2312"/>
          <w:color w:val="000000" w:themeColor="text1"/>
          <w:sz w:val="32"/>
          <w:szCs w:val="32"/>
        </w:rPr>
        <w:t>万元、奖励金</w:t>
      </w:r>
      <w:r>
        <w:rPr>
          <w:rFonts w:hint="eastAsia" w:ascii="仿宋_GB2312" w:eastAsia="仿宋_GB2312"/>
          <w:color w:val="000000" w:themeColor="text1"/>
          <w:sz w:val="32"/>
          <w:szCs w:val="32"/>
          <w:lang w:val="en-US" w:eastAsia="zh-CN"/>
        </w:rPr>
        <w:t>160.2</w:t>
      </w:r>
      <w:r>
        <w:rPr>
          <w:rFonts w:hint="eastAsia" w:ascii="仿宋_GB2312" w:eastAsia="仿宋_GB2312"/>
          <w:color w:val="000000" w:themeColor="text1"/>
          <w:sz w:val="32"/>
          <w:szCs w:val="32"/>
        </w:rPr>
        <w:t>万元。</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 w:eastAsia="仿宋"/>
          <w:color w:val="auto"/>
          <w:sz w:val="32"/>
          <w:szCs w:val="32"/>
        </w:rPr>
        <w:t>公用经费</w:t>
      </w:r>
      <w:r>
        <w:rPr>
          <w:rFonts w:hint="eastAsia" w:ascii="仿宋" w:eastAsia="仿宋"/>
          <w:color w:val="auto"/>
          <w:sz w:val="32"/>
          <w:szCs w:val="32"/>
          <w:lang w:val="en-US" w:eastAsia="zh-CN"/>
        </w:rPr>
        <w:t>21.68</w:t>
      </w:r>
      <w:r>
        <w:rPr>
          <w:rFonts w:hint="eastAsia" w:ascii="仿宋" w:eastAsia="仿宋"/>
          <w:color w:val="auto"/>
          <w:sz w:val="32"/>
          <w:szCs w:val="32"/>
        </w:rPr>
        <w:t>万元，主要包括：</w:t>
      </w:r>
      <w:r>
        <w:rPr>
          <w:rFonts w:hint="eastAsia" w:ascii="仿宋" w:eastAsia="仿宋"/>
          <w:color w:val="auto"/>
          <w:sz w:val="32"/>
          <w:szCs w:val="32"/>
          <w:lang w:val="en-US" w:eastAsia="zh-CN"/>
        </w:rPr>
        <w:t>办公费2.07万元、咨询费0.2万元，电费0.5万元，邮电费0.98万元、差旅费12.97万元、劳务费0.98万元、公务用车运行维护费1.98万元。其他交通费2万元</w:t>
      </w:r>
      <w:r>
        <w:rPr>
          <w:rFonts w:hint="eastAsia" w:ascii="仿宋" w:eastAsia="仿宋"/>
          <w:color w:val="auto"/>
          <w:sz w:val="32"/>
          <w:szCs w:val="32"/>
        </w:rPr>
        <w:t>。</w:t>
      </w:r>
    </w:p>
    <w:p>
      <w:pPr>
        <w:snapToGrid w:val="0"/>
        <w:spacing w:line="520" w:lineRule="exact"/>
        <w:ind w:firstLine="640" w:firstLineChars="200"/>
        <w:rPr>
          <w:rFonts w:hint="default" w:ascii="仿宋_GB2312" w:eastAsia="宋体"/>
          <w:color w:val="000000"/>
          <w:sz w:val="32"/>
          <w:szCs w:val="32"/>
          <w:lang w:val="en-US" w:eastAsia="zh-CN"/>
        </w:rPr>
      </w:pPr>
      <w:r>
        <w:rPr>
          <w:rFonts w:hint="eastAsia" w:ascii="仿宋_GB2312" w:eastAsia="仿宋_GB2312"/>
          <w:color w:val="000000"/>
          <w:sz w:val="32"/>
          <w:szCs w:val="32"/>
          <w:lang w:val="en-US" w:eastAsia="zh-CN"/>
        </w:rPr>
        <w:t xml:space="preserve"> 项目支出为9308.51元，主要包括：农业水支出：8696.07万元、</w:t>
      </w:r>
      <w:r>
        <w:rPr>
          <w:rFonts w:ascii="宋体" w:hAnsi="宋体" w:eastAsia="宋体" w:cs="宋体"/>
          <w:sz w:val="24"/>
          <w:szCs w:val="24"/>
        </w:rPr>
        <w:t>教育支出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0.35万元，</w:t>
      </w:r>
      <w:r>
        <w:rPr>
          <w:rFonts w:hint="eastAsia" w:ascii="仿宋_GB2312" w:eastAsia="仿宋_GB2312"/>
          <w:color w:val="000000"/>
          <w:sz w:val="32"/>
          <w:szCs w:val="32"/>
          <w:lang w:val="en-US" w:eastAsia="zh-CN"/>
        </w:rPr>
        <w:t>社会保障和就业支出11.5万元。</w:t>
      </w:r>
      <w:r>
        <w:rPr>
          <w:rFonts w:ascii="宋体" w:hAnsi="宋体" w:eastAsia="宋体" w:cs="宋体"/>
          <w:sz w:val="24"/>
          <w:szCs w:val="24"/>
        </w:rPr>
        <w:t>灾害防治及应急管理支出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600.59.</w:t>
      </w:r>
    </w:p>
    <w:p>
      <w:pPr>
        <w:keepNext w:val="0"/>
        <w:keepLines w:val="0"/>
        <w:pageBreakBefore w:val="0"/>
        <w:widowControl/>
        <w:numPr>
          <w:ilvl w:val="0"/>
          <w:numId w:val="2"/>
        </w:numPr>
        <w:wordWrap w:val="0"/>
        <w:topLinePunct/>
        <w:bidi w:val="0"/>
        <w:adjustRightInd w:val="0"/>
        <w:snapToGrid w:val="0"/>
        <w:spacing w:line="600" w:lineRule="exact"/>
        <w:ind w:firstLine="640" w:firstLineChars="200"/>
        <w:jc w:val="left"/>
        <w:textAlignment w:val="auto"/>
        <w:outlineLvl w:val="1"/>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部门整体预算绩效管理情况</w:t>
      </w:r>
      <w:bookmarkEnd w:id="56"/>
      <w:bookmarkEnd w:id="57"/>
      <w:bookmarkEnd w:id="58"/>
    </w:p>
    <w:p>
      <w:pPr>
        <w:keepNext w:val="0"/>
        <w:keepLines w:val="0"/>
        <w:pageBreakBefore w:val="0"/>
        <w:widowControl/>
        <w:bidi w:val="0"/>
        <w:adjustRightInd w:val="0"/>
        <w:snapToGrid w:val="0"/>
        <w:spacing w:line="600" w:lineRule="exact"/>
        <w:ind w:firstLine="643" w:firstLineChars="200"/>
        <w:contextualSpacing/>
        <w:jc w:val="left"/>
        <w:textAlignment w:val="auto"/>
        <w:outlineLvl w:val="2"/>
        <w:rPr>
          <w:rFonts w:hint="eastAsia" w:ascii="楷体" w:hAnsi="楷体" w:eastAsia="楷体" w:cs="楷体"/>
          <w:b/>
          <w:bCs/>
          <w:color w:val="000000"/>
          <w:spacing w:val="34"/>
          <w:sz w:val="32"/>
          <w:szCs w:val="32"/>
          <w:lang w:val="zh-CN"/>
        </w:rPr>
      </w:pPr>
      <w:bookmarkStart w:id="59" w:name="_Toc6429"/>
      <w:r>
        <w:rPr>
          <w:rFonts w:hint="eastAsia" w:ascii="楷体" w:hAnsi="楷体" w:eastAsia="楷体" w:cs="楷体"/>
          <w:b/>
          <w:bCs/>
          <w:color w:val="000000"/>
          <w:kern w:val="0"/>
          <w:sz w:val="32"/>
          <w:szCs w:val="32"/>
          <w:shd w:val="clear" w:color="auto" w:fill="FFFFFF"/>
          <w:lang w:val="zh-CN"/>
        </w:rPr>
        <w:t>（一）部门预算管理</w:t>
      </w:r>
      <w:bookmarkEnd w:id="59"/>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严格按照县级部门预算编制通知和有关要求，按时完成基础库、项目库报送工作，按时完成</w:t>
      </w: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预算编制工作，并按时提交部门预算草案。预算编制全面、科学。</w:t>
      </w: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实际支出和部门决算一致，绩效目标填报及年末结余结转都是严格按照县财政局的要求认真完成，不存在违规违纪使用资金的情况并按时完成202</w:t>
      </w:r>
      <w:r>
        <w:rPr>
          <w:rFonts w:hint="eastAsia" w:ascii="仿宋" w:eastAsia="仿宋"/>
          <w:color w:val="000000"/>
          <w:sz w:val="32"/>
          <w:szCs w:val="32"/>
          <w:lang w:val="en-US" w:eastAsia="zh-CN"/>
        </w:rPr>
        <w:t>4</w:t>
      </w:r>
      <w:r>
        <w:rPr>
          <w:rFonts w:hint="eastAsia" w:ascii="仿宋" w:eastAsia="仿宋"/>
          <w:color w:val="000000"/>
          <w:sz w:val="32"/>
          <w:szCs w:val="32"/>
        </w:rPr>
        <w:t>年预算编制工作，及时提交了部门预算草案。</w:t>
      </w:r>
    </w:p>
    <w:p>
      <w:pPr>
        <w:keepNext w:val="0"/>
        <w:keepLines w:val="0"/>
        <w:pageBreakBefore w:val="0"/>
        <w:widowControl/>
        <w:bidi w:val="0"/>
        <w:adjustRightInd w:val="0"/>
        <w:snapToGrid w:val="0"/>
        <w:spacing w:line="600" w:lineRule="exact"/>
        <w:ind w:firstLine="643"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bookmarkStart w:id="60" w:name="_Toc22499"/>
      <w:r>
        <w:rPr>
          <w:rFonts w:hint="eastAsia" w:ascii="楷体" w:hAnsi="楷体" w:eastAsia="楷体" w:cs="楷体"/>
          <w:b/>
          <w:bCs/>
          <w:color w:val="000000"/>
          <w:kern w:val="0"/>
          <w:sz w:val="32"/>
          <w:szCs w:val="32"/>
          <w:shd w:val="clear" w:color="auto" w:fill="FFFFFF"/>
          <w:lang w:val="zh-CN"/>
        </w:rPr>
        <w:t>（二）执行管理情况</w:t>
      </w:r>
      <w:bookmarkEnd w:id="60"/>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三公经费：</w:t>
      </w: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“三公”经费财政拨款支出决算为</w:t>
      </w:r>
      <w:r>
        <w:rPr>
          <w:rFonts w:hint="eastAsia" w:ascii="仿宋" w:eastAsia="仿宋"/>
          <w:color w:val="000000"/>
          <w:sz w:val="32"/>
          <w:szCs w:val="32"/>
          <w:lang w:val="en-US" w:eastAsia="zh-CN"/>
        </w:rPr>
        <w:t>1.98</w:t>
      </w:r>
      <w:r>
        <w:rPr>
          <w:rFonts w:hint="eastAsia" w:ascii="仿宋" w:eastAsia="仿宋"/>
          <w:color w:val="000000"/>
          <w:sz w:val="32"/>
          <w:szCs w:val="32"/>
        </w:rPr>
        <w:t>万元（公务用车运行维护费），完成预算100</w:t>
      </w:r>
      <w:r>
        <w:rPr>
          <w:rFonts w:ascii="仿宋" w:eastAsia="仿宋"/>
          <w:color w:val="000000"/>
          <w:sz w:val="32"/>
          <w:szCs w:val="32"/>
        </w:rPr>
        <w:t>%</w:t>
      </w:r>
      <w:r>
        <w:rPr>
          <w:rFonts w:hint="eastAsia" w:ascii="仿宋" w:eastAsia="仿宋"/>
          <w:color w:val="000000"/>
          <w:sz w:val="32"/>
          <w:szCs w:val="32"/>
        </w:rPr>
        <w:t>.</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“三公”经费预算</w:t>
      </w:r>
      <w:r>
        <w:rPr>
          <w:rFonts w:hint="eastAsia" w:ascii="仿宋" w:eastAsia="仿宋"/>
          <w:color w:val="000000"/>
          <w:sz w:val="32"/>
          <w:szCs w:val="32"/>
          <w:lang w:val="en-US" w:eastAsia="zh-CN"/>
        </w:rPr>
        <w:t>1.98</w:t>
      </w:r>
      <w:r>
        <w:rPr>
          <w:rFonts w:hint="eastAsia" w:ascii="仿宋" w:eastAsia="仿宋"/>
          <w:color w:val="000000"/>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widowControl/>
        <w:wordWrap w:val="0"/>
        <w:topLinePunct/>
        <w:bidi w:val="0"/>
        <w:adjustRightInd w:val="0"/>
        <w:snapToGrid w:val="0"/>
        <w:spacing w:line="600" w:lineRule="exact"/>
        <w:ind w:firstLine="779" w:firstLineChars="200"/>
        <w:jc w:val="left"/>
        <w:textAlignment w:val="auto"/>
        <w:outlineLvl w:val="2"/>
        <w:rPr>
          <w:rFonts w:hint="eastAsia" w:ascii="楷体" w:hAnsi="楷体" w:eastAsia="楷体" w:cs="楷体"/>
          <w:b/>
          <w:bCs/>
          <w:color w:val="000000"/>
          <w:spacing w:val="34"/>
          <w:sz w:val="32"/>
          <w:szCs w:val="48"/>
          <w:lang w:val="zh-CN"/>
        </w:rPr>
      </w:pPr>
      <w:bookmarkStart w:id="61" w:name="_Toc7445"/>
      <w:r>
        <w:rPr>
          <w:rFonts w:hint="eastAsia" w:ascii="楷体" w:hAnsi="楷体" w:eastAsia="楷体" w:cs="楷体"/>
          <w:b/>
          <w:bCs/>
          <w:color w:val="000000"/>
          <w:spacing w:val="34"/>
          <w:sz w:val="32"/>
          <w:szCs w:val="48"/>
          <w:lang w:val="zh-CN"/>
        </w:rPr>
        <w:t>（三）综合管理情况</w:t>
      </w:r>
      <w:bookmarkEnd w:id="61"/>
    </w:p>
    <w:p>
      <w:pPr>
        <w:keepNext w:val="0"/>
        <w:keepLines w:val="0"/>
        <w:pageBreakBefore w:val="0"/>
        <w:widowControl/>
        <w:wordWrap w:val="0"/>
        <w:topLinePunct/>
        <w:bidi w:val="0"/>
        <w:adjustRightInd w:val="0"/>
        <w:snapToGrid w:val="0"/>
        <w:spacing w:line="600" w:lineRule="exact"/>
        <w:ind w:firstLine="779" w:firstLineChars="200"/>
        <w:jc w:val="left"/>
        <w:textAlignment w:val="auto"/>
        <w:rPr>
          <w:rFonts w:hint="eastAsia" w:ascii="仿宋_GB2312" w:hAnsi="仿宋_GB2312" w:eastAsia="仿宋_GB2312" w:cs="仿宋_GB2312"/>
          <w:b/>
          <w:bCs/>
          <w:color w:val="000000"/>
          <w:spacing w:val="34"/>
          <w:sz w:val="32"/>
          <w:szCs w:val="48"/>
          <w:lang w:val="zh-CN"/>
        </w:rPr>
      </w:pPr>
      <w:r>
        <w:rPr>
          <w:rFonts w:hint="eastAsia" w:ascii="仿宋_GB2312" w:hAnsi="仿宋_GB2312" w:eastAsia="仿宋_GB2312" w:cs="仿宋_GB2312"/>
          <w:b/>
          <w:bCs/>
          <w:color w:val="000000"/>
          <w:spacing w:val="34"/>
          <w:sz w:val="32"/>
          <w:szCs w:val="48"/>
          <w:lang w:val="zh-CN"/>
        </w:rPr>
        <w:t>1、基础管理情况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所有国有资产纳入资产管理系统，及时准确上报并做好资产的管理工作。根据相关要求，单位使用预算资金基本符合相关的预算财务管理制度。我</w:t>
      </w:r>
      <w:r>
        <w:rPr>
          <w:rFonts w:hint="eastAsia" w:ascii="仿宋" w:eastAsia="仿宋"/>
          <w:color w:val="000000"/>
          <w:sz w:val="32"/>
          <w:szCs w:val="32"/>
          <w:lang w:eastAsia="zh-CN"/>
        </w:rPr>
        <w:t>乡</w:t>
      </w:r>
      <w:r>
        <w:rPr>
          <w:rFonts w:hint="eastAsia" w:ascii="仿宋" w:eastAsia="仿宋"/>
          <w:color w:val="000000"/>
          <w:sz w:val="32"/>
          <w:szCs w:val="32"/>
        </w:rPr>
        <w:t>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numPr>
          <w:ilvl w:val="0"/>
          <w:numId w:val="3"/>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单位债务情况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度我</w:t>
      </w:r>
      <w:r>
        <w:rPr>
          <w:rFonts w:hint="eastAsia" w:ascii="仿宋" w:eastAsia="仿宋"/>
          <w:color w:val="000000"/>
          <w:sz w:val="32"/>
          <w:szCs w:val="32"/>
          <w:lang w:eastAsia="zh-CN"/>
        </w:rPr>
        <w:t>局</w:t>
      </w:r>
      <w:r>
        <w:rPr>
          <w:rFonts w:hint="eastAsia" w:ascii="仿宋" w:eastAsia="仿宋"/>
          <w:color w:val="000000"/>
          <w:sz w:val="32"/>
          <w:szCs w:val="32"/>
        </w:rPr>
        <w:t>债务合计0万元。</w:t>
      </w:r>
    </w:p>
    <w:p>
      <w:pPr>
        <w:keepNext w:val="0"/>
        <w:keepLines w:val="0"/>
        <w:pageBreakBefore w:val="0"/>
        <w:widowControl/>
        <w:numPr>
          <w:ilvl w:val="0"/>
          <w:numId w:val="3"/>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非税收入执收情况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度我</w:t>
      </w:r>
      <w:r>
        <w:rPr>
          <w:rFonts w:hint="eastAsia" w:ascii="仿宋" w:eastAsia="仿宋"/>
          <w:color w:val="000000"/>
          <w:sz w:val="32"/>
          <w:szCs w:val="32"/>
          <w:lang w:eastAsia="zh-CN"/>
        </w:rPr>
        <w:t>局</w:t>
      </w:r>
      <w:r>
        <w:rPr>
          <w:rFonts w:hint="eastAsia" w:ascii="仿宋" w:eastAsia="仿宋"/>
          <w:color w:val="000000"/>
          <w:sz w:val="32"/>
          <w:szCs w:val="32"/>
        </w:rPr>
        <w:t>非税收入合计</w:t>
      </w:r>
      <w:r>
        <w:rPr>
          <w:rFonts w:hint="eastAsia" w:ascii="仿宋" w:eastAsia="仿宋"/>
          <w:color w:val="000000"/>
          <w:sz w:val="32"/>
          <w:szCs w:val="32"/>
          <w:lang w:val="en-US" w:eastAsia="zh-CN"/>
        </w:rPr>
        <w:t>4.5</w:t>
      </w:r>
      <w:r>
        <w:rPr>
          <w:rFonts w:hint="eastAsia" w:ascii="仿宋" w:eastAsia="仿宋"/>
          <w:color w:val="000000"/>
          <w:sz w:val="32"/>
          <w:szCs w:val="32"/>
        </w:rPr>
        <w:t xml:space="preserve">元，上缴财政0万元。 </w:t>
      </w:r>
    </w:p>
    <w:p>
      <w:pPr>
        <w:keepNext w:val="0"/>
        <w:keepLines w:val="0"/>
        <w:pageBreakBefore w:val="0"/>
        <w:widowControl/>
        <w:numPr>
          <w:ilvl w:val="0"/>
          <w:numId w:val="3"/>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政府采购实施计划</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未制定年度政府采购计划。</w:t>
      </w:r>
    </w:p>
    <w:p>
      <w:pPr>
        <w:keepNext w:val="0"/>
        <w:keepLines w:val="0"/>
        <w:pageBreakBefore w:val="0"/>
        <w:widowControl/>
        <w:numPr>
          <w:ilvl w:val="0"/>
          <w:numId w:val="3"/>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资产管理情况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乡</w:t>
      </w:r>
      <w:r>
        <w:rPr>
          <w:rFonts w:hint="eastAsia" w:ascii="仿宋" w:eastAsia="仿宋"/>
          <w:color w:val="000000"/>
          <w:sz w:val="32"/>
          <w:szCs w:val="32"/>
        </w:rPr>
        <w:t>已将国有资产纳入资产信息系统管理，并落实专人负责管理维护系统，资产变动已及时把资产变动情况录入系统</w:t>
      </w:r>
    </w:p>
    <w:p>
      <w:pPr>
        <w:keepNext w:val="0"/>
        <w:keepLines w:val="0"/>
        <w:pageBreakBefore w:val="0"/>
        <w:widowControl/>
        <w:wordWrap w:val="0"/>
        <w:topLinePunct/>
        <w:bidi w:val="0"/>
        <w:adjustRightInd w:val="0"/>
        <w:snapToGrid w:val="0"/>
        <w:spacing w:line="600" w:lineRule="exact"/>
        <w:ind w:left="840"/>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rPr>
        <w:t>6、</w:t>
      </w:r>
      <w:r>
        <w:rPr>
          <w:rFonts w:hint="eastAsia" w:ascii="楷体_GB2312" w:hAnsi="楷体_GB2312" w:eastAsia="楷体_GB2312" w:cs="楷体_GB2312"/>
          <w:b/>
          <w:bCs/>
          <w:color w:val="000000"/>
          <w:spacing w:val="34"/>
          <w:sz w:val="32"/>
          <w:szCs w:val="32"/>
          <w:lang w:val="zh-CN"/>
        </w:rPr>
        <w:t>信息公开情况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乡202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的预、决算编制说明、“三公”经费预、决算情况；按县财政要求由县财政统一公开，202</w:t>
      </w:r>
      <w:r>
        <w:rPr>
          <w:rFonts w:hint="eastAsia" w:ascii="仿宋" w:eastAsia="仿宋"/>
          <w:color w:val="000000"/>
          <w:sz w:val="32"/>
          <w:szCs w:val="32"/>
          <w:lang w:val="en-US" w:eastAsia="zh-CN"/>
        </w:rPr>
        <w:t>4</w:t>
      </w:r>
      <w:r>
        <w:rPr>
          <w:rFonts w:hint="eastAsia" w:ascii="仿宋" w:eastAsia="仿宋"/>
          <w:color w:val="000000"/>
          <w:sz w:val="32"/>
          <w:szCs w:val="32"/>
        </w:rPr>
        <w:t>年的预算编制说明、“三公”经费预算情况在政府网站上已公开。</w:t>
      </w:r>
    </w:p>
    <w:p>
      <w:pPr>
        <w:keepNext w:val="0"/>
        <w:keepLines w:val="0"/>
        <w:pageBreakBefore w:val="0"/>
        <w:numPr>
          <w:ilvl w:val="0"/>
          <w:numId w:val="4"/>
        </w:numPr>
        <w:bidi w:val="0"/>
        <w:spacing w:line="600" w:lineRule="exact"/>
        <w:ind w:firstLine="640"/>
        <w:textAlignment w:val="auto"/>
        <w:outlineLvl w:val="2"/>
        <w:rPr>
          <w:rFonts w:hint="eastAsia" w:ascii="楷体_GB2312" w:hAnsi="楷体_GB2312" w:eastAsia="楷体_GB2312" w:cs="楷体_GB2312"/>
          <w:b/>
          <w:bCs/>
          <w:color w:val="000000"/>
          <w:spacing w:val="34"/>
          <w:sz w:val="32"/>
          <w:szCs w:val="48"/>
          <w:lang w:val="zh-CN"/>
        </w:rPr>
      </w:pPr>
      <w:bookmarkStart w:id="62" w:name="_Toc30116"/>
      <w:r>
        <w:rPr>
          <w:rFonts w:hint="eastAsia" w:ascii="楷体_GB2312" w:hAnsi="楷体_GB2312" w:eastAsia="楷体_GB2312" w:cs="楷体_GB2312"/>
          <w:b/>
          <w:bCs/>
          <w:color w:val="000000"/>
          <w:spacing w:val="34"/>
          <w:sz w:val="32"/>
          <w:szCs w:val="48"/>
          <w:lang w:val="zh-CN"/>
        </w:rPr>
        <w:t>整体绩效 </w:t>
      </w:r>
      <w:bookmarkEnd w:id="62"/>
    </w:p>
    <w:p>
      <w:pPr>
        <w:keepNext w:val="0"/>
        <w:keepLines w:val="0"/>
        <w:pageBreakBefore w:val="0"/>
        <w:tabs>
          <w:tab w:val="left" w:pos="0"/>
        </w:tabs>
        <w:bidi w:val="0"/>
        <w:spacing w:line="600" w:lineRule="exact"/>
        <w:ind w:firstLine="640" w:firstLineChars="200"/>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乡</w:t>
      </w:r>
      <w:r>
        <w:rPr>
          <w:rFonts w:hint="eastAsia" w:ascii="仿宋" w:eastAsia="仿宋"/>
          <w:color w:val="000000"/>
          <w:sz w:val="32"/>
          <w:szCs w:val="32"/>
        </w:rPr>
        <w:t>对本部门实施了整体支出绩效评价 ，按照要求向金川县财政局按时报送自评报告，财政资金支出主要用于保障本部门机构正常运转、更好完成各项日常工作，社会群众对我</w:t>
      </w:r>
      <w:r>
        <w:rPr>
          <w:rFonts w:hint="eastAsia" w:ascii="仿宋" w:eastAsia="仿宋"/>
          <w:color w:val="000000"/>
          <w:sz w:val="32"/>
          <w:szCs w:val="32"/>
          <w:lang w:eastAsia="zh-CN"/>
        </w:rPr>
        <w:t>乡</w:t>
      </w:r>
      <w:r>
        <w:rPr>
          <w:rFonts w:hint="eastAsia" w:ascii="仿宋" w:eastAsia="仿宋"/>
          <w:color w:val="000000"/>
          <w:sz w:val="32"/>
          <w:szCs w:val="32"/>
        </w:rPr>
        <w:t>的工作总体较满意。</w:t>
      </w:r>
    </w:p>
    <w:p>
      <w:pPr>
        <w:keepNext w:val="0"/>
        <w:keepLines w:val="0"/>
        <w:pageBreakBefore w:val="0"/>
        <w:widowControl/>
        <w:wordWrap w:val="0"/>
        <w:topLinePunct/>
        <w:bidi w:val="0"/>
        <w:adjustRightInd w:val="0"/>
        <w:snapToGrid w:val="0"/>
        <w:spacing w:line="600" w:lineRule="exact"/>
        <w:ind w:firstLine="779" w:firstLineChars="200"/>
        <w:jc w:val="left"/>
        <w:textAlignment w:val="auto"/>
        <w:rPr>
          <w:rFonts w:hint="eastAsia" w:ascii="楷体" w:hAnsi="楷体" w:eastAsia="楷体" w:cs="楷体"/>
          <w:b/>
          <w:bCs/>
          <w:color w:val="000000"/>
          <w:spacing w:val="34"/>
          <w:sz w:val="32"/>
          <w:szCs w:val="48"/>
          <w:lang w:val="zh-CN"/>
        </w:rPr>
      </w:pPr>
      <w:r>
        <w:rPr>
          <w:rFonts w:hint="eastAsia" w:ascii="楷体" w:hAnsi="楷体" w:eastAsia="楷体" w:cs="楷体"/>
          <w:b/>
          <w:bCs/>
          <w:color w:val="000000"/>
          <w:spacing w:val="34"/>
          <w:sz w:val="32"/>
          <w:szCs w:val="48"/>
          <w:lang w:val="zh-CN"/>
        </w:rPr>
        <w:t>（二）绩效管理工作开展情况 </w:t>
      </w:r>
    </w:p>
    <w:p>
      <w:pPr>
        <w:keepNext w:val="0"/>
        <w:keepLines w:val="0"/>
        <w:pageBreakBefore w:val="0"/>
        <w:widowControl/>
        <w:wordWrap w:val="0"/>
        <w:topLinePunct/>
        <w:bidi w:val="0"/>
        <w:adjustRightInd w:val="0"/>
        <w:snapToGrid w:val="0"/>
        <w:spacing w:line="600" w:lineRule="exact"/>
        <w:ind w:firstLine="556" w:firstLineChars="200"/>
        <w:jc w:val="left"/>
        <w:textAlignment w:val="auto"/>
        <w:rPr>
          <w:rFonts w:hint="eastAsia" w:ascii="仿宋_GB2312" w:hAnsi="仿宋_GB2312" w:eastAsia="仿宋_GB2312" w:cs="仿宋_GB2312"/>
          <w:spacing w:val="34"/>
          <w:sz w:val="32"/>
          <w:szCs w:val="32"/>
          <w:lang w:val="zh-CN" w:bidi="ar"/>
        </w:rPr>
      </w:pPr>
      <w:r>
        <w:rPr>
          <w:rFonts w:hint="eastAsia" w:ascii="仿宋_GB2312" w:hAnsi="宋体" w:cs="宋体"/>
          <w:color w:val="000000"/>
          <w:spacing w:val="34"/>
          <w:szCs w:val="32"/>
          <w:lang w:val="zh-CN"/>
        </w:rPr>
        <w:t xml:space="preserve">  </w:t>
      </w:r>
      <w:r>
        <w:rPr>
          <w:rFonts w:hint="eastAsia" w:ascii="仿宋" w:eastAsia="仿宋"/>
          <w:color w:val="000000"/>
          <w:sz w:val="32"/>
          <w:szCs w:val="32"/>
        </w:rPr>
        <w:t xml:space="preserve"> 根据金财监绩〔202</w:t>
      </w:r>
      <w:r>
        <w:rPr>
          <w:rFonts w:hint="eastAsia" w:ascii="仿宋" w:eastAsia="仿宋"/>
          <w:color w:val="000000"/>
          <w:sz w:val="32"/>
          <w:szCs w:val="32"/>
          <w:lang w:val="en-US" w:eastAsia="zh-CN"/>
        </w:rPr>
        <w:t>5</w:t>
      </w:r>
      <w:r>
        <w:rPr>
          <w:rFonts w:hint="eastAsia" w:ascii="仿宋" w:eastAsia="仿宋"/>
          <w:color w:val="000000"/>
          <w:sz w:val="32"/>
          <w:szCs w:val="32"/>
        </w:rPr>
        <w:t>〕</w:t>
      </w:r>
      <w:r>
        <w:rPr>
          <w:rFonts w:hint="eastAsia" w:ascii="仿宋" w:eastAsia="仿宋"/>
          <w:color w:val="000000"/>
          <w:sz w:val="32"/>
          <w:szCs w:val="32"/>
          <w:lang w:val="en-US" w:eastAsia="zh-CN"/>
        </w:rPr>
        <w:t>35</w:t>
      </w:r>
      <w:r>
        <w:rPr>
          <w:rFonts w:hint="eastAsia" w:ascii="仿宋" w:eastAsia="仿宋"/>
          <w:color w:val="000000"/>
          <w:sz w:val="32"/>
          <w:szCs w:val="32"/>
        </w:rPr>
        <w:t>号文件要求，我</w:t>
      </w:r>
      <w:r>
        <w:rPr>
          <w:rFonts w:hint="eastAsia" w:ascii="仿宋" w:eastAsia="仿宋"/>
          <w:color w:val="000000"/>
          <w:sz w:val="32"/>
          <w:szCs w:val="32"/>
          <w:lang w:eastAsia="zh-CN"/>
        </w:rPr>
        <w:t>局</w:t>
      </w:r>
      <w:r>
        <w:rPr>
          <w:rFonts w:hint="eastAsia" w:ascii="仿宋" w:eastAsia="仿宋"/>
          <w:color w:val="000000"/>
          <w:sz w:val="32"/>
          <w:szCs w:val="32"/>
        </w:rPr>
        <w:t>对财政资金使用管理情况，按照《关于开展202</w:t>
      </w:r>
      <w:r>
        <w:rPr>
          <w:rFonts w:hint="eastAsia" w:ascii="仿宋" w:eastAsia="仿宋"/>
          <w:color w:val="000000"/>
          <w:sz w:val="32"/>
          <w:szCs w:val="32"/>
          <w:lang w:val="en-US" w:eastAsia="zh-CN"/>
        </w:rPr>
        <w:t>5</w:t>
      </w:r>
      <w:r>
        <w:rPr>
          <w:rFonts w:hint="eastAsia" w:ascii="仿宋" w:eastAsia="仿宋"/>
          <w:color w:val="000000"/>
          <w:sz w:val="32"/>
          <w:szCs w:val="32"/>
        </w:rPr>
        <w:t>年部门整体和项目支出绩效评价工作的通知》认真开展自评工作，撰写部门自评报告。</w:t>
      </w:r>
      <w:r>
        <w:rPr>
          <w:rFonts w:hint="eastAsia" w:ascii="仿宋_GB2312" w:hAnsi="仿宋_GB2312" w:eastAsia="仿宋_GB2312" w:cs="仿宋_GB2312"/>
          <w:spacing w:val="34"/>
          <w:sz w:val="32"/>
          <w:szCs w:val="32"/>
          <w:lang w:val="zh-CN" w:bidi="ar"/>
        </w:rPr>
        <w:t> </w:t>
      </w:r>
    </w:p>
    <w:p>
      <w:pPr>
        <w:keepNext w:val="0"/>
        <w:keepLines w:val="0"/>
        <w:pageBreakBefore w:val="0"/>
        <w:widowControl/>
        <w:wordWrap w:val="0"/>
        <w:topLinePunct/>
        <w:bidi w:val="0"/>
        <w:adjustRightInd w:val="0"/>
        <w:snapToGrid w:val="0"/>
        <w:spacing w:line="600" w:lineRule="exact"/>
        <w:ind w:firstLine="776" w:firstLineChars="200"/>
        <w:jc w:val="left"/>
        <w:textAlignment w:val="auto"/>
        <w:outlineLvl w:val="1"/>
        <w:rPr>
          <w:rFonts w:hint="eastAsia" w:ascii="仿宋_GB2312" w:hAnsi="宋体" w:cs="宋体"/>
          <w:color w:val="000000"/>
          <w:spacing w:val="34"/>
          <w:sz w:val="32"/>
          <w:szCs w:val="48"/>
          <w:lang w:val="zh-CN"/>
        </w:rPr>
      </w:pPr>
      <w:bookmarkStart w:id="63" w:name="_Toc11636"/>
      <w:bookmarkStart w:id="64" w:name="_Toc21502"/>
      <w:bookmarkStart w:id="65" w:name="_Toc23708"/>
      <w:r>
        <w:rPr>
          <w:rFonts w:hint="eastAsia" w:ascii="黑体" w:hAnsi="黑体" w:eastAsia="黑体" w:cs="黑体"/>
          <w:color w:val="000000"/>
          <w:spacing w:val="34"/>
          <w:sz w:val="32"/>
          <w:szCs w:val="48"/>
          <w:lang w:val="zh-CN"/>
        </w:rPr>
        <w:t>四、评价结论及建议</w:t>
      </w:r>
      <w:r>
        <w:rPr>
          <w:rFonts w:hint="eastAsia" w:ascii="仿宋_GB2312" w:hAnsi="宋体" w:cs="宋体"/>
          <w:color w:val="000000"/>
          <w:spacing w:val="34"/>
          <w:sz w:val="32"/>
          <w:szCs w:val="48"/>
          <w:lang w:val="zh-CN"/>
        </w:rPr>
        <w:t> </w:t>
      </w:r>
      <w:bookmarkEnd w:id="63"/>
      <w:bookmarkEnd w:id="64"/>
      <w:bookmarkEnd w:id="65"/>
    </w:p>
    <w:p>
      <w:pPr>
        <w:keepNext w:val="0"/>
        <w:keepLines w:val="0"/>
        <w:pageBreakBefore w:val="0"/>
        <w:bidi w:val="0"/>
        <w:snapToGrid w:val="0"/>
        <w:spacing w:line="60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评价结论。根据部门支出绩效评价指标体系进行单位自评，圆满完成绩效自评工作，圆满完成中央、省、州委和县的重要工作、目标任务。</w:t>
      </w:r>
    </w:p>
    <w:p>
      <w:pPr>
        <w:keepNext w:val="0"/>
        <w:keepLines w:val="0"/>
        <w:pageBreakBefore w:val="0"/>
        <w:bidi w:val="0"/>
        <w:spacing w:line="60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w:t>
      </w:r>
      <w:r>
        <w:rPr>
          <w:rFonts w:hint="eastAsia" w:ascii="仿宋" w:eastAsia="仿宋"/>
          <w:color w:val="000000"/>
          <w:sz w:val="32"/>
          <w:szCs w:val="32"/>
        </w:rPr>
        <w:t>本次自评总分</w:t>
      </w:r>
      <w:r>
        <w:rPr>
          <w:rFonts w:hint="eastAsia" w:ascii="仿宋" w:eastAsia="仿宋"/>
          <w:color w:val="000000"/>
          <w:sz w:val="32"/>
          <w:szCs w:val="32"/>
          <w:lang w:val="en-US" w:eastAsia="zh-CN"/>
        </w:rPr>
        <w:t>95</w:t>
      </w:r>
      <w:r>
        <w:rPr>
          <w:rFonts w:hint="eastAsia" w:ascii="仿宋" w:eastAsia="仿宋"/>
          <w:color w:val="000000"/>
          <w:sz w:val="32"/>
          <w:szCs w:val="32"/>
        </w:rPr>
        <w:t>。</w:t>
      </w:r>
    </w:p>
    <w:p>
      <w:pPr>
        <w:keepNext w:val="0"/>
        <w:keepLines w:val="0"/>
        <w:pageBreakBefore w:val="0"/>
        <w:wordWrap w:val="0"/>
        <w:bidi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局202</w:t>
      </w:r>
      <w:r>
        <w:rPr>
          <w:rFonts w:hint="eastAsia" w:ascii="仿宋" w:eastAsia="仿宋"/>
          <w:color w:val="000000"/>
          <w:sz w:val="32"/>
          <w:szCs w:val="32"/>
          <w:lang w:val="en-US" w:eastAsia="zh-CN"/>
        </w:rPr>
        <w:t>4</w:t>
      </w:r>
      <w:r>
        <w:rPr>
          <w:rFonts w:hint="eastAsia" w:ascii="仿宋" w:eastAsia="仿宋"/>
          <w:color w:val="000000"/>
          <w:sz w:val="32"/>
          <w:szCs w:val="32"/>
          <w:lang w:eastAsia="zh-CN"/>
        </w:rPr>
        <w:t>年</w:t>
      </w:r>
      <w:r>
        <w:rPr>
          <w:rFonts w:hint="eastAsia" w:ascii="仿宋" w:eastAsia="仿宋"/>
          <w:color w:val="000000"/>
          <w:sz w:val="32"/>
          <w:szCs w:val="32"/>
        </w:rPr>
        <w:t>部门支出与年初预算基本一致，达到预期绩效目标。但预算编制还需进一步细化，针对我会预算存在的问题，提出以下建议：</w:t>
      </w:r>
    </w:p>
    <w:p>
      <w:pPr>
        <w:keepNext w:val="0"/>
        <w:keepLines w:val="0"/>
        <w:pageBreakBefore w:val="0"/>
        <w:wordWrap w:val="0"/>
        <w:bidi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r>
        <w:rPr>
          <w:rFonts w:hint="eastAsia" w:ascii="仿宋" w:eastAsia="仿宋"/>
          <w:color w:val="000000"/>
          <w:sz w:val="32"/>
          <w:szCs w:val="32"/>
        </w:rPr>
        <w:t xml:space="preserve"> 2、严格控制“三公”经费。认真贯彻落实中央、省委省政府和县委县政府相关规定，严格“三公”经费支出的审核和审批，合理压缩“三公”经费支出。 </w:t>
      </w: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spacing w:line="572" w:lineRule="exact"/>
        <w:jc w:val="left"/>
        <w:outlineLvl w:val="0"/>
        <w:rPr>
          <w:rFonts w:eastAsia="黑体" w:cs="方正小标宋简体"/>
          <w:sz w:val="44"/>
          <w:szCs w:val="44"/>
        </w:rPr>
      </w:pPr>
    </w:p>
    <w:p>
      <w:pPr>
        <w:spacing w:line="578" w:lineRule="exact"/>
        <w:ind w:firstLine="560" w:firstLineChars="200"/>
        <w:rPr>
          <w:rFonts w:ascii="仿宋_GB2312" w:eastAsia="仿宋_GB2312"/>
          <w:sz w:val="28"/>
          <w:szCs w:val="28"/>
        </w:rPr>
      </w:pPr>
      <w:r>
        <w:rPr>
          <w:rFonts w:hint="eastAsia" w:ascii="仿宋_GB2312" w:eastAsia="仿宋_GB2312"/>
          <w:color w:val="000000"/>
          <w:kern w:val="0"/>
          <w:sz w:val="28"/>
          <w:szCs w:val="28"/>
          <w:shd w:val="clear" w:color="auto" w:fill="FFFFFF"/>
        </w:rPr>
        <w:t>附表：1.</w:t>
      </w:r>
      <w:r>
        <w:rPr>
          <w:rFonts w:hint="eastAsia" w:ascii="仿宋_GB2312" w:eastAsia="仿宋_GB2312"/>
          <w:sz w:val="28"/>
          <w:szCs w:val="28"/>
        </w:rPr>
        <w:t>部门预算绩效自评打分表</w:t>
      </w:r>
    </w:p>
    <w:p>
      <w:pPr>
        <w:spacing w:line="578" w:lineRule="exact"/>
        <w:ind w:firstLine="1400" w:firstLineChars="500"/>
        <w:rPr>
          <w:rFonts w:ascii="仿宋_GB2312" w:eastAsia="仿宋_GB2312"/>
          <w:color w:val="000000"/>
          <w:kern w:val="0"/>
          <w:sz w:val="28"/>
          <w:szCs w:val="28"/>
          <w:shd w:val="clear" w:color="auto" w:fill="FFFFFF"/>
        </w:rPr>
      </w:pPr>
      <w:r>
        <w:rPr>
          <w:rFonts w:hint="eastAsia" w:ascii="仿宋_GB2312" w:eastAsia="仿宋_GB2312"/>
          <w:sz w:val="28"/>
          <w:szCs w:val="28"/>
        </w:rPr>
        <w:t>2.</w:t>
      </w:r>
      <w:r>
        <w:rPr>
          <w:rFonts w:hint="eastAsia" w:ascii="仿宋_GB2312" w:eastAsia="仿宋_GB2312"/>
          <w:color w:val="000000"/>
          <w:kern w:val="0"/>
          <w:sz w:val="28"/>
          <w:szCs w:val="28"/>
          <w:shd w:val="clear" w:color="auto" w:fill="FFFFFF"/>
        </w:rPr>
        <w:t>部门整体绩效目标完成情况自评表</w:t>
      </w:r>
    </w:p>
    <w:p>
      <w:pPr>
        <w:spacing w:line="578" w:lineRule="exact"/>
        <w:ind w:firstLine="1400" w:firstLineChars="500"/>
        <w:rPr>
          <w:rFonts w:ascii="仿宋_GB2312" w:eastAsia="仿宋_GB2312"/>
          <w:sz w:val="28"/>
          <w:szCs w:val="28"/>
        </w:rPr>
      </w:pPr>
      <w:r>
        <w:rPr>
          <w:rFonts w:hint="eastAsia" w:ascii="仿宋_GB2312" w:eastAsia="仿宋_GB2312"/>
          <w:color w:val="000000"/>
          <w:kern w:val="0"/>
          <w:sz w:val="28"/>
          <w:szCs w:val="28"/>
          <w:shd w:val="clear" w:color="auto" w:fill="FFFFFF"/>
        </w:rPr>
        <w:t>3.</w:t>
      </w:r>
      <w:r>
        <w:rPr>
          <w:rFonts w:hint="eastAsia" w:ascii="仿宋_GB2312" w:eastAsia="仿宋_GB2312"/>
          <w:sz w:val="28"/>
          <w:szCs w:val="28"/>
        </w:rPr>
        <w:t>部门预算项目支出绩效评价表（2024年度）</w:t>
      </w:r>
    </w:p>
    <w:p>
      <w:pPr>
        <w:spacing w:line="578" w:lineRule="exact"/>
        <w:jc w:val="left"/>
        <w:rPr>
          <w:color w:val="000000"/>
          <w:kern w:val="0"/>
          <w:sz w:val="32"/>
          <w:szCs w:val="32"/>
          <w:shd w:val="clear" w:color="auto" w:fill="FFFFFF"/>
        </w:rPr>
      </w:pPr>
    </w:p>
    <w:p>
      <w:pPr>
        <w:pStyle w:val="24"/>
        <w:rPr>
          <w:sz w:val="32"/>
          <w:szCs w:val="32"/>
        </w:rPr>
      </w:pPr>
    </w:p>
    <w:p>
      <w:pPr>
        <w:spacing w:line="578" w:lineRule="exact"/>
        <w:jc w:val="right"/>
        <w:rPr>
          <w:rFonts w:hint="eastAsia" w:eastAsia="方正仿宋_GBK"/>
          <w:sz w:val="32"/>
          <w:szCs w:val="32"/>
          <w:lang w:eastAsia="zh-CN"/>
        </w:rPr>
      </w:pPr>
      <w:r>
        <w:rPr>
          <w:rFonts w:hint="eastAsia" w:eastAsia="方正仿宋_GBK"/>
          <w:sz w:val="32"/>
          <w:szCs w:val="32"/>
          <w:lang w:eastAsia="zh-CN"/>
        </w:rPr>
        <w:t>金川县水务局</w:t>
      </w:r>
    </w:p>
    <w:p>
      <w:pPr>
        <w:spacing w:line="578" w:lineRule="exact"/>
        <w:jc w:val="right"/>
        <w:rPr>
          <w:rFonts w:eastAsia="方正仿宋_GBK"/>
          <w:sz w:val="32"/>
          <w:szCs w:val="32"/>
        </w:rPr>
      </w:pPr>
      <w:r>
        <w:rPr>
          <w:rFonts w:hint="eastAsia" w:eastAsia="方正仿宋_GBK"/>
          <w:sz w:val="32"/>
          <w:szCs w:val="32"/>
        </w:rPr>
        <w:t>2025年</w:t>
      </w:r>
      <w:r>
        <w:rPr>
          <w:rFonts w:hint="eastAsia" w:eastAsia="方正仿宋_GBK"/>
          <w:sz w:val="32"/>
          <w:szCs w:val="32"/>
          <w:lang w:val="en-US" w:eastAsia="zh-CN"/>
        </w:rPr>
        <w:t>8</w:t>
      </w:r>
      <w:r>
        <w:rPr>
          <w:rFonts w:hint="eastAsia" w:eastAsia="方正仿宋_GBK"/>
          <w:sz w:val="32"/>
          <w:szCs w:val="32"/>
        </w:rPr>
        <w:t>月</w:t>
      </w:r>
      <w:r>
        <w:rPr>
          <w:rFonts w:hint="eastAsia" w:eastAsia="方正仿宋_GBK"/>
          <w:sz w:val="32"/>
          <w:szCs w:val="32"/>
          <w:lang w:val="en-US" w:eastAsia="zh-CN"/>
        </w:rPr>
        <w:t>28</w:t>
      </w:r>
      <w:r>
        <w:rPr>
          <w:rFonts w:hint="eastAsia" w:eastAsia="方正仿宋_GBK"/>
          <w:sz w:val="32"/>
          <w:szCs w:val="32"/>
        </w:rPr>
        <w:t>日</w:t>
      </w:r>
    </w:p>
    <w:p>
      <w:pPr>
        <w:pStyle w:val="14"/>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pStyle w:val="7"/>
        <w:ind w:left="420"/>
      </w:pPr>
    </w:p>
    <w:p>
      <w:pPr>
        <w:spacing w:line="578" w:lineRule="exact"/>
        <w:jc w:val="left"/>
        <w:rPr>
          <w:rFonts w:eastAsia="黑体"/>
        </w:rPr>
      </w:pPr>
      <w:r>
        <w:rPr>
          <w:rFonts w:eastAsia="黑体"/>
        </w:rPr>
        <w:t>附表</w:t>
      </w:r>
      <w:r>
        <w:rPr>
          <w:rFonts w:hint="eastAsia" w:eastAsia="黑体"/>
        </w:rPr>
        <w:t>1</w:t>
      </w:r>
    </w:p>
    <w:p>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8"/>
        <w:tblW w:w="10819" w:type="dxa"/>
        <w:jc w:val="center"/>
        <w:tblInd w:w="0" w:type="dxa"/>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Layout w:type="fixed"/>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总体绩效</w:t>
            </w:r>
            <w:r>
              <w:rPr>
                <w:rFonts w:hint="eastAsia" w:ascii="宋体" w:hAnsi="宋体" w:cs="宋体"/>
                <w:b/>
                <w:color w:val="000000"/>
                <w:kern w:val="0"/>
                <w:sz w:val="24"/>
              </w:rPr>
              <w:br w:type="textWrapping"/>
            </w:r>
            <w:r>
              <w:rPr>
                <w:rFonts w:hint="eastAsia" w:ascii="宋体" w:hAnsi="宋体" w:cs="宋体"/>
                <w:b/>
                <w:color w:val="000000"/>
                <w:kern w:val="0"/>
                <w:sz w:val="24"/>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履职效能</w:t>
            </w:r>
            <w:r>
              <w:rPr>
                <w:rFonts w:hint="eastAsia" w:ascii="宋体" w:hAnsi="宋体" w:cs="宋体"/>
                <w:b/>
                <w:color w:val="000000"/>
                <w:kern w:val="0"/>
                <w:sz w:val="24"/>
              </w:rPr>
              <w:br w:type="textWrapping"/>
            </w:r>
            <w:r>
              <w:rPr>
                <w:rFonts w:hint="eastAsia" w:ascii="宋体" w:hAnsi="宋体" w:cs="宋体"/>
                <w:b/>
                <w:color w:val="000000"/>
                <w:kern w:val="0"/>
                <w:sz w:val="24"/>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kern w:val="0"/>
                <w:sz w:val="24"/>
              </w:rPr>
            </w:pPr>
          </w:p>
        </w:tc>
        <w:tc>
          <w:tcPr>
            <w:tcW w:w="1462"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4734"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kern w:val="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kern w:val="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预算管理</w:t>
            </w:r>
            <w:r>
              <w:rPr>
                <w:rFonts w:hint="eastAsia" w:ascii="宋体" w:hAnsi="宋体" w:cs="宋体"/>
                <w:b/>
                <w:color w:val="000000"/>
                <w:kern w:val="0"/>
                <w:sz w:val="24"/>
              </w:rPr>
              <w:br w:type="textWrapping"/>
            </w:r>
            <w:r>
              <w:rPr>
                <w:rFonts w:hint="eastAsia" w:ascii="宋体" w:hAnsi="宋体" w:cs="宋体"/>
                <w:b/>
                <w:color w:val="000000"/>
                <w:kern w:val="0"/>
                <w:sz w:val="24"/>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财务管理</w:t>
            </w:r>
            <w:r>
              <w:rPr>
                <w:rFonts w:hint="eastAsia" w:ascii="宋体" w:hAnsi="宋体" w:cs="宋体"/>
                <w:b/>
                <w:color w:val="000000"/>
                <w:kern w:val="0"/>
                <w:sz w:val="24"/>
              </w:rPr>
              <w:br w:type="textWrapping"/>
            </w:r>
            <w:r>
              <w:rPr>
                <w:rFonts w:hint="eastAsia" w:ascii="宋体" w:hAnsi="宋体" w:cs="宋体"/>
                <w:b/>
                <w:color w:val="000000"/>
                <w:kern w:val="0"/>
                <w:sz w:val="24"/>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资产管理</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总体绩效</w:t>
            </w:r>
            <w:r>
              <w:rPr>
                <w:rFonts w:hint="eastAsia" w:ascii="宋体" w:hAnsi="宋体" w:cs="宋体"/>
                <w:b/>
                <w:color w:val="000000"/>
                <w:kern w:val="0"/>
                <w:sz w:val="24"/>
              </w:rPr>
              <w:br w:type="textWrapping"/>
            </w:r>
            <w:r>
              <w:rPr>
                <w:rFonts w:hint="eastAsia" w:ascii="宋体" w:hAnsi="宋体" w:cs="宋体"/>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资产管理</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采购管理</w:t>
            </w:r>
            <w:r>
              <w:rPr>
                <w:rFonts w:hint="eastAsia" w:ascii="宋体" w:hAnsi="宋体" w:cs="宋体"/>
                <w:b/>
                <w:color w:val="000000"/>
                <w:kern w:val="0"/>
                <w:sz w:val="24"/>
              </w:rPr>
              <w:br w:type="textWrapping"/>
            </w:r>
            <w:r>
              <w:rPr>
                <w:rFonts w:hint="eastAsia" w:ascii="宋体" w:hAnsi="宋体" w:cs="宋体"/>
                <w:b/>
                <w:color w:val="000000"/>
                <w:kern w:val="0"/>
                <w:sz w:val="24"/>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项目绩效</w:t>
            </w:r>
            <w:r>
              <w:rPr>
                <w:rFonts w:hint="eastAsia" w:ascii="宋体" w:hAnsi="宋体" w:cs="宋体"/>
                <w:b/>
                <w:color w:val="000000"/>
                <w:kern w:val="0"/>
                <w:sz w:val="24"/>
              </w:rPr>
              <w:br w:type="textWrapping"/>
            </w:r>
            <w:r>
              <w:rPr>
                <w:rFonts w:hint="eastAsia" w:ascii="宋体" w:hAnsi="宋体" w:cs="宋体"/>
                <w:b/>
                <w:color w:val="000000"/>
                <w:kern w:val="0"/>
                <w:sz w:val="24"/>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项目决策</w:t>
            </w:r>
            <w:r>
              <w:rPr>
                <w:rFonts w:hint="eastAsia" w:ascii="宋体" w:hAnsi="宋体" w:cs="宋体"/>
                <w:b/>
                <w:color w:val="000000"/>
                <w:kern w:val="0"/>
                <w:sz w:val="24"/>
              </w:rPr>
              <w:br w:type="textWrapping"/>
            </w:r>
            <w:r>
              <w:rPr>
                <w:rFonts w:hint="eastAsia" w:ascii="宋体" w:hAnsi="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项目执行</w:t>
            </w:r>
            <w:r>
              <w:rPr>
                <w:rFonts w:hint="eastAsia" w:ascii="宋体" w:hAnsi="宋体" w:cs="宋体"/>
                <w:b/>
                <w:color w:val="000000"/>
                <w:kern w:val="0"/>
                <w:sz w:val="24"/>
              </w:rPr>
              <w:br w:type="textWrapping"/>
            </w:r>
            <w:r>
              <w:rPr>
                <w:rFonts w:hint="eastAsia" w:ascii="宋体" w:hAnsi="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目标实现</w:t>
            </w:r>
            <w:r>
              <w:rPr>
                <w:rFonts w:hint="eastAsia" w:ascii="宋体" w:hAnsi="宋体" w:cs="宋体"/>
                <w:b/>
                <w:color w:val="000000"/>
                <w:kern w:val="0"/>
                <w:sz w:val="24"/>
              </w:rPr>
              <w:br w:type="textWrapping"/>
            </w:r>
            <w:r>
              <w:rPr>
                <w:rFonts w:hint="eastAsia" w:ascii="宋体" w:hAnsi="宋体" w:cs="宋体"/>
                <w:b/>
                <w:color w:val="000000"/>
                <w:kern w:val="0"/>
                <w:sz w:val="24"/>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 w:val="24"/>
              </w:rPr>
            </w:pPr>
            <w:r>
              <w:rPr>
                <w:rFonts w:hint="eastAsia" w:ascii="宋体" w:hAnsi="宋体" w:cs="宋体"/>
                <w:b/>
                <w:color w:val="000000"/>
                <w:kern w:val="0"/>
                <w:sz w:val="24"/>
              </w:rPr>
              <w:t>扣分项</w:t>
            </w:r>
            <w:r>
              <w:rPr>
                <w:rFonts w:hint="eastAsia" w:ascii="宋体" w:hAnsi="宋体" w:cs="宋体"/>
                <w:b/>
                <w:color w:val="000000"/>
                <w:kern w:val="0"/>
                <w:sz w:val="24"/>
              </w:rPr>
              <w:br w:type="textWrapping"/>
            </w:r>
            <w:r>
              <w:rPr>
                <w:rFonts w:hint="eastAsia" w:ascii="宋体" w:hAnsi="宋体" w:cs="宋体"/>
                <w:b/>
                <w:color w:val="000000"/>
                <w:kern w:val="0"/>
                <w:sz w:val="24"/>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 w:val="24"/>
              </w:rPr>
            </w:pPr>
            <w:r>
              <w:rPr>
                <w:rFonts w:hint="eastAsia" w:ascii="宋体" w:hAnsi="宋体" w:cs="宋体"/>
                <w:color w:val="000000"/>
                <w:kern w:val="0"/>
                <w:sz w:val="24"/>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 w:val="24"/>
              </w:rPr>
            </w:pPr>
            <w:r>
              <w:rPr>
                <w:rFonts w:hint="eastAsia" w:ascii="宋体" w:hAnsi="宋体" w:cs="宋体"/>
                <w:color w:val="000000"/>
                <w:kern w:val="0"/>
                <w:sz w:val="24"/>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 w:val="24"/>
              </w:rPr>
            </w:pPr>
          </w:p>
        </w:tc>
      </w:tr>
    </w:tbl>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r>
        <w:rPr>
          <w:rFonts w:eastAsia="黑体"/>
        </w:rPr>
        <w:t>附表</w:t>
      </w:r>
      <w:r>
        <w:rPr>
          <w:rFonts w:hint="eastAsia" w:eastAsia="黑体"/>
        </w:rPr>
        <w:t>2</w:t>
      </w:r>
    </w:p>
    <w:tbl>
      <w:tblPr>
        <w:tblStyle w:val="18"/>
        <w:tblW w:w="10560" w:type="dxa"/>
        <w:jc w:val="center"/>
        <w:tblInd w:w="0" w:type="dxa"/>
        <w:tblLayout w:type="fixed"/>
        <w:tblCellMar>
          <w:top w:w="15" w:type="dxa"/>
          <w:left w:w="15" w:type="dxa"/>
          <w:bottom w:w="15" w:type="dxa"/>
          <w:right w:w="15" w:type="dxa"/>
        </w:tblCellMar>
      </w:tblPr>
      <w:tblGrid>
        <w:gridCol w:w="10560"/>
      </w:tblGrid>
      <w:tr>
        <w:tblPrEx>
          <w:tblLayout w:type="fixed"/>
          <w:tblCellMar>
            <w:top w:w="15" w:type="dxa"/>
            <w:left w:w="15" w:type="dxa"/>
            <w:bottom w:w="15" w:type="dxa"/>
            <w:right w:w="15" w:type="dxa"/>
          </w:tblCellMar>
        </w:tblPrEx>
        <w:trPr>
          <w:trHeight w:val="762" w:hRule="exact"/>
          <w:jc w:val="center"/>
        </w:trPr>
        <w:tc>
          <w:tcPr>
            <w:tcW w:w="10560" w:type="dxa"/>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部门整体绩效目标完成情况自评表</w:t>
            </w:r>
          </w:p>
        </w:tc>
      </w:tr>
      <w:tr>
        <w:tblPrEx>
          <w:tblLayout w:type="fixed"/>
          <w:tblCellMar>
            <w:top w:w="15" w:type="dxa"/>
            <w:left w:w="15" w:type="dxa"/>
            <w:bottom w:w="15" w:type="dxa"/>
            <w:right w:w="15" w:type="dxa"/>
          </w:tblCellMar>
        </w:tblPrEx>
        <w:trPr>
          <w:trHeight w:val="23" w:hRule="atLeast"/>
          <w:jc w:val="center"/>
        </w:trPr>
        <w:tc>
          <w:tcPr>
            <w:tcW w:w="10560" w:type="dxa"/>
            <w:shd w:val="clear" w:color="auto" w:fill="auto"/>
            <w:vAlign w:val="center"/>
          </w:tcPr>
          <w:p>
            <w:pPr>
              <w:widowControl/>
              <w:spacing w:line="300" w:lineRule="exact"/>
              <w:jc w:val="center"/>
              <w:textAlignment w:val="center"/>
              <w:rPr>
                <w:color w:val="000000"/>
                <w:sz w:val="28"/>
                <w:szCs w:val="28"/>
              </w:rPr>
            </w:pPr>
            <w:r>
              <w:rPr>
                <w:color w:val="000000"/>
                <w:kern w:val="0"/>
                <w:sz w:val="28"/>
                <w:szCs w:val="28"/>
              </w:rPr>
              <w:t>（202</w:t>
            </w:r>
            <w:r>
              <w:rPr>
                <w:rFonts w:hint="eastAsia"/>
                <w:color w:val="000000"/>
                <w:kern w:val="0"/>
                <w:sz w:val="28"/>
                <w:szCs w:val="28"/>
              </w:rPr>
              <w:t>4</w:t>
            </w:r>
            <w:r>
              <w:rPr>
                <w:color w:val="000000"/>
                <w:kern w:val="0"/>
                <w:sz w:val="28"/>
                <w:szCs w:val="28"/>
              </w:rPr>
              <w:t>年度）</w:t>
            </w:r>
          </w:p>
        </w:tc>
      </w:tr>
      <w:tr>
        <w:tblPrEx>
          <w:tblLayout w:type="fixed"/>
          <w:tblCellMar>
            <w:top w:w="15" w:type="dxa"/>
            <w:left w:w="15" w:type="dxa"/>
            <w:bottom w:w="15" w:type="dxa"/>
            <w:right w:w="15" w:type="dxa"/>
          </w:tblCellMar>
        </w:tblPrEx>
        <w:trPr>
          <w:trHeight w:val="23" w:hRule="atLeast"/>
          <w:jc w:val="center"/>
        </w:trPr>
        <w:tc>
          <w:tcPr>
            <w:tcW w:w="10560" w:type="dxa"/>
            <w:tcBorders>
              <w:bottom w:val="single" w:color="000000" w:sz="4" w:space="0"/>
            </w:tcBorders>
            <w:shd w:val="clear" w:color="auto" w:fill="auto"/>
            <w:vAlign w:val="center"/>
          </w:tcPr>
          <w:p>
            <w:pPr>
              <w:widowControl/>
              <w:spacing w:line="300" w:lineRule="exact"/>
              <w:jc w:val="right"/>
              <w:textAlignment w:val="center"/>
              <w:rPr>
                <w:color w:val="000000"/>
                <w:szCs w:val="21"/>
              </w:rPr>
            </w:pPr>
            <w:r>
              <w:rPr>
                <w:color w:val="000000"/>
                <w:kern w:val="0"/>
                <w:szCs w:val="21"/>
              </w:rPr>
              <w:t>单位：万元</w:t>
            </w:r>
          </w:p>
        </w:tc>
      </w:tr>
    </w:tbl>
    <w:p>
      <w:pPr>
        <w:pStyle w:val="7"/>
        <w:spacing w:line="560" w:lineRule="exact"/>
        <w:ind w:left="0" w:leftChars="0" w:firstLine="0" w:firstLineChars="0"/>
        <w:rPr>
          <w:rFonts w:ascii="Times New Roman"/>
          <w:sz w:val="32"/>
          <w:highlight w:val="yellow"/>
          <w:lang w:val="zh-CN"/>
        </w:rPr>
      </w:pPr>
    </w:p>
    <w:tbl>
      <w:tblPr>
        <w:tblStyle w:val="18"/>
        <w:tblW w:w="8429" w:type="dxa"/>
        <w:tblInd w:w="0" w:type="dxa"/>
        <w:shd w:val="clear" w:color="auto" w:fill="auto"/>
        <w:tblLayout w:type="fixed"/>
        <w:tblCellMar>
          <w:top w:w="0" w:type="dxa"/>
          <w:left w:w="0" w:type="dxa"/>
          <w:bottom w:w="0" w:type="dxa"/>
          <w:right w:w="0" w:type="dxa"/>
        </w:tblCellMar>
      </w:tblPr>
      <w:tblGrid>
        <w:gridCol w:w="881"/>
        <w:gridCol w:w="1112"/>
        <w:gridCol w:w="1112"/>
        <w:gridCol w:w="1704"/>
        <w:gridCol w:w="889"/>
        <w:gridCol w:w="1037"/>
        <w:gridCol w:w="667"/>
        <w:gridCol w:w="518"/>
        <w:gridCol w:w="509"/>
      </w:tblGrid>
      <w:tr>
        <w:tblPrEx>
          <w:shd w:val="clear" w:color="auto" w:fill="auto"/>
          <w:tblLayout w:type="fixed"/>
          <w:tblCellMar>
            <w:top w:w="0" w:type="dxa"/>
            <w:left w:w="0" w:type="dxa"/>
            <w:bottom w:w="0" w:type="dxa"/>
            <w:right w:w="0" w:type="dxa"/>
          </w:tblCellMar>
        </w:tblPrEx>
        <w:trPr>
          <w:trHeight w:val="904" w:hRule="atLeast"/>
        </w:trPr>
        <w:tc>
          <w:tcPr>
            <w:tcW w:w="7920" w:type="dxa"/>
            <w:gridSpan w:val="8"/>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0"/>
                <w:szCs w:val="30"/>
                <w:u w:val="none"/>
              </w:rPr>
            </w:pPr>
            <w:bookmarkStart w:id="66" w:name="_Toc15396618"/>
            <w:r>
              <w:rPr>
                <w:rFonts w:hint="eastAsia" w:ascii="黑体" w:hAnsi="宋体" w:eastAsia="黑体" w:cs="黑体"/>
                <w:i w:val="0"/>
                <w:color w:val="000000"/>
                <w:kern w:val="0"/>
                <w:sz w:val="30"/>
                <w:szCs w:val="30"/>
                <w:u w:val="none"/>
                <w:lang w:val="en-US" w:eastAsia="zh-CN" w:bidi="ar"/>
              </w:rPr>
              <w:t>部门整体支出绩效目标表</w:t>
            </w:r>
          </w:p>
        </w:tc>
        <w:tc>
          <w:tcPr>
            <w:tcW w:w="509" w:type="dxa"/>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kern w:val="0"/>
                <w:sz w:val="30"/>
                <w:szCs w:val="30"/>
                <w:u w:val="none"/>
                <w:lang w:val="en-US" w:eastAsia="zh-CN" w:bidi="ar"/>
              </w:rPr>
            </w:pPr>
          </w:p>
        </w:tc>
      </w:tr>
      <w:tr>
        <w:tblPrEx>
          <w:tblLayout w:type="fixed"/>
          <w:tblCellMar>
            <w:top w:w="0" w:type="dxa"/>
            <w:left w:w="0" w:type="dxa"/>
            <w:bottom w:w="0" w:type="dxa"/>
            <w:right w:w="0" w:type="dxa"/>
          </w:tblCellMar>
        </w:tblPrEx>
        <w:trPr>
          <w:trHeight w:val="286" w:hRule="atLeast"/>
        </w:trPr>
        <w:tc>
          <w:tcPr>
            <w:tcW w:w="7920" w:type="dxa"/>
            <w:gridSpan w:val="8"/>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（2024年度）</w:t>
            </w:r>
          </w:p>
        </w:tc>
        <w:tc>
          <w:tcPr>
            <w:tcW w:w="509" w:type="dxa"/>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286" w:hRule="atLeast"/>
        </w:trPr>
        <w:tc>
          <w:tcPr>
            <w:tcW w:w="7920" w:type="dxa"/>
            <w:gridSpan w:val="8"/>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金额单位：万元</w:t>
            </w:r>
          </w:p>
        </w:tc>
        <w:tc>
          <w:tcPr>
            <w:tcW w:w="509" w:type="dxa"/>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3105"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金川县水务局本级</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398" w:hRule="atLeast"/>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222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1003.41</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1003.41</w:t>
            </w:r>
          </w:p>
        </w:tc>
        <w:tc>
          <w:tcPr>
            <w:tcW w:w="222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296" w:hRule="atLeast"/>
        </w:trPr>
        <w:tc>
          <w:tcPr>
            <w:tcW w:w="8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7039" w:type="dxa"/>
            <w:gridSpan w:val="7"/>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统一管理全县水资源，拟定节约用水政策，负责生活、生产经营和生态环境用水的统筹</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负责水旱灾害日常防治和监测预警。贯彻执行水旱灾害防治的法律法规方针、政策，做好监测预警设施的运行维护，提高预防能力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初审、转报水利基本建设项目初步设计；报告水利设施、水域的管理与保护，指导水利工程建设与运行管理，组织实施具体控制性或跨县重要水利工程建设与运行管理，负责河道采砂的统一监督管理工作。</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负责防治水土流失。拟定水土保持规划并监督实施，组织实施全县水土流失的综合防治，监测预报，负责有关重大建设项目水土保持方案的审批、监督实施及水土保持设施的验收工作，指导重点水土保持建设项目的实施。</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组织协调全县农田水利基本建设，指导农村饮水安全、节水灌溉等工程建设与管理工作，指导农村水利社会化服务体系建设，按规定指导农村水能资源开发工作；指导水电农村电气化、小水电燃料和农网建设改造工作。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负责重大涉水违法事件的查处，协调、仲裁跨县或部门间谁是纠纷，指导水政监察和水行政执法。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拟定渔业资源保护、利用规划，负责本县渔业生产，负责水生生物自然保护区管理，实施渔业环境监测，协调查处渔业污染事故、仲裁重大渔事纠纷，查处重大渔政案件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拟定水利行业经济调节措施，对全县水利资金的使用、管理进行宏观调节、监督、审计；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组织开展水利行政质量监督工作，贯彻水利行业的技术标准，规程规范，组织水利科学研究、技术推广和成果管理；指导全县水利行业队伍和服务体系建设，组织水利行业鉴于培训、职称评定和思想政治工作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承担县政府公布的有关行政审批事项。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完成县委县政府交办的其他任务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完成县委县政府交办的其他任务  </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按照省、州下达的移民安置移民搬迁安置、专业项目建设等工作</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拟定渔业资源保护</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利用规划，负责本县渔业生产，负责水生生物自然保护区管理，实施渔业环境监测，协调查处渔业污染事故、仲裁重大渔事纠纷，查处重大渔政案件</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完成移民项目及移民安置</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按照省、州下达的移民安置移民搬迁安置、专业项目建设等工作</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负责重大涉水违法事件的查处</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负责重大涉水违法事件的查处</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拟定节约用水政策，负责生活、生产经营和生态环境用水的统筹</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负责水旱灾害日常防治和监测预警</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贯彻执行水旱灾害防治的法律法规方针、政策，做好监测预警设施的运行维护，提高预防能力</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4522"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组织开展水利行政质量监督工作</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贯彻水利行业的技术标准，规程规范，组织水利科学研究、技术推广和成果管理；指导全县水利行业队伍和服务体系建设，组织水利行业鉴于培训、职称评定和思想政治工作</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初审、转报水利基本建设项目初步设计</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报告水利设施、水域的管理与保护，指导水利工程建设与运行管理，组织实施具体控制性或跨县重要水利工程建设与运行管理，负责河道采砂的统一监督管理工作。</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负责防治水土流失</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拟定水土保持规划并监督实施，组织实施全县水土流失的综合防治，监测预报，负责有关重大建设项目水土保持方案的审批、监督实施及水土保持设施的验收工作，指导重点水土保持建设项目的实施</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拟定渔业资源保护</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利用规划，负责本县渔业生产，负责水生生物自然保护区管理，实施渔业环境监测，协调查处渔业污染事故、仲裁重大渔事纠纷，查处重大渔政案件</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能资源开发工作</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指导水电农村电气化、小水电燃料和农网建设改造工作。</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拟定水利行业经济调节措施</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对全县水利资金的使用、管理进行宏观调节、监督、审计</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组织协调全县农田水利基本建设</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指导农村饮水安全、节水灌溉等工程建设与管理工作，指导农村水利社会化服务体系建设，按规定指导农村水能资源开发工作；指导水电农村电气化、小水电燃料和农网建设改造工作</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初审、转报水利基本建设项目初步设计</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报告水利设施、水域的管理与保护，指导水利工程建设与运行管理，组织实施具体控制性或跨县重要水利工程建设与运行管理，负责河道采砂的统一监督管理工作。</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678"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负责防治水土流失</w:t>
            </w:r>
          </w:p>
        </w:tc>
        <w:tc>
          <w:tcPr>
            <w:tcW w:w="4815"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拟定水土保持规划并监督实施，组织实施全县水土流失的综合防治，监测预报，负责有关重大建设项目水土保持方案的审批、监督实施及水土保持设施的验收工作，指导重点水土保持建设项目的实施</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按照省、州下达的移民安置移民搬迁安置、专业项目建设等工作</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推进河长制相关工作</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涉水违法事件巡查</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水土保持监督管理</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水土保持、中小河流治理项目等合格率</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2024年相关工作完成及时率</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深化对口帮扶、完善脱贫攻坚</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促进全县水务行业安全生产和水务事业的同步发展</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678"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管理各类建设项目、督促落实水土保持,有效遏制开发建设项目造成的人为水土流失</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严格水资源管理、减少水土流失，农村生态系统持续优化</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r>
        <w:tblPrEx>
          <w:tblLayout w:type="fixed"/>
          <w:tblCellMar>
            <w:top w:w="0" w:type="dxa"/>
            <w:left w:w="0" w:type="dxa"/>
            <w:bottom w:w="0" w:type="dxa"/>
            <w:right w:w="0" w:type="dxa"/>
          </w:tblCellMar>
        </w:tblPrEx>
        <w:trPr>
          <w:trHeight w:val="569" w:hRule="atLeast"/>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严格水资源管理、减少水土流失，农村生态系统持续优化</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w:t>
            </w:r>
          </w:p>
        </w:tc>
        <w:tc>
          <w:tcPr>
            <w:tcW w:w="5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p>
        </w:tc>
      </w:tr>
    </w:tbl>
    <w:p>
      <w:pPr>
        <w:pStyle w:val="7"/>
        <w:spacing w:after="0" w:line="576" w:lineRule="exact"/>
        <w:ind w:left="0" w:leftChars="0" w:firstLine="0" w:firstLineChars="0"/>
        <w:rPr>
          <w:rFonts w:ascii="Times New Roman" w:eastAsia="黑体"/>
          <w:b w:val="0"/>
          <w:bCs w:val="0"/>
          <w:sz w:val="24"/>
          <w:szCs w:val="2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jc w:val="center"/>
        <w:rPr>
          <w:rFonts w:eastAsia="黑体"/>
          <w:b w:val="0"/>
          <w:bCs w:val="0"/>
          <w:sz w:val="44"/>
          <w:szCs w:val="44"/>
        </w:rPr>
      </w:pPr>
    </w:p>
    <w:p>
      <w:pPr>
        <w:widowControl/>
        <w:rPr>
          <w:rFonts w:eastAsia="黑体"/>
          <w:sz w:val="44"/>
          <w:szCs w:val="44"/>
        </w:rPr>
      </w:pPr>
    </w:p>
    <w:p>
      <w:pPr>
        <w:pStyle w:val="3"/>
        <w:jc w:val="center"/>
        <w:rPr>
          <w:rFonts w:hint="eastAsia" w:ascii="方正小标宋_GBK" w:hAnsi="方正小标宋_GBK" w:eastAsia="方正小标宋_GBK" w:cs="方正小标宋_GBK"/>
          <w:b w:val="0"/>
        </w:rPr>
      </w:pPr>
      <w:r>
        <w:rPr>
          <w:rFonts w:hint="eastAsia" w:ascii="方正小标宋_GBK" w:hAnsi="方正小标宋_GBK" w:eastAsia="方正小标宋_GBK" w:cs="方正小标宋_GBK"/>
          <w:b w:val="0"/>
        </w:rPr>
        <w:t>第五部分 附表</w:t>
      </w:r>
      <w:bookmarkEnd w:id="45"/>
      <w:bookmarkEnd w:id="66"/>
      <w:bookmarkStart w:id="67" w:name="_Toc15396619"/>
    </w:p>
    <w:p>
      <w:pPr>
        <w:pStyle w:val="15"/>
        <w:adjustRightInd w:val="0"/>
        <w:snapToGrid w:val="0"/>
        <w:spacing w:line="560" w:lineRule="exact"/>
        <w:jc w:val="left"/>
        <w:rPr>
          <w:rFonts w:eastAsia="仿宋_GB2312" w:cs="仿宋_GB2312"/>
          <w:sz w:val="32"/>
          <w:szCs w:val="32"/>
        </w:rPr>
      </w:pPr>
    </w:p>
    <w:p>
      <w:pPr>
        <w:pStyle w:val="15"/>
        <w:adjustRightInd w:val="0"/>
        <w:snapToGrid w:val="0"/>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一、收入支出决算总表</w:t>
      </w:r>
      <w:bookmarkEnd w:id="67"/>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68" w:name="_Toc15396620"/>
      <w:r>
        <w:rPr>
          <w:rFonts w:hint="default" w:ascii="Times New Roman" w:hAnsi="Times New Roman" w:eastAsia="方正仿宋_GBK" w:cs="Times New Roman"/>
          <w:sz w:val="32"/>
          <w:szCs w:val="32"/>
        </w:rPr>
        <w:t>二、收入决算表</w:t>
      </w:r>
      <w:bookmarkEnd w:id="68"/>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69" w:name="_Toc15396621"/>
      <w:r>
        <w:rPr>
          <w:rFonts w:hint="default" w:ascii="Times New Roman" w:hAnsi="Times New Roman" w:eastAsia="方正仿宋_GBK" w:cs="Times New Roman"/>
          <w:sz w:val="32"/>
          <w:szCs w:val="32"/>
        </w:rPr>
        <w:t>三、支出决算表</w:t>
      </w:r>
      <w:bookmarkEnd w:id="69"/>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0" w:name="_Toc15396622"/>
      <w:r>
        <w:rPr>
          <w:rFonts w:hint="default" w:ascii="Times New Roman" w:hAnsi="Times New Roman" w:eastAsia="方正仿宋_GBK" w:cs="Times New Roman"/>
          <w:sz w:val="32"/>
          <w:szCs w:val="32"/>
        </w:rPr>
        <w:t>四、财政拨款收入支出决算总表</w:t>
      </w:r>
      <w:bookmarkEnd w:id="70"/>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1" w:name="_Toc15396623"/>
      <w:r>
        <w:rPr>
          <w:rFonts w:hint="default" w:ascii="Times New Roman" w:hAnsi="Times New Roman" w:eastAsia="方正仿宋_GBK" w:cs="Times New Roman"/>
          <w:sz w:val="32"/>
          <w:szCs w:val="32"/>
        </w:rPr>
        <w:t>五、财政拨款支出决算明细表</w:t>
      </w:r>
      <w:bookmarkEnd w:id="71"/>
      <w:bookmarkStart w:id="72" w:name="_Toc15396624"/>
    </w:p>
    <w:p>
      <w:pPr>
        <w:pStyle w:val="15"/>
        <w:adjustRightInd w:val="0"/>
        <w:snapToGrid w:val="0"/>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六、一般公共预算财政拨款支出决算表</w:t>
      </w:r>
      <w:bookmarkEnd w:id="72"/>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3" w:name="_Toc15396625"/>
      <w:r>
        <w:rPr>
          <w:rFonts w:hint="default" w:ascii="Times New Roman" w:hAnsi="Times New Roman" w:eastAsia="方正仿宋_GBK" w:cs="Times New Roman"/>
          <w:sz w:val="32"/>
          <w:szCs w:val="32"/>
        </w:rPr>
        <w:t>七、一般公共预算财政拨款支出决算明细表</w:t>
      </w:r>
      <w:bookmarkEnd w:id="73"/>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4" w:name="_Toc15396626"/>
      <w:r>
        <w:rPr>
          <w:rFonts w:hint="default" w:ascii="Times New Roman" w:hAnsi="Times New Roman" w:eastAsia="方正仿宋_GBK" w:cs="Times New Roman"/>
          <w:sz w:val="32"/>
          <w:szCs w:val="32"/>
        </w:rPr>
        <w:t>八、一般公共预算财政拨款基本支出决算表</w:t>
      </w:r>
      <w:bookmarkEnd w:id="74"/>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5" w:name="_Toc15396627"/>
      <w:r>
        <w:rPr>
          <w:rFonts w:hint="default" w:ascii="Times New Roman" w:hAnsi="Times New Roman" w:eastAsia="方正仿宋_GBK" w:cs="Times New Roman"/>
          <w:sz w:val="32"/>
          <w:szCs w:val="32"/>
        </w:rPr>
        <w:t>九、一般公共预算财政拨款项目支出决算表</w:t>
      </w:r>
      <w:bookmarkEnd w:id="75"/>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6" w:name="_Toc15396628"/>
      <w:r>
        <w:rPr>
          <w:rFonts w:hint="default" w:ascii="Times New Roman" w:hAnsi="Times New Roman" w:eastAsia="方正仿宋_GBK" w:cs="Times New Roman"/>
          <w:sz w:val="32"/>
          <w:szCs w:val="32"/>
        </w:rPr>
        <w:t>十、</w:t>
      </w:r>
      <w:bookmarkEnd w:id="76"/>
      <w:r>
        <w:rPr>
          <w:rFonts w:hint="default" w:ascii="Times New Roman" w:hAnsi="Times New Roman" w:eastAsia="方正仿宋_GBK" w:cs="Times New Roman"/>
          <w:sz w:val="32"/>
          <w:szCs w:val="32"/>
        </w:rPr>
        <w:t>政府性基金预算财政拨款收入支出决算表</w:t>
      </w:r>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7" w:name="_Toc15396629"/>
      <w:r>
        <w:rPr>
          <w:rFonts w:hint="default" w:ascii="Times New Roman" w:hAnsi="Times New Roman" w:eastAsia="方正仿宋_GBK" w:cs="Times New Roman"/>
          <w:sz w:val="32"/>
          <w:szCs w:val="32"/>
        </w:rPr>
        <w:t>十一、</w:t>
      </w:r>
      <w:bookmarkEnd w:id="77"/>
      <w:r>
        <w:rPr>
          <w:rFonts w:hint="default" w:ascii="Times New Roman" w:hAnsi="Times New Roman" w:eastAsia="方正仿宋_GBK" w:cs="Times New Roman"/>
          <w:sz w:val="32"/>
          <w:szCs w:val="32"/>
        </w:rPr>
        <w:t>国有资本经营预算财政拨款收入支出决算表</w:t>
      </w:r>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8" w:name="_Toc15396630"/>
      <w:r>
        <w:rPr>
          <w:rFonts w:hint="default" w:ascii="Times New Roman" w:hAnsi="Times New Roman" w:eastAsia="方正仿宋_GBK" w:cs="Times New Roman"/>
          <w:sz w:val="32"/>
          <w:szCs w:val="32"/>
        </w:rPr>
        <w:t>十二、</w:t>
      </w:r>
      <w:bookmarkEnd w:id="78"/>
      <w:r>
        <w:rPr>
          <w:rFonts w:hint="default" w:ascii="Times New Roman" w:hAnsi="Times New Roman" w:eastAsia="方正仿宋_GBK" w:cs="Times New Roman"/>
          <w:sz w:val="32"/>
          <w:szCs w:val="32"/>
        </w:rPr>
        <w:t>国有资本经营预算财政拨款支出决算表</w:t>
      </w:r>
    </w:p>
    <w:p>
      <w:pPr>
        <w:pStyle w:val="15"/>
        <w:adjustRightInd w:val="0"/>
        <w:snapToGrid w:val="0"/>
        <w:spacing w:line="560" w:lineRule="exact"/>
        <w:jc w:val="left"/>
        <w:rPr>
          <w:rFonts w:hint="default" w:ascii="Times New Roman" w:hAnsi="Times New Roman" w:eastAsia="方正仿宋_GBK" w:cs="Times New Roman"/>
          <w:sz w:val="32"/>
          <w:szCs w:val="32"/>
        </w:rPr>
      </w:pPr>
      <w:bookmarkStart w:id="79" w:name="_Toc15396631"/>
      <w:r>
        <w:rPr>
          <w:rFonts w:hint="default" w:ascii="Times New Roman" w:hAnsi="Times New Roman" w:eastAsia="方正仿宋_GBK" w:cs="Times New Roman"/>
          <w:sz w:val="32"/>
          <w:szCs w:val="32"/>
        </w:rPr>
        <w:t>十三、</w:t>
      </w:r>
      <w:bookmarkEnd w:id="79"/>
      <w:r>
        <w:rPr>
          <w:rFonts w:hint="default" w:ascii="Times New Roman" w:hAnsi="Times New Roman" w:eastAsia="方正仿宋_GBK" w:cs="Times New Roman"/>
          <w:sz w:val="32"/>
          <w:szCs w:val="32"/>
        </w:rPr>
        <w:t>财政拨款“三公”经费支出决算表</w:t>
      </w:r>
    </w:p>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00"/>
    <w:family w:val="auto"/>
    <w:pitch w:val="default"/>
    <w:sig w:usb0="00000000" w:usb1="00000000" w:usb2="00000000" w:usb3="00000000" w:csb0="0004009F" w:csb1="DFD7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753C88"/>
    <w:multiLevelType w:val="singleLevel"/>
    <w:tmpl w:val="DF753C88"/>
    <w:lvl w:ilvl="0" w:tentative="0">
      <w:start w:val="3"/>
      <w:numFmt w:val="chineseCounting"/>
      <w:suff w:val="nothing"/>
      <w:lvlText w:val="%1、"/>
      <w:lvlJc w:val="left"/>
      <w:rPr>
        <w:rFonts w:hint="eastAsia"/>
      </w:rPr>
    </w:lvl>
  </w:abstractNum>
  <w:abstractNum w:abstractNumId="1">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2">
    <w:nsid w:val="FD209342"/>
    <w:multiLevelType w:val="singleLevel"/>
    <w:tmpl w:val="FD209342"/>
    <w:lvl w:ilvl="0" w:tentative="0">
      <w:start w:val="2"/>
      <w:numFmt w:val="decimal"/>
      <w:suff w:val="nothing"/>
      <w:lvlText w:val="%1、"/>
      <w:lvlJc w:val="left"/>
      <w:pPr>
        <w:ind w:left="61"/>
      </w:pPr>
    </w:lvl>
  </w:abstractNum>
  <w:abstractNum w:abstractNumId="3">
    <w:nsid w:val="44C757ED"/>
    <w:multiLevelType w:val="multilevel"/>
    <w:tmpl w:val="44C757ED"/>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43E1"/>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76E79"/>
    <w:rsid w:val="00280496"/>
    <w:rsid w:val="00294DC9"/>
    <w:rsid w:val="00295495"/>
    <w:rsid w:val="002A31DE"/>
    <w:rsid w:val="002B2613"/>
    <w:rsid w:val="002B5B69"/>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243E"/>
    <w:rsid w:val="0057481D"/>
    <w:rsid w:val="0058486E"/>
    <w:rsid w:val="00585B33"/>
    <w:rsid w:val="0059014D"/>
    <w:rsid w:val="005A2A96"/>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04A3"/>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6D80"/>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C64"/>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43A5"/>
    <w:rsid w:val="00A268C4"/>
    <w:rsid w:val="00A307CD"/>
    <w:rsid w:val="00A331C8"/>
    <w:rsid w:val="00A368F9"/>
    <w:rsid w:val="00A37FA0"/>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0CD5"/>
    <w:rsid w:val="00B77EA6"/>
    <w:rsid w:val="00B81598"/>
    <w:rsid w:val="00B841F1"/>
    <w:rsid w:val="00B944D6"/>
    <w:rsid w:val="00BB4DF0"/>
    <w:rsid w:val="00BB5C4F"/>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CF1906"/>
    <w:rsid w:val="00D00095"/>
    <w:rsid w:val="00D114F0"/>
    <w:rsid w:val="00D20620"/>
    <w:rsid w:val="00D254F7"/>
    <w:rsid w:val="00D26091"/>
    <w:rsid w:val="00D2685C"/>
    <w:rsid w:val="00D34E7C"/>
    <w:rsid w:val="00D35489"/>
    <w:rsid w:val="00D36AFE"/>
    <w:rsid w:val="00D41B8D"/>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C5011B"/>
    <w:rsid w:val="029F7C0A"/>
    <w:rsid w:val="02FEBE30"/>
    <w:rsid w:val="032A486D"/>
    <w:rsid w:val="04916F1E"/>
    <w:rsid w:val="061E35DE"/>
    <w:rsid w:val="066E0107"/>
    <w:rsid w:val="06B007C0"/>
    <w:rsid w:val="06E45C2F"/>
    <w:rsid w:val="0742458B"/>
    <w:rsid w:val="07996F6E"/>
    <w:rsid w:val="07AE2A77"/>
    <w:rsid w:val="07DFD8BA"/>
    <w:rsid w:val="07E30521"/>
    <w:rsid w:val="07E65814"/>
    <w:rsid w:val="07FF5F27"/>
    <w:rsid w:val="081069F0"/>
    <w:rsid w:val="08615E9F"/>
    <w:rsid w:val="089E7A70"/>
    <w:rsid w:val="08AC126B"/>
    <w:rsid w:val="08AE461F"/>
    <w:rsid w:val="08E31EE1"/>
    <w:rsid w:val="08FA018A"/>
    <w:rsid w:val="09867E8F"/>
    <w:rsid w:val="099D0AFA"/>
    <w:rsid w:val="09D7623C"/>
    <w:rsid w:val="09F03683"/>
    <w:rsid w:val="0A2032A3"/>
    <w:rsid w:val="0B141B46"/>
    <w:rsid w:val="0CA8290A"/>
    <w:rsid w:val="0CCB6F64"/>
    <w:rsid w:val="0D2871E3"/>
    <w:rsid w:val="0D35B1ED"/>
    <w:rsid w:val="0DF0200E"/>
    <w:rsid w:val="0DFF3BC7"/>
    <w:rsid w:val="0E171471"/>
    <w:rsid w:val="0E234517"/>
    <w:rsid w:val="0E254B6B"/>
    <w:rsid w:val="0E516AE4"/>
    <w:rsid w:val="0EA10A58"/>
    <w:rsid w:val="0EE85E16"/>
    <w:rsid w:val="0F98263C"/>
    <w:rsid w:val="0F9835EE"/>
    <w:rsid w:val="0FF760CC"/>
    <w:rsid w:val="101860EC"/>
    <w:rsid w:val="101F47CC"/>
    <w:rsid w:val="10C055FF"/>
    <w:rsid w:val="10E77AD9"/>
    <w:rsid w:val="11626C63"/>
    <w:rsid w:val="11694EBD"/>
    <w:rsid w:val="11772AA4"/>
    <w:rsid w:val="118107EC"/>
    <w:rsid w:val="1199777A"/>
    <w:rsid w:val="121D6B4D"/>
    <w:rsid w:val="12E24EE2"/>
    <w:rsid w:val="136C56A6"/>
    <w:rsid w:val="13D50BC4"/>
    <w:rsid w:val="13E44759"/>
    <w:rsid w:val="13F02E7E"/>
    <w:rsid w:val="14B17F78"/>
    <w:rsid w:val="14D95B8B"/>
    <w:rsid w:val="152B3697"/>
    <w:rsid w:val="15656948"/>
    <w:rsid w:val="15E22B80"/>
    <w:rsid w:val="16163457"/>
    <w:rsid w:val="165E0673"/>
    <w:rsid w:val="16A02E28"/>
    <w:rsid w:val="16B831D5"/>
    <w:rsid w:val="16BB723D"/>
    <w:rsid w:val="17E50567"/>
    <w:rsid w:val="1826519A"/>
    <w:rsid w:val="186504BB"/>
    <w:rsid w:val="18831547"/>
    <w:rsid w:val="189321CA"/>
    <w:rsid w:val="191902F4"/>
    <w:rsid w:val="19A445FC"/>
    <w:rsid w:val="19F86F18"/>
    <w:rsid w:val="19FB0C4B"/>
    <w:rsid w:val="1A5A515C"/>
    <w:rsid w:val="1A791983"/>
    <w:rsid w:val="1AEC1E2F"/>
    <w:rsid w:val="1B7E22F1"/>
    <w:rsid w:val="1BE8440E"/>
    <w:rsid w:val="1C57246A"/>
    <w:rsid w:val="1CE25B9F"/>
    <w:rsid w:val="1D155CEE"/>
    <w:rsid w:val="1D1638FE"/>
    <w:rsid w:val="1D3221A7"/>
    <w:rsid w:val="1E312DEB"/>
    <w:rsid w:val="1E607579"/>
    <w:rsid w:val="1E740ACF"/>
    <w:rsid w:val="1EC93C41"/>
    <w:rsid w:val="1EFB08B8"/>
    <w:rsid w:val="1FF35744"/>
    <w:rsid w:val="1FF6BC77"/>
    <w:rsid w:val="20326CF9"/>
    <w:rsid w:val="206E7886"/>
    <w:rsid w:val="21136923"/>
    <w:rsid w:val="2186353C"/>
    <w:rsid w:val="21DA5535"/>
    <w:rsid w:val="2223246D"/>
    <w:rsid w:val="225455A4"/>
    <w:rsid w:val="22E46654"/>
    <w:rsid w:val="23860B96"/>
    <w:rsid w:val="23DE5D05"/>
    <w:rsid w:val="240371BF"/>
    <w:rsid w:val="244F3473"/>
    <w:rsid w:val="24C97D99"/>
    <w:rsid w:val="24E41164"/>
    <w:rsid w:val="25637E64"/>
    <w:rsid w:val="25A718F0"/>
    <w:rsid w:val="25BB59F6"/>
    <w:rsid w:val="260F557C"/>
    <w:rsid w:val="262103AF"/>
    <w:rsid w:val="26970054"/>
    <w:rsid w:val="26C14D7C"/>
    <w:rsid w:val="26CF7114"/>
    <w:rsid w:val="26FA243E"/>
    <w:rsid w:val="27461BF9"/>
    <w:rsid w:val="27E65D17"/>
    <w:rsid w:val="281408E2"/>
    <w:rsid w:val="28F93817"/>
    <w:rsid w:val="29FD04D3"/>
    <w:rsid w:val="2A144874"/>
    <w:rsid w:val="2B431926"/>
    <w:rsid w:val="2BFF7BC6"/>
    <w:rsid w:val="2C265E89"/>
    <w:rsid w:val="2C8A61B5"/>
    <w:rsid w:val="2CDE3D1B"/>
    <w:rsid w:val="2D010D39"/>
    <w:rsid w:val="2DC13985"/>
    <w:rsid w:val="2DDB14FE"/>
    <w:rsid w:val="2DF04E50"/>
    <w:rsid w:val="2E085B02"/>
    <w:rsid w:val="2E586DFA"/>
    <w:rsid w:val="2EBE2C19"/>
    <w:rsid w:val="2ECF203C"/>
    <w:rsid w:val="2EEC4111"/>
    <w:rsid w:val="2F040D46"/>
    <w:rsid w:val="2F6B035B"/>
    <w:rsid w:val="2FAE5751"/>
    <w:rsid w:val="2FB1A395"/>
    <w:rsid w:val="2FD9A7D8"/>
    <w:rsid w:val="2FDBF714"/>
    <w:rsid w:val="30166090"/>
    <w:rsid w:val="30AB6865"/>
    <w:rsid w:val="30BE44E6"/>
    <w:rsid w:val="30DE46EF"/>
    <w:rsid w:val="310745E4"/>
    <w:rsid w:val="319F7F4E"/>
    <w:rsid w:val="31DC752D"/>
    <w:rsid w:val="328335EE"/>
    <w:rsid w:val="32A70400"/>
    <w:rsid w:val="32BD1EF1"/>
    <w:rsid w:val="32D5084D"/>
    <w:rsid w:val="32E02D2A"/>
    <w:rsid w:val="3304709D"/>
    <w:rsid w:val="33A666B1"/>
    <w:rsid w:val="33A773CB"/>
    <w:rsid w:val="33D64E14"/>
    <w:rsid w:val="34191A74"/>
    <w:rsid w:val="34277E01"/>
    <w:rsid w:val="349D6851"/>
    <w:rsid w:val="34A64D0F"/>
    <w:rsid w:val="34D5114C"/>
    <w:rsid w:val="34D53CB6"/>
    <w:rsid w:val="35264419"/>
    <w:rsid w:val="35292AA6"/>
    <w:rsid w:val="359A6297"/>
    <w:rsid w:val="35AC41DB"/>
    <w:rsid w:val="36544185"/>
    <w:rsid w:val="36AA5135"/>
    <w:rsid w:val="36BE0DA7"/>
    <w:rsid w:val="36E721CF"/>
    <w:rsid w:val="372B5D93"/>
    <w:rsid w:val="374801BE"/>
    <w:rsid w:val="376B6AA6"/>
    <w:rsid w:val="376D39B2"/>
    <w:rsid w:val="37780172"/>
    <w:rsid w:val="3786044A"/>
    <w:rsid w:val="37BE0125"/>
    <w:rsid w:val="37E16F03"/>
    <w:rsid w:val="37F53A3B"/>
    <w:rsid w:val="389B6C89"/>
    <w:rsid w:val="38C1357C"/>
    <w:rsid w:val="38D469F0"/>
    <w:rsid w:val="39627CCD"/>
    <w:rsid w:val="397BAF1F"/>
    <w:rsid w:val="399B18F3"/>
    <w:rsid w:val="3A8050D2"/>
    <w:rsid w:val="3AA407E9"/>
    <w:rsid w:val="3AB79AF3"/>
    <w:rsid w:val="3AD66ACB"/>
    <w:rsid w:val="3AE834C0"/>
    <w:rsid w:val="3B6A501A"/>
    <w:rsid w:val="3B7EF35A"/>
    <w:rsid w:val="3B9FDB6C"/>
    <w:rsid w:val="3BF5BC2F"/>
    <w:rsid w:val="3C47342C"/>
    <w:rsid w:val="3CEBA265"/>
    <w:rsid w:val="3D8103A2"/>
    <w:rsid w:val="3D98207C"/>
    <w:rsid w:val="3DEE7CF3"/>
    <w:rsid w:val="3DF305FE"/>
    <w:rsid w:val="3E740A63"/>
    <w:rsid w:val="3E78745D"/>
    <w:rsid w:val="3E805543"/>
    <w:rsid w:val="3EE17838"/>
    <w:rsid w:val="3F55381A"/>
    <w:rsid w:val="3F7F7599"/>
    <w:rsid w:val="3F9225BB"/>
    <w:rsid w:val="3FD5698F"/>
    <w:rsid w:val="3FF4CAE0"/>
    <w:rsid w:val="3FF7B227"/>
    <w:rsid w:val="4040516C"/>
    <w:rsid w:val="404838CD"/>
    <w:rsid w:val="407D2BAC"/>
    <w:rsid w:val="409955C1"/>
    <w:rsid w:val="41A6575B"/>
    <w:rsid w:val="41F31547"/>
    <w:rsid w:val="4265704F"/>
    <w:rsid w:val="43120633"/>
    <w:rsid w:val="431928A0"/>
    <w:rsid w:val="432E797D"/>
    <w:rsid w:val="43A109A1"/>
    <w:rsid w:val="43BA3D40"/>
    <w:rsid w:val="44595274"/>
    <w:rsid w:val="44E268DA"/>
    <w:rsid w:val="450D13D7"/>
    <w:rsid w:val="45506656"/>
    <w:rsid w:val="456D1838"/>
    <w:rsid w:val="45A24F5B"/>
    <w:rsid w:val="4605193E"/>
    <w:rsid w:val="46933124"/>
    <w:rsid w:val="46A2452D"/>
    <w:rsid w:val="46A930B5"/>
    <w:rsid w:val="46FA5B4E"/>
    <w:rsid w:val="47E31AAF"/>
    <w:rsid w:val="47E46C1F"/>
    <w:rsid w:val="480527DB"/>
    <w:rsid w:val="48464C68"/>
    <w:rsid w:val="486A6C7A"/>
    <w:rsid w:val="48DA38D0"/>
    <w:rsid w:val="497B3297"/>
    <w:rsid w:val="4A5566D6"/>
    <w:rsid w:val="4A627F82"/>
    <w:rsid w:val="4AAB717C"/>
    <w:rsid w:val="4B0E749A"/>
    <w:rsid w:val="4B2477C4"/>
    <w:rsid w:val="4B4F25DA"/>
    <w:rsid w:val="4B923A5C"/>
    <w:rsid w:val="4B971BFE"/>
    <w:rsid w:val="4BE068DB"/>
    <w:rsid w:val="4BFE215B"/>
    <w:rsid w:val="4C7450FB"/>
    <w:rsid w:val="4D4B18DC"/>
    <w:rsid w:val="4D577224"/>
    <w:rsid w:val="4DBB1007"/>
    <w:rsid w:val="4DBF1CEB"/>
    <w:rsid w:val="4DF0007C"/>
    <w:rsid w:val="4E0C1D4A"/>
    <w:rsid w:val="4EAB630A"/>
    <w:rsid w:val="4ECE2238"/>
    <w:rsid w:val="4F833267"/>
    <w:rsid w:val="4FD245C4"/>
    <w:rsid w:val="4FDE4756"/>
    <w:rsid w:val="4FE9BD67"/>
    <w:rsid w:val="4FFA009B"/>
    <w:rsid w:val="4FFB052F"/>
    <w:rsid w:val="50B2373F"/>
    <w:rsid w:val="50E95119"/>
    <w:rsid w:val="51286CBF"/>
    <w:rsid w:val="512F299F"/>
    <w:rsid w:val="537E6D0A"/>
    <w:rsid w:val="53F74C96"/>
    <w:rsid w:val="54092076"/>
    <w:rsid w:val="54210BB0"/>
    <w:rsid w:val="546F3C12"/>
    <w:rsid w:val="55170BA8"/>
    <w:rsid w:val="553218C9"/>
    <w:rsid w:val="560324DC"/>
    <w:rsid w:val="567E1AA5"/>
    <w:rsid w:val="56E47B74"/>
    <w:rsid w:val="57175D52"/>
    <w:rsid w:val="57BD3DD4"/>
    <w:rsid w:val="586D5BBF"/>
    <w:rsid w:val="588C63F5"/>
    <w:rsid w:val="589A514E"/>
    <w:rsid w:val="58D94493"/>
    <w:rsid w:val="59430EB1"/>
    <w:rsid w:val="5A685E22"/>
    <w:rsid w:val="5A734DA7"/>
    <w:rsid w:val="5A8328F9"/>
    <w:rsid w:val="5AE22F5E"/>
    <w:rsid w:val="5AF92295"/>
    <w:rsid w:val="5B250254"/>
    <w:rsid w:val="5B3C0F6F"/>
    <w:rsid w:val="5B9151F8"/>
    <w:rsid w:val="5BDD79E6"/>
    <w:rsid w:val="5BF561CA"/>
    <w:rsid w:val="5BFF5DFC"/>
    <w:rsid w:val="5C044F83"/>
    <w:rsid w:val="5CD71FC4"/>
    <w:rsid w:val="5D1F11B5"/>
    <w:rsid w:val="5D695134"/>
    <w:rsid w:val="5DA818D4"/>
    <w:rsid w:val="5DAE1B18"/>
    <w:rsid w:val="5DE7D9E5"/>
    <w:rsid w:val="5DEF7798"/>
    <w:rsid w:val="5ECEC941"/>
    <w:rsid w:val="5FB124D1"/>
    <w:rsid w:val="5FBF9FF3"/>
    <w:rsid w:val="5FCD4E2C"/>
    <w:rsid w:val="5FEF394A"/>
    <w:rsid w:val="5FF67715"/>
    <w:rsid w:val="6080185C"/>
    <w:rsid w:val="608066C0"/>
    <w:rsid w:val="60B700BB"/>
    <w:rsid w:val="60F849C3"/>
    <w:rsid w:val="61DB4F74"/>
    <w:rsid w:val="622E12BD"/>
    <w:rsid w:val="62BF3928"/>
    <w:rsid w:val="631D244B"/>
    <w:rsid w:val="63B3701E"/>
    <w:rsid w:val="640C7A16"/>
    <w:rsid w:val="643D6372"/>
    <w:rsid w:val="647F5392"/>
    <w:rsid w:val="64A278B1"/>
    <w:rsid w:val="65E66580"/>
    <w:rsid w:val="664B1D71"/>
    <w:rsid w:val="664B4E8E"/>
    <w:rsid w:val="664C34DC"/>
    <w:rsid w:val="66796BA3"/>
    <w:rsid w:val="67277B67"/>
    <w:rsid w:val="67AA3209"/>
    <w:rsid w:val="6815081F"/>
    <w:rsid w:val="681B37CC"/>
    <w:rsid w:val="68BE6B3C"/>
    <w:rsid w:val="68C55F71"/>
    <w:rsid w:val="68FA27E8"/>
    <w:rsid w:val="698D0931"/>
    <w:rsid w:val="69C85F4D"/>
    <w:rsid w:val="6A7C63D9"/>
    <w:rsid w:val="6A7FE5F3"/>
    <w:rsid w:val="6B053271"/>
    <w:rsid w:val="6BDD78B3"/>
    <w:rsid w:val="6C4A05C8"/>
    <w:rsid w:val="6C5578C5"/>
    <w:rsid w:val="6C8742B8"/>
    <w:rsid w:val="6DBF5E93"/>
    <w:rsid w:val="6DDE7914"/>
    <w:rsid w:val="6DE57E2D"/>
    <w:rsid w:val="6DFF077E"/>
    <w:rsid w:val="6E0543F7"/>
    <w:rsid w:val="6E714EF0"/>
    <w:rsid w:val="6E7E3605"/>
    <w:rsid w:val="6E7FDCC7"/>
    <w:rsid w:val="6ED6A62E"/>
    <w:rsid w:val="6EE00B15"/>
    <w:rsid w:val="6F020A95"/>
    <w:rsid w:val="6F604DA4"/>
    <w:rsid w:val="6F6FB3EB"/>
    <w:rsid w:val="6F8731EA"/>
    <w:rsid w:val="6FCE6052"/>
    <w:rsid w:val="6FD57C00"/>
    <w:rsid w:val="6FEFFFD8"/>
    <w:rsid w:val="6FF5CC65"/>
    <w:rsid w:val="6FFB47EC"/>
    <w:rsid w:val="6FFF034A"/>
    <w:rsid w:val="70484440"/>
    <w:rsid w:val="712A28F1"/>
    <w:rsid w:val="713C2D7C"/>
    <w:rsid w:val="715C0E4B"/>
    <w:rsid w:val="718B3B0C"/>
    <w:rsid w:val="71992E7C"/>
    <w:rsid w:val="71CE2202"/>
    <w:rsid w:val="72233669"/>
    <w:rsid w:val="725E176B"/>
    <w:rsid w:val="72734D90"/>
    <w:rsid w:val="72F17A16"/>
    <w:rsid w:val="73160E6D"/>
    <w:rsid w:val="7332FE48"/>
    <w:rsid w:val="73372440"/>
    <w:rsid w:val="733C52BA"/>
    <w:rsid w:val="73AB61DA"/>
    <w:rsid w:val="73AD73D5"/>
    <w:rsid w:val="73B6EB34"/>
    <w:rsid w:val="73FA497D"/>
    <w:rsid w:val="74045A67"/>
    <w:rsid w:val="744731E5"/>
    <w:rsid w:val="74A33A41"/>
    <w:rsid w:val="74BBD01D"/>
    <w:rsid w:val="74DB4F85"/>
    <w:rsid w:val="74ED5379"/>
    <w:rsid w:val="75326D20"/>
    <w:rsid w:val="75A076AE"/>
    <w:rsid w:val="75B82FBE"/>
    <w:rsid w:val="75DEEEC2"/>
    <w:rsid w:val="75E00583"/>
    <w:rsid w:val="75E32345"/>
    <w:rsid w:val="766B61E0"/>
    <w:rsid w:val="76E3355F"/>
    <w:rsid w:val="76FF5125"/>
    <w:rsid w:val="773548B0"/>
    <w:rsid w:val="776F6FFA"/>
    <w:rsid w:val="778769C8"/>
    <w:rsid w:val="77A75DCA"/>
    <w:rsid w:val="77DC22F5"/>
    <w:rsid w:val="77DE76CC"/>
    <w:rsid w:val="782A7868"/>
    <w:rsid w:val="783E271A"/>
    <w:rsid w:val="78616DE9"/>
    <w:rsid w:val="7862125E"/>
    <w:rsid w:val="78E875D7"/>
    <w:rsid w:val="79086DAD"/>
    <w:rsid w:val="796E5936"/>
    <w:rsid w:val="79703FC3"/>
    <w:rsid w:val="79D7FD79"/>
    <w:rsid w:val="79E34A03"/>
    <w:rsid w:val="79EE5BA4"/>
    <w:rsid w:val="7A5C65C8"/>
    <w:rsid w:val="7A667B0B"/>
    <w:rsid w:val="7A726E7B"/>
    <w:rsid w:val="7A894339"/>
    <w:rsid w:val="7AD284E8"/>
    <w:rsid w:val="7AFF7572"/>
    <w:rsid w:val="7B6C7DFB"/>
    <w:rsid w:val="7B8C59AF"/>
    <w:rsid w:val="7BBFBED0"/>
    <w:rsid w:val="7BC3E394"/>
    <w:rsid w:val="7C1F3737"/>
    <w:rsid w:val="7C447DE4"/>
    <w:rsid w:val="7CA459DB"/>
    <w:rsid w:val="7CBFC87B"/>
    <w:rsid w:val="7CD91BD9"/>
    <w:rsid w:val="7CFE0F48"/>
    <w:rsid w:val="7D272ABC"/>
    <w:rsid w:val="7D7EC23E"/>
    <w:rsid w:val="7DE66C1E"/>
    <w:rsid w:val="7E8ADEBF"/>
    <w:rsid w:val="7ED57AE8"/>
    <w:rsid w:val="7EEF11D3"/>
    <w:rsid w:val="7EFE4840"/>
    <w:rsid w:val="7F0971A6"/>
    <w:rsid w:val="7F1D62E7"/>
    <w:rsid w:val="7F3F679B"/>
    <w:rsid w:val="7F4FC4EF"/>
    <w:rsid w:val="7F5E4D54"/>
    <w:rsid w:val="7F6E0135"/>
    <w:rsid w:val="7F79F205"/>
    <w:rsid w:val="7F9120BD"/>
    <w:rsid w:val="7FA30C79"/>
    <w:rsid w:val="7FA79C44"/>
    <w:rsid w:val="7FAF8ABF"/>
    <w:rsid w:val="7FB7269E"/>
    <w:rsid w:val="7FC96657"/>
    <w:rsid w:val="7FDA9588"/>
    <w:rsid w:val="7FDC5EED"/>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30"/>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Date"/>
    <w:basedOn w:val="1"/>
    <w:next w:val="1"/>
    <w:link w:val="39"/>
    <w:semiHidden/>
    <w:unhideWhenUsed/>
    <w:qFormat/>
    <w:uiPriority w:val="99"/>
    <w:pPr>
      <w:ind w:left="100" w:leftChars="2500"/>
    </w:pPr>
  </w:style>
  <w:style w:type="paragraph" w:styleId="10">
    <w:name w:val="Balloon Text"/>
    <w:basedOn w:val="1"/>
    <w:link w:val="35"/>
    <w:semiHidden/>
    <w:unhideWhenUsed/>
    <w:qFormat/>
    <w:uiPriority w:val="99"/>
    <w:rPr>
      <w:sz w:val="18"/>
      <w:szCs w:val="18"/>
    </w:rPr>
  </w:style>
  <w:style w:type="paragraph" w:styleId="11">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17"/>
    <w:qFormat/>
    <w:uiPriority w:val="0"/>
    <w:pPr>
      <w:widowControl/>
      <w:spacing w:before="100" w:beforeAutospacing="1" w:after="100" w:afterAutospacing="1"/>
      <w:jc w:val="left"/>
    </w:pPr>
    <w:rPr>
      <w:rFonts w:ascii="宋体" w:hAnsi="宋体" w:cs="宋体"/>
      <w:kern w:val="0"/>
      <w:sz w:val="24"/>
    </w:rPr>
  </w:style>
  <w:style w:type="paragraph" w:customStyle="1" w:styleId="17">
    <w:name w:val="文本"/>
    <w:basedOn w:val="1"/>
    <w:qFormat/>
    <w:uiPriority w:val="0"/>
    <w:pPr>
      <w:widowControl/>
      <w:adjustRightInd w:val="0"/>
      <w:snapToGrid w:val="0"/>
      <w:spacing w:line="360" w:lineRule="auto"/>
      <w:ind w:firstLine="720" w:firstLineChars="200"/>
    </w:pPr>
    <w:rPr>
      <w:rFonts w:ascii="Times New Roman" w:hAnsi="Times New Roman" w:eastAsia="华文中宋" w:cs="宋体"/>
      <w:kern w:val="0"/>
      <w:sz w:val="24"/>
      <w:szCs w:val="24"/>
    </w:rPr>
  </w:style>
  <w:style w:type="table" w:styleId="19">
    <w:name w:val="Table Grid"/>
    <w:basedOn w:val="1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Char"/>
    <w:link w:val="12"/>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Char"/>
    <w:link w:val="11"/>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Char"/>
    <w:link w:val="2"/>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Char"/>
    <w:basedOn w:val="20"/>
    <w:link w:val="3"/>
    <w:qFormat/>
    <w:uiPriority w:val="9"/>
    <w:rPr>
      <w:rFonts w:ascii="Times New Roman" w:hAnsi="Times New Roman"/>
      <w:b/>
      <w:bCs/>
      <w:kern w:val="44"/>
      <w:sz w:val="44"/>
      <w:szCs w:val="44"/>
    </w:rPr>
  </w:style>
  <w:style w:type="character" w:customStyle="1" w:styleId="33">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5">
    <w:name w:val="批注框文本 Char"/>
    <w:basedOn w:val="20"/>
    <w:link w:val="10"/>
    <w:semiHidden/>
    <w:qFormat/>
    <w:uiPriority w:val="99"/>
    <w:rPr>
      <w:rFonts w:ascii="Times New Roman" w:hAnsi="Times New Roman"/>
      <w:kern w:val="2"/>
      <w:sz w:val="18"/>
      <w:szCs w:val="18"/>
    </w:rPr>
  </w:style>
  <w:style w:type="character" w:customStyle="1" w:styleId="36">
    <w:name w:val="标题 3 Char"/>
    <w:basedOn w:val="20"/>
    <w:link w:val="5"/>
    <w:qFormat/>
    <w:uiPriority w:val="9"/>
    <w:rPr>
      <w:rFonts w:ascii="Times New Roman" w:hAnsi="Times New Roman"/>
      <w:b/>
      <w:bCs/>
      <w:kern w:val="2"/>
      <w:sz w:val="32"/>
      <w:szCs w:val="32"/>
    </w:rPr>
  </w:style>
  <w:style w:type="paragraph" w:customStyle="1" w:styleId="37">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8">
    <w:name w:val="四号正文"/>
    <w:basedOn w:val="1"/>
    <w:qFormat/>
    <w:uiPriority w:val="0"/>
    <w:pPr>
      <w:spacing w:line="360" w:lineRule="auto"/>
    </w:pPr>
    <w:rPr>
      <w:rFonts w:ascii="??" w:hAnsi="??"/>
      <w:color w:val="000000"/>
      <w:kern w:val="0"/>
      <w:sz w:val="28"/>
      <w:szCs w:val="21"/>
      <w:lang w:val="zh-CN"/>
    </w:rPr>
  </w:style>
  <w:style w:type="character" w:customStyle="1" w:styleId="39">
    <w:name w:val="日期 Char"/>
    <w:basedOn w:val="20"/>
    <w:link w:val="9"/>
    <w:semiHidden/>
    <w:qFormat/>
    <w:uiPriority w:val="99"/>
    <w:rPr>
      <w:rFonts w:ascii="Times New Roman" w:hAnsi="Times New Roman" w:eastAsia="宋体" w:cs="Times New Roman"/>
      <w:kern w:val="2"/>
      <w:sz w:val="21"/>
      <w:szCs w:val="24"/>
    </w:rPr>
  </w:style>
  <w:style w:type="character" w:customStyle="1" w:styleId="40">
    <w:name w:val="heading 2 Char"/>
    <w:basedOn w:val="20"/>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36130;&#21153;&#65288;&#20869;&#65289;\&#36130;&#25919;&#30456;&#20851;&#25253;&#34920;\&#36130;&#25919;&#30456;&#20851;&#25253;&#34920;\2025&#24180;\2024&#20915;&#31639;\&#20915;&#31639;&#30011;&#22270;2024&#65288;&#32452;&#32455;&#37096;&#27719;&#24635;&#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收、支决算结构图</a:t>
            </a:r>
            <a:endParaRPr lang="zh-CN" altLang="en-US"/>
          </a:p>
        </c:rich>
      </c:tx>
      <c:layout>
        <c:manualLayout>
          <c:xMode val="edge"/>
          <c:yMode val="edge"/>
          <c:x val="0.35"/>
          <c:y val="0.03125"/>
        </c:manualLayout>
      </c:layout>
      <c:overlay val="0"/>
      <c:spPr>
        <a:noFill/>
        <a:ln w="25400">
          <a:noFill/>
        </a:ln>
      </c:spPr>
    </c:title>
    <c:autoTitleDeleted val="0"/>
    <c:plotArea>
      <c:layout/>
      <c:barChart>
        <c:barDir val="col"/>
        <c:grouping val="stacked"/>
        <c:varyColors val="0"/>
        <c:ser>
          <c:idx val="0"/>
          <c:order val="0"/>
          <c:tx>
            <c:strRef>
              <c:f>组织部!$A$3</c:f>
              <c:strCache>
                <c:ptCount val="1"/>
                <c:pt idx="0">
                  <c:v>总收入</c:v>
                </c:pt>
              </c:strCache>
            </c:strRef>
          </c:tx>
          <c:spPr>
            <a:solidFill>
              <a:srgbClr val="5B9BD5"/>
            </a:solidFill>
            <a:ln w="25400">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5871.99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组织部!$B$3:$C$3</c:f>
              <c:numCache>
                <c:formatCode>General</c:formatCode>
                <c:ptCount val="2"/>
                <c:pt idx="0">
                  <c:v>1687.87</c:v>
                </c:pt>
                <c:pt idx="1">
                  <c:v>1541.13</c:v>
                </c:pt>
              </c:numCache>
            </c:numRef>
          </c:val>
        </c:ser>
        <c:ser>
          <c:idx val="1"/>
          <c:order val="1"/>
          <c:tx>
            <c:strRef>
              <c:f>组织部!$A$4</c:f>
              <c:strCache>
                <c:ptCount val="1"/>
                <c:pt idx="0">
                  <c:v>总支出</c:v>
                </c:pt>
              </c:strCache>
            </c:strRef>
          </c:tx>
          <c:spPr>
            <a:solidFill>
              <a:srgbClr val="ED7D31"/>
            </a:solidFill>
            <a:ln w="25400">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5871.99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组织部!$B$4:$C$4</c:f>
              <c:numCache>
                <c:formatCode>General</c:formatCode>
                <c:ptCount val="2"/>
                <c:pt idx="0">
                  <c:v>1687.87</c:v>
                </c:pt>
                <c:pt idx="1">
                  <c:v>1541.13</c:v>
                </c:pt>
              </c:numCache>
            </c:numRef>
          </c:val>
        </c:ser>
        <c:dLbls>
          <c:showLegendKey val="0"/>
          <c:showVal val="1"/>
          <c:showCatName val="0"/>
          <c:showSerName val="0"/>
          <c:showPercent val="0"/>
          <c:showBubbleSize val="0"/>
        </c:dLbls>
        <c:gapWidth val="219"/>
        <c:overlap val="100"/>
        <c:axId val="100007296"/>
        <c:axId val="100021376"/>
      </c:barChart>
      <c:catAx>
        <c:axId val="1000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21376"/>
        <c:crosses val="autoZero"/>
        <c:auto val="1"/>
        <c:lblAlgn val="ctr"/>
        <c:lblOffset val="100"/>
        <c:noMultiLvlLbl val="0"/>
      </c:catAx>
      <c:valAx>
        <c:axId val="100021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07296"/>
        <c:crosses val="autoZero"/>
        <c:crossBetween val="between"/>
      </c:valAx>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收入决算结构图</a:t>
            </a:r>
            <a:endParaRPr lang="zh-CN" altLang="en-US"/>
          </a:p>
        </c:rich>
      </c:tx>
      <c:layout>
        <c:manualLayout>
          <c:xMode val="edge"/>
          <c:yMode val="edge"/>
          <c:x val="0.349861111111111"/>
          <c:y val="0.0381944444444444"/>
        </c:manualLayout>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t>1</a:t>
                    </a:r>
                    <a:r>
                      <a:rPr lang="en-US" altLang="zh-CN"/>
                      <a:t>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组织部!$D$24:$D$26</c:f>
              <c:strCache>
                <c:ptCount val="3"/>
                <c:pt idx="0">
                  <c:v>一般公共预算财政拨款收入</c:v>
                </c:pt>
                <c:pt idx="1">
                  <c:v>政府性基金预算财政拨款收入</c:v>
                </c:pt>
                <c:pt idx="2">
                  <c:v>其他收入</c:v>
                </c:pt>
              </c:strCache>
            </c:strRef>
          </c:cat>
          <c:val>
            <c:numRef>
              <c:f>组织部!$E$24:$E$26</c:f>
              <c:numCache>
                <c:formatCode>General</c:formatCode>
                <c:ptCount val="3"/>
                <c:pt idx="0">
                  <c:v>1541.13</c:v>
                </c:pt>
                <c:pt idx="1">
                  <c:v>0</c:v>
                </c:pt>
                <c:pt idx="2">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支出决算结构图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694.89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组织部!$D$42:$D$43</c:f>
              <c:strCache>
                <c:ptCount val="2"/>
                <c:pt idx="0">
                  <c:v>基本支出</c:v>
                </c:pt>
                <c:pt idx="1">
                  <c:v>项目支出</c:v>
                </c:pt>
              </c:strCache>
            </c:strRef>
          </c:cat>
          <c:val>
            <c:numRef>
              <c:f>组织部!$E$42:$E$43</c:f>
              <c:numCache>
                <c:formatCode>General</c:formatCode>
                <c:ptCount val="2"/>
                <c:pt idx="0">
                  <c:v>534.94</c:v>
                </c:pt>
                <c:pt idx="1">
                  <c:v>1006.19</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收、支决算结构图</a:t>
            </a:r>
            <a:endParaRPr lang="zh-CN" altLang="en-US"/>
          </a:p>
        </c:rich>
      </c:tx>
      <c:layout>
        <c:manualLayout>
          <c:xMode val="edge"/>
          <c:yMode val="edge"/>
          <c:x val="0.35"/>
          <c:y val="0.03125"/>
        </c:manualLayout>
      </c:layout>
      <c:overlay val="0"/>
      <c:spPr>
        <a:noFill/>
        <a:ln w="25400">
          <a:noFill/>
        </a:ln>
      </c:spPr>
    </c:title>
    <c:autoTitleDeleted val="0"/>
    <c:plotArea>
      <c:layout/>
      <c:barChart>
        <c:barDir val="col"/>
        <c:grouping val="stacked"/>
        <c:varyColors val="0"/>
        <c:ser>
          <c:idx val="0"/>
          <c:order val="0"/>
          <c:tx>
            <c:strRef>
              <c:f>组织部!$A$3</c:f>
              <c:strCache>
                <c:ptCount val="1"/>
                <c:pt idx="0">
                  <c:v>总收入</c:v>
                </c:pt>
              </c:strCache>
            </c:strRef>
          </c:tx>
          <c:spPr>
            <a:solidFill>
              <a:srgbClr val="5B9BD5"/>
            </a:solidFill>
            <a:ln w="25400">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5871.99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组织部!$B$3:$C$3</c:f>
              <c:numCache>
                <c:formatCode>General</c:formatCode>
                <c:ptCount val="2"/>
                <c:pt idx="0">
                  <c:v>1687.87</c:v>
                </c:pt>
                <c:pt idx="1">
                  <c:v>1541.13</c:v>
                </c:pt>
              </c:numCache>
            </c:numRef>
          </c:val>
        </c:ser>
        <c:ser>
          <c:idx val="1"/>
          <c:order val="1"/>
          <c:tx>
            <c:strRef>
              <c:f>组织部!$A$4</c:f>
              <c:strCache>
                <c:ptCount val="1"/>
                <c:pt idx="0">
                  <c:v>总支出</c:v>
                </c:pt>
              </c:strCache>
            </c:strRef>
          </c:tx>
          <c:spPr>
            <a:solidFill>
              <a:srgbClr val="ED7D31"/>
            </a:solidFill>
            <a:ln w="25400">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5871.99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组织部!$B$4:$C$4</c:f>
              <c:numCache>
                <c:formatCode>General</c:formatCode>
                <c:ptCount val="2"/>
                <c:pt idx="0">
                  <c:v>1687.87</c:v>
                </c:pt>
                <c:pt idx="1">
                  <c:v>1541.13</c:v>
                </c:pt>
              </c:numCache>
            </c:numRef>
          </c:val>
        </c:ser>
        <c:dLbls>
          <c:showLegendKey val="0"/>
          <c:showVal val="1"/>
          <c:showCatName val="0"/>
          <c:showSerName val="0"/>
          <c:showPercent val="0"/>
          <c:showBubbleSize val="0"/>
        </c:dLbls>
        <c:gapWidth val="219"/>
        <c:overlap val="100"/>
        <c:axId val="100007296"/>
        <c:axId val="100021376"/>
      </c:barChart>
      <c:catAx>
        <c:axId val="1000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21376"/>
        <c:crosses val="autoZero"/>
        <c:auto val="1"/>
        <c:lblAlgn val="ctr"/>
        <c:lblOffset val="100"/>
        <c:noMultiLvlLbl val="0"/>
      </c:catAx>
      <c:valAx>
        <c:axId val="100021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07296"/>
        <c:crosses val="autoZero"/>
        <c:crossBetween val="between"/>
      </c:valAx>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收、支决算结构图</a:t>
            </a:r>
            <a:endParaRPr lang="zh-CN" altLang="en-US"/>
          </a:p>
        </c:rich>
      </c:tx>
      <c:layout>
        <c:manualLayout>
          <c:xMode val="edge"/>
          <c:yMode val="edge"/>
          <c:x val="0.35"/>
          <c:y val="0.03125"/>
        </c:manualLayout>
      </c:layout>
      <c:overlay val="0"/>
      <c:spPr>
        <a:noFill/>
        <a:ln w="25400">
          <a:noFill/>
        </a:ln>
      </c:spPr>
    </c:title>
    <c:autoTitleDeleted val="0"/>
    <c:plotArea>
      <c:layout/>
      <c:barChart>
        <c:barDir val="col"/>
        <c:grouping val="stacked"/>
        <c:varyColors val="0"/>
        <c:ser>
          <c:idx val="0"/>
          <c:order val="0"/>
          <c:tx>
            <c:strRef>
              <c:f>组织部!$A$3</c:f>
              <c:strCache>
                <c:ptCount val="1"/>
                <c:pt idx="0">
                  <c:v>总收入</c:v>
                </c:pt>
              </c:strCache>
            </c:strRef>
          </c:tx>
          <c:spPr>
            <a:solidFill>
              <a:srgbClr val="5B9BD5"/>
            </a:solidFill>
            <a:ln w="25400">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5871.99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组织部!$B$3:$C$3</c:f>
              <c:numCache>
                <c:formatCode>General</c:formatCode>
                <c:ptCount val="2"/>
                <c:pt idx="0">
                  <c:v>1687.87</c:v>
                </c:pt>
                <c:pt idx="1">
                  <c:v>1541.13</c:v>
                </c:pt>
              </c:numCache>
            </c:numRef>
          </c:val>
        </c:ser>
        <c:ser>
          <c:idx val="1"/>
          <c:order val="1"/>
          <c:tx>
            <c:strRef>
              <c:f>组织部!$A$4</c:f>
              <c:strCache>
                <c:ptCount val="1"/>
                <c:pt idx="0">
                  <c:v>总支出</c:v>
                </c:pt>
              </c:strCache>
            </c:strRef>
          </c:tx>
          <c:spPr>
            <a:solidFill>
              <a:srgbClr val="ED7D31"/>
            </a:solidFill>
            <a:ln w="25400">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5871.99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10003.41</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组织部!$B$2:$C$2</c:f>
              <c:strCache>
                <c:ptCount val="2"/>
                <c:pt idx="0">
                  <c:v>2023年</c:v>
                </c:pt>
                <c:pt idx="1">
                  <c:v>2024年</c:v>
                </c:pt>
              </c:strCache>
            </c:strRef>
          </c:cat>
          <c:val>
            <c:numRef>
              <c:f>组织部!$B$4:$C$4</c:f>
              <c:numCache>
                <c:formatCode>General</c:formatCode>
                <c:ptCount val="2"/>
                <c:pt idx="0">
                  <c:v>1687.87</c:v>
                </c:pt>
                <c:pt idx="1">
                  <c:v>1541.13</c:v>
                </c:pt>
              </c:numCache>
            </c:numRef>
          </c:val>
        </c:ser>
        <c:dLbls>
          <c:showLegendKey val="0"/>
          <c:showVal val="1"/>
          <c:showCatName val="0"/>
          <c:showSerName val="0"/>
          <c:showPercent val="0"/>
          <c:showBubbleSize val="0"/>
        </c:dLbls>
        <c:gapWidth val="219"/>
        <c:overlap val="100"/>
        <c:axId val="100007296"/>
        <c:axId val="100021376"/>
      </c:barChart>
      <c:catAx>
        <c:axId val="1000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21376"/>
        <c:crosses val="autoZero"/>
        <c:auto val="1"/>
        <c:lblAlgn val="ctr"/>
        <c:lblOffset val="100"/>
        <c:noMultiLvlLbl val="0"/>
      </c:catAx>
      <c:valAx>
        <c:axId val="100021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100007296"/>
        <c:crosses val="autoZero"/>
        <c:crossBetween val="between"/>
      </c:valAx>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一般公共预算财政拨款支出决算结构图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Pt>
            <c:idx val="3"/>
            <c:bubble3D val="0"/>
            <c:spPr>
              <a:solidFill>
                <a:srgbClr val="FFC000"/>
              </a:solidFill>
              <a:ln w="12700">
                <a:solidFill>
                  <a:srgbClr val="FFFFFF"/>
                </a:solidFill>
                <a:prstDash val="solid"/>
              </a:ln>
            </c:spPr>
          </c:dPt>
          <c:dPt>
            <c:idx val="4"/>
            <c:bubble3D val="0"/>
            <c:spPr>
              <a:solidFill>
                <a:srgbClr val="4472C4"/>
              </a:solidFill>
              <a:ln w="12700">
                <a:solidFill>
                  <a:srgbClr val="FFFFFF"/>
                </a:solidFill>
                <a:prstDash val="solid"/>
              </a:ln>
            </c:spPr>
          </c:dPt>
          <c:dPt>
            <c:idx val="5"/>
            <c:bubble3D val="0"/>
            <c:spPr>
              <a:solidFill>
                <a:srgbClr val="70AD47"/>
              </a:solidFill>
              <a:ln w="1270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9204.03</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51.43</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41.44</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600.59</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0.36</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105.56</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组织部!$D$82:$D$87</c:f>
              <c:strCache>
                <c:ptCount val="6"/>
                <c:pt idx="0">
                  <c:v>一般公共服务支出</c:v>
                </c:pt>
                <c:pt idx="1">
                  <c:v>社会保障和就业支出</c:v>
                </c:pt>
                <c:pt idx="2">
                  <c:v>卫生健康支出</c:v>
                </c:pt>
                <c:pt idx="3">
                  <c:v>教育支出（类）支出</c:v>
                </c:pt>
                <c:pt idx="4">
                  <c:v>住房保障支出</c:v>
                </c:pt>
                <c:pt idx="5">
                  <c:v>农林水支出（类）支出</c:v>
                </c:pt>
              </c:strCache>
            </c:strRef>
          </c:cat>
          <c:val>
            <c:numRef>
              <c:f>组织部!$E$82:$E$87</c:f>
              <c:numCache>
                <c:formatCode>General</c:formatCode>
                <c:ptCount val="6"/>
                <c:pt idx="0">
                  <c:v>827.35</c:v>
                </c:pt>
                <c:pt idx="1">
                  <c:v>183.44</c:v>
                </c:pt>
                <c:pt idx="2">
                  <c:v>29.55</c:v>
                </c:pt>
                <c:pt idx="3">
                  <c:v>236.47</c:v>
                </c:pt>
                <c:pt idx="4">
                  <c:v>38.29</c:v>
                </c:pt>
                <c:pt idx="5">
                  <c:v>226.03</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r>
              <a:rPr lang="zh-CN" altLang="en-US"/>
              <a:t>三公”经费财政拨款支出结构图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1.98</a:t>
                    </a:r>
                    <a:endParaRPr lang="en-US" altLang="zh-CN"/>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组织部!$D$102:$D$104</c:f>
              <c:strCache>
                <c:ptCount val="3"/>
                <c:pt idx="0">
                  <c:v>因公出国（境）费</c:v>
                </c:pt>
                <c:pt idx="1">
                  <c:v>公务用车购置及运行维护费</c:v>
                </c:pt>
                <c:pt idx="2">
                  <c:v>公务接待费</c:v>
                </c:pt>
              </c:strCache>
            </c:strRef>
          </c:cat>
          <c:val>
            <c:numRef>
              <c:f>组织部!$E$102:$E$104</c:f>
              <c:numCache>
                <c:formatCode>General</c:formatCode>
                <c:ptCount val="3"/>
                <c:pt idx="0">
                  <c:v>0</c:v>
                </c:pt>
                <c:pt idx="1">
                  <c:v>68.8</c:v>
                </c:pt>
                <c:pt idx="2">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F732C6-9AC3-4130-812A-9CDCF6F06DF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24</Words>
  <Characters>27</Characters>
  <Lines>153</Lines>
  <Paragraphs>43</Paragraphs>
  <TotalTime>4</TotalTime>
  <ScaleCrop>false</ScaleCrop>
  <LinksUpToDate>false</LinksUpToDate>
  <CharactersWithSpaces>27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2025-08-14T02:09:00Z</dcterms:created>
  <dc:creator>曹颖</dc:creator>
  <cp:lastModifiedBy>Administrator</cp:lastModifiedBy>
  <cp:lastPrinted>2025-08-06T17:34:00Z</cp:lastPrinted>
  <dcterms:modified xsi:type="dcterms:W3CDTF">2025-08-28T02:01:48Z</dcterms:modified>
  <dc:title>四川省***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04787F2533EB45DC91BCDE4AB213247F</vt:lpwstr>
  </property>
  <property fmtid="{D5CDD505-2E9C-101B-9397-08002B2CF9AE}" pid="4" name="KSOTemplateDocerSaveRecord">
    <vt:lpwstr>eyJoZGlkIjoiYzdkMDJjMWRiMGQ4M2EzNDUyNmI3ZjhjYzEzNjA3OTgiLCJ1c2VySWQiOiIxMTQ1OTk0MTcwIn0=</vt:lpwstr>
  </property>
</Properties>
</file>