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2796"/>
      <w:r>
        <w:rPr>
          <w:rFonts w:hint="eastAsia" w:ascii="黑体" w:eastAsia="黑体"/>
          <w:color w:val="000000"/>
          <w:sz w:val="72"/>
          <w:szCs w:val="72"/>
          <w:lang w:eastAsia="zh-CN"/>
        </w:rPr>
        <w:t>2022年</w:t>
      </w:r>
      <w:r>
        <w:rPr>
          <w:rFonts w:hint="eastAsia" w:ascii="方正小标宋简体" w:eastAsia="方正小标宋简体"/>
          <w:color w:val="000000"/>
          <w:sz w:val="72"/>
          <w:szCs w:val="72"/>
        </w:rPr>
        <w:t>度</w:t>
      </w:r>
      <w:bookmarkEnd w:id="1"/>
    </w:p>
    <w:p>
      <w:pPr>
        <w:adjustRightInd w:val="0"/>
        <w:snapToGrid w:val="0"/>
        <w:spacing w:line="360" w:lineRule="auto"/>
        <w:jc w:val="center"/>
        <w:outlineLvl w:val="0"/>
        <w:rPr>
          <w:rFonts w:ascii="方正小标宋简体" w:eastAsia="方正小标宋简体"/>
          <w:color w:val="000000"/>
          <w:sz w:val="72"/>
          <w:szCs w:val="72"/>
        </w:rPr>
      </w:pPr>
      <w:bookmarkStart w:id="2" w:name="_Toc6811"/>
      <w:r>
        <w:rPr>
          <w:rFonts w:hint="eastAsia" w:ascii="方正小标宋简体" w:eastAsia="方正小标宋简体"/>
          <w:color w:val="000000"/>
          <w:sz w:val="72"/>
          <w:szCs w:val="72"/>
        </w:rPr>
        <w:t>金川县</w:t>
      </w:r>
      <w:r>
        <w:rPr>
          <w:rFonts w:hint="eastAsia" w:ascii="方正小标宋简体" w:eastAsia="方正小标宋简体"/>
          <w:color w:val="000000"/>
          <w:sz w:val="72"/>
          <w:szCs w:val="72"/>
          <w:lang w:eastAsia="zh-CN"/>
        </w:rPr>
        <w:t>水务局</w:t>
      </w:r>
      <w:r>
        <w:rPr>
          <w:rFonts w:hint="eastAsia" w:ascii="方正小标宋简体" w:eastAsia="方正小标宋简体"/>
          <w:color w:val="000000"/>
          <w:sz w:val="72"/>
          <w:szCs w:val="72"/>
        </w:rPr>
        <w:t>部门决算</w:t>
      </w:r>
      <w:bookmarkEnd w:id="2"/>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hint="eastAsia" w:ascii="黑体" w:eastAsia="黑体"/>
          <w:color w:val="000000"/>
          <w:sz w:val="48"/>
          <w:szCs w:val="48"/>
        </w:rPr>
        <w:sectPr>
          <w:footerReference r:id="rId5" w:type="first"/>
          <w:headerReference r:id="rId3" w:type="default"/>
          <w:footerReference r:id="rId4" w:type="default"/>
          <w:pgSz w:w="11906" w:h="16838"/>
          <w:pgMar w:top="1440" w:right="1800" w:bottom="1440" w:left="1800" w:header="851" w:footer="992" w:gutter="0"/>
          <w:pgNumType w:fmt="decimal" w:start="1"/>
          <w:cols w:space="720" w:num="1"/>
          <w:titlePg/>
          <w:docGrid w:type="lines" w:linePitch="312" w:charSpace="0"/>
        </w:sectPr>
      </w:pPr>
    </w:p>
    <w:p>
      <w:pPr>
        <w:widowControl/>
        <w:jc w:val="center"/>
        <w:rPr>
          <w:rFonts w:ascii="Times New Roman" w:hAnsi="Times New Roman" w:eastAsia="黑体" w:cs="Times New Roman"/>
          <w:sz w:val="56"/>
          <w:szCs w:val="56"/>
        </w:rPr>
      </w:pPr>
      <w:r>
        <w:rPr>
          <w:rFonts w:ascii="Times New Roman" w:hAnsi="Times New Roman" w:eastAsia="黑体" w:cs="Times New Roman"/>
          <w:sz w:val="56"/>
          <w:szCs w:val="56"/>
        </w:rPr>
        <w:t>目录</w:t>
      </w:r>
    </w:p>
    <w:p>
      <w:pPr>
        <w:widowControl/>
        <w:jc w:val="center"/>
        <w:rPr>
          <w:rFonts w:ascii="Times New Roman" w:hAnsi="Times New Roman" w:eastAsia="黑体" w:cs="Times New Roman"/>
          <w:sz w:val="36"/>
          <w:szCs w:val="36"/>
        </w:rPr>
      </w:pPr>
    </w:p>
    <w:p>
      <w:pPr>
        <w:pStyle w:val="11"/>
        <w:keepNext w:val="0"/>
        <w:keepLines w:val="0"/>
        <w:pageBreakBefore w:val="0"/>
        <w:widowControl w:val="0"/>
        <w:kinsoku/>
        <w:wordWrap/>
        <w:overflowPunct/>
        <w:topLinePunct w:val="0"/>
        <w:autoSpaceDE/>
        <w:autoSpaceDN/>
        <w:bidi w:val="0"/>
        <w:spacing w:line="480" w:lineRule="auto"/>
        <w:jc w:val="both"/>
        <w:textAlignment w:val="auto"/>
        <w:outlineLvl w:val="9"/>
        <w:rPr>
          <w:rFonts w:ascii="Times New Roman" w:hAnsi="Times New Roman" w:cs="Times New Roman"/>
          <w:sz w:val="36"/>
          <w:szCs w:val="36"/>
        </w:rPr>
      </w:pPr>
    </w:p>
    <w:p>
      <w:pPr>
        <w:pStyle w:val="11"/>
        <w:keepNext w:val="0"/>
        <w:keepLines w:val="0"/>
        <w:pageBreakBefore w:val="0"/>
        <w:widowControl w:val="0"/>
        <w:kinsoku/>
        <w:wordWrap/>
        <w:overflowPunct/>
        <w:topLinePunct w:val="0"/>
        <w:autoSpaceDE/>
        <w:autoSpaceDN/>
        <w:bidi w:val="0"/>
        <w:spacing w:line="480" w:lineRule="auto"/>
        <w:ind w:firstLine="1800" w:firstLineChars="500"/>
        <w:jc w:val="both"/>
        <w:textAlignment w:val="auto"/>
        <w:outlineLvl w:val="9"/>
        <w:rPr>
          <w:rFonts w:ascii="Times New Roman" w:hAnsi="Times New Roman" w:cs="Times New Roman"/>
          <w:sz w:val="36"/>
          <w:szCs w:val="36"/>
        </w:rPr>
      </w:pPr>
      <w:r>
        <w:rPr>
          <w:rFonts w:ascii="Times New Roman" w:hAnsi="Times New Roman" w:cs="Times New Roman"/>
          <w:sz w:val="36"/>
          <w:szCs w:val="36"/>
        </w:rPr>
        <w:t>公开时间：202</w:t>
      </w:r>
      <w:r>
        <w:rPr>
          <w:rFonts w:hint="eastAsia" w:ascii="Times New Roman" w:cs="Times New Roman"/>
          <w:sz w:val="36"/>
          <w:szCs w:val="36"/>
          <w:lang w:val="en-US" w:eastAsia="zh-CN"/>
        </w:rPr>
        <w:t>3</w:t>
      </w:r>
      <w:r>
        <w:rPr>
          <w:rFonts w:ascii="Times New Roman" w:hAnsi="Times New Roman" w:cs="Times New Roman"/>
          <w:sz w:val="36"/>
          <w:szCs w:val="36"/>
        </w:rPr>
        <w:t>年</w:t>
      </w:r>
      <w:r>
        <w:rPr>
          <w:rFonts w:hint="eastAsia" w:ascii="Times New Roman" w:cs="Times New Roman"/>
          <w:sz w:val="36"/>
          <w:szCs w:val="36"/>
          <w:lang w:val="en-US" w:eastAsia="zh-CN"/>
        </w:rPr>
        <w:t>8</w:t>
      </w:r>
      <w:r>
        <w:rPr>
          <w:rFonts w:ascii="Times New Roman" w:hAnsi="Times New Roman" w:cs="Times New Roman"/>
          <w:sz w:val="36"/>
          <w:szCs w:val="36"/>
        </w:rPr>
        <w:t>月2</w:t>
      </w:r>
      <w:r>
        <w:rPr>
          <w:rFonts w:hint="eastAsia" w:ascii="Times New Roman" w:cs="Times New Roman"/>
          <w:sz w:val="36"/>
          <w:szCs w:val="36"/>
          <w:lang w:val="en-US" w:eastAsia="zh-CN"/>
        </w:rPr>
        <w:t>9</w:t>
      </w:r>
      <w:r>
        <w:rPr>
          <w:rFonts w:ascii="Times New Roman" w:hAnsi="Times New Roman" w:cs="Times New Roman"/>
          <w:sz w:val="36"/>
          <w:szCs w:val="36"/>
        </w:rPr>
        <w:t>日</w:t>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ascii="Times New Roman" w:hAnsi="Times New Roman" w:cs="Times New Roman"/>
          <w:sz w:val="36"/>
          <w:szCs w:val="36"/>
        </w:rPr>
      </w:pPr>
      <w:r>
        <w:rPr>
          <w:rFonts w:ascii="Times New Roman" w:hAnsi="Times New Roman" w:cs="Times New Roman"/>
          <w:sz w:val="36"/>
          <w:szCs w:val="36"/>
        </w:rPr>
        <w:fldChar w:fldCharType="begin"/>
      </w:r>
      <w:r>
        <w:rPr>
          <w:rFonts w:ascii="Times New Roman" w:hAnsi="Times New Roman" w:cs="Times New Roman"/>
          <w:sz w:val="36"/>
          <w:szCs w:val="36"/>
        </w:rPr>
        <w:instrText xml:space="preserve"> TOC \o "1-2" \h \u </w:instrText>
      </w:r>
      <w:r>
        <w:rPr>
          <w:rFonts w:ascii="Times New Roman" w:hAnsi="Times New Roman" w:cs="Times New Roman"/>
          <w:sz w:val="36"/>
          <w:szCs w:val="36"/>
        </w:rPr>
        <w:fldChar w:fldCharType="separate"/>
      </w: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"_Toc26843604"</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rPr>
        <w:t xml:space="preserve">第一部分 </w:t>
      </w:r>
      <w:r>
        <w:rPr>
          <w:rFonts w:ascii="Times New Roman" w:hAnsi="Times New Roman" w:eastAsia="仿宋" w:cs="Times New Roman"/>
          <w:bCs/>
          <w:sz w:val="32"/>
          <w:szCs w:val="36"/>
          <w:lang w:val="en-US" w:eastAsia="zh-CN" w:bidi="ar-SA"/>
        </w:rPr>
        <w:t>部门概况</w:t>
      </w:r>
      <w:r>
        <w:rPr>
          <w:rFonts w:ascii="Times New Roman" w:hAnsi="Times New Roman" w:eastAsia="仿宋" w:cs="Times New Roman"/>
          <w:sz w:val="32"/>
          <w:szCs w:val="36"/>
        </w:rPr>
        <w:tab/>
      </w:r>
      <w:r>
        <w:rPr>
          <w:rFonts w:hint="eastAsia" w:ascii="Times New Roman" w:cs="Times New Roman"/>
          <w:sz w:val="32"/>
          <w:szCs w:val="36"/>
          <w:lang w:val="en-US" w:eastAsia="zh-CN"/>
        </w:rPr>
        <w:t>4</w:t>
      </w:r>
      <w:r>
        <w:rPr>
          <w:rFonts w:ascii="Times New Roman" w:hAnsi="Times New Roman" w:eastAsia="仿宋" w:cs="Times New Roman"/>
          <w:sz w:val="32"/>
          <w:szCs w:val="36"/>
        </w:rPr>
        <w:fldChar w:fldCharType="end"/>
      </w:r>
    </w:p>
    <w:p>
      <w:pPr>
        <w:pStyle w:val="13"/>
        <w:keepNext w:val="0"/>
        <w:keepLines w:val="0"/>
        <w:pageBreakBefore w:val="0"/>
        <w:widowControl w:val="0"/>
        <w:kinsoku/>
        <w:wordWrap/>
        <w:overflowPunct/>
        <w:topLinePunct w:val="0"/>
        <w:autoSpaceDE/>
        <w:autoSpaceDN/>
        <w:bidi w:val="0"/>
        <w:adjustRightInd w:val="0"/>
        <w:snapToGrid w:val="0"/>
        <w:spacing w:line="480" w:lineRule="auto"/>
        <w:jc w:val="left"/>
        <w:textAlignment w:val="auto"/>
        <w:outlineLvl w:val="9"/>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Hyperlink \l "_Toc26843605"</w:instrText>
      </w:r>
      <w:r>
        <w:rPr>
          <w:rFonts w:ascii="Times New Roman" w:hAnsi="Times New Roman" w:cs="Times New Roman"/>
          <w:sz w:val="32"/>
          <w:szCs w:val="32"/>
        </w:rPr>
        <w:fldChar w:fldCharType="separate"/>
      </w:r>
      <w:r>
        <w:rPr>
          <w:rFonts w:ascii="Times New Roman" w:hAnsi="Times New Roman" w:cs="Times New Roman"/>
          <w:sz w:val="32"/>
          <w:szCs w:val="32"/>
        </w:rPr>
        <w:t>一、基</w:t>
      </w:r>
      <w:r>
        <w:rPr>
          <w:rFonts w:ascii="Times New Roman" w:hAnsi="Times New Roman" w:cs="Times New Roman"/>
          <w:bCs/>
          <w:sz w:val="32"/>
          <w:szCs w:val="32"/>
          <w:lang w:val="en-US" w:eastAsia="zh-CN" w:bidi="ar-SA"/>
        </w:rPr>
        <w:t>本职能及主要工作</w:t>
      </w:r>
      <w:r>
        <w:rPr>
          <w:rFonts w:ascii="Times New Roman" w:hAnsi="Times New Roman" w:cs="Times New Roman"/>
          <w:sz w:val="32"/>
          <w:szCs w:val="32"/>
        </w:rPr>
        <w:tab/>
      </w:r>
      <w:r>
        <w:rPr>
          <w:rFonts w:hint="eastAsia" w:cs="Times New Roman"/>
          <w:sz w:val="32"/>
          <w:szCs w:val="32"/>
          <w:lang w:val="en-US" w:eastAsia="zh-CN"/>
        </w:rPr>
        <w:t>4</w:t>
      </w:r>
      <w:r>
        <w:rPr>
          <w:rFonts w:ascii="Times New Roman" w:hAnsi="Times New Roman" w:cs="Times New Roman"/>
          <w:sz w:val="32"/>
          <w:szCs w:val="32"/>
        </w:rPr>
        <w:fldChar w:fldCharType="end"/>
      </w:r>
    </w:p>
    <w:p>
      <w:pPr>
        <w:pStyle w:val="13"/>
        <w:keepNext w:val="0"/>
        <w:keepLines w:val="0"/>
        <w:pageBreakBefore w:val="0"/>
        <w:widowControl w:val="0"/>
        <w:kinsoku/>
        <w:wordWrap/>
        <w:overflowPunct/>
        <w:topLinePunct w:val="0"/>
        <w:autoSpaceDE/>
        <w:autoSpaceDN/>
        <w:bidi w:val="0"/>
        <w:adjustRightInd w:val="0"/>
        <w:snapToGrid w:val="0"/>
        <w:spacing w:line="480" w:lineRule="auto"/>
        <w:jc w:val="left"/>
        <w:textAlignment w:val="auto"/>
        <w:outlineLvl w:val="9"/>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Hyperlink \l "_Toc26843606"</w:instrText>
      </w:r>
      <w:r>
        <w:rPr>
          <w:rFonts w:ascii="Times New Roman" w:hAnsi="Times New Roman" w:cs="Times New Roman"/>
          <w:sz w:val="32"/>
          <w:szCs w:val="32"/>
        </w:rPr>
        <w:fldChar w:fldCharType="separate"/>
      </w:r>
      <w:r>
        <w:rPr>
          <w:rFonts w:ascii="Times New Roman" w:hAnsi="Times New Roman" w:cs="Times New Roman"/>
          <w:sz w:val="32"/>
          <w:szCs w:val="32"/>
        </w:rPr>
        <w:t>二、机</w:t>
      </w:r>
      <w:r>
        <w:rPr>
          <w:rFonts w:ascii="Times New Roman" w:hAnsi="Times New Roman" w:cs="Times New Roman"/>
          <w:bCs/>
          <w:sz w:val="32"/>
          <w:szCs w:val="32"/>
          <w:lang w:val="en-US" w:eastAsia="zh-CN" w:bidi="ar-SA"/>
        </w:rPr>
        <w:t>构设置</w:t>
      </w:r>
      <w:r>
        <w:rPr>
          <w:rFonts w:ascii="Times New Roman" w:hAnsi="Times New Roman" w:cs="Times New Roman"/>
          <w:sz w:val="32"/>
          <w:szCs w:val="32"/>
        </w:rPr>
        <w:tab/>
      </w:r>
      <w:r>
        <w:rPr>
          <w:rFonts w:hint="eastAsia" w:cs="Times New Roman"/>
          <w:sz w:val="32"/>
          <w:szCs w:val="32"/>
          <w:lang w:val="en-US" w:eastAsia="zh-CN"/>
        </w:rPr>
        <w:t>7</w:t>
      </w:r>
      <w:r>
        <w:rPr>
          <w:rFonts w:ascii="Times New Roman" w:hAnsi="Times New Roman" w:cs="Times New Roman"/>
          <w:sz w:val="32"/>
          <w:szCs w:val="32"/>
        </w:rPr>
        <w:fldChar w:fldCharType="end"/>
      </w:r>
    </w:p>
    <w:p>
      <w:pPr>
        <w:pStyle w:val="11"/>
        <w:keepNext w:val="0"/>
        <w:keepLines w:val="0"/>
        <w:pageBreakBefore w:val="0"/>
        <w:widowControl w:val="0"/>
        <w:kinsoku/>
        <w:wordWrap/>
        <w:overflowPunct/>
        <w:topLinePunct w:val="0"/>
        <w:autoSpaceDE/>
        <w:autoSpaceDN/>
        <w:bidi w:val="0"/>
        <w:adjustRightInd/>
        <w:snapToGrid/>
        <w:spacing w:line="600" w:lineRule="auto"/>
        <w:textAlignment w:val="auto"/>
        <w:outlineLvl w:val="9"/>
        <w:rPr>
          <w:rFonts w:ascii="Times New Roman" w:hAnsi="Times New Roman" w:eastAsia="仿宋" w:cs="Times New Roman"/>
          <w:sz w:val="32"/>
          <w:szCs w:val="36"/>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"_Toc26843607"</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rPr>
        <w:t>第二部分 2021年度</w:t>
      </w:r>
      <w:r>
        <w:rPr>
          <w:rFonts w:ascii="Times New Roman" w:hAnsi="Times New Roman" w:eastAsia="仿宋" w:cs="Times New Roman"/>
          <w:sz w:val="32"/>
          <w:szCs w:val="36"/>
          <w:lang w:val="en-US" w:eastAsia="zh-CN"/>
        </w:rPr>
        <w:t>部门决算情况说明</w:t>
      </w:r>
      <w:r>
        <w:rPr>
          <w:rFonts w:ascii="Times New Roman" w:hAnsi="Times New Roman" w:eastAsia="仿宋" w:cs="Times New Roman"/>
          <w:sz w:val="32"/>
          <w:szCs w:val="36"/>
        </w:rPr>
        <w:tab/>
      </w:r>
      <w:r>
        <w:rPr>
          <w:rFonts w:hint="eastAsia" w:ascii="Times New Roman" w:hAnsi="Times New Roman" w:eastAsia="仿宋" w:cs="Times New Roman"/>
          <w:sz w:val="32"/>
          <w:szCs w:val="36"/>
          <w:lang w:val="en-US" w:eastAsia="zh-CN"/>
        </w:rPr>
        <w:t>7</w:t>
      </w:r>
      <w:r>
        <w:rPr>
          <w:rFonts w:ascii="Times New Roman" w:hAnsi="Times New Roman" w:eastAsia="仿宋" w:cs="Times New Roman"/>
          <w:sz w:val="32"/>
          <w:szCs w:val="36"/>
        </w:rPr>
        <w:fldChar w:fldCharType="end"/>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ascii="Times New Roman" w:hAnsi="Times New Roman" w:eastAsia="仿宋" w:cs="Times New Roman"/>
          <w:sz w:val="32"/>
          <w:szCs w:val="36"/>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"_Toc26843608"</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lang w:val="en-US" w:eastAsia="zh-CN"/>
        </w:rPr>
        <w:t>一、</w:t>
      </w:r>
      <w:r>
        <w:rPr>
          <w:rFonts w:ascii="Times New Roman" w:hAnsi="Times New Roman" w:eastAsia="仿宋" w:cs="Times New Roman"/>
          <w:sz w:val="32"/>
          <w:szCs w:val="36"/>
        </w:rPr>
        <w:t xml:space="preserve">  收</w:t>
      </w:r>
      <w:r>
        <w:rPr>
          <w:rFonts w:ascii="Times New Roman" w:hAnsi="Times New Roman" w:eastAsia="仿宋" w:cs="Times New Roman"/>
          <w:sz w:val="32"/>
          <w:szCs w:val="36"/>
          <w:lang w:val="en-US" w:eastAsia="zh-CN"/>
        </w:rPr>
        <w:t>入支出决算总体情况说明</w:t>
      </w:r>
      <w:r>
        <w:rPr>
          <w:rFonts w:ascii="Times New Roman" w:hAnsi="Times New Roman" w:eastAsia="仿宋" w:cs="Times New Roman"/>
          <w:sz w:val="32"/>
          <w:szCs w:val="36"/>
        </w:rPr>
        <w:tab/>
      </w:r>
      <w:r>
        <w:rPr>
          <w:rFonts w:hint="eastAsia" w:ascii="Times New Roman" w:hAnsi="Times New Roman" w:eastAsia="仿宋" w:cs="Times New Roman"/>
          <w:sz w:val="32"/>
          <w:szCs w:val="36"/>
          <w:lang w:val="en-US" w:eastAsia="zh-CN"/>
        </w:rPr>
        <w:t>7</w:t>
      </w:r>
      <w:r>
        <w:rPr>
          <w:rFonts w:ascii="Times New Roman" w:hAnsi="Times New Roman" w:eastAsia="仿宋" w:cs="Times New Roman"/>
          <w:sz w:val="32"/>
          <w:szCs w:val="36"/>
        </w:rPr>
        <w:fldChar w:fldCharType="end"/>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ascii="Times New Roman" w:hAnsi="Times New Roman" w:eastAsia="仿宋" w:cs="Times New Roman"/>
          <w:sz w:val="32"/>
          <w:szCs w:val="36"/>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"_Toc26843609"</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lang w:val="en-US" w:eastAsia="zh-CN"/>
        </w:rPr>
        <w:t>二、</w:t>
      </w:r>
      <w:r>
        <w:rPr>
          <w:rFonts w:ascii="Times New Roman" w:hAnsi="Times New Roman" w:eastAsia="仿宋" w:cs="Times New Roman"/>
          <w:sz w:val="32"/>
          <w:szCs w:val="36"/>
        </w:rPr>
        <w:t xml:space="preserve">  收</w:t>
      </w:r>
      <w:r>
        <w:rPr>
          <w:rFonts w:ascii="Times New Roman" w:hAnsi="Times New Roman" w:eastAsia="仿宋" w:cs="Times New Roman"/>
          <w:sz w:val="32"/>
          <w:szCs w:val="36"/>
          <w:lang w:val="en-US" w:eastAsia="zh-CN"/>
        </w:rPr>
        <w:t>入决算情况说明</w:t>
      </w:r>
      <w:r>
        <w:rPr>
          <w:rFonts w:ascii="Times New Roman" w:hAnsi="Times New Roman" w:eastAsia="仿宋" w:cs="Times New Roman"/>
          <w:sz w:val="32"/>
          <w:szCs w:val="36"/>
        </w:rPr>
        <w:tab/>
      </w:r>
      <w:r>
        <w:rPr>
          <w:rFonts w:hint="eastAsia" w:ascii="Times New Roman" w:cs="Times New Roman"/>
          <w:sz w:val="32"/>
          <w:szCs w:val="36"/>
          <w:lang w:val="en-US" w:eastAsia="zh-CN"/>
        </w:rPr>
        <w:t>8</w:t>
      </w:r>
      <w:r>
        <w:rPr>
          <w:rFonts w:ascii="Times New Roman" w:hAnsi="Times New Roman" w:eastAsia="仿宋" w:cs="Times New Roman"/>
          <w:sz w:val="32"/>
          <w:szCs w:val="36"/>
        </w:rPr>
        <w:fldChar w:fldCharType="end"/>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ascii="Times New Roman" w:hAnsi="Times New Roman" w:eastAsia="仿宋" w:cs="Times New Roman"/>
          <w:sz w:val="32"/>
          <w:szCs w:val="36"/>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"_Toc26843612"</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lang w:val="en-US" w:eastAsia="zh-CN"/>
        </w:rPr>
        <w:t>三、</w:t>
      </w:r>
      <w:r>
        <w:rPr>
          <w:rFonts w:ascii="Times New Roman" w:hAnsi="Times New Roman" w:eastAsia="仿宋" w:cs="Times New Roman"/>
          <w:sz w:val="32"/>
          <w:szCs w:val="36"/>
        </w:rPr>
        <w:t xml:space="preserve">  支</w:t>
      </w:r>
      <w:r>
        <w:rPr>
          <w:rFonts w:ascii="Times New Roman" w:hAnsi="Times New Roman" w:eastAsia="仿宋" w:cs="Times New Roman"/>
          <w:sz w:val="32"/>
          <w:szCs w:val="36"/>
          <w:lang w:val="en-US" w:eastAsia="zh-CN"/>
        </w:rPr>
        <w:t>出决算情况说明</w:t>
      </w:r>
      <w:r>
        <w:rPr>
          <w:rFonts w:ascii="Times New Roman" w:hAnsi="Times New Roman" w:eastAsia="仿宋" w:cs="Times New Roman"/>
          <w:sz w:val="32"/>
          <w:szCs w:val="36"/>
        </w:rPr>
        <w:tab/>
      </w:r>
      <w:r>
        <w:rPr>
          <w:rFonts w:hint="eastAsia" w:ascii="Times New Roman" w:cs="Times New Roman"/>
          <w:sz w:val="32"/>
          <w:szCs w:val="36"/>
          <w:lang w:val="en-US" w:eastAsia="zh-CN"/>
        </w:rPr>
        <w:t>9</w:t>
      </w:r>
      <w:r>
        <w:rPr>
          <w:rFonts w:ascii="Times New Roman" w:hAnsi="Times New Roman" w:eastAsia="仿宋" w:cs="Times New Roman"/>
          <w:sz w:val="32"/>
          <w:szCs w:val="36"/>
        </w:rPr>
        <w:fldChar w:fldCharType="end"/>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hint="eastAsia" w:ascii="Times New Roman" w:hAnsi="Times New Roman" w:eastAsia="仿宋" w:cs="Times New Roman"/>
          <w:sz w:val="32"/>
          <w:szCs w:val="36"/>
          <w:lang w:val="en-US" w:eastAsia="zh-CN"/>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"_Toc26843615"</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rPr>
        <w:t>四、财</w:t>
      </w:r>
      <w:r>
        <w:rPr>
          <w:rFonts w:ascii="Times New Roman" w:hAnsi="Times New Roman" w:eastAsia="仿宋" w:cs="Times New Roman"/>
          <w:sz w:val="32"/>
          <w:szCs w:val="36"/>
          <w:lang w:val="en-US" w:eastAsia="zh-CN"/>
        </w:rPr>
        <w:t>政拨款收入支出决算总体情况说明</w:t>
      </w:r>
      <w:r>
        <w:rPr>
          <w:rFonts w:ascii="Times New Roman" w:hAnsi="Times New Roman" w:eastAsia="仿宋" w:cs="Times New Roman"/>
          <w:sz w:val="32"/>
          <w:szCs w:val="36"/>
        </w:rPr>
        <w:tab/>
      </w:r>
      <w:r>
        <w:rPr>
          <w:rFonts w:hint="eastAsia" w:ascii="Times New Roman" w:cs="Times New Roman"/>
          <w:sz w:val="32"/>
          <w:szCs w:val="36"/>
          <w:lang w:val="en-US" w:eastAsia="zh-CN"/>
        </w:rPr>
        <w:t>1</w:t>
      </w:r>
      <w:r>
        <w:rPr>
          <w:rFonts w:ascii="Times New Roman" w:hAnsi="Times New Roman" w:eastAsia="仿宋" w:cs="Times New Roman"/>
          <w:sz w:val="32"/>
          <w:szCs w:val="36"/>
        </w:rPr>
        <w:fldChar w:fldCharType="end"/>
      </w:r>
      <w:r>
        <w:rPr>
          <w:rFonts w:hint="eastAsia" w:ascii="Times New Roman" w:cs="Times New Roman"/>
          <w:sz w:val="32"/>
          <w:szCs w:val="36"/>
          <w:lang w:val="en-US" w:eastAsia="zh-CN"/>
        </w:rPr>
        <w:t>0</w:t>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hint="eastAsia" w:ascii="Times New Roman" w:hAnsi="Times New Roman" w:eastAsia="仿宋" w:cs="Times New Roman"/>
          <w:sz w:val="32"/>
          <w:szCs w:val="36"/>
          <w:lang w:val="en-US" w:eastAsia="zh-CN"/>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"_Toc26843616"</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rPr>
        <w:t>五、一</w:t>
      </w:r>
      <w:r>
        <w:rPr>
          <w:rFonts w:ascii="Times New Roman" w:hAnsi="Times New Roman" w:eastAsia="仿宋" w:cs="Times New Roman"/>
          <w:sz w:val="32"/>
          <w:szCs w:val="36"/>
          <w:lang w:val="en-US" w:eastAsia="zh-CN"/>
        </w:rPr>
        <w:t>般公共预算财政拨款支出决算情况说明</w:t>
      </w:r>
      <w:r>
        <w:rPr>
          <w:rFonts w:ascii="Times New Roman" w:hAnsi="Times New Roman" w:eastAsia="仿宋" w:cs="Times New Roman"/>
          <w:sz w:val="32"/>
          <w:szCs w:val="36"/>
        </w:rPr>
        <w:tab/>
      </w:r>
      <w:r>
        <w:rPr>
          <w:rFonts w:hint="eastAsia" w:ascii="Times New Roman" w:cs="Times New Roman"/>
          <w:sz w:val="32"/>
          <w:szCs w:val="36"/>
          <w:lang w:val="en-US" w:eastAsia="zh-CN"/>
        </w:rPr>
        <w:t>1</w:t>
      </w:r>
      <w:r>
        <w:rPr>
          <w:rFonts w:ascii="Times New Roman" w:hAnsi="Times New Roman" w:eastAsia="仿宋" w:cs="Times New Roman"/>
          <w:sz w:val="32"/>
          <w:szCs w:val="36"/>
        </w:rPr>
        <w:fldChar w:fldCharType="end"/>
      </w:r>
      <w:r>
        <w:rPr>
          <w:rFonts w:hint="eastAsia" w:ascii="Times New Roman" w:cs="Times New Roman"/>
          <w:sz w:val="32"/>
          <w:szCs w:val="36"/>
          <w:lang w:val="en-US" w:eastAsia="zh-CN"/>
        </w:rPr>
        <w:t>1</w:t>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hint="eastAsia" w:ascii="Times New Roman" w:hAnsi="Times New Roman" w:eastAsia="仿宋" w:cs="Times New Roman"/>
          <w:sz w:val="32"/>
          <w:szCs w:val="36"/>
          <w:lang w:val="en-US" w:eastAsia="zh-CN"/>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"_Toc26843617"</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rPr>
        <w:t>六、一</w:t>
      </w:r>
      <w:r>
        <w:rPr>
          <w:rFonts w:ascii="Times New Roman" w:hAnsi="Times New Roman" w:eastAsia="仿宋" w:cs="Times New Roman"/>
          <w:sz w:val="32"/>
          <w:szCs w:val="36"/>
          <w:lang w:val="en-US" w:eastAsia="zh-CN"/>
        </w:rPr>
        <w:t>般公共预算财政拨款基本支出决算情况说明</w:t>
      </w:r>
      <w:r>
        <w:rPr>
          <w:rFonts w:ascii="Times New Roman" w:hAnsi="Times New Roman" w:eastAsia="仿宋" w:cs="Times New Roman"/>
          <w:sz w:val="32"/>
          <w:szCs w:val="36"/>
        </w:rPr>
        <w:tab/>
      </w:r>
      <w:r>
        <w:rPr>
          <w:rFonts w:hint="eastAsia" w:ascii="Times New Roman" w:hAnsi="Times New Roman" w:eastAsia="仿宋" w:cs="Times New Roman"/>
          <w:sz w:val="32"/>
          <w:szCs w:val="36"/>
          <w:lang w:val="en-US" w:eastAsia="zh-CN"/>
        </w:rPr>
        <w:t>1</w:t>
      </w:r>
      <w:r>
        <w:rPr>
          <w:rFonts w:ascii="Times New Roman" w:hAnsi="Times New Roman" w:eastAsia="仿宋" w:cs="Times New Roman"/>
          <w:sz w:val="32"/>
          <w:szCs w:val="36"/>
        </w:rPr>
        <w:fldChar w:fldCharType="end"/>
      </w:r>
      <w:r>
        <w:rPr>
          <w:rFonts w:hint="eastAsia" w:ascii="Times New Roman" w:cs="Times New Roman"/>
          <w:sz w:val="32"/>
          <w:szCs w:val="36"/>
          <w:lang w:val="en-US" w:eastAsia="zh-CN"/>
        </w:rPr>
        <w:t>3</w:t>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hint="eastAsia" w:ascii="Times New Roman" w:hAnsi="Times New Roman" w:eastAsia="仿宋" w:cs="Times New Roman"/>
          <w:sz w:val="32"/>
          <w:szCs w:val="36"/>
          <w:lang w:val="en-US" w:eastAsia="zh-CN"/>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"_Toc26843618"</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rPr>
        <w:t>七、</w:t>
      </w:r>
      <w:r>
        <w:rPr>
          <w:rFonts w:ascii="Times New Roman" w:hAnsi="Times New Roman" w:eastAsia="仿宋" w:cs="Times New Roman"/>
          <w:sz w:val="32"/>
          <w:szCs w:val="36"/>
          <w:lang w:val="en-US" w:eastAsia="zh-CN"/>
        </w:rPr>
        <w:t>“三公”经费财政拨款支出决算情况说明</w:t>
      </w:r>
      <w:r>
        <w:rPr>
          <w:rFonts w:ascii="Times New Roman" w:hAnsi="Times New Roman" w:eastAsia="仿宋" w:cs="Times New Roman"/>
          <w:sz w:val="32"/>
          <w:szCs w:val="36"/>
        </w:rPr>
        <w:tab/>
      </w:r>
      <w:r>
        <w:rPr>
          <w:rFonts w:hint="eastAsia" w:ascii="Times New Roman" w:hAnsi="Times New Roman" w:eastAsia="仿宋" w:cs="Times New Roman"/>
          <w:sz w:val="32"/>
          <w:szCs w:val="36"/>
          <w:lang w:val="en-US" w:eastAsia="zh-CN"/>
        </w:rPr>
        <w:t>1</w:t>
      </w:r>
      <w:r>
        <w:rPr>
          <w:rFonts w:ascii="Times New Roman" w:hAnsi="Times New Roman" w:eastAsia="仿宋" w:cs="Times New Roman"/>
          <w:sz w:val="32"/>
          <w:szCs w:val="36"/>
        </w:rPr>
        <w:fldChar w:fldCharType="end"/>
      </w:r>
      <w:r>
        <w:rPr>
          <w:rFonts w:hint="eastAsia" w:ascii="Times New Roman" w:cs="Times New Roman"/>
          <w:sz w:val="32"/>
          <w:szCs w:val="36"/>
          <w:lang w:val="en-US" w:eastAsia="zh-CN"/>
        </w:rPr>
        <w:t>5</w:t>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hint="eastAsia" w:ascii="Times New Roman" w:hAnsi="Times New Roman" w:eastAsia="仿宋" w:cs="Times New Roman"/>
          <w:sz w:val="32"/>
          <w:szCs w:val="36"/>
          <w:lang w:val="en-US" w:eastAsia="zh-CN"/>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"_Toc26843619"</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rPr>
        <w:t>八、</w:t>
      </w:r>
      <w:r>
        <w:rPr>
          <w:rFonts w:ascii="Times New Roman" w:hAnsi="Times New Roman" w:eastAsia="仿宋" w:cs="Times New Roman"/>
          <w:sz w:val="32"/>
          <w:szCs w:val="36"/>
          <w:lang w:val="en-US" w:eastAsia="zh-CN"/>
        </w:rPr>
        <w:t>政府性基金预算支出决算情况说明</w:t>
      </w:r>
      <w:r>
        <w:rPr>
          <w:rFonts w:ascii="Times New Roman" w:hAnsi="Times New Roman" w:eastAsia="仿宋" w:cs="Times New Roman"/>
          <w:sz w:val="32"/>
          <w:szCs w:val="36"/>
        </w:rPr>
        <w:tab/>
      </w:r>
      <w:r>
        <w:rPr>
          <w:rFonts w:hint="eastAsia" w:ascii="Times New Roman" w:hAnsi="Times New Roman" w:eastAsia="仿宋" w:cs="Times New Roman"/>
          <w:sz w:val="32"/>
          <w:szCs w:val="36"/>
          <w:lang w:val="en-US" w:eastAsia="zh-CN"/>
        </w:rPr>
        <w:t>1</w:t>
      </w:r>
      <w:r>
        <w:rPr>
          <w:rFonts w:ascii="Times New Roman" w:hAnsi="Times New Roman" w:eastAsia="仿宋" w:cs="Times New Roman"/>
          <w:sz w:val="32"/>
          <w:szCs w:val="36"/>
        </w:rPr>
        <w:fldChar w:fldCharType="end"/>
      </w:r>
      <w:r>
        <w:rPr>
          <w:rFonts w:hint="eastAsia" w:ascii="Times New Roman" w:cs="Times New Roman"/>
          <w:sz w:val="32"/>
          <w:szCs w:val="36"/>
          <w:lang w:val="en-US" w:eastAsia="zh-CN"/>
        </w:rPr>
        <w:t>5</w:t>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hint="eastAsia" w:ascii="Times New Roman" w:hAnsi="Times New Roman" w:eastAsia="仿宋" w:cs="Times New Roman"/>
          <w:sz w:val="32"/>
          <w:szCs w:val="36"/>
          <w:lang w:val="en-US" w:eastAsia="zh-CN"/>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"_Toc26843620"</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lang w:val="en-US" w:eastAsia="zh-CN"/>
        </w:rPr>
        <w:t>九、</w:t>
      </w:r>
      <w:r>
        <w:rPr>
          <w:rFonts w:ascii="Times New Roman" w:hAnsi="Times New Roman" w:eastAsia="仿宋" w:cs="Times New Roman"/>
          <w:sz w:val="32"/>
          <w:szCs w:val="36"/>
        </w:rPr>
        <w:t xml:space="preserve">  </w:t>
      </w:r>
      <w:r>
        <w:rPr>
          <w:rFonts w:ascii="Times New Roman" w:hAnsi="Times New Roman" w:eastAsia="仿宋" w:cs="Times New Roman"/>
          <w:sz w:val="32"/>
          <w:szCs w:val="36"/>
          <w:lang w:val="en-US" w:eastAsia="zh-CN"/>
        </w:rPr>
        <w:t>国有资本经营预算支出决算情况说明</w:t>
      </w:r>
      <w:r>
        <w:rPr>
          <w:rFonts w:ascii="Times New Roman" w:hAnsi="Times New Roman" w:eastAsia="仿宋" w:cs="Times New Roman"/>
          <w:sz w:val="32"/>
          <w:szCs w:val="36"/>
        </w:rPr>
        <w:tab/>
      </w:r>
      <w:r>
        <w:rPr>
          <w:rFonts w:hint="eastAsia" w:ascii="Times New Roman" w:hAnsi="Times New Roman" w:eastAsia="仿宋" w:cs="Times New Roman"/>
          <w:sz w:val="32"/>
          <w:szCs w:val="36"/>
          <w:lang w:val="en-US" w:eastAsia="zh-CN"/>
        </w:rPr>
        <w:t>1</w:t>
      </w:r>
      <w:r>
        <w:rPr>
          <w:rFonts w:ascii="Times New Roman" w:hAnsi="Times New Roman" w:eastAsia="仿宋" w:cs="Times New Roman"/>
          <w:sz w:val="32"/>
          <w:szCs w:val="36"/>
        </w:rPr>
        <w:fldChar w:fldCharType="end"/>
      </w:r>
      <w:r>
        <w:rPr>
          <w:rFonts w:hint="eastAsia" w:ascii="Times New Roman" w:cs="Times New Roman"/>
          <w:sz w:val="32"/>
          <w:szCs w:val="36"/>
          <w:lang w:val="en-US" w:eastAsia="zh-CN"/>
        </w:rPr>
        <w:t>5</w:t>
      </w:r>
    </w:p>
    <w:p>
      <w:pPr>
        <w:pStyle w:val="11"/>
        <w:keepNext w:val="0"/>
        <w:keepLines w:val="0"/>
        <w:pageBreakBefore w:val="0"/>
        <w:widowControl w:val="0"/>
        <w:kinsoku/>
        <w:wordWrap/>
        <w:overflowPunct/>
        <w:topLinePunct w:val="0"/>
        <w:autoSpaceDE/>
        <w:autoSpaceDN/>
        <w:bidi w:val="0"/>
        <w:spacing w:line="480" w:lineRule="auto"/>
        <w:textAlignment w:val="auto"/>
        <w:outlineLvl w:val="9"/>
        <w:rPr>
          <w:rFonts w:hint="eastAsia" w:ascii="Times New Roman" w:hAnsi="Times New Roman" w:eastAsia="仿宋" w:cs="Times New Roman"/>
          <w:sz w:val="32"/>
          <w:szCs w:val="36"/>
          <w:lang w:val="en-US" w:eastAsia="zh-CN"/>
        </w:rPr>
      </w:pPr>
      <w:r>
        <w:rPr>
          <w:rFonts w:ascii="Times New Roman" w:hAnsi="Times New Roman" w:eastAsia="仿宋" w:cs="Times New Roman"/>
          <w:sz w:val="32"/>
          <w:szCs w:val="36"/>
        </w:rPr>
        <w:fldChar w:fldCharType="begin"/>
      </w:r>
      <w:r>
        <w:rPr>
          <w:rFonts w:ascii="Times New Roman" w:hAnsi="Times New Roman" w:eastAsia="仿宋" w:cs="Times New Roman"/>
          <w:sz w:val="32"/>
          <w:szCs w:val="36"/>
        </w:rPr>
        <w:instrText xml:space="preserve">Hyperlink \l "_Toc26843621"</w:instrText>
      </w:r>
      <w:r>
        <w:rPr>
          <w:rFonts w:ascii="Times New Roman" w:hAnsi="Times New Roman" w:eastAsia="仿宋" w:cs="Times New Roman"/>
          <w:sz w:val="32"/>
          <w:szCs w:val="36"/>
        </w:rPr>
        <w:fldChar w:fldCharType="separate"/>
      </w:r>
      <w:r>
        <w:rPr>
          <w:rFonts w:ascii="Times New Roman" w:hAnsi="Times New Roman" w:eastAsia="仿宋" w:cs="Times New Roman"/>
          <w:sz w:val="32"/>
          <w:szCs w:val="36"/>
          <w:lang w:val="en-US" w:eastAsia="zh-CN"/>
        </w:rPr>
        <w:t>十、</w:t>
      </w:r>
      <w:r>
        <w:rPr>
          <w:rFonts w:ascii="Times New Roman" w:hAnsi="Times New Roman" w:eastAsia="仿宋" w:cs="Times New Roman"/>
          <w:sz w:val="32"/>
          <w:szCs w:val="36"/>
        </w:rPr>
        <w:t xml:space="preserve">  </w:t>
      </w:r>
      <w:r>
        <w:rPr>
          <w:rFonts w:ascii="Times New Roman" w:hAnsi="Times New Roman" w:eastAsia="仿宋" w:cs="Times New Roman"/>
          <w:sz w:val="32"/>
          <w:szCs w:val="36"/>
          <w:lang w:val="en-US" w:eastAsia="zh-CN"/>
        </w:rPr>
        <w:t>其他重要事项的情况说明</w:t>
      </w:r>
      <w:r>
        <w:rPr>
          <w:rFonts w:ascii="Times New Roman" w:hAnsi="Times New Roman" w:eastAsia="仿宋" w:cs="Times New Roman"/>
          <w:sz w:val="32"/>
          <w:szCs w:val="36"/>
        </w:rPr>
        <w:tab/>
      </w:r>
      <w:r>
        <w:rPr>
          <w:rFonts w:hint="eastAsia" w:ascii="Times New Roman" w:hAnsi="Times New Roman" w:eastAsia="仿宋" w:cs="Times New Roman"/>
          <w:sz w:val="32"/>
          <w:szCs w:val="36"/>
          <w:lang w:val="en-US" w:eastAsia="zh-CN"/>
        </w:rPr>
        <w:t>1</w:t>
      </w:r>
      <w:r>
        <w:rPr>
          <w:rFonts w:ascii="Times New Roman" w:hAnsi="Times New Roman" w:eastAsia="仿宋" w:cs="Times New Roman"/>
          <w:sz w:val="32"/>
          <w:szCs w:val="36"/>
        </w:rPr>
        <w:fldChar w:fldCharType="end"/>
      </w:r>
      <w:r>
        <w:rPr>
          <w:rFonts w:hint="eastAsia" w:ascii="Times New Roman" w:cs="Times New Roman"/>
          <w:sz w:val="32"/>
          <w:szCs w:val="36"/>
          <w:lang w:val="en-US" w:eastAsia="zh-CN"/>
        </w:rPr>
        <w:t>8</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hint="eastAsia" w:ascii="Times New Roman" w:hAnsi="Times New Roman" w:eastAsia="仿宋" w:cs="Times New Roman"/>
          <w:sz w:val="32"/>
          <w:szCs w:val="36"/>
          <w:lang w:val="en-US" w:eastAsia="zh-CN"/>
        </w:rPr>
      </w:pPr>
      <w:r>
        <w:rPr>
          <w:rFonts w:ascii="Times New Roman" w:hAnsi="Times New Roman" w:cs="Times New Roman"/>
          <w:sz w:val="32"/>
          <w:szCs w:val="36"/>
        </w:rPr>
        <w:fldChar w:fldCharType="begin"/>
      </w:r>
      <w:r>
        <w:rPr>
          <w:rFonts w:ascii="Times New Roman" w:hAnsi="Times New Roman" w:cs="Times New Roman"/>
          <w:sz w:val="32"/>
          <w:szCs w:val="36"/>
        </w:rPr>
        <w:instrText xml:space="preserve">Hyperlink \l "_Toc26843622"</w:instrText>
      </w:r>
      <w:r>
        <w:rPr>
          <w:rFonts w:ascii="Times New Roman" w:hAnsi="Times New Roman" w:cs="Times New Roman"/>
          <w:sz w:val="32"/>
          <w:szCs w:val="36"/>
        </w:rPr>
        <w:fldChar w:fldCharType="separate"/>
      </w:r>
      <w:r>
        <w:rPr>
          <w:rFonts w:ascii="Times New Roman" w:hAnsi="Times New Roman" w:eastAsia="仿宋" w:cs="Times New Roman"/>
          <w:bCs/>
          <w:sz w:val="32"/>
          <w:szCs w:val="36"/>
          <w:lang w:val="en-US" w:eastAsia="zh-CN" w:bidi="ar-SA"/>
        </w:rPr>
        <w:t>第三部分</w:t>
      </w:r>
      <w:r>
        <w:rPr>
          <w:rFonts w:ascii="Times New Roman" w:hAnsi="Times New Roman" w:cs="Times New Roman"/>
          <w:sz w:val="32"/>
          <w:szCs w:val="36"/>
        </w:rPr>
        <w:t xml:space="preserve">  名</w:t>
      </w:r>
      <w:r>
        <w:rPr>
          <w:rFonts w:ascii="Times New Roman" w:hAnsi="Times New Roman" w:eastAsia="仿宋" w:cs="Times New Roman"/>
          <w:bCs/>
          <w:sz w:val="32"/>
          <w:szCs w:val="36"/>
          <w:lang w:val="en-US" w:eastAsia="zh-CN" w:bidi="ar-SA"/>
        </w:rPr>
        <w:t>词解释</w:t>
      </w:r>
      <w:r>
        <w:rPr>
          <w:rFonts w:ascii="Times New Roman" w:hAnsi="Times New Roman" w:cs="Times New Roman"/>
          <w:sz w:val="32"/>
          <w:szCs w:val="36"/>
        </w:rPr>
        <w:tab/>
      </w:r>
      <w:r>
        <w:rPr>
          <w:rFonts w:hint="eastAsia" w:ascii="Times New Roman" w:cs="Times New Roman"/>
          <w:sz w:val="32"/>
          <w:szCs w:val="36"/>
          <w:lang w:val="en-US" w:eastAsia="zh-CN"/>
        </w:rPr>
        <w:t>1</w:t>
      </w:r>
      <w:r>
        <w:rPr>
          <w:rFonts w:ascii="Times New Roman" w:hAnsi="Times New Roman" w:cs="Times New Roman"/>
          <w:sz w:val="32"/>
          <w:szCs w:val="36"/>
        </w:rPr>
        <w:fldChar w:fldCharType="end"/>
      </w:r>
      <w:r>
        <w:rPr>
          <w:rFonts w:hint="eastAsia" w:ascii="Times New Roman" w:cs="Times New Roman"/>
          <w:sz w:val="32"/>
          <w:szCs w:val="36"/>
          <w:lang w:val="en-US" w:eastAsia="zh-CN"/>
        </w:rPr>
        <w:t>8</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hint="eastAsia" w:ascii="Times New Roman" w:hAnsi="Times New Roman" w:eastAsia="仿宋" w:cs="Times New Roman"/>
          <w:sz w:val="32"/>
          <w:szCs w:val="36"/>
          <w:lang w:val="en-US" w:eastAsia="zh-CN"/>
        </w:rPr>
      </w:pPr>
      <w:r>
        <w:rPr>
          <w:rFonts w:ascii="Times New Roman" w:hAnsi="Times New Roman" w:cs="Times New Roman"/>
          <w:sz w:val="32"/>
          <w:szCs w:val="36"/>
        </w:rPr>
        <w:fldChar w:fldCharType="begin"/>
      </w:r>
      <w:r>
        <w:rPr>
          <w:rFonts w:ascii="Times New Roman" w:hAnsi="Times New Roman" w:cs="Times New Roman"/>
          <w:sz w:val="32"/>
          <w:szCs w:val="36"/>
        </w:rPr>
        <w:instrText xml:space="preserve">Hyperlink \l "_Toc26843623"</w:instrText>
      </w:r>
      <w:r>
        <w:rPr>
          <w:rFonts w:ascii="Times New Roman" w:hAnsi="Times New Roman" w:cs="Times New Roman"/>
          <w:sz w:val="32"/>
          <w:szCs w:val="36"/>
        </w:rPr>
        <w:fldChar w:fldCharType="separate"/>
      </w:r>
      <w:r>
        <w:rPr>
          <w:rFonts w:ascii="Times New Roman" w:hAnsi="Times New Roman" w:cs="Times New Roman"/>
          <w:sz w:val="32"/>
          <w:szCs w:val="36"/>
        </w:rPr>
        <w:t>第</w:t>
      </w:r>
      <w:r>
        <w:rPr>
          <w:rFonts w:ascii="Times New Roman" w:hAnsi="Times New Roman" w:eastAsia="仿宋" w:cs="Times New Roman"/>
          <w:bCs/>
          <w:sz w:val="32"/>
          <w:szCs w:val="36"/>
          <w:lang w:val="en-US" w:eastAsia="zh-CN" w:bidi="ar-SA"/>
        </w:rPr>
        <w:t>四部分 附件</w:t>
      </w:r>
      <w:r>
        <w:rPr>
          <w:rFonts w:ascii="Times New Roman" w:hAnsi="Times New Roman" w:cs="Times New Roman"/>
          <w:sz w:val="32"/>
          <w:szCs w:val="36"/>
        </w:rPr>
        <w:tab/>
      </w:r>
      <w:r>
        <w:rPr>
          <w:rFonts w:hint="eastAsia" w:ascii="Times New Roman" w:cs="Times New Roman"/>
          <w:sz w:val="32"/>
          <w:szCs w:val="36"/>
          <w:lang w:val="en-US" w:eastAsia="zh-CN"/>
        </w:rPr>
        <w:t>2</w:t>
      </w:r>
      <w:r>
        <w:rPr>
          <w:rFonts w:ascii="Times New Roman" w:hAnsi="Times New Roman" w:cs="Times New Roman"/>
          <w:sz w:val="32"/>
          <w:szCs w:val="36"/>
        </w:rPr>
        <w:fldChar w:fldCharType="end"/>
      </w:r>
      <w:r>
        <w:rPr>
          <w:rFonts w:hint="eastAsia" w:ascii="Times New Roman" w:cs="Times New Roman"/>
          <w:sz w:val="32"/>
          <w:szCs w:val="36"/>
          <w:lang w:val="en-US" w:eastAsia="zh-CN"/>
        </w:rPr>
        <w:t>1</w:t>
      </w:r>
    </w:p>
    <w:p>
      <w:pPr>
        <w:pStyle w:val="13"/>
        <w:adjustRightInd w:val="0"/>
        <w:snapToGrid w:val="0"/>
        <w:spacing w:line="440" w:lineRule="exact"/>
        <w:jc w:val="left"/>
        <w:rPr>
          <w:rFonts w:ascii="Times New Roman" w:hAnsi="Times New Roman" w:cs="Times New Roman"/>
          <w:sz w:val="24"/>
        </w:rPr>
      </w:pPr>
      <w:r>
        <w:rPr>
          <w:rFonts w:ascii="Times New Roman" w:hAnsi="Times New Roman" w:cs="Times New Roman"/>
          <w:sz w:val="24"/>
          <w:szCs w:val="32"/>
        </w:rPr>
        <w:fldChar w:fldCharType="end"/>
      </w:r>
      <w:r>
        <w:rPr>
          <w:rFonts w:ascii="Times New Roman" w:hAnsi="Times New Roman" w:cs="Times New Roman"/>
        </w:rPr>
        <w:fldChar w:fldCharType="begin"/>
      </w:r>
      <w:r>
        <w:rPr>
          <w:rFonts w:ascii="Times New Roman" w:hAnsi="Times New Roman" w:cs="Times New Roman"/>
        </w:rPr>
        <w:instrText xml:space="preserve"> TOC \o "1-2" \h \u </w:instrText>
      </w:r>
      <w:r>
        <w:rPr>
          <w:rFonts w:ascii="Times New Roman" w:hAnsi="Times New Roman" w:cs="Times New Roman"/>
        </w:rPr>
        <w:fldChar w:fldCharType="separate"/>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"_Toc26843625"</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第五部分 附表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"_Toc26843626"</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一、收入支出决算总表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"_Toc26843627"</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二、收入决算表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"_Toc26843628"</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三、支出决算表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"_Toc26843629"</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四、财政拨款收入支出决算总表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"_Toc26843630"</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五、财政拨款支出决算明细表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"_Toc26843631"</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六、一般公共预算财政拨款支出决算表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"_Toc26843632"</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七、一般公共预算财政拨款支出决算明细表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"_Toc26843633"</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八、一般公共预算财政拨款基本支出决算表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"_Toc26843634"</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九、一般公共预算财政拨款项目支出决算表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"_Toc26843635"</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十、一般公共预算财政拨款“三公”经费支出决算表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"_Toc26843636"</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十一、政府性基金预算财政拨款收入支出决算表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"_Toc26843637"</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十二、政府性基金预算财政拨款“三公”经费支出决算表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"_Toc26843638"</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十三、国有资本经营预算财政拨款收入支出决算表</w:t>
      </w:r>
      <w:r>
        <w:rPr>
          <w:rFonts w:ascii="Times New Roman" w:hAnsi="Times New Roman" w:eastAsia="仿宋" w:cs="Times New Roman"/>
          <w:bCs/>
          <w:sz w:val="32"/>
          <w:szCs w:val="36"/>
          <w:lang w:val="en-US" w:eastAsia="zh-CN" w:bidi="ar-SA"/>
        </w:rPr>
        <w:tab/>
      </w:r>
      <w:r>
        <w:rPr>
          <w:rFonts w:hint="eastAsia" w:ascii="Times New Roman" w:hAnsi="Times New Roman" w:cs="Times New Roman"/>
          <w:bCs/>
          <w:sz w:val="32"/>
          <w:szCs w:val="36"/>
          <w:lang w:val="en-US" w:eastAsia="zh-CN" w:bidi="ar-SA"/>
        </w:rPr>
        <w:t>2</w:t>
      </w:r>
      <w:r>
        <w:rPr>
          <w:rFonts w:ascii="Times New Roman" w:hAnsi="Times New Roman" w:eastAsia="仿宋" w:cs="Times New Roman"/>
          <w:bCs/>
          <w:sz w:val="32"/>
          <w:szCs w:val="36"/>
          <w:lang w:val="en-US" w:eastAsia="zh-CN" w:bidi="ar-SA"/>
        </w:rPr>
        <w:fldChar w:fldCharType="end"/>
      </w:r>
      <w:r>
        <w:rPr>
          <w:rFonts w:hint="eastAsia" w:ascii="Times New Roman" w:hAnsi="Times New Roman" w:cs="Times New Roman"/>
          <w:bCs/>
          <w:sz w:val="32"/>
          <w:szCs w:val="36"/>
          <w:lang w:val="en-US" w:eastAsia="zh-CN" w:bidi="ar-SA"/>
        </w:rPr>
        <w:t>6</w:t>
      </w:r>
    </w:p>
    <w:p>
      <w:pPr>
        <w:pStyle w:val="11"/>
        <w:keepNext w:val="0"/>
        <w:keepLines w:val="0"/>
        <w:pageBreakBefore w:val="0"/>
        <w:widowControl w:val="0"/>
        <w:kinsoku/>
        <w:wordWrap/>
        <w:overflowPunct/>
        <w:topLinePunct w:val="0"/>
        <w:autoSpaceDE/>
        <w:autoSpaceDN/>
        <w:bidi w:val="0"/>
        <w:adjustRightInd w:val="0"/>
        <w:snapToGrid w:val="0"/>
        <w:spacing w:before="0" w:line="480" w:lineRule="auto"/>
        <w:jc w:val="left"/>
        <w:textAlignment w:val="auto"/>
        <w:outlineLvl w:val="9"/>
        <w:rPr>
          <w:rFonts w:hint="eastAsia" w:ascii="Times New Roman" w:hAnsi="Times New Roman" w:eastAsia="仿宋" w:cs="Times New Roman"/>
          <w:bCs/>
          <w:sz w:val="32"/>
          <w:szCs w:val="36"/>
          <w:lang w:val="en-US" w:eastAsia="zh-CN" w:bidi="ar-SA"/>
        </w:rPr>
      </w:pPr>
      <w:r>
        <w:rPr>
          <w:rFonts w:ascii="Times New Roman" w:hAnsi="Times New Roman" w:eastAsia="仿宋" w:cs="Times New Roman"/>
          <w:bCs/>
          <w:sz w:val="32"/>
          <w:szCs w:val="36"/>
          <w:lang w:val="en-US" w:eastAsia="zh-CN" w:bidi="ar-SA"/>
        </w:rPr>
        <w:fldChar w:fldCharType="begin"/>
      </w:r>
      <w:r>
        <w:rPr>
          <w:rFonts w:ascii="Times New Roman" w:hAnsi="Times New Roman" w:eastAsia="仿宋" w:cs="Times New Roman"/>
          <w:bCs/>
          <w:sz w:val="32"/>
          <w:szCs w:val="36"/>
          <w:lang w:val="en-US" w:eastAsia="zh-CN" w:bidi="ar-SA"/>
        </w:rPr>
        <w:instrText xml:space="preserve">Hyperlink \l "_Toc26843639"</w:instrText>
      </w:r>
      <w:r>
        <w:rPr>
          <w:rFonts w:ascii="Times New Roman" w:hAnsi="Times New Roman" w:eastAsia="仿宋" w:cs="Times New Roman"/>
          <w:bCs/>
          <w:sz w:val="32"/>
          <w:szCs w:val="36"/>
          <w:lang w:val="en-US" w:eastAsia="zh-CN" w:bidi="ar-SA"/>
        </w:rPr>
        <w:fldChar w:fldCharType="separate"/>
      </w:r>
      <w:r>
        <w:rPr>
          <w:rFonts w:ascii="Times New Roman" w:hAnsi="Times New Roman" w:eastAsia="仿宋" w:cs="Times New Roman"/>
          <w:bCs/>
          <w:sz w:val="32"/>
          <w:szCs w:val="36"/>
          <w:lang w:val="en-US" w:eastAsia="zh-CN" w:bidi="ar-SA"/>
        </w:rPr>
        <w:t>十四、国有资本经营预算财政拨款支出决算表</w:t>
      </w:r>
      <w:r>
        <w:rPr>
          <w:rFonts w:ascii="Times New Roman" w:hAnsi="Times New Roman" w:eastAsia="仿宋" w:cs="Times New Roman"/>
          <w:bCs/>
          <w:sz w:val="32"/>
          <w:szCs w:val="36"/>
          <w:lang w:val="en-US" w:eastAsia="zh-CN" w:bidi="ar-SA"/>
        </w:rPr>
        <w:tab/>
      </w:r>
      <w:r>
        <w:rPr>
          <w:rFonts w:ascii="Times New Roman" w:hAnsi="Times New Roman" w:eastAsia="仿宋" w:cs="Times New Roman"/>
          <w:bCs/>
          <w:sz w:val="32"/>
          <w:szCs w:val="36"/>
          <w:lang w:val="en-US" w:eastAsia="zh-CN" w:bidi="ar-SA"/>
        </w:rPr>
        <w:fldChar w:fldCharType="end"/>
      </w:r>
      <w:r>
        <w:rPr>
          <w:rFonts w:ascii="Times New Roman" w:hAnsi="Times New Roman" w:cs="Times New Roman"/>
        </w:rPr>
        <w:fldChar w:fldCharType="end"/>
      </w:r>
      <w:r>
        <w:rPr>
          <w:rFonts w:hint="eastAsia" w:ascii="Times New Roman" w:hAnsi="Times New Roman" w:cs="Times New Roman"/>
          <w:lang w:val="en-US" w:eastAsia="zh-CN"/>
        </w:rPr>
        <w:t>2</w:t>
      </w:r>
      <w:r>
        <w:rPr>
          <w:rFonts w:hint="eastAsia" w:ascii="Times New Roman" w:hAnsi="Times New Roman" w:eastAsia="仿宋" w:cs="Times New Roman"/>
          <w:bCs/>
          <w:sz w:val="32"/>
          <w:szCs w:val="36"/>
          <w:lang w:val="en-US" w:eastAsia="zh-CN" w:bidi="ar-SA"/>
        </w:rPr>
        <w:t>6</w:t>
      </w:r>
    </w:p>
    <w:p>
      <w:pPr>
        <w:widowControl/>
        <w:spacing w:line="440" w:lineRule="exact"/>
        <w:jc w:val="left"/>
        <w:rPr>
          <w:rFonts w:ascii="Times New Roman" w:hAnsi="Times New Roman" w:eastAsia="仿宋" w:cs="Times New Roman"/>
          <w:bCs/>
          <w:kern w:val="44"/>
          <w:sz w:val="24"/>
        </w:rPr>
      </w:pPr>
      <w:r>
        <w:rPr>
          <w:rFonts w:ascii="Times New Roman" w:hAnsi="Times New Roman" w:eastAsia="仿宋" w:cs="Times New Roman"/>
          <w:b/>
          <w:sz w:val="24"/>
        </w:rPr>
        <w:br w:type="page"/>
      </w:r>
    </w:p>
    <w:p>
      <w:pPr>
        <w:pStyle w:val="13"/>
        <w:keepNext w:val="0"/>
        <w:keepLines w:val="0"/>
        <w:pageBreakBefore w:val="0"/>
        <w:widowControl w:val="0"/>
        <w:kinsoku/>
        <w:wordWrap/>
        <w:overflowPunct/>
        <w:topLinePunct w:val="0"/>
        <w:autoSpaceDE/>
        <w:autoSpaceDN/>
        <w:bidi w:val="0"/>
        <w:adjustRightInd w:val="0"/>
        <w:snapToGrid w:val="0"/>
        <w:spacing w:line="480" w:lineRule="auto"/>
        <w:jc w:val="left"/>
        <w:textAlignment w:val="auto"/>
        <w:outlineLvl w:val="9"/>
        <w:rPr>
          <w:rFonts w:hint="eastAsia" w:ascii="黑体" w:eastAsia="黑体"/>
          <w:b w:val="0"/>
        </w:rPr>
        <w:sectPr>
          <w:footerReference r:id="rId7" w:type="first"/>
          <w:footerReference r:id="rId6" w:type="default"/>
          <w:pgSz w:w="11906" w:h="16838"/>
          <w:pgMar w:top="1440" w:right="1800" w:bottom="1440" w:left="1800" w:header="851" w:footer="992" w:gutter="0"/>
          <w:pgNumType w:fmt="decimal"/>
          <w:cols w:space="720" w:num="1"/>
          <w:titlePg/>
          <w:docGrid w:type="lines" w:linePitch="312" w:charSpace="0"/>
        </w:sectPr>
      </w:pPr>
    </w:p>
    <w:bookmarkEnd w:id="0"/>
    <w:p>
      <w:pPr>
        <w:pStyle w:val="3"/>
        <w:ind w:firstLine="2200" w:firstLineChars="500"/>
        <w:jc w:val="both"/>
        <w:outlineLvl w:val="0"/>
        <w:rPr>
          <w:rFonts w:ascii="黑体" w:eastAsia="黑体"/>
          <w:color w:val="000000"/>
          <w:sz w:val="32"/>
          <w:szCs w:val="32"/>
        </w:rPr>
      </w:pPr>
      <w:bookmarkStart w:id="3" w:name="_Toc5120"/>
      <w:bookmarkStart w:id="4" w:name="_Toc15377196"/>
      <w:r>
        <w:rPr>
          <w:rFonts w:hint="eastAsia" w:ascii="黑体" w:eastAsia="黑体"/>
          <w:b w:val="0"/>
        </w:rPr>
        <w:t xml:space="preserve">第一部分 </w:t>
      </w:r>
      <w:r>
        <w:rPr>
          <w:rStyle w:val="20"/>
          <w:rFonts w:hint="eastAsia" w:ascii="黑体" w:eastAsia="黑体"/>
          <w:b w:val="0"/>
          <w:bCs w:val="0"/>
        </w:rPr>
        <w:t>部门概况</w:t>
      </w:r>
      <w:bookmarkEnd w:id="3"/>
      <w:bookmarkEnd w:id="4"/>
    </w:p>
    <w:p>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outlineLvl w:val="1"/>
        <w:rPr>
          <w:rStyle w:val="21"/>
          <w:rFonts w:hint="eastAsia" w:ascii="黑体" w:eastAsia="黑体"/>
          <w:b w:val="0"/>
          <w:bCs w:val="0"/>
        </w:rPr>
      </w:pPr>
      <w:bookmarkStart w:id="5" w:name="_Toc15377197"/>
      <w:bookmarkStart w:id="6" w:name="_Toc7418"/>
      <w:r>
        <w:rPr>
          <w:rFonts w:hint="eastAsia" w:ascii="黑体" w:eastAsia="黑体"/>
          <w:b w:val="0"/>
          <w:color w:val="000000"/>
        </w:rPr>
        <w:t>一、基</w:t>
      </w:r>
      <w:r>
        <w:rPr>
          <w:rStyle w:val="21"/>
          <w:rFonts w:hint="eastAsia" w:ascii="黑体" w:eastAsia="黑体"/>
          <w:b w:val="0"/>
          <w:bCs w:val="0"/>
        </w:rPr>
        <w:t>本职能及主要工作</w:t>
      </w:r>
      <w:bookmarkEnd w:id="5"/>
      <w:bookmarkEnd w:id="6"/>
      <w:bookmarkStart w:id="7" w:name="_Toc15378445"/>
      <w:bookmarkStart w:id="8" w:name="_Toc15377198"/>
    </w:p>
    <w:p>
      <w:pPr>
        <w:pStyle w:val="5"/>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outlineLvl w:val="2"/>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7"/>
      <w:bookmarkEnd w:id="8"/>
      <w:bookmarkStart w:id="9" w:name="_Toc15378446"/>
      <w:bookmarkStart w:id="10" w:name="_Toc15377199"/>
    </w:p>
    <w:p>
      <w:pPr>
        <w:pStyle w:val="14"/>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 w:eastAsia="仿宋_GB2312"/>
          <w:sz w:val="32"/>
          <w:szCs w:val="32"/>
        </w:rPr>
        <w:t>1．主要职能。</w:t>
      </w:r>
      <w:r>
        <w:rPr>
          <w:rFonts w:ascii="楷体_GB2312" w:eastAsia="楷体_GB2312"/>
          <w:b/>
          <w:bCs/>
          <w:color w:val="333333"/>
          <w:sz w:val="28"/>
          <w:szCs w:val="28"/>
        </w:rPr>
        <w:br w:type="textWrapping"/>
      </w:r>
      <w:r>
        <w:rPr>
          <w:rFonts w:hint="eastAsia" w:ascii="仿宋_GB2312" w:eastAsia="仿宋_GB2312"/>
          <w:color w:val="333333"/>
          <w:sz w:val="28"/>
          <w:szCs w:val="28"/>
        </w:rPr>
        <w:t>　   （1）</w:t>
      </w:r>
      <w:r>
        <w:rPr>
          <w:rFonts w:hint="eastAsia" w:ascii="仿宋_GB2312" w:hAnsi="仿宋_GB2312" w:eastAsia="仿宋_GB2312" w:cs="Arial"/>
          <w:sz w:val="32"/>
          <w:szCs w:val="32"/>
        </w:rPr>
        <w:t>贯彻执行国家、省、州有关水行政管理工作的方针、政策和法律、法规，研究制定配套的适合县情的实施办法和规范性文件，并监督实施；负责保障水资源的合理开发利用，组织编制全县重要江河的流域综合规划、防洪规划等重大水利规划；制定水利、水产发展目标和水利工程建设有关制度并组织实施。</w:t>
      </w:r>
    </w:p>
    <w:p>
      <w:pPr>
        <w:pStyle w:val="14"/>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2）统一管理全县水资源，拟定节约用水政策，负责生活、生产经营和生态环境用水的统筹兼顾和保障。实施水资源的统一监督管理，拟订全县和跨县水中长期供求规划、水量分配方案、计划用水、节约用水规划，制定和贯彻用水标准，指导和推动节水型社会建设工作；组织开展水资源调查评价工作；组织实施取水许可、水资源有偿使用制度和水资源论证、防洪论证、水土保持论证制度；指导全县水文水资源监测，发布水资源公报。</w:t>
      </w:r>
    </w:p>
    <w:p>
      <w:pPr>
        <w:pStyle w:val="14"/>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3）负责水资源保护工作。组织编制水资源保护和水源地保护规划，组织拟订重要江河的水功能区划并监督实施，核定水域纳污能力，提出限制排污总量建议。指导饮用水水源保护和建设项目排污口设置工作，指导地下水开发利用和城市规划区地下水资源保护管理工作。</w:t>
      </w:r>
    </w:p>
    <w:p>
      <w:pPr>
        <w:pStyle w:val="14"/>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（4）负责防治水旱灾害，承担县政府防汛抗旱指挥部的具体工作。组织、协调、监督、指挥全县防汛抗旱工作，编制全县防汛抗旱应急预案并组织实施，指导水利突发公共事件应急管理工作。</w:t>
      </w:r>
    </w:p>
    <w:p>
      <w:pPr>
        <w:pStyle w:val="14"/>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5）按照管理权限，编制、审查全县水利基本建设项目建议书和可行性研究报告；初审、转报水利基本建设项目初步设计；指导水利设施、水域的管理与保护，指导全县重要江河、湖泊、水库、滩涂的治理和开发，指导水利工程建设与运行管理，组织实施具有控制性或跨县重要水利工程建设与运行管理，负责河道采砂的统一监督管理工作。</w:t>
      </w:r>
    </w:p>
    <w:p>
      <w:pPr>
        <w:pStyle w:val="14"/>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6）负责防治水土流失。拟订水土保持规划并监督实施，组织实施全县水土流失的综合防治、监测预报，负责有关重大建设项目水土保持方案的审批、监督实施及水土保持设施的验收工作，指导重点水土保持建设项目的实施。</w:t>
      </w:r>
    </w:p>
    <w:p>
      <w:pPr>
        <w:pStyle w:val="14"/>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7）指导农村水利工作。组织协调全县农田水利基本建设，指导农村饮水安全、节水灌溉等工程建设与管理工作，协调牧区水利工作，指导农村水利社会化服务体系建设。按规定指导农村水能资源开发工作；指导水电农村电气化、小水电代燃料和农网建设改造工作。</w:t>
      </w:r>
    </w:p>
    <w:p>
      <w:pPr>
        <w:pStyle w:val="14"/>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8）负责重大涉水违法事件的查处，协调、仲裁跨县或部门间水事纠纷，指导水政监察和水行政执法。负责水利建设工程项目的招标投标活动的监督执法。依法负责水利行业安全生产工作，组织、指导水库大坝、水电站大坝等水利工程的安全监管，组织实施水利工程建设的监督和定额管理。承担水利统计工作。</w:t>
      </w:r>
    </w:p>
    <w:p>
      <w:pPr>
        <w:pStyle w:val="14"/>
        <w:spacing w:before="0" w:beforeAutospacing="0" w:after="0" w:afterAutospacing="0" w:line="400" w:lineRule="exact"/>
        <w:ind w:firstLine="640" w:firstLineChars="200"/>
        <w:rPr>
          <w:rFonts w:hint="eastAsia" w:ascii="仿宋_GB2312" w:hAnsi="仿宋_GB2312" w:eastAsia="仿宋_GB2312" w:cs="Arial"/>
          <w:sz w:val="32"/>
          <w:szCs w:val="32"/>
        </w:rPr>
      </w:pPr>
      <w:r>
        <w:rPr>
          <w:rFonts w:hint="eastAsia" w:ascii="仿宋_GB2312" w:hAnsi="仿宋_GB2312" w:eastAsia="仿宋_GB2312" w:cs="Arial"/>
          <w:sz w:val="32"/>
          <w:szCs w:val="32"/>
        </w:rPr>
        <w:t>（9）拟订水利行业经济调节措施，对全县水利资金的使用、管理进行宏观调节、监督、审计；提出水利价格、税收、信贷、财务等经济调节意见，承担县级和指导各县水利国有资产的管理。</w:t>
      </w:r>
    </w:p>
    <w:p>
      <w:pPr>
        <w:widowControl/>
        <w:spacing w:line="400" w:lineRule="exact"/>
        <w:ind w:firstLine="630" w:firstLineChars="197"/>
        <w:jc w:val="left"/>
        <w:rPr>
          <w:rFonts w:hint="eastAsia" w:ascii="仿宋_GB2312" w:hAnsi="仿宋_GB2312" w:eastAsia="仿宋_GB2312" w:cs="Arial"/>
          <w:kern w:val="0"/>
          <w:sz w:val="32"/>
          <w:szCs w:val="32"/>
        </w:rPr>
      </w:pPr>
      <w:r>
        <w:rPr>
          <w:rFonts w:hint="eastAsia" w:ascii="仿宋_GB2312" w:hAnsi="仿宋_GB2312" w:eastAsia="仿宋_GB2312" w:cs="Arial"/>
          <w:kern w:val="0"/>
          <w:sz w:val="32"/>
          <w:szCs w:val="32"/>
        </w:rPr>
        <w:t>（10）负责全县水利科技和合作交流工作。组织开展水利行业质量监督工作，贯彻水利行业的技术标准、规程规范，组织水利科学研究、技术推广和成果管理；指导全县水利行业队伍和服务体系建设，组织水利行业教育培训、职称评定和思想政治工作。</w:t>
      </w:r>
    </w:p>
    <w:p>
      <w:pPr>
        <w:widowControl/>
        <w:spacing w:line="400" w:lineRule="exact"/>
        <w:ind w:firstLine="630" w:firstLineChars="197"/>
        <w:jc w:val="left"/>
        <w:rPr>
          <w:rFonts w:hint="eastAsia" w:ascii="仿宋_GB2312" w:hAnsi="仿宋_GB2312" w:eastAsia="仿宋_GB2312" w:cs="宋体"/>
          <w:kern w:val="0"/>
          <w:sz w:val="32"/>
          <w:szCs w:val="32"/>
        </w:rPr>
      </w:pPr>
      <w:r>
        <w:rPr>
          <w:rFonts w:hint="eastAsia" w:ascii="仿宋_GB2312" w:hAnsi="仿宋_GB2312" w:eastAsia="仿宋_GB2312" w:cs="Arial"/>
          <w:kern w:val="0"/>
          <w:sz w:val="32"/>
          <w:szCs w:val="32"/>
        </w:rPr>
        <w:t>（11）</w:t>
      </w:r>
      <w:r>
        <w:rPr>
          <w:rFonts w:hint="eastAsia" w:ascii="仿宋_GB2312" w:hAnsi="仿宋_GB2312" w:eastAsia="仿宋_GB2312" w:cs="宋体"/>
          <w:kern w:val="0"/>
          <w:sz w:val="32"/>
          <w:szCs w:val="32"/>
        </w:rPr>
        <w:t>承担县政府公布的有关行政审批事项。</w:t>
      </w:r>
    </w:p>
    <w:p>
      <w:pPr>
        <w:spacing w:before="0" w:after="0" w:line="240" w:lineRule="auto"/>
        <w:ind w:firstLine="640" w:firstLineChars="200"/>
        <w:outlineLvl w:val="9"/>
        <w:rPr>
          <w:rFonts w:hint="eastAsia" w:ascii="仿宋_GB2312" w:hAnsi="仿宋_GB2312" w:eastAsia="仿宋_GB2312" w:cs="Arial"/>
          <w:b w:val="0"/>
          <w:bCs w:val="0"/>
          <w:kern w:val="0"/>
          <w:sz w:val="32"/>
          <w:szCs w:val="32"/>
          <w:lang w:val="en-US" w:eastAsia="zh-CN" w:bidi="ar-SA"/>
        </w:rPr>
      </w:pPr>
      <w:r>
        <w:rPr>
          <w:rFonts w:hint="eastAsia" w:ascii="仿宋_GB2312" w:hAnsi="仿宋_GB2312" w:eastAsia="仿宋_GB2312" w:cs="Arial"/>
          <w:b w:val="0"/>
          <w:bCs w:val="0"/>
          <w:kern w:val="0"/>
          <w:sz w:val="32"/>
          <w:szCs w:val="32"/>
          <w:lang w:val="en-US" w:eastAsia="zh-CN" w:bidi="ar-SA"/>
        </w:rPr>
        <w:t>（12）承办县政府交办的其他事项。</w:t>
      </w:r>
    </w:p>
    <w:p>
      <w:pPr>
        <w:pStyle w:val="5"/>
        <w:spacing w:before="0" w:after="0" w:line="240" w:lineRule="auto"/>
        <w:ind w:firstLine="321" w:firstLineChars="100"/>
        <w:outlineLvl w:val="2"/>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22</w:t>
      </w:r>
      <w:r>
        <w:rPr>
          <w:rFonts w:hint="eastAsia" w:ascii="楷体" w:eastAsia="楷体" w:cs="楷体"/>
          <w:bCs/>
          <w:color w:val="000000"/>
          <w:sz w:val="32"/>
          <w:szCs w:val="32"/>
        </w:rPr>
        <w:t>年重点工作完成情况</w:t>
      </w:r>
      <w:bookmarkEnd w:id="9"/>
      <w:bookmarkEnd w:id="10"/>
    </w:p>
    <w:p>
      <w:pPr>
        <w:snapToGrid w:val="0"/>
        <w:spacing w:line="540" w:lineRule="atLeast"/>
        <w:ind w:firstLine="560" w:firstLineChars="200"/>
        <w:rPr>
          <w:rFonts w:hint="eastAsia" w:ascii="仿宋_GB2312" w:hAnsi="宋体" w:eastAsia="仿宋_GB2312" w:cs="宋体"/>
          <w:color w:val="333333"/>
          <w:kern w:val="0"/>
          <w:sz w:val="28"/>
          <w:szCs w:val="28"/>
          <w:lang w:val="zh-CN"/>
        </w:rPr>
      </w:pPr>
      <w:bookmarkStart w:id="11" w:name="YS060102"/>
      <w:bookmarkStart w:id="12" w:name="_Toc15377200"/>
      <w:r>
        <w:rPr>
          <w:rFonts w:hint="eastAsia" w:ascii="仿宋_GB2312" w:hAnsi="宋体" w:eastAsia="仿宋_GB2312" w:cs="宋体"/>
          <w:color w:val="333333"/>
          <w:kern w:val="0"/>
          <w:sz w:val="28"/>
          <w:szCs w:val="28"/>
          <w:lang w:val="zh-CN"/>
        </w:rPr>
        <w:t>（一）重点项目建设推进情况</w:t>
      </w:r>
    </w:p>
    <w:bookmarkEnd w:id="11"/>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lang w:val="en-US"/>
        </w:rPr>
      </w:pPr>
      <w:r>
        <w:rPr>
          <w:rFonts w:hint="eastAsia" w:ascii="仿宋" w:hAnsi="仿宋" w:eastAsia="仿宋" w:cs="仿宋"/>
          <w:color w:val="auto"/>
          <w:sz w:val="32"/>
          <w:szCs w:val="32"/>
          <w:lang w:eastAsia="zh-CN"/>
        </w:rPr>
        <w:t>金川县</w:t>
      </w:r>
      <w:r>
        <w:rPr>
          <w:rFonts w:hint="eastAsia" w:ascii="仿宋" w:hAnsi="仿宋" w:eastAsia="仿宋" w:cs="仿宋"/>
          <w:color w:val="auto"/>
          <w:sz w:val="32"/>
          <w:szCs w:val="32"/>
          <w:lang w:val="en-US" w:eastAsia="zh-CN"/>
        </w:rPr>
        <w:t>2022年争取第一批涉农整合资金解决农村供水保障工程</w:t>
      </w:r>
      <w:r>
        <w:rPr>
          <w:rFonts w:hint="eastAsia" w:ascii="仿宋" w:hAnsi="仿宋" w:eastAsia="仿宋" w:cs="仿宋"/>
          <w:color w:val="auto"/>
          <w:sz w:val="32"/>
          <w:szCs w:val="32"/>
        </w:rPr>
        <w:t>共涉及</w:t>
      </w:r>
      <w:r>
        <w:rPr>
          <w:rFonts w:hint="eastAsia" w:ascii="仿宋" w:hAnsi="仿宋" w:eastAsia="仿宋" w:cs="仿宋"/>
          <w:color w:val="auto"/>
          <w:sz w:val="32"/>
          <w:szCs w:val="32"/>
          <w:lang w:eastAsia="zh-CN"/>
        </w:rPr>
        <w:t>卡撒乡巴拉塘村、咯尔乡复兴村</w:t>
      </w:r>
      <w:r>
        <w:rPr>
          <w:rFonts w:hint="eastAsia" w:ascii="仿宋" w:hAnsi="仿宋" w:eastAsia="仿宋" w:cs="仿宋"/>
          <w:color w:val="auto"/>
          <w:sz w:val="32"/>
          <w:szCs w:val="32"/>
        </w:rPr>
        <w:t>等</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乡</w:t>
      </w:r>
      <w:r>
        <w:rPr>
          <w:rFonts w:hint="eastAsia" w:ascii="仿宋" w:hAnsi="仿宋" w:eastAsia="仿宋" w:cs="仿宋"/>
          <w:color w:val="auto"/>
          <w:sz w:val="32"/>
          <w:szCs w:val="32"/>
          <w:lang w:eastAsia="zh-CN"/>
        </w:rPr>
        <w:t>（镇）</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个</w:t>
      </w:r>
      <w:r>
        <w:rPr>
          <w:rFonts w:hint="eastAsia" w:ascii="仿宋" w:hAnsi="仿宋" w:eastAsia="仿宋" w:cs="仿宋"/>
          <w:color w:val="auto"/>
          <w:sz w:val="32"/>
          <w:szCs w:val="32"/>
          <w:lang w:eastAsia="zh-CN"/>
        </w:rPr>
        <w:t>村</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该项目将安装饮水管道51.6km，维修及新建蓄水池12口，取水点22座，保护取水口13处。</w:t>
      </w:r>
      <w:r>
        <w:rPr>
          <w:rFonts w:hint="eastAsia" w:ascii="仿宋" w:hAnsi="仿宋" w:eastAsia="仿宋" w:cs="仿宋"/>
          <w:color w:val="auto"/>
          <w:sz w:val="32"/>
          <w:szCs w:val="32"/>
          <w:lang w:eastAsia="zh-CN"/>
        </w:rPr>
        <w:t>项目总投资</w:t>
      </w:r>
      <w:r>
        <w:rPr>
          <w:rFonts w:hint="eastAsia" w:ascii="仿宋" w:hAnsi="仿宋" w:eastAsia="仿宋" w:cs="仿宋"/>
          <w:color w:val="auto"/>
          <w:sz w:val="32"/>
          <w:szCs w:val="32"/>
          <w:lang w:val="en-US" w:eastAsia="zh-CN"/>
        </w:rPr>
        <w:t>285万元</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该项目于3月底完成项目前期手续并相继开工，7月底全面完成所有建设任务，8月中旬完成县级验收。争取第二批涉农整合资金121万元，养护维修取水口15处，水厂1座，安装绿色浸塑镀锌网片护栏2100米，维修蓄水池6口，安装管道8Km，及水源地标示标牌等。该项目于7月中旬开工建设，截至目前已完成60%。预计10月中旬完成建设任务，11月完成完工验收工作。</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综合治理河道2段总长4.286km。（其中上段巴拉塘村段2.652km，起于巴拉塘村上游1#跨河桥，止于卡撒乡政府旁巴拉塘村4#跨河桥；下段脚姆塘村段1.634km，起于上游1#跨河桥，止于下游3#跨河桥。）治理河段内新建堤防1.126km，堤防加固1.315km，其中修复堤防0.402km，对原有堤防护脚0.913km。对全治理河段4.286km中淤积严重部分河段疏浚。</w:t>
      </w:r>
      <w:r>
        <w:rPr>
          <w:rFonts w:hint="eastAsia" w:ascii="仿宋_GB2312" w:eastAsia="仿宋_GB2312" w:cs="仿宋_GB2312"/>
          <w:sz w:val="32"/>
          <w:szCs w:val="32"/>
          <w:lang w:val="en-US"/>
        </w:rPr>
        <w:t>项目的初设批复概算总投资共</w:t>
      </w:r>
      <w:r>
        <w:rPr>
          <w:rFonts w:hint="eastAsia" w:ascii="仿宋_GB2312" w:eastAsia="仿宋_GB2312" w:cs="仿宋_GB2312"/>
          <w:sz w:val="32"/>
          <w:szCs w:val="32"/>
        </w:rPr>
        <w:t>1964.2</w:t>
      </w:r>
      <w:r>
        <w:rPr>
          <w:rFonts w:hint="eastAsia" w:ascii="仿宋_GB2312" w:eastAsia="仿宋_GB2312" w:cs="仿宋_GB2312"/>
          <w:sz w:val="32"/>
          <w:szCs w:val="32"/>
          <w:lang w:val="en-US"/>
        </w:rPr>
        <w:t>万元</w:t>
      </w:r>
      <w:r>
        <w:rPr>
          <w:rFonts w:hint="eastAsia" w:ascii="仿宋_GB2312" w:eastAsia="仿宋_GB2312" w:cs="仿宋_GB2312"/>
          <w:sz w:val="32"/>
          <w:szCs w:val="32"/>
        </w:rPr>
        <w:t>。</w:t>
      </w:r>
      <w:r>
        <w:rPr>
          <w:rFonts w:hint="eastAsia" w:ascii="仿宋_GB2312" w:eastAsia="仿宋_GB2312" w:cs="仿宋_GB2312"/>
          <w:b w:val="0"/>
          <w:bCs w:val="0"/>
          <w:sz w:val="32"/>
          <w:szCs w:val="32"/>
          <w:lang w:val="en-US"/>
        </w:rPr>
        <w:t>截止</w:t>
      </w:r>
      <w:r>
        <w:rPr>
          <w:rFonts w:hint="eastAsia" w:ascii="仿宋_GB2312" w:eastAsia="仿宋_GB2312" w:cs="仿宋_GB2312"/>
          <w:b w:val="0"/>
          <w:bCs w:val="0"/>
          <w:sz w:val="32"/>
          <w:szCs w:val="32"/>
          <w:lang w:val="en-US" w:eastAsia="zh-CN"/>
        </w:rPr>
        <w:t>10</w:t>
      </w:r>
      <w:r>
        <w:rPr>
          <w:rFonts w:hint="eastAsia" w:ascii="仿宋_GB2312" w:eastAsia="仿宋_GB2312" w:cs="仿宋_GB2312"/>
          <w:b w:val="0"/>
          <w:bCs w:val="0"/>
          <w:sz w:val="32"/>
          <w:szCs w:val="32"/>
          <w:lang w:val="en-US"/>
        </w:rPr>
        <w:t>月</w:t>
      </w:r>
      <w:r>
        <w:rPr>
          <w:rFonts w:ascii="仿宋_GB2312" w:eastAsia="仿宋_GB2312" w:cs="仿宋_GB2312"/>
          <w:b w:val="0"/>
          <w:bCs w:val="0"/>
          <w:sz w:val="32"/>
          <w:szCs w:val="32"/>
        </w:rPr>
        <w:t>，</w:t>
      </w:r>
      <w:r>
        <w:rPr>
          <w:rFonts w:hint="eastAsia" w:ascii="仿宋_GB2312" w:eastAsia="仿宋_GB2312" w:cs="仿宋_GB2312"/>
          <w:sz w:val="32"/>
          <w:szCs w:val="32"/>
        </w:rPr>
        <w:t>项目</w:t>
      </w:r>
      <w:r>
        <w:rPr>
          <w:rFonts w:hint="eastAsia" w:ascii="仿宋_GB2312" w:eastAsia="仿宋_GB2312" w:cs="仿宋_GB2312"/>
          <w:sz w:val="32"/>
          <w:szCs w:val="32"/>
          <w:lang w:eastAsia="zh-CN"/>
        </w:rPr>
        <w:t>已</w:t>
      </w:r>
      <w:r>
        <w:rPr>
          <w:rFonts w:hint="eastAsia" w:ascii="仿宋_GB2312" w:eastAsia="仿宋_GB2312" w:cs="仿宋_GB2312"/>
          <w:sz w:val="32"/>
          <w:szCs w:val="32"/>
        </w:rPr>
        <w:t>完成</w:t>
      </w:r>
      <w:r>
        <w:rPr>
          <w:rFonts w:hint="eastAsia" w:ascii="仿宋_GB2312" w:eastAsia="仿宋_GB2312" w:cs="仿宋_GB2312"/>
          <w:sz w:val="32"/>
          <w:szCs w:val="32"/>
          <w:lang w:eastAsia="zh-CN"/>
        </w:rPr>
        <w:t>总工程量的</w:t>
      </w:r>
      <w:r>
        <w:rPr>
          <w:rFonts w:hint="eastAsia" w:ascii="仿宋_GB2312" w:eastAsia="仿宋_GB2312" w:cs="仿宋_GB2312"/>
          <w:sz w:val="32"/>
          <w:szCs w:val="32"/>
          <w:lang w:val="en-US" w:eastAsia="zh-CN"/>
        </w:rPr>
        <w:t>95%</w:t>
      </w:r>
      <w:r>
        <w:rPr>
          <w:rFonts w:hint="eastAsia" w:ascii="仿宋_GB2312" w:eastAsia="仿宋_GB2312" w:cs="仿宋_GB2312"/>
          <w:sz w:val="32"/>
          <w:szCs w:val="32"/>
          <w:lang w:eastAsia="zh-CN"/>
        </w:rPr>
        <w:t>。</w:t>
      </w:r>
    </w:p>
    <w:p>
      <w:pPr>
        <w:ind w:firstLine="640" w:firstLineChars="200"/>
        <w:rPr>
          <w:rFonts w:hint="eastAsia" w:ascii="仿宋_GB2312" w:eastAsia="仿宋_GB2312" w:cs="仿宋_GB2312"/>
          <w:sz w:val="32"/>
          <w:szCs w:val="32"/>
          <w:lang w:val="en-US"/>
        </w:rPr>
      </w:pPr>
      <w:r>
        <w:rPr>
          <w:rFonts w:hint="eastAsia" w:ascii="仿宋_GB2312" w:eastAsia="仿宋_GB2312" w:cs="仿宋_GB2312"/>
          <w:sz w:val="32"/>
          <w:szCs w:val="32"/>
          <w:lang w:val="en-US"/>
        </w:rPr>
        <w:t>综合治理河长3160m，拟建堤防总长1704.9m，共分为两段，均位于河道右岸，新建下河梯步7处，排涝涵管7处。其中庆宁乡段新建堤防1036.7m(堤右I0+000.0～堤右I1+036.7)；沙耳乡段新建堤防668.2m(堤右II0+000.0～堤右II0+668.2)；对工程河道整治范围内进行分散疏浚，疏浚长度1230m。该项目总投资约为3602.13万元。</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综合治理河</w:t>
      </w:r>
      <w:r>
        <w:rPr>
          <w:rFonts w:hint="eastAsia" w:ascii="仿宋_GB2312" w:eastAsia="仿宋_GB2312" w:cs="仿宋_GB2312"/>
          <w:sz w:val="32"/>
          <w:szCs w:val="32"/>
          <w:lang w:val="en-US" w:eastAsia="zh-CN"/>
        </w:rPr>
        <w:t>道总长5.33千米，其中新建堤防2.33千米，河道清淤3.09千米。</w:t>
      </w:r>
      <w:r>
        <w:rPr>
          <w:rFonts w:hint="eastAsia" w:ascii="仿宋_GB2312" w:eastAsia="仿宋_GB2312" w:cs="仿宋_GB2312"/>
          <w:sz w:val="32"/>
          <w:szCs w:val="32"/>
          <w:lang w:val="en-US"/>
        </w:rPr>
        <w:t>项目的</w:t>
      </w:r>
      <w:r>
        <w:rPr>
          <w:rFonts w:hint="eastAsia" w:ascii="仿宋_GB2312" w:eastAsia="仿宋_GB2312" w:cs="仿宋_GB2312"/>
          <w:sz w:val="32"/>
          <w:szCs w:val="32"/>
          <w:lang w:val="en-US" w:eastAsia="zh-CN"/>
        </w:rPr>
        <w:t>初设批复立项总投资2207.35万元</w:t>
      </w:r>
      <w:r>
        <w:rPr>
          <w:rFonts w:ascii="仿宋_GB2312" w:eastAsia="仿宋_GB2312" w:cs="仿宋_GB2312"/>
          <w:sz w:val="32"/>
          <w:szCs w:val="32"/>
          <w:lang w:eastAsia="zh-CN"/>
        </w:rPr>
        <w:t>。</w:t>
      </w:r>
      <w:r>
        <w:rPr>
          <w:rFonts w:hint="eastAsia" w:ascii="仿宋_GB2312" w:eastAsia="仿宋_GB2312" w:cs="仿宋_GB2312"/>
          <w:b w:val="0"/>
          <w:bCs w:val="0"/>
          <w:sz w:val="32"/>
          <w:szCs w:val="32"/>
          <w:lang w:val="en-US"/>
        </w:rPr>
        <w:t>截止</w:t>
      </w:r>
      <w:r>
        <w:rPr>
          <w:rFonts w:hint="eastAsia" w:ascii="仿宋_GB2312" w:eastAsia="仿宋_GB2312" w:cs="仿宋_GB2312"/>
          <w:b w:val="0"/>
          <w:bCs w:val="0"/>
          <w:sz w:val="32"/>
          <w:szCs w:val="32"/>
          <w:lang w:val="en-US" w:eastAsia="zh-CN"/>
        </w:rPr>
        <w:t>10</w:t>
      </w:r>
      <w:r>
        <w:rPr>
          <w:rFonts w:hint="eastAsia" w:ascii="仿宋_GB2312" w:eastAsia="仿宋_GB2312" w:cs="仿宋_GB2312"/>
          <w:b w:val="0"/>
          <w:bCs w:val="0"/>
          <w:sz w:val="32"/>
          <w:szCs w:val="32"/>
          <w:lang w:val="en-US"/>
        </w:rPr>
        <w:t>月</w:t>
      </w:r>
      <w:r>
        <w:rPr>
          <w:rFonts w:hint="eastAsia" w:ascii="仿宋_GB2312" w:eastAsia="仿宋_GB2312" w:cs="仿宋_GB2312"/>
          <w:b w:val="0"/>
          <w:bCs w:val="0"/>
          <w:sz w:val="32"/>
          <w:szCs w:val="32"/>
          <w:lang w:val="en-US" w:eastAsia="zh-CN"/>
        </w:rPr>
        <w:t>，</w:t>
      </w:r>
      <w:r>
        <w:rPr>
          <w:rFonts w:hint="eastAsia" w:ascii="仿宋_GB2312" w:eastAsia="仿宋_GB2312" w:cs="仿宋_GB2312"/>
          <w:b w:val="0"/>
          <w:bCs w:val="0"/>
          <w:sz w:val="32"/>
          <w:szCs w:val="32"/>
        </w:rPr>
        <w:t>项</w:t>
      </w:r>
      <w:r>
        <w:rPr>
          <w:rFonts w:hint="eastAsia" w:ascii="仿宋_GB2312" w:eastAsia="仿宋_GB2312" w:cs="仿宋_GB2312"/>
          <w:sz w:val="32"/>
          <w:szCs w:val="32"/>
        </w:rPr>
        <w:t>目已完成</w:t>
      </w:r>
      <w:r>
        <w:rPr>
          <w:rFonts w:hint="eastAsia" w:ascii="仿宋_GB2312" w:eastAsia="仿宋_GB2312" w:cs="仿宋_GB2312"/>
          <w:sz w:val="32"/>
          <w:szCs w:val="32"/>
          <w:lang w:val="en-US" w:eastAsia="zh-CN"/>
        </w:rPr>
        <w:t>建设并通过完工验收。</w:t>
      </w:r>
    </w:p>
    <w:p>
      <w:pPr>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eastAsia="zh-CN"/>
        </w:rPr>
        <w:t>综合治理河道总长3.14千米，其中新建堤防1.76594千米，河道疏浚0.36千米。</w:t>
      </w:r>
      <w:r>
        <w:rPr>
          <w:rFonts w:hint="eastAsia" w:ascii="仿宋_GB2312" w:eastAsia="仿宋_GB2312" w:cs="仿宋_GB2312"/>
          <w:sz w:val="32"/>
          <w:szCs w:val="32"/>
          <w:lang w:val="en-US"/>
        </w:rPr>
        <w:t>项目的</w:t>
      </w:r>
      <w:r>
        <w:rPr>
          <w:rFonts w:hint="eastAsia" w:ascii="仿宋_GB2312" w:eastAsia="仿宋_GB2312" w:cs="仿宋_GB2312"/>
          <w:sz w:val="32"/>
          <w:szCs w:val="32"/>
        </w:rPr>
        <w:t>初设批复立项总投资1254.18万元</w:t>
      </w:r>
      <w:r>
        <w:rPr>
          <w:rFonts w:ascii="仿宋_GB2312" w:eastAsia="仿宋_GB2312" w:cs="仿宋_GB2312"/>
          <w:sz w:val="32"/>
          <w:szCs w:val="32"/>
          <w:lang w:eastAsia="zh-CN"/>
        </w:rPr>
        <w:t>。</w:t>
      </w:r>
      <w:r>
        <w:rPr>
          <w:rFonts w:hint="eastAsia" w:ascii="仿宋_GB2312" w:eastAsia="仿宋_GB2312" w:cs="仿宋_GB2312"/>
          <w:b w:val="0"/>
          <w:bCs w:val="0"/>
          <w:sz w:val="32"/>
          <w:szCs w:val="32"/>
          <w:lang w:val="en-US"/>
        </w:rPr>
        <w:t>截止</w:t>
      </w:r>
      <w:r>
        <w:rPr>
          <w:rFonts w:hint="eastAsia" w:ascii="仿宋_GB2312" w:eastAsia="仿宋_GB2312" w:cs="仿宋_GB2312"/>
          <w:b w:val="0"/>
          <w:bCs w:val="0"/>
          <w:sz w:val="32"/>
          <w:szCs w:val="32"/>
          <w:lang w:val="en-US" w:eastAsia="zh-CN"/>
        </w:rPr>
        <w:t>10</w:t>
      </w:r>
      <w:r>
        <w:rPr>
          <w:rFonts w:hint="eastAsia" w:ascii="仿宋_GB2312" w:eastAsia="仿宋_GB2312" w:cs="仿宋_GB2312"/>
          <w:b w:val="0"/>
          <w:bCs w:val="0"/>
          <w:sz w:val="32"/>
          <w:szCs w:val="32"/>
          <w:lang w:val="en-US"/>
        </w:rPr>
        <w:t>月</w:t>
      </w:r>
      <w:r>
        <w:rPr>
          <w:rFonts w:hint="eastAsia" w:ascii="仿宋_GB2312" w:eastAsia="仿宋_GB2312" w:cs="仿宋_GB2312"/>
          <w:b w:val="0"/>
          <w:bCs w:val="0"/>
          <w:sz w:val="32"/>
          <w:szCs w:val="32"/>
          <w:lang w:val="en-US" w:eastAsia="zh-CN"/>
        </w:rPr>
        <w:t>，</w:t>
      </w:r>
      <w:r>
        <w:rPr>
          <w:rFonts w:hint="eastAsia" w:ascii="仿宋_GB2312" w:eastAsia="仿宋_GB2312" w:cs="仿宋_GB2312"/>
          <w:b w:val="0"/>
          <w:bCs w:val="0"/>
          <w:sz w:val="32"/>
          <w:szCs w:val="32"/>
        </w:rPr>
        <w:t>项</w:t>
      </w:r>
      <w:r>
        <w:rPr>
          <w:rFonts w:hint="eastAsia" w:ascii="仿宋_GB2312" w:eastAsia="仿宋_GB2312" w:cs="仿宋_GB2312"/>
          <w:sz w:val="32"/>
          <w:szCs w:val="32"/>
        </w:rPr>
        <w:t>目已完成</w:t>
      </w:r>
      <w:r>
        <w:rPr>
          <w:rFonts w:hint="eastAsia" w:ascii="仿宋_GB2312" w:eastAsia="仿宋_GB2312" w:cs="仿宋_GB2312"/>
          <w:sz w:val="32"/>
          <w:szCs w:val="32"/>
          <w:lang w:val="en-US" w:eastAsia="zh-CN"/>
        </w:rPr>
        <w:t>建设并通过完工验收。</w:t>
      </w:r>
    </w:p>
    <w:p>
      <w:pPr>
        <w:widowControl/>
        <w:spacing w:line="400" w:lineRule="exact"/>
        <w:ind w:firstLine="630" w:firstLineChars="197"/>
        <w:jc w:val="left"/>
        <w:rPr>
          <w:rFonts w:hint="default" w:ascii="仿宋_GB2312" w:hAnsi="仿宋_GB2312" w:eastAsia="仿宋_GB2312" w:cs="Arial"/>
          <w:kern w:val="0"/>
          <w:sz w:val="32"/>
          <w:szCs w:val="32"/>
          <w:lang w:val="en-US" w:eastAsia="zh-CN"/>
        </w:rPr>
      </w:pPr>
    </w:p>
    <w:p>
      <w:pPr>
        <w:widowControl/>
        <w:spacing w:line="400" w:lineRule="exact"/>
        <w:ind w:firstLine="630" w:firstLineChars="197"/>
        <w:jc w:val="left"/>
        <w:outlineLvl w:val="1"/>
        <w:rPr>
          <w:rStyle w:val="21"/>
          <w:b w:val="0"/>
          <w:bCs w:val="0"/>
        </w:rPr>
      </w:pPr>
      <w:bookmarkStart w:id="13" w:name="_Toc8075"/>
      <w:r>
        <w:rPr>
          <w:rStyle w:val="21"/>
          <w:rFonts w:hint="eastAsia" w:ascii="黑体" w:eastAsia="黑体"/>
          <w:b w:val="0"/>
          <w:bCs w:val="0"/>
        </w:rPr>
        <w:t>二、机构设置</w:t>
      </w:r>
      <w:bookmarkEnd w:id="12"/>
      <w:bookmarkEnd w:id="13"/>
    </w:p>
    <w:p>
      <w:pPr>
        <w:snapToGrid w:val="0"/>
        <w:spacing w:line="520" w:lineRule="exact"/>
        <w:ind w:firstLine="640" w:firstLineChars="200"/>
        <w:rPr>
          <w:rFonts w:hint="eastAsia" w:ascii="仿宋_GB2312" w:hAnsi="仿宋" w:eastAsia="仿宋_GB2312"/>
          <w:sz w:val="32"/>
          <w:szCs w:val="32"/>
        </w:rPr>
      </w:pPr>
      <w:bookmarkStart w:id="14" w:name="_Toc15377204"/>
      <w:bookmarkStart w:id="15" w:name="_Toc8200"/>
      <w:r>
        <w:rPr>
          <w:rFonts w:hint="eastAsia" w:ascii="仿宋_GB2312" w:hAnsi="仿宋" w:eastAsia="仿宋_GB2312"/>
          <w:sz w:val="32"/>
          <w:szCs w:val="32"/>
        </w:rPr>
        <w:t>2．机构情况：</w:t>
      </w:r>
    </w:p>
    <w:p>
      <w:pPr>
        <w:snapToGrid w:val="0"/>
        <w:spacing w:line="540" w:lineRule="atLeast"/>
        <w:ind w:firstLine="640" w:firstLineChars="200"/>
        <w:rPr>
          <w:rFonts w:hint="eastAsia" w:ascii="仿宋_GB2312" w:hAnsi="宋体" w:eastAsia="仿宋_GB2312" w:cs="宋体"/>
          <w:color w:val="333333"/>
          <w:kern w:val="0"/>
          <w:sz w:val="28"/>
          <w:szCs w:val="28"/>
          <w:lang w:val="zh-CN"/>
        </w:rPr>
      </w:pPr>
      <w:r>
        <w:rPr>
          <w:rFonts w:hint="eastAsia" w:ascii="仿宋_GB2312" w:hAnsi="仿宋_GB2312" w:eastAsia="仿宋_GB2312" w:cs="Arial"/>
          <w:kern w:val="0"/>
          <w:sz w:val="32"/>
          <w:szCs w:val="32"/>
          <w:lang w:val="zh-CN" w:eastAsia="zh-CN" w:bidi="ar-SA"/>
        </w:rPr>
        <w:t>我单位纳入本部门决算汇编范围的独立核算单位共</w:t>
      </w:r>
      <w:r>
        <w:rPr>
          <w:rFonts w:hint="eastAsia" w:ascii="仿宋_GB2312" w:hAnsi="仿宋_GB2312" w:eastAsia="仿宋_GB2312" w:cs="Arial"/>
          <w:kern w:val="0"/>
          <w:sz w:val="32"/>
          <w:szCs w:val="32"/>
          <w:lang w:val="en-US" w:eastAsia="zh-CN" w:bidi="ar-SA"/>
        </w:rPr>
        <w:t>1</w:t>
      </w:r>
      <w:r>
        <w:rPr>
          <w:rFonts w:hint="eastAsia" w:ascii="仿宋_GB2312" w:hAnsi="仿宋_GB2312" w:eastAsia="仿宋_GB2312" w:cs="Arial"/>
          <w:kern w:val="0"/>
          <w:sz w:val="32"/>
          <w:szCs w:val="32"/>
          <w:lang w:val="zh-CN" w:eastAsia="zh-CN" w:bidi="ar-SA"/>
        </w:rPr>
        <w:t>个，无增减变动。</w:t>
      </w:r>
    </w:p>
    <w:p>
      <w:pPr>
        <w:snapToGrid w:val="0"/>
        <w:spacing w:line="540" w:lineRule="atLeast"/>
        <w:ind w:firstLine="640" w:firstLineChars="200"/>
        <w:rPr>
          <w:rFonts w:hint="eastAsia" w:ascii="仿宋_GB2312" w:hAnsi="仿宋" w:eastAsia="仿宋_GB2312"/>
          <w:sz w:val="32"/>
          <w:szCs w:val="32"/>
        </w:rPr>
      </w:pPr>
      <w:r>
        <w:rPr>
          <w:rFonts w:hint="eastAsia" w:ascii="仿宋_GB2312" w:hAnsi="仿宋" w:eastAsia="仿宋_GB2312"/>
          <w:sz w:val="32"/>
          <w:szCs w:val="32"/>
        </w:rPr>
        <w:t>3．人员情况：</w:t>
      </w:r>
    </w:p>
    <w:p>
      <w:pPr>
        <w:snapToGrid w:val="0"/>
        <w:spacing w:line="520" w:lineRule="exact"/>
        <w:ind w:firstLine="640" w:firstLineChars="200"/>
        <w:rPr>
          <w:rFonts w:hint="eastAsia" w:ascii="仿宋_GB2312" w:hAnsi="仿宋_GB2312" w:eastAsia="仿宋_GB2312" w:cs="Arial"/>
          <w:color w:val="auto"/>
          <w:kern w:val="0"/>
          <w:sz w:val="32"/>
          <w:szCs w:val="32"/>
          <w:lang w:val="zh-CN" w:eastAsia="zh-CN" w:bidi="ar-SA"/>
        </w:rPr>
      </w:pPr>
      <w:r>
        <w:rPr>
          <w:rFonts w:hint="eastAsia" w:ascii="仿宋_GB2312" w:eastAsia="仿宋_GB2312"/>
          <w:color w:val="auto"/>
          <w:sz w:val="32"/>
          <w:szCs w:val="32"/>
          <w:lang w:eastAsia="zh-CN"/>
        </w:rPr>
        <w:t>金川县水务局</w:t>
      </w:r>
      <w:r>
        <w:rPr>
          <w:rFonts w:hint="eastAsia" w:ascii="仿宋_GB2312" w:eastAsia="仿宋_GB2312"/>
          <w:color w:val="auto"/>
          <w:sz w:val="32"/>
          <w:szCs w:val="32"/>
        </w:rPr>
        <w:t>是</w:t>
      </w:r>
      <w:r>
        <w:rPr>
          <w:rFonts w:hint="eastAsia" w:ascii="仿宋_GB2312" w:eastAsia="仿宋_GB2312"/>
          <w:bCs/>
          <w:color w:val="auto"/>
          <w:sz w:val="32"/>
          <w:szCs w:val="32"/>
        </w:rPr>
        <w:t>政府组成部门，</w:t>
      </w:r>
      <w:r>
        <w:rPr>
          <w:rFonts w:hint="eastAsia" w:ascii="仿宋_GB2312" w:eastAsia="仿宋_GB2312"/>
          <w:color w:val="auto"/>
          <w:sz w:val="32"/>
          <w:szCs w:val="32"/>
        </w:rPr>
        <w:t>核算机构1个，</w:t>
      </w:r>
      <w:r>
        <w:rPr>
          <w:rFonts w:hint="eastAsia" w:ascii="仿宋_GB2312" w:hAnsi="仿宋_GB2312" w:eastAsia="仿宋_GB2312" w:cs="Arial"/>
          <w:color w:val="auto"/>
          <w:kern w:val="0"/>
          <w:sz w:val="32"/>
          <w:szCs w:val="32"/>
          <w:lang w:val="zh-CN" w:eastAsia="zh-CN" w:bidi="ar-SA"/>
        </w:rPr>
        <w:t>我单位在职职工</w:t>
      </w:r>
      <w:r>
        <w:rPr>
          <w:rFonts w:hint="eastAsia" w:ascii="仿宋_GB2312" w:hAnsi="仿宋_GB2312" w:eastAsia="仿宋_GB2312" w:cs="Arial"/>
          <w:color w:val="auto"/>
          <w:kern w:val="0"/>
          <w:sz w:val="32"/>
          <w:szCs w:val="32"/>
          <w:lang w:val="en-US" w:eastAsia="zh-CN" w:bidi="ar-SA"/>
        </w:rPr>
        <w:t>33人，其中</w:t>
      </w:r>
      <w:r>
        <w:rPr>
          <w:rFonts w:hint="eastAsia" w:ascii="仿宋_GB2312" w:hAnsi="仿宋_GB2312" w:eastAsia="仿宋_GB2312" w:cs="Arial"/>
          <w:color w:val="auto"/>
          <w:kern w:val="0"/>
          <w:sz w:val="32"/>
          <w:szCs w:val="32"/>
          <w:lang w:val="zh-CN" w:eastAsia="zh-CN" w:bidi="ar-SA"/>
        </w:rPr>
        <w:t>行政人员</w:t>
      </w:r>
      <w:r>
        <w:rPr>
          <w:rFonts w:hint="eastAsia" w:ascii="仿宋_GB2312" w:hAnsi="仿宋_GB2312" w:eastAsia="仿宋_GB2312" w:cs="Arial"/>
          <w:color w:val="auto"/>
          <w:kern w:val="0"/>
          <w:sz w:val="32"/>
          <w:szCs w:val="32"/>
          <w:lang w:val="en-US" w:eastAsia="zh-CN" w:bidi="ar-SA"/>
        </w:rPr>
        <w:t>10</w:t>
      </w:r>
      <w:r>
        <w:rPr>
          <w:rFonts w:hint="eastAsia" w:ascii="仿宋_GB2312" w:hAnsi="仿宋_GB2312" w:eastAsia="仿宋_GB2312" w:cs="Arial"/>
          <w:color w:val="auto"/>
          <w:kern w:val="0"/>
          <w:sz w:val="32"/>
          <w:szCs w:val="32"/>
          <w:lang w:val="zh-CN" w:eastAsia="zh-CN" w:bidi="ar-SA"/>
        </w:rPr>
        <w:t>名，行政工勤</w:t>
      </w:r>
      <w:r>
        <w:rPr>
          <w:rFonts w:hint="eastAsia" w:ascii="仿宋_GB2312" w:hAnsi="仿宋_GB2312" w:eastAsia="仿宋_GB2312" w:cs="Arial"/>
          <w:color w:val="auto"/>
          <w:kern w:val="0"/>
          <w:sz w:val="32"/>
          <w:szCs w:val="32"/>
          <w:lang w:val="en-US" w:eastAsia="zh-CN" w:bidi="ar-SA"/>
        </w:rPr>
        <w:t>1人，事业技术人员22人，</w:t>
      </w:r>
      <w:r>
        <w:rPr>
          <w:rFonts w:hint="eastAsia" w:ascii="仿宋_GB2312" w:hAnsi="仿宋_GB2312" w:eastAsia="仿宋_GB2312" w:cs="Arial"/>
          <w:color w:val="auto"/>
          <w:kern w:val="0"/>
          <w:sz w:val="32"/>
          <w:szCs w:val="32"/>
          <w:lang w:val="zh-CN" w:eastAsia="zh-CN" w:bidi="ar-SA"/>
        </w:rPr>
        <w:t>在职人员较上年减少</w:t>
      </w:r>
      <w:r>
        <w:rPr>
          <w:rFonts w:hint="eastAsia" w:ascii="仿宋_GB2312" w:hAnsi="仿宋_GB2312" w:eastAsia="仿宋_GB2312" w:cs="Arial"/>
          <w:color w:val="auto"/>
          <w:kern w:val="0"/>
          <w:sz w:val="32"/>
          <w:szCs w:val="32"/>
          <w:lang w:val="en-US" w:eastAsia="zh-CN" w:bidi="ar-SA"/>
        </w:rPr>
        <w:t>1</w:t>
      </w:r>
      <w:r>
        <w:rPr>
          <w:rFonts w:hint="eastAsia" w:ascii="仿宋_GB2312" w:hAnsi="仿宋_GB2312" w:eastAsia="仿宋_GB2312" w:cs="Arial"/>
          <w:color w:val="auto"/>
          <w:kern w:val="0"/>
          <w:sz w:val="32"/>
          <w:szCs w:val="32"/>
          <w:lang w:val="zh-CN" w:eastAsia="zh-CN" w:bidi="ar-SA"/>
        </w:rPr>
        <w:t>人，减少原因为在职死亡一人，遗属人员增加</w:t>
      </w:r>
      <w:r>
        <w:rPr>
          <w:rFonts w:hint="eastAsia" w:ascii="仿宋_GB2312" w:hAnsi="仿宋_GB2312" w:eastAsia="仿宋_GB2312" w:cs="Arial"/>
          <w:color w:val="auto"/>
          <w:kern w:val="0"/>
          <w:sz w:val="32"/>
          <w:szCs w:val="32"/>
          <w:lang w:val="en-US" w:eastAsia="zh-CN" w:bidi="ar-SA"/>
        </w:rPr>
        <w:t>3名</w:t>
      </w:r>
      <w:r>
        <w:rPr>
          <w:rFonts w:hint="eastAsia" w:ascii="仿宋_GB2312" w:hAnsi="仿宋_GB2312" w:eastAsia="仿宋_GB2312" w:cs="Arial"/>
          <w:color w:val="auto"/>
          <w:kern w:val="0"/>
          <w:sz w:val="32"/>
          <w:szCs w:val="32"/>
          <w:lang w:val="zh-CN" w:eastAsia="zh-CN" w:bidi="ar-SA"/>
        </w:rPr>
        <w:t>。</w:t>
      </w:r>
    </w:p>
    <w:p>
      <w:pPr>
        <w:pStyle w:val="3"/>
        <w:ind w:right="440" w:firstLine="440" w:firstLineChars="100"/>
        <w:jc w:val="both"/>
        <w:outlineLvl w:val="0"/>
      </w:pPr>
      <w:r>
        <w:rPr>
          <w:rFonts w:hint="eastAsia" w:ascii="黑体" w:eastAsia="黑体"/>
          <w:b w:val="0"/>
          <w:color w:val="000000"/>
        </w:rPr>
        <w:t>第二部分</w:t>
      </w:r>
      <w:r>
        <w:rPr>
          <w:rFonts w:hint="eastAsia" w:ascii="黑体" w:eastAsia="黑体"/>
          <w:color w:val="000000"/>
        </w:rPr>
        <w:t xml:space="preserve"> </w:t>
      </w:r>
      <w:r>
        <w:rPr>
          <w:rStyle w:val="20"/>
          <w:rFonts w:hint="eastAsia" w:ascii="黑体" w:eastAsia="黑体"/>
          <w:b w:val="0"/>
          <w:bCs w:val="0"/>
        </w:rPr>
        <w:t>20</w:t>
      </w:r>
      <w:r>
        <w:rPr>
          <w:rStyle w:val="20"/>
          <w:rFonts w:hint="eastAsia" w:ascii="黑体" w:eastAsia="黑体"/>
          <w:b w:val="0"/>
          <w:bCs w:val="0"/>
          <w:lang w:val="en-US"/>
        </w:rPr>
        <w:t>22</w:t>
      </w:r>
      <w:r>
        <w:rPr>
          <w:rStyle w:val="20"/>
          <w:rFonts w:hint="eastAsia" w:ascii="黑体" w:eastAsia="黑体"/>
          <w:b w:val="0"/>
          <w:bCs w:val="0"/>
        </w:rPr>
        <w:t>年度部门决算情况说明</w:t>
      </w:r>
      <w:bookmarkEnd w:id="14"/>
      <w:bookmarkEnd w:id="15"/>
    </w:p>
    <w:p>
      <w:pPr>
        <w:pStyle w:val="26"/>
        <w:numPr>
          <w:ilvl w:val="0"/>
          <w:numId w:val="1"/>
        </w:numPr>
        <w:spacing w:line="240" w:lineRule="auto"/>
        <w:ind w:left="0" w:firstLine="0" w:firstLineChars="0"/>
        <w:outlineLvl w:val="1"/>
        <w:rPr>
          <w:rStyle w:val="21"/>
          <w:rFonts w:ascii="黑体" w:eastAsia="黑体"/>
          <w:b w:val="0"/>
        </w:rPr>
      </w:pPr>
      <w:bookmarkStart w:id="16" w:name="_Toc9204"/>
      <w:bookmarkStart w:id="17" w:name="_Toc15377205"/>
      <w:r>
        <w:rPr>
          <w:rFonts w:hint="eastAsia" w:ascii="黑体" w:eastAsia="黑体"/>
          <w:color w:val="000000"/>
          <w:sz w:val="32"/>
          <w:szCs w:val="32"/>
        </w:rPr>
        <w:t>收</w:t>
      </w:r>
      <w:r>
        <w:rPr>
          <w:rStyle w:val="21"/>
          <w:rFonts w:hint="eastAsia" w:ascii="黑体" w:eastAsia="黑体"/>
          <w:b w:val="0"/>
        </w:rPr>
        <w:t>入支出决算总体情况说明</w:t>
      </w:r>
      <w:bookmarkEnd w:id="16"/>
      <w:bookmarkEnd w:id="17"/>
    </w:p>
    <w:p>
      <w:pPr>
        <w:snapToGrid w:val="0"/>
        <w:spacing w:line="520" w:lineRule="exact"/>
        <w:ind w:firstLine="632" w:firstLineChars="200"/>
        <w:rPr>
          <w:rFonts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2022年度总收入5659.69万元，较上年收入增长20.52万元，增长3.61%，增加的主要原因是2022年我单位人员增加。</w:t>
      </w:r>
    </w:p>
    <w:p>
      <w:pPr>
        <w:snapToGrid w:val="0"/>
        <w:spacing w:line="520" w:lineRule="exact"/>
        <w:ind w:firstLine="632" w:firstLineChars="200"/>
        <w:rPr>
          <w:rFonts w:hint="eastAsia" w:ascii="仿宋_GB2312" w:eastAsia="仿宋_GB2312"/>
          <w:color w:val="auto"/>
          <w:spacing w:val="-2"/>
          <w:kern w:val="2"/>
          <w:sz w:val="32"/>
          <w:szCs w:val="32"/>
          <w:lang w:val="en-US" w:eastAsia="zh-CN" w:bidi="ar-SA"/>
        </w:rPr>
      </w:pPr>
      <w:r>
        <w:rPr>
          <w:rFonts w:hint="eastAsia" w:ascii="仿宋_GB2312" w:eastAsia="仿宋_GB2312"/>
          <w:color w:val="auto"/>
          <w:spacing w:val="-2"/>
          <w:kern w:val="2"/>
          <w:sz w:val="32"/>
          <w:szCs w:val="32"/>
          <w:lang w:val="en-US" w:eastAsia="zh-CN" w:bidi="ar-SA"/>
        </w:rPr>
        <w:t>2022年总支出</w:t>
      </w:r>
      <w:r>
        <w:rPr>
          <w:rFonts w:hint="eastAsia" w:ascii="仿宋_GB2312" w:eastAsia="仿宋_GB2312"/>
          <w:color w:val="000000"/>
          <w:spacing w:val="-2"/>
          <w:kern w:val="2"/>
          <w:sz w:val="32"/>
          <w:szCs w:val="32"/>
          <w:lang w:val="en-US" w:eastAsia="zh-CN" w:bidi="ar-SA"/>
        </w:rPr>
        <w:t>5659.69</w:t>
      </w:r>
      <w:r>
        <w:rPr>
          <w:rFonts w:hint="eastAsia" w:ascii="仿宋_GB2312" w:eastAsia="仿宋_GB2312"/>
          <w:color w:val="auto"/>
          <w:spacing w:val="-2"/>
          <w:kern w:val="2"/>
          <w:sz w:val="32"/>
          <w:szCs w:val="32"/>
          <w:lang w:val="en-US" w:eastAsia="zh-CN" w:bidi="ar-SA"/>
        </w:rPr>
        <w:t>万元，较上年支出减少969.78万元，减少主要原因是项目减少。</w:t>
      </w:r>
    </w:p>
    <w:p>
      <w:pPr>
        <w:pStyle w:val="12"/>
        <w:rPr>
          <w:lang w:val="en-US" w:eastAsia="zh-CN"/>
        </w:rPr>
      </w:pPr>
    </w:p>
    <w:p>
      <w:pPr>
        <w:rPr>
          <w:lang w:val="en-US" w:eastAsia="zh-CN"/>
        </w:rPr>
      </w:pPr>
      <w:r>
        <w:drawing>
          <wp:inline distT="0" distB="0" distL="114300" distR="114300">
            <wp:extent cx="4906010" cy="3223260"/>
            <wp:effectExtent l="4445" t="4445" r="23495" b="1079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4"/>
        <w:rPr>
          <w:lang w:val="en-US" w:eastAsia="zh-CN"/>
        </w:rPr>
      </w:pPr>
    </w:p>
    <w:p>
      <w:pPr>
        <w:pStyle w:val="15"/>
        <w:rPr>
          <w:lang w:val="en-US" w:eastAsia="zh-CN"/>
        </w:rPr>
      </w:pPr>
    </w:p>
    <w:p>
      <w:pPr>
        <w:pStyle w:val="15"/>
        <w:rPr>
          <w:lang w:val="en-US" w:eastAsia="zh-CN"/>
        </w:rPr>
      </w:pPr>
    </w:p>
    <w:p>
      <w:pPr>
        <w:spacing w:line="600" w:lineRule="exact"/>
        <w:ind w:firstLine="640" w:firstLineChars="200"/>
        <w:outlineLvl w:val="1"/>
        <w:rPr>
          <w:rStyle w:val="21"/>
          <w:rFonts w:ascii="黑体" w:eastAsia="黑体"/>
          <w:b w:val="0"/>
        </w:rPr>
      </w:pPr>
      <w:bookmarkStart w:id="18" w:name="_Toc28215"/>
      <w:bookmarkStart w:id="19" w:name="_Toc15377206"/>
      <w:r>
        <w:rPr>
          <w:rFonts w:hint="eastAsia" w:ascii="黑体" w:eastAsia="黑体" w:cs="Times New Roman"/>
          <w:color w:val="000000"/>
          <w:kern w:val="2"/>
          <w:sz w:val="32"/>
          <w:szCs w:val="32"/>
          <w:lang w:val="en-US" w:eastAsia="zh-CN" w:bidi="ar-SA"/>
        </w:rPr>
        <w:t>二、收入决</w:t>
      </w:r>
      <w:r>
        <w:rPr>
          <w:rStyle w:val="21"/>
          <w:rFonts w:hint="eastAsia" w:ascii="黑体" w:eastAsia="黑体"/>
          <w:b w:val="0"/>
        </w:rPr>
        <w:t>算情况说明</w:t>
      </w:r>
      <w:bookmarkEnd w:id="18"/>
      <w:bookmarkEnd w:id="19"/>
    </w:p>
    <w:p>
      <w:pPr>
        <w:spacing w:line="600" w:lineRule="exact"/>
        <w:ind w:firstLine="640" w:firstLineChars="200"/>
        <w:outlineLvl w:val="9"/>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_GB2312" w:eastAsia="仿宋_GB2312"/>
          <w:color w:val="000000"/>
          <w:spacing w:val="-2"/>
          <w:kern w:val="2"/>
          <w:sz w:val="32"/>
          <w:szCs w:val="32"/>
          <w:lang w:val="en-US" w:eastAsia="zh-CN" w:bidi="ar-SA"/>
        </w:rPr>
        <w:t>5659.69</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5082.68</w:t>
      </w:r>
      <w:r>
        <w:rPr>
          <w:rFonts w:hint="eastAsia" w:ascii="仿宋" w:eastAsia="仿宋"/>
          <w:color w:val="000000"/>
          <w:sz w:val="32"/>
          <w:szCs w:val="32"/>
        </w:rPr>
        <w:t>万元，占</w:t>
      </w:r>
      <w:r>
        <w:rPr>
          <w:rFonts w:hint="eastAsia" w:ascii="仿宋" w:eastAsia="仿宋"/>
          <w:color w:val="000000"/>
          <w:sz w:val="32"/>
          <w:szCs w:val="32"/>
          <w:lang w:val="en-US" w:eastAsia="zh-CN"/>
        </w:rPr>
        <w:t>89.8</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577</w:t>
      </w:r>
      <w:r>
        <w:rPr>
          <w:rFonts w:hint="eastAsia" w:ascii="仿宋" w:eastAsia="仿宋"/>
          <w:color w:val="000000"/>
          <w:sz w:val="32"/>
          <w:szCs w:val="32"/>
        </w:rPr>
        <w:t>万元，占</w:t>
      </w:r>
      <w:r>
        <w:rPr>
          <w:rFonts w:hint="eastAsia" w:ascii="仿宋" w:eastAsia="仿宋"/>
          <w:color w:val="000000"/>
          <w:sz w:val="32"/>
          <w:szCs w:val="32"/>
          <w:lang w:val="en-US" w:eastAsia="zh-CN"/>
        </w:rPr>
        <w:t>10.19</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pStyle w:val="12"/>
        <w:rPr>
          <w:rFonts w:hint="eastAsia"/>
          <w:lang w:val="en-US" w:eastAsia="zh-CN"/>
        </w:rPr>
      </w:pPr>
    </w:p>
    <w:p>
      <w:pPr>
        <w:pStyle w:val="12"/>
        <w:rPr>
          <w:rFonts w:hint="eastAsia"/>
          <w:lang w:val="en-US" w:eastAsia="zh-CN"/>
        </w:rPr>
      </w:pPr>
    </w:p>
    <w:p>
      <w:pPr>
        <w:rPr>
          <w:rFonts w:hint="eastAsia"/>
          <w:lang w:val="en-US" w:eastAsia="zh-CN"/>
        </w:rPr>
      </w:pPr>
    </w:p>
    <w:p>
      <w:pPr>
        <w:pStyle w:val="14"/>
        <w:rPr>
          <w:rFonts w:hint="eastAsia"/>
          <w:lang w:val="en-US" w:eastAsia="zh-CN"/>
        </w:rPr>
      </w:pPr>
    </w:p>
    <w:p>
      <w:pPr>
        <w:pStyle w:val="15"/>
        <w:rPr>
          <w:rFonts w:hint="eastAsia"/>
          <w:lang w:val="en-US" w:eastAsia="zh-CN"/>
        </w:rPr>
      </w:pPr>
      <w:r>
        <w:drawing>
          <wp:inline distT="0" distB="0" distL="114300" distR="114300">
            <wp:extent cx="5132070" cy="3726815"/>
            <wp:effectExtent l="5080" t="4445" r="6350" b="2159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outlineLvl w:val="1"/>
        <w:rPr>
          <w:rStyle w:val="21"/>
          <w:rFonts w:ascii="黑体" w:eastAsia="黑体"/>
          <w:b w:val="0"/>
        </w:rPr>
      </w:pPr>
      <w:bookmarkStart w:id="20" w:name="_Toc15377207"/>
      <w:bookmarkStart w:id="21" w:name="_Toc6863"/>
      <w:r>
        <w:rPr>
          <w:rFonts w:hint="eastAsia" w:ascii="黑体" w:eastAsia="黑体" w:cs="Times New Roman"/>
          <w:color w:val="000000"/>
          <w:kern w:val="2"/>
          <w:sz w:val="32"/>
          <w:szCs w:val="32"/>
          <w:lang w:val="en-US" w:eastAsia="zh-CN" w:bidi="ar-SA"/>
        </w:rPr>
        <w:t>三、支出决</w:t>
      </w:r>
      <w:r>
        <w:rPr>
          <w:rStyle w:val="21"/>
          <w:rFonts w:hint="eastAsia" w:ascii="黑体" w:eastAsia="黑体"/>
          <w:b w:val="0"/>
        </w:rPr>
        <w:t>算情况说明</w:t>
      </w:r>
      <w:bookmarkEnd w:id="20"/>
      <w:bookmarkEnd w:id="21"/>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_GB2312" w:eastAsia="仿宋_GB2312"/>
          <w:color w:val="000000"/>
          <w:spacing w:val="-2"/>
          <w:kern w:val="2"/>
          <w:sz w:val="32"/>
          <w:szCs w:val="32"/>
          <w:lang w:val="en-US" w:eastAsia="zh-CN" w:bidi="ar-SA"/>
        </w:rPr>
        <w:t>5659.69</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763.82</w:t>
      </w:r>
      <w:r>
        <w:rPr>
          <w:rFonts w:hint="eastAsia" w:ascii="仿宋" w:eastAsia="仿宋"/>
          <w:color w:val="000000"/>
          <w:sz w:val="32"/>
          <w:szCs w:val="32"/>
        </w:rPr>
        <w:t>万元，占</w:t>
      </w:r>
      <w:r>
        <w:rPr>
          <w:rFonts w:hint="eastAsia" w:ascii="仿宋" w:eastAsia="仿宋"/>
          <w:color w:val="000000"/>
          <w:sz w:val="32"/>
          <w:szCs w:val="32"/>
          <w:lang w:val="en-US" w:eastAsia="zh-CN"/>
        </w:rPr>
        <w:t>13.49</w:t>
      </w:r>
      <w:r>
        <w:rPr>
          <w:rFonts w:hint="eastAsia" w:ascii="仿宋" w:eastAsia="仿宋"/>
          <w:color w:val="000000"/>
          <w:sz w:val="32"/>
          <w:szCs w:val="32"/>
        </w:rPr>
        <w:t>%；项目支出4895</w:t>
      </w:r>
      <w:r>
        <w:rPr>
          <w:rFonts w:hint="eastAsia" w:ascii="仿宋" w:eastAsia="仿宋"/>
          <w:color w:val="000000"/>
          <w:sz w:val="32"/>
          <w:szCs w:val="32"/>
          <w:lang w:val="en-US" w:eastAsia="zh-CN"/>
        </w:rPr>
        <w:t>.</w:t>
      </w:r>
      <w:r>
        <w:rPr>
          <w:rFonts w:hint="eastAsia" w:ascii="仿宋" w:eastAsia="仿宋"/>
          <w:color w:val="000000"/>
          <w:sz w:val="32"/>
          <w:szCs w:val="32"/>
        </w:rPr>
        <w:t>86万元，占</w:t>
      </w:r>
      <w:r>
        <w:rPr>
          <w:rFonts w:hint="eastAsia" w:ascii="仿宋" w:eastAsia="仿宋"/>
          <w:color w:val="000000"/>
          <w:sz w:val="32"/>
          <w:szCs w:val="32"/>
          <w:lang w:val="en-US" w:eastAsia="zh-CN"/>
        </w:rPr>
        <w:t>86.5</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pStyle w:val="14"/>
        <w:rPr>
          <w:rFonts w:hint="eastAsia" w:ascii="仿宋_GB2312" w:eastAsia="仿宋_GB2312"/>
          <w:color w:val="FF0000"/>
          <w:sz w:val="32"/>
          <w:szCs w:val="32"/>
          <w:lang w:eastAsia="zh-CN"/>
        </w:rPr>
      </w:pPr>
      <w:r>
        <w:drawing>
          <wp:inline distT="0" distB="0" distL="114300" distR="114300">
            <wp:extent cx="4124325" cy="2676525"/>
            <wp:effectExtent l="4445" t="4445" r="508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outlineLvl w:val="1"/>
        <w:rPr>
          <w:rStyle w:val="21"/>
          <w:rFonts w:ascii="黑体" w:eastAsia="黑体"/>
          <w:b w:val="0"/>
        </w:rPr>
      </w:pPr>
      <w:bookmarkStart w:id="22" w:name="_Toc2703"/>
      <w:bookmarkStart w:id="23" w:name="_Toc15377208"/>
      <w:r>
        <w:rPr>
          <w:rFonts w:hint="eastAsia" w:ascii="黑体" w:eastAsia="黑体"/>
          <w:color w:val="000000"/>
          <w:sz w:val="32"/>
          <w:szCs w:val="32"/>
        </w:rPr>
        <w:t>四、财</w:t>
      </w:r>
      <w:r>
        <w:rPr>
          <w:rStyle w:val="21"/>
          <w:rFonts w:hint="eastAsia" w:ascii="黑体" w:eastAsia="黑体"/>
          <w:b w:val="0"/>
        </w:rPr>
        <w:t>政拨款收入决算总体情况说明</w:t>
      </w:r>
      <w:bookmarkEnd w:id="22"/>
      <w:bookmarkEnd w:id="23"/>
    </w:p>
    <w:p>
      <w:pPr>
        <w:snapToGrid w:val="0"/>
        <w:spacing w:line="520" w:lineRule="exact"/>
        <w:ind w:firstLine="640" w:firstLineChars="200"/>
        <w:rPr>
          <w:rFonts w:hint="default"/>
          <w:lang w:val="en-US" w:eastAsia="zh-CN"/>
        </w:rPr>
      </w:pPr>
      <w:r>
        <w:rPr>
          <w:rFonts w:hint="eastAsia" w:ascii="仿宋" w:eastAsia="仿宋"/>
          <w:color w:val="000000"/>
          <w:sz w:val="32"/>
          <w:szCs w:val="32"/>
          <w:lang w:val="en-US" w:eastAsia="zh-CN"/>
        </w:rPr>
        <w:t>2022年一般公共预算财政拨款收入5082.68万元。与2021年相比，一般公共预算财政拨款收入较上年减少379.74万元，减少的主要原因是2022年我单位监督管理项目总体较上年减少；政府基金预算财政拨款收入577万元，与2021年相比，政府基金预算财政拨款收入较上年增加500.63万元，增加主要原因是2022年我单位机构改革，移民项目增加。</w:t>
      </w:r>
    </w:p>
    <w:p>
      <w:pPr>
        <w:spacing w:line="600" w:lineRule="exact"/>
        <w:ind w:firstLine="640" w:firstLineChars="200"/>
        <w:outlineLvl w:val="1"/>
        <w:rPr>
          <w:rStyle w:val="21"/>
          <w:rFonts w:ascii="黑体" w:eastAsia="黑体"/>
          <w:b w:val="0"/>
        </w:rPr>
      </w:pPr>
      <w:bookmarkStart w:id="24" w:name="_Toc21411"/>
      <w:bookmarkStart w:id="25" w:name="_Toc15377209"/>
      <w:r>
        <w:rPr>
          <w:rFonts w:hint="eastAsia" w:ascii="黑体" w:eastAsia="黑体"/>
          <w:color w:val="000000"/>
          <w:sz w:val="32"/>
          <w:szCs w:val="32"/>
        </w:rPr>
        <w:t>五、</w:t>
      </w:r>
      <w:r>
        <w:rPr>
          <w:rFonts w:hint="eastAsia" w:ascii="黑体" w:eastAsia="黑体"/>
          <w:b/>
          <w:color w:val="000000"/>
          <w:sz w:val="32"/>
          <w:szCs w:val="32"/>
        </w:rPr>
        <w:t>一</w:t>
      </w:r>
      <w:r>
        <w:rPr>
          <w:rStyle w:val="21"/>
          <w:rFonts w:hint="eastAsia" w:ascii="黑体" w:eastAsia="黑体"/>
          <w:b w:val="0"/>
        </w:rPr>
        <w:t>般公共预算财政拨款支出决算情况说明</w:t>
      </w:r>
      <w:bookmarkEnd w:id="24"/>
      <w:bookmarkEnd w:id="25"/>
    </w:p>
    <w:p>
      <w:pPr>
        <w:spacing w:line="600" w:lineRule="exact"/>
        <w:ind w:firstLine="643" w:firstLineChars="200"/>
        <w:outlineLvl w:val="2"/>
        <w:rPr>
          <w:rFonts w:ascii="仿宋" w:eastAsia="仿宋"/>
          <w:b/>
          <w:color w:val="000000"/>
          <w:sz w:val="32"/>
          <w:szCs w:val="32"/>
        </w:rPr>
      </w:pPr>
      <w:bookmarkStart w:id="26" w:name="_Toc15377210"/>
      <w:r>
        <w:rPr>
          <w:rFonts w:hint="eastAsia" w:ascii="仿宋" w:eastAsia="仿宋"/>
          <w:b/>
          <w:color w:val="000000"/>
          <w:sz w:val="32"/>
          <w:szCs w:val="32"/>
        </w:rPr>
        <w:t>（一）一般公共预算财政拨款支出决算总体情况</w:t>
      </w:r>
      <w:bookmarkEnd w:id="26"/>
    </w:p>
    <w:p>
      <w:pPr>
        <w:snapToGrid w:val="0"/>
        <w:spacing w:line="520" w:lineRule="exact"/>
        <w:ind w:firstLine="640" w:firstLineChars="200"/>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一般公共预算财政拨款支出5082.68万元，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的89.8</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支出减少379.74万元。</w:t>
      </w:r>
      <w:r>
        <w:rPr>
          <w:rFonts w:hint="eastAsia" w:ascii="仿宋" w:eastAsia="仿宋"/>
          <w:color w:val="000000"/>
          <w:sz w:val="32"/>
          <w:szCs w:val="32"/>
          <w:lang w:eastAsia="zh-CN"/>
        </w:rPr>
        <w:t>政府性基金预算财政拨款支出</w:t>
      </w:r>
      <w:r>
        <w:rPr>
          <w:rFonts w:hint="eastAsia" w:ascii="仿宋" w:eastAsia="仿宋"/>
          <w:color w:val="000000"/>
          <w:sz w:val="32"/>
          <w:szCs w:val="32"/>
          <w:lang w:val="en-US" w:eastAsia="zh-CN"/>
        </w:rPr>
        <w:t>577万元，占总支出的11.35%</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年相比，</w:t>
      </w:r>
      <w:r>
        <w:rPr>
          <w:rFonts w:hint="eastAsia" w:ascii="仿宋" w:eastAsia="仿宋"/>
          <w:color w:val="000000"/>
          <w:sz w:val="32"/>
          <w:szCs w:val="32"/>
          <w:lang w:eastAsia="zh-CN"/>
        </w:rPr>
        <w:t>政府性基金预算财政拨款</w:t>
      </w:r>
      <w:r>
        <w:rPr>
          <w:rFonts w:hint="eastAsia" w:ascii="仿宋_GB2312" w:eastAsia="仿宋_GB2312"/>
          <w:spacing w:val="-2"/>
          <w:kern w:val="2"/>
          <w:sz w:val="32"/>
          <w:szCs w:val="32"/>
          <w:lang w:val="en-US" w:eastAsia="zh-CN" w:bidi="ar-SA"/>
        </w:rPr>
        <w:t>支出增加500.63万元，</w:t>
      </w:r>
      <w:r>
        <w:rPr>
          <w:rFonts w:hint="eastAsia" w:ascii="仿宋" w:eastAsia="仿宋"/>
          <w:color w:val="000000"/>
          <w:sz w:val="32"/>
          <w:szCs w:val="32"/>
          <w:lang w:val="en-US" w:eastAsia="zh-CN"/>
        </w:rPr>
        <w:t>增加主要原因是2022年我单位机构改革，移民项目增加。</w:t>
      </w:r>
    </w:p>
    <w:p>
      <w:pPr>
        <w:snapToGrid w:val="0"/>
        <w:spacing w:line="520" w:lineRule="exact"/>
        <w:rPr>
          <w:rFonts w:hint="eastAsia" w:ascii="仿宋_GB2312" w:eastAsia="仿宋_GB2312"/>
          <w:color w:val="auto"/>
          <w:spacing w:val="-2"/>
          <w:kern w:val="2"/>
          <w:sz w:val="32"/>
          <w:szCs w:val="32"/>
          <w:lang w:val="en-US" w:eastAsia="zh-CN" w:bidi="ar-SA"/>
        </w:rPr>
      </w:pPr>
    </w:p>
    <w:p>
      <w:pPr>
        <w:pStyle w:val="12"/>
        <w:rPr>
          <w:rFonts w:hint="eastAsia" w:ascii="仿宋_GB2312" w:eastAsia="仿宋_GB2312"/>
          <w:spacing w:val="-2"/>
          <w:kern w:val="2"/>
          <w:sz w:val="32"/>
          <w:szCs w:val="32"/>
          <w:lang w:val="en-US" w:eastAsia="zh-CN" w:bidi="ar-SA"/>
        </w:rPr>
      </w:pPr>
    </w:p>
    <w:p>
      <w:r>
        <w:rPr>
          <w:rFonts w:hint="eastAsia"/>
          <w:lang w:val="en-US" w:eastAsia="zh-CN"/>
        </w:rPr>
        <w:t xml:space="preserve">        </w:t>
      </w:r>
      <w:r>
        <w:drawing>
          <wp:inline distT="0" distB="0" distL="114300" distR="114300">
            <wp:extent cx="4006850" cy="2280285"/>
            <wp:effectExtent l="6350" t="6350" r="6350" b="1841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27" w:name="_Toc15377211"/>
    </w:p>
    <w:p>
      <w:pPr>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27"/>
    </w:p>
    <w:p>
      <w:pPr>
        <w:spacing w:line="600" w:lineRule="exact"/>
        <w:ind w:firstLine="640"/>
        <w:rPr>
          <w:rFonts w:hint="eastAsia" w:ascii="仿宋" w:eastAsia="仿宋"/>
          <w:color w:val="auto"/>
          <w:sz w:val="32"/>
          <w:szCs w:val="32"/>
          <w:lang w:val="en-US" w:eastAsia="zh-CN"/>
        </w:rPr>
      </w:pPr>
      <w:r>
        <w:rPr>
          <w:rFonts w:ascii="仿宋" w:eastAsia="仿宋"/>
          <w:color w:val="auto"/>
          <w:sz w:val="32"/>
          <w:szCs w:val="32"/>
        </w:rPr>
        <w:t>20</w:t>
      </w:r>
      <w:r>
        <w:rPr>
          <w:rFonts w:hint="eastAsia" w:ascii="仿宋" w:eastAsia="仿宋"/>
          <w:color w:val="auto"/>
          <w:sz w:val="32"/>
          <w:szCs w:val="32"/>
          <w:lang w:val="en-US" w:eastAsia="zh-CN"/>
        </w:rPr>
        <w:t>22</w:t>
      </w:r>
      <w:r>
        <w:rPr>
          <w:rFonts w:hint="eastAsia" w:ascii="仿宋" w:eastAsia="仿宋"/>
          <w:color w:val="auto"/>
          <w:sz w:val="32"/>
          <w:szCs w:val="32"/>
        </w:rPr>
        <w:t>年一般公共预算财政拨款支出</w:t>
      </w:r>
      <w:r>
        <w:rPr>
          <w:rFonts w:hint="eastAsia" w:ascii="仿宋" w:eastAsia="仿宋"/>
          <w:color w:val="auto"/>
          <w:sz w:val="32"/>
          <w:szCs w:val="32"/>
          <w:lang w:val="en-US" w:eastAsia="zh-CN"/>
        </w:rPr>
        <w:t>5659.69</w:t>
      </w:r>
      <w:r>
        <w:rPr>
          <w:rFonts w:hint="eastAsia" w:ascii="仿宋" w:eastAsia="仿宋"/>
          <w:color w:val="auto"/>
          <w:sz w:val="32"/>
          <w:szCs w:val="32"/>
        </w:rPr>
        <w:t>万元，主要用于以下方面</w:t>
      </w:r>
      <w:r>
        <w:rPr>
          <w:rFonts w:ascii="仿宋" w:eastAsia="仿宋"/>
          <w:color w:val="auto"/>
          <w:sz w:val="32"/>
          <w:szCs w:val="32"/>
        </w:rPr>
        <w:t>:</w:t>
      </w:r>
      <w:r>
        <w:rPr>
          <w:rFonts w:hint="eastAsia" w:ascii="仿宋" w:eastAsia="仿宋"/>
          <w:b/>
          <w:color w:val="auto"/>
          <w:sz w:val="32"/>
          <w:szCs w:val="32"/>
          <w:lang w:eastAsia="zh-CN"/>
        </w:rPr>
        <w:t>社会保障和就业支出</w:t>
      </w:r>
      <w:r>
        <w:rPr>
          <w:rFonts w:hint="eastAsia" w:ascii="仿宋" w:eastAsia="仿宋"/>
          <w:b/>
          <w:color w:val="auto"/>
          <w:sz w:val="32"/>
          <w:szCs w:val="32"/>
        </w:rPr>
        <w:t>（类）</w:t>
      </w:r>
      <w:r>
        <w:rPr>
          <w:rFonts w:hint="eastAsia" w:ascii="仿宋" w:eastAsia="仿宋"/>
          <w:color w:val="auto"/>
          <w:sz w:val="32"/>
          <w:szCs w:val="32"/>
        </w:rPr>
        <w:t>支出</w:t>
      </w:r>
      <w:r>
        <w:rPr>
          <w:rFonts w:hint="eastAsia" w:ascii="仿宋" w:eastAsia="仿宋"/>
          <w:color w:val="auto"/>
          <w:sz w:val="32"/>
          <w:szCs w:val="32"/>
          <w:lang w:val="en-US" w:eastAsia="zh-CN"/>
        </w:rPr>
        <w:t>371.7</w:t>
      </w:r>
      <w:r>
        <w:rPr>
          <w:rFonts w:hint="eastAsia" w:ascii="仿宋" w:eastAsia="仿宋"/>
          <w:color w:val="auto"/>
          <w:sz w:val="32"/>
          <w:szCs w:val="32"/>
        </w:rPr>
        <w:t>万元，占</w:t>
      </w:r>
      <w:r>
        <w:rPr>
          <w:rFonts w:hint="eastAsia" w:ascii="仿宋" w:eastAsia="仿宋"/>
          <w:color w:val="auto"/>
          <w:sz w:val="32"/>
          <w:szCs w:val="32"/>
          <w:lang w:val="en-US" w:eastAsia="zh-CN"/>
        </w:rPr>
        <w:t>6.57</w:t>
      </w:r>
      <w:r>
        <w:rPr>
          <w:rFonts w:ascii="仿宋" w:eastAsia="仿宋"/>
          <w:color w:val="auto"/>
          <w:sz w:val="32"/>
          <w:szCs w:val="32"/>
        </w:rPr>
        <w:t>%</w:t>
      </w:r>
      <w:r>
        <w:rPr>
          <w:rFonts w:hint="eastAsia" w:ascii="仿宋" w:eastAsia="仿宋"/>
          <w:color w:val="auto"/>
          <w:sz w:val="32"/>
          <w:szCs w:val="32"/>
        </w:rPr>
        <w:t>；</w:t>
      </w:r>
      <w:r>
        <w:rPr>
          <w:rFonts w:hint="eastAsia" w:ascii="仿宋" w:eastAsia="仿宋"/>
          <w:b/>
          <w:color w:val="auto"/>
          <w:sz w:val="32"/>
          <w:szCs w:val="32"/>
          <w:lang w:eastAsia="zh-CN"/>
        </w:rPr>
        <w:t>卫生健康支出</w:t>
      </w:r>
      <w:r>
        <w:rPr>
          <w:rFonts w:hint="eastAsia" w:ascii="仿宋" w:eastAsia="仿宋"/>
          <w:b/>
          <w:color w:val="auto"/>
          <w:sz w:val="32"/>
          <w:szCs w:val="32"/>
        </w:rPr>
        <w:t>（类）</w:t>
      </w:r>
      <w:r>
        <w:rPr>
          <w:rFonts w:hint="eastAsia" w:ascii="仿宋" w:eastAsia="仿宋"/>
          <w:color w:val="auto"/>
          <w:sz w:val="32"/>
          <w:szCs w:val="32"/>
        </w:rPr>
        <w:t>支出</w:t>
      </w:r>
      <w:r>
        <w:rPr>
          <w:rFonts w:hint="eastAsia" w:ascii="仿宋" w:eastAsia="仿宋"/>
          <w:color w:val="auto"/>
          <w:sz w:val="32"/>
          <w:szCs w:val="32"/>
          <w:lang w:val="en-US" w:eastAsia="zh-CN"/>
        </w:rPr>
        <w:t>36.03</w:t>
      </w:r>
      <w:r>
        <w:rPr>
          <w:rFonts w:hint="eastAsia" w:ascii="仿宋" w:eastAsia="仿宋"/>
          <w:color w:val="auto"/>
          <w:sz w:val="32"/>
          <w:szCs w:val="32"/>
        </w:rPr>
        <w:t>万元，占</w:t>
      </w:r>
      <w:r>
        <w:rPr>
          <w:rFonts w:hint="eastAsia" w:ascii="仿宋" w:eastAsia="仿宋"/>
          <w:color w:val="auto"/>
          <w:sz w:val="32"/>
          <w:szCs w:val="32"/>
          <w:lang w:val="en-US" w:eastAsia="zh-CN"/>
        </w:rPr>
        <w:t>0.7</w:t>
      </w:r>
      <w:r>
        <w:rPr>
          <w:rFonts w:ascii="仿宋" w:eastAsia="仿宋"/>
          <w:color w:val="auto"/>
          <w:sz w:val="32"/>
          <w:szCs w:val="32"/>
        </w:rPr>
        <w:t>%</w:t>
      </w:r>
      <w:r>
        <w:rPr>
          <w:rFonts w:hint="eastAsia" w:ascii="仿宋" w:eastAsia="仿宋"/>
          <w:color w:val="auto"/>
          <w:sz w:val="32"/>
          <w:szCs w:val="32"/>
        </w:rPr>
        <w:t>；</w:t>
      </w:r>
      <w:r>
        <w:rPr>
          <w:rFonts w:hint="eastAsia" w:ascii="仿宋" w:eastAsia="仿宋"/>
          <w:b/>
          <w:color w:val="auto"/>
          <w:sz w:val="32"/>
          <w:szCs w:val="32"/>
          <w:lang w:val="en-US" w:eastAsia="zh-CN"/>
        </w:rPr>
        <w:t>农林水支出（类）5202.96</w:t>
      </w:r>
      <w:r>
        <w:rPr>
          <w:rFonts w:hint="eastAsia" w:ascii="仿宋" w:eastAsia="仿宋"/>
          <w:color w:val="auto"/>
          <w:sz w:val="32"/>
          <w:szCs w:val="32"/>
          <w:lang w:val="en-US" w:eastAsia="zh-CN"/>
        </w:rPr>
        <w:t>万元，占91.93%；</w:t>
      </w:r>
      <w:r>
        <w:rPr>
          <w:rFonts w:hint="eastAsia" w:ascii="仿宋" w:eastAsia="仿宋"/>
          <w:b/>
          <w:bCs/>
          <w:color w:val="auto"/>
          <w:sz w:val="32"/>
          <w:szCs w:val="32"/>
        </w:rPr>
        <w:t>住房保障支出</w:t>
      </w:r>
      <w:r>
        <w:rPr>
          <w:rFonts w:hint="eastAsia" w:ascii="仿宋" w:eastAsia="仿宋"/>
          <w:b/>
          <w:bCs/>
          <w:color w:val="auto"/>
          <w:sz w:val="32"/>
          <w:szCs w:val="32"/>
          <w:lang w:eastAsia="zh-CN"/>
        </w:rPr>
        <w:t>（类）</w:t>
      </w:r>
      <w:r>
        <w:rPr>
          <w:rFonts w:hint="eastAsia" w:ascii="仿宋" w:eastAsia="仿宋"/>
          <w:b/>
          <w:bCs/>
          <w:color w:val="auto"/>
          <w:sz w:val="32"/>
          <w:szCs w:val="32"/>
          <w:lang w:val="en-US" w:eastAsia="zh-CN"/>
        </w:rPr>
        <w:t>49</w:t>
      </w:r>
      <w:r>
        <w:rPr>
          <w:rFonts w:hint="eastAsia" w:ascii="仿宋" w:eastAsia="仿宋"/>
          <w:color w:val="auto"/>
          <w:sz w:val="32"/>
          <w:szCs w:val="32"/>
        </w:rPr>
        <w:t>万元，占</w:t>
      </w:r>
      <w:r>
        <w:rPr>
          <w:rFonts w:hint="eastAsia" w:ascii="仿宋" w:eastAsia="仿宋"/>
          <w:color w:val="auto"/>
          <w:sz w:val="32"/>
          <w:szCs w:val="32"/>
          <w:lang w:val="en-US" w:eastAsia="zh-CN"/>
        </w:rPr>
        <w:t>0.86</w:t>
      </w:r>
      <w:r>
        <w:rPr>
          <w:rFonts w:ascii="仿宋" w:eastAsia="仿宋"/>
          <w:color w:val="auto"/>
          <w:sz w:val="32"/>
          <w:szCs w:val="32"/>
        </w:rPr>
        <w:t>%</w:t>
      </w:r>
      <w:r>
        <w:rPr>
          <w:rFonts w:hint="eastAsia" w:ascii="仿宋" w:eastAsia="仿宋"/>
          <w:color w:val="auto"/>
          <w:sz w:val="32"/>
          <w:szCs w:val="32"/>
          <w:lang w:eastAsia="zh-CN"/>
        </w:rPr>
        <w:t>。</w:t>
      </w:r>
    </w:p>
    <w:p>
      <w:pPr>
        <w:pStyle w:val="12"/>
        <w:rPr>
          <w:rFonts w:hint="eastAsia" w:ascii="仿宋" w:eastAsia="仿宋"/>
          <w:b/>
          <w:color w:val="000000"/>
          <w:sz w:val="32"/>
          <w:szCs w:val="32"/>
          <w:lang w:val="en-US" w:eastAsia="zh-CN"/>
        </w:rPr>
      </w:pPr>
      <w:bookmarkStart w:id="28" w:name="_Toc15377213"/>
      <w:bookmarkStart w:id="29" w:name="_Toc15378460"/>
      <w:bookmarkStart w:id="30" w:name="_Toc15377444"/>
    </w:p>
    <w:p>
      <w:pPr>
        <w:pStyle w:val="15"/>
        <w:ind w:left="0" w:leftChars="0" w:firstLine="0" w:firstLineChars="0"/>
        <w:rPr>
          <w:rFonts w:hint="eastAsia" w:ascii="仿宋" w:eastAsia="仿宋"/>
          <w:b/>
          <w:color w:val="000000"/>
          <w:sz w:val="32"/>
          <w:szCs w:val="32"/>
          <w:lang w:val="en-US" w:eastAsia="zh-CN"/>
        </w:rPr>
      </w:pPr>
      <w:r>
        <w:rPr>
          <w:rFonts w:hint="eastAsia"/>
          <w:lang w:val="en-US" w:eastAsia="zh-CN"/>
        </w:rPr>
        <w:t xml:space="preserve">      </w:t>
      </w:r>
      <w:r>
        <w:drawing>
          <wp:inline distT="0" distB="0" distL="114300" distR="114300">
            <wp:extent cx="4467225" cy="2743200"/>
            <wp:effectExtent l="4445" t="4445" r="5080"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outlineLvl w:val="2"/>
        <w:rPr>
          <w:rFonts w:hint="eastAsia" w:ascii="仿宋" w:eastAsia="仿宋"/>
          <w:b/>
          <w:color w:val="000000"/>
          <w:sz w:val="32"/>
          <w:szCs w:val="32"/>
          <w:lang w:val="en-US" w:eastAsia="zh-CN"/>
        </w:rPr>
      </w:pPr>
      <w:bookmarkStart w:id="31" w:name="_Toc15377212"/>
      <w:r>
        <w:rPr>
          <w:rFonts w:hint="eastAsia" w:ascii="仿宋" w:eastAsia="仿宋"/>
          <w:b/>
          <w:color w:val="000000"/>
          <w:sz w:val="32"/>
          <w:szCs w:val="32"/>
        </w:rPr>
        <w:t>（三）一般公共预算财政拨款支出决算具体情况</w:t>
      </w:r>
      <w:bookmarkEnd w:id="31"/>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22</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w:t>
      </w:r>
      <w:r>
        <w:rPr>
          <w:rFonts w:hint="eastAsia" w:ascii="仿宋" w:hAnsi="Times New Roman" w:eastAsia="仿宋" w:cs="Times New Roman"/>
          <w:b w:val="0"/>
          <w:bCs/>
          <w:color w:val="000000"/>
          <w:sz w:val="32"/>
          <w:szCs w:val="32"/>
        </w:rPr>
        <w:t>共财政拨款预</w:t>
      </w:r>
      <w:r>
        <w:rPr>
          <w:rFonts w:hint="eastAsia" w:ascii="仿宋" w:eastAsia="仿宋"/>
          <w:b w:val="0"/>
          <w:bCs/>
          <w:color w:val="000000"/>
          <w:sz w:val="32"/>
          <w:szCs w:val="32"/>
        </w:rPr>
        <w:t>算</w:t>
      </w:r>
      <w:r>
        <w:rPr>
          <w:rFonts w:hint="eastAsia" w:ascii="仿宋" w:eastAsia="仿宋"/>
          <w:b w:val="0"/>
          <w:bCs/>
          <w:color w:val="000000"/>
          <w:sz w:val="32"/>
          <w:szCs w:val="32"/>
          <w:lang w:val="en-US" w:eastAsia="zh-CN"/>
        </w:rPr>
        <w:t>数为</w:t>
      </w:r>
      <w:r>
        <w:rPr>
          <w:rFonts w:hint="eastAsia" w:ascii="仿宋" w:eastAsia="仿宋"/>
          <w:color w:val="auto"/>
          <w:sz w:val="32"/>
          <w:szCs w:val="32"/>
          <w:lang w:val="en-US" w:eastAsia="zh-CN"/>
        </w:rPr>
        <w:t>5659.69</w:t>
      </w:r>
      <w:r>
        <w:rPr>
          <w:rFonts w:hint="eastAsia" w:ascii="仿宋" w:eastAsia="仿宋"/>
          <w:b w:val="0"/>
          <w:bCs/>
          <w:color w:val="000000"/>
          <w:sz w:val="32"/>
          <w:szCs w:val="32"/>
          <w:lang w:val="en-US" w:eastAsia="zh-CN"/>
        </w:rPr>
        <w:t>万元，</w:t>
      </w:r>
      <w:r>
        <w:rPr>
          <w:rFonts w:hint="eastAsia" w:ascii="仿宋" w:eastAsia="仿宋"/>
          <w:b w:val="0"/>
          <w:bCs/>
          <w:color w:val="000000"/>
          <w:sz w:val="32"/>
          <w:szCs w:val="32"/>
        </w:rPr>
        <w:t>支出决算数为</w:t>
      </w:r>
      <w:r>
        <w:rPr>
          <w:rFonts w:hint="eastAsia" w:ascii="仿宋" w:eastAsia="仿宋"/>
          <w:color w:val="auto"/>
          <w:sz w:val="32"/>
          <w:szCs w:val="32"/>
          <w:lang w:val="en-US" w:eastAsia="zh-CN"/>
        </w:rPr>
        <w:t>5659.69</w:t>
      </w:r>
      <w:r>
        <w:rPr>
          <w:rFonts w:hint="eastAsia" w:ascii="仿宋" w:eastAsia="仿宋"/>
          <w:b w:val="0"/>
          <w:bCs/>
          <w:color w:val="000000"/>
          <w:sz w:val="32"/>
          <w:szCs w:val="32"/>
          <w:lang w:val="en-US" w:eastAsia="zh-CN"/>
        </w:rPr>
        <w:t>万元</w:t>
      </w:r>
      <w:r>
        <w:rPr>
          <w:rFonts w:hint="eastAsia" w:ascii="仿宋" w:eastAsia="仿宋"/>
          <w:b w:val="0"/>
          <w:bCs/>
          <w:color w:val="000000"/>
          <w:sz w:val="32"/>
          <w:szCs w:val="32"/>
        </w:rPr>
        <w:t>，完</w:t>
      </w:r>
      <w:r>
        <w:rPr>
          <w:rStyle w:val="17"/>
          <w:rFonts w:hint="eastAsia" w:ascii="仿宋" w:eastAsia="仿宋"/>
          <w:b w:val="0"/>
          <w:bCs/>
          <w:color w:val="000000"/>
          <w:sz w:val="32"/>
          <w:szCs w:val="32"/>
        </w:rPr>
        <w:t>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Style w:val="17"/>
          <w:rFonts w:hint="eastAsia" w:ascii="仿宋" w:eastAsia="仿宋"/>
          <w:b w:val="0"/>
          <w:bCs/>
          <w:color w:val="000000"/>
          <w:sz w:val="32"/>
          <w:szCs w:val="32"/>
          <w:lang w:val="en-US" w:eastAsia="zh-CN"/>
        </w:rPr>
        <w:t>结转下年0万元。</w:t>
      </w:r>
      <w:r>
        <w:rPr>
          <w:rStyle w:val="17"/>
          <w:rFonts w:hint="eastAsia" w:ascii="仿宋" w:eastAsia="仿宋"/>
          <w:b w:val="0"/>
          <w:bCs/>
          <w:color w:val="000000"/>
          <w:sz w:val="32"/>
          <w:szCs w:val="32"/>
        </w:rPr>
        <w:t>其中：</w:t>
      </w:r>
      <w:bookmarkEnd w:id="28"/>
      <w:bookmarkEnd w:id="29"/>
      <w:bookmarkEnd w:id="30"/>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1</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社会保障和就业（类）</w:t>
      </w:r>
      <w:r>
        <w:rPr>
          <w:rStyle w:val="17"/>
          <w:rFonts w:hint="eastAsia" w:ascii="仿宋" w:eastAsia="仿宋"/>
          <w:bCs/>
          <w:color w:val="000000"/>
          <w:sz w:val="32"/>
          <w:szCs w:val="32"/>
          <w:lang w:val="en-US" w:eastAsia="zh-CN"/>
        </w:rPr>
        <w:t>行政事业单位养老支出</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机关事业单位基本养老保险缴费支出</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61.53</w:t>
      </w:r>
      <w:r>
        <w:rPr>
          <w:rStyle w:val="17"/>
          <w:rFonts w:hint="eastAsia" w:ascii="仿宋" w:eastAsia="仿宋"/>
          <w:b w:val="0"/>
          <w:bCs/>
          <w:color w:val="000000"/>
          <w:sz w:val="32"/>
          <w:szCs w:val="32"/>
        </w:rPr>
        <w:t>万元。</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2</w:t>
      </w:r>
      <w:r>
        <w:rPr>
          <w:rStyle w:val="17"/>
          <w:rFonts w:ascii="仿宋" w:eastAsia="仿宋"/>
          <w:bCs/>
          <w:color w:val="000000"/>
          <w:sz w:val="32"/>
          <w:szCs w:val="32"/>
        </w:rPr>
        <w:t>.</w:t>
      </w:r>
      <w:r>
        <w:rPr>
          <w:rStyle w:val="17"/>
          <w:rFonts w:hint="eastAsia" w:ascii="仿宋" w:eastAsia="仿宋"/>
          <w:bCs/>
          <w:color w:val="000000"/>
          <w:sz w:val="32"/>
          <w:szCs w:val="32"/>
        </w:rPr>
        <w:t>社会保障和就业（类）</w:t>
      </w:r>
      <w:r>
        <w:rPr>
          <w:rStyle w:val="17"/>
          <w:rFonts w:hint="eastAsia" w:ascii="仿宋" w:eastAsia="仿宋"/>
          <w:bCs/>
          <w:color w:val="000000"/>
          <w:sz w:val="32"/>
          <w:szCs w:val="32"/>
          <w:lang w:val="en-US" w:eastAsia="zh-CN"/>
        </w:rPr>
        <w:t>行政事业单位养老支出</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机关事业单位基本职业年金缴费支出</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30.77</w:t>
      </w:r>
      <w:r>
        <w:rPr>
          <w:rStyle w:val="17"/>
          <w:rFonts w:hint="eastAsia" w:ascii="仿宋" w:eastAsia="仿宋"/>
          <w:b w:val="0"/>
          <w:bCs/>
          <w:color w:val="000000"/>
          <w:sz w:val="32"/>
          <w:szCs w:val="32"/>
        </w:rPr>
        <w:t>万元。</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3.</w:t>
      </w:r>
      <w:r>
        <w:rPr>
          <w:rStyle w:val="17"/>
          <w:rFonts w:hint="eastAsia" w:ascii="仿宋" w:eastAsia="仿宋"/>
          <w:bCs/>
          <w:color w:val="000000"/>
          <w:sz w:val="32"/>
          <w:szCs w:val="32"/>
        </w:rPr>
        <w:t>社会保障和就业（类）</w:t>
      </w:r>
      <w:r>
        <w:rPr>
          <w:rStyle w:val="17"/>
          <w:rFonts w:hint="eastAsia" w:ascii="仿宋" w:eastAsia="仿宋"/>
          <w:bCs/>
          <w:color w:val="000000"/>
          <w:sz w:val="32"/>
          <w:szCs w:val="32"/>
          <w:lang w:eastAsia="zh-CN"/>
        </w:rPr>
        <w:t>抚恤（款）死亡抚恤（项）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28.5</w:t>
      </w:r>
      <w:r>
        <w:rPr>
          <w:rStyle w:val="17"/>
          <w:rFonts w:hint="eastAsia" w:ascii="仿宋" w:eastAsia="仿宋"/>
          <w:b w:val="0"/>
          <w:bCs/>
          <w:color w:val="000000"/>
          <w:sz w:val="32"/>
          <w:szCs w:val="32"/>
        </w:rPr>
        <w:t>万元。</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4.</w:t>
      </w:r>
      <w:r>
        <w:rPr>
          <w:rStyle w:val="17"/>
          <w:rFonts w:hint="eastAsia" w:ascii="仿宋" w:eastAsia="仿宋"/>
          <w:bCs/>
          <w:color w:val="000000"/>
          <w:sz w:val="32"/>
          <w:szCs w:val="32"/>
        </w:rPr>
        <w:t>社会保障和就业（类）</w:t>
      </w:r>
      <w:r>
        <w:rPr>
          <w:rStyle w:val="17"/>
          <w:rFonts w:hint="eastAsia" w:ascii="仿宋" w:eastAsia="仿宋"/>
          <w:bCs/>
          <w:color w:val="000000"/>
          <w:sz w:val="32"/>
          <w:szCs w:val="32"/>
          <w:lang w:eastAsia="zh-CN"/>
        </w:rPr>
        <w:t>大中型水库移民后期扶持基金支出（款）  移民补助（项）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86</w:t>
      </w:r>
      <w:r>
        <w:rPr>
          <w:rStyle w:val="17"/>
          <w:rFonts w:hint="eastAsia" w:ascii="仿宋" w:eastAsia="仿宋"/>
          <w:b w:val="0"/>
          <w:bCs/>
          <w:color w:val="000000"/>
          <w:sz w:val="32"/>
          <w:szCs w:val="32"/>
        </w:rPr>
        <w:t>万元。</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lang w:val="en-US" w:eastAsia="zh-CN"/>
        </w:rPr>
        <w:t>5.</w:t>
      </w:r>
      <w:r>
        <w:rPr>
          <w:rStyle w:val="17"/>
          <w:rFonts w:hint="eastAsia" w:ascii="仿宋" w:eastAsia="仿宋"/>
          <w:bCs/>
          <w:color w:val="000000"/>
          <w:sz w:val="32"/>
          <w:szCs w:val="32"/>
        </w:rPr>
        <w:t>社会保障和就业（类）</w:t>
      </w:r>
      <w:r>
        <w:rPr>
          <w:rStyle w:val="17"/>
          <w:rFonts w:hint="eastAsia" w:ascii="仿宋" w:eastAsia="仿宋"/>
          <w:bCs/>
          <w:color w:val="000000"/>
          <w:sz w:val="32"/>
          <w:szCs w:val="32"/>
          <w:lang w:eastAsia="zh-CN"/>
        </w:rPr>
        <w:t>大中型水库移民后期扶持基金支出（款）基础设施建设和经济发展（项）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165</w:t>
      </w:r>
      <w:r>
        <w:rPr>
          <w:rStyle w:val="17"/>
          <w:rFonts w:hint="eastAsia" w:ascii="仿宋" w:eastAsia="仿宋"/>
          <w:b w:val="0"/>
          <w:bCs/>
          <w:color w:val="000000"/>
          <w:sz w:val="32"/>
          <w:szCs w:val="32"/>
        </w:rPr>
        <w:t>万元。</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lang w:val="en-US" w:eastAsia="zh-CN"/>
        </w:rPr>
        <w:t>6.</w:t>
      </w:r>
      <w:r>
        <w:rPr>
          <w:rStyle w:val="17"/>
          <w:rFonts w:hint="eastAsia" w:ascii="仿宋" w:eastAsia="仿宋"/>
          <w:bCs/>
          <w:color w:val="000000"/>
          <w:sz w:val="32"/>
          <w:szCs w:val="32"/>
          <w:lang w:eastAsia="zh-CN"/>
        </w:rPr>
        <w:t>卫生健康支出</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行政事业单位医疗</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行政单位医疗</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26.12</w:t>
      </w:r>
      <w:r>
        <w:rPr>
          <w:rStyle w:val="17"/>
          <w:rFonts w:hint="eastAsia" w:ascii="仿宋" w:eastAsia="仿宋"/>
          <w:b w:val="0"/>
          <w:bCs/>
          <w:color w:val="000000"/>
          <w:sz w:val="32"/>
          <w:szCs w:val="32"/>
        </w:rPr>
        <w:t>万元。</w:t>
      </w:r>
    </w:p>
    <w:p>
      <w:pPr>
        <w:spacing w:line="600" w:lineRule="exact"/>
        <w:ind w:firstLine="643" w:firstLineChars="200"/>
        <w:rPr>
          <w:rFonts w:hint="eastAsia" w:ascii="仿宋" w:eastAsia="仿宋"/>
          <w:color w:val="000000"/>
          <w:sz w:val="32"/>
          <w:szCs w:val="32"/>
          <w:lang w:val="en-US" w:eastAsia="zh-CN"/>
        </w:rPr>
      </w:pPr>
      <w:r>
        <w:rPr>
          <w:rStyle w:val="17"/>
          <w:rFonts w:hint="eastAsia" w:ascii="仿宋" w:eastAsia="仿宋"/>
          <w:bCs/>
          <w:color w:val="000000"/>
          <w:sz w:val="32"/>
          <w:szCs w:val="32"/>
          <w:lang w:val="en-US" w:eastAsia="zh-CN"/>
        </w:rPr>
        <w:t>7.</w:t>
      </w:r>
      <w:r>
        <w:rPr>
          <w:rStyle w:val="17"/>
          <w:rFonts w:hint="eastAsia" w:ascii="仿宋" w:eastAsia="仿宋"/>
          <w:bCs/>
          <w:color w:val="000000"/>
          <w:sz w:val="32"/>
          <w:szCs w:val="32"/>
          <w:lang w:eastAsia="zh-CN"/>
        </w:rPr>
        <w:t>卫生健康支出</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行政事业单位医疗</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公务员医疗补助</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3.66</w:t>
      </w:r>
      <w:r>
        <w:rPr>
          <w:rStyle w:val="17"/>
          <w:rFonts w:hint="eastAsia" w:ascii="仿宋" w:eastAsia="仿宋"/>
          <w:b w:val="0"/>
          <w:bCs/>
          <w:color w:val="000000"/>
          <w:sz w:val="32"/>
          <w:szCs w:val="32"/>
        </w:rPr>
        <w:t>万元。其他行政事业单位医疗支出</w:t>
      </w:r>
      <w:r>
        <w:rPr>
          <w:rStyle w:val="17"/>
          <w:rFonts w:hint="eastAsia" w:ascii="仿宋" w:eastAsia="仿宋"/>
          <w:b w:val="0"/>
          <w:bCs/>
          <w:color w:val="000000"/>
          <w:sz w:val="32"/>
          <w:szCs w:val="32"/>
          <w:lang w:val="en-US" w:eastAsia="zh-CN"/>
        </w:rPr>
        <w:t>6.24万元。</w:t>
      </w:r>
    </w:p>
    <w:p>
      <w:pPr>
        <w:spacing w:line="600" w:lineRule="exact"/>
        <w:ind w:firstLine="643" w:firstLineChars="200"/>
        <w:rPr>
          <w:rStyle w:val="17"/>
          <w:rFonts w:hint="eastAsia" w:ascii="仿宋" w:eastAsia="仿宋"/>
          <w:bCs/>
          <w:color w:val="000000"/>
          <w:sz w:val="32"/>
          <w:szCs w:val="32"/>
          <w:lang w:val="en-US" w:eastAsia="zh-CN"/>
        </w:rPr>
      </w:pPr>
      <w:bookmarkStart w:id="32" w:name="_Toc15377214"/>
      <w:r>
        <w:rPr>
          <w:rStyle w:val="17"/>
          <w:rFonts w:hint="eastAsia" w:ascii="仿宋" w:eastAsia="仿宋"/>
          <w:bCs/>
          <w:color w:val="000000"/>
          <w:sz w:val="32"/>
          <w:szCs w:val="32"/>
          <w:lang w:val="en-US" w:eastAsia="zh-CN"/>
        </w:rPr>
        <w:t>8.农林水支出（类）水利（款）行政运行（项）：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225.58</w:t>
      </w:r>
      <w:r>
        <w:rPr>
          <w:rStyle w:val="17"/>
          <w:rFonts w:hint="eastAsia" w:ascii="仿宋" w:eastAsia="仿宋"/>
          <w:b w:val="0"/>
          <w:bCs/>
          <w:color w:val="000000"/>
          <w:sz w:val="32"/>
          <w:szCs w:val="32"/>
        </w:rPr>
        <w:t>万元</w:t>
      </w:r>
      <w:r>
        <w:rPr>
          <w:rStyle w:val="17"/>
          <w:rFonts w:hint="eastAsia" w:ascii="仿宋" w:eastAsia="仿宋"/>
          <w:b w:val="0"/>
          <w:bCs/>
          <w:color w:val="000000"/>
          <w:sz w:val="32"/>
          <w:szCs w:val="32"/>
          <w:lang w:eastAsia="zh-CN"/>
        </w:rPr>
        <w:t>，机关服务</w:t>
      </w:r>
      <w:r>
        <w:rPr>
          <w:rStyle w:val="17"/>
          <w:rFonts w:hint="eastAsia" w:ascii="仿宋" w:eastAsia="仿宋"/>
          <w:b w:val="0"/>
          <w:bCs/>
          <w:color w:val="000000"/>
          <w:sz w:val="32"/>
          <w:szCs w:val="32"/>
          <w:lang w:val="en-US" w:eastAsia="zh-CN"/>
        </w:rPr>
        <w:t>360.91万元。</w:t>
      </w:r>
    </w:p>
    <w:p>
      <w:pPr>
        <w:spacing w:line="600" w:lineRule="exact"/>
        <w:ind w:firstLine="643" w:firstLineChars="200"/>
        <w:rPr>
          <w:rStyle w:val="17"/>
          <w:rFonts w:ascii="仿宋" w:eastAsia="仿宋"/>
          <w:bCs/>
          <w:color w:val="000000"/>
          <w:sz w:val="32"/>
          <w:szCs w:val="32"/>
          <w:lang w:val="en-US" w:eastAsia="zh-CN"/>
        </w:rPr>
      </w:pPr>
      <w:r>
        <w:rPr>
          <w:rStyle w:val="17"/>
          <w:rFonts w:hint="eastAsia" w:ascii="仿宋" w:eastAsia="仿宋"/>
          <w:bCs/>
          <w:color w:val="000000"/>
          <w:sz w:val="32"/>
          <w:szCs w:val="32"/>
          <w:lang w:val="en-US" w:eastAsia="zh-CN"/>
        </w:rPr>
        <w:t>9.农林水支出（类）水利（款）防汛（项）：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379</w:t>
      </w:r>
      <w:r>
        <w:rPr>
          <w:rStyle w:val="17"/>
          <w:rFonts w:hint="eastAsia" w:ascii="仿宋" w:eastAsia="仿宋"/>
          <w:b w:val="0"/>
          <w:bCs/>
          <w:color w:val="000000"/>
          <w:sz w:val="32"/>
          <w:szCs w:val="32"/>
        </w:rPr>
        <w:t>万元。</w:t>
      </w:r>
    </w:p>
    <w:p>
      <w:pPr>
        <w:spacing w:line="600" w:lineRule="exact"/>
        <w:ind w:firstLine="643" w:firstLineChars="200"/>
        <w:rPr>
          <w:rStyle w:val="17"/>
          <w:rFonts w:ascii="仿宋" w:eastAsia="仿宋"/>
          <w:bCs/>
          <w:color w:val="000000"/>
          <w:sz w:val="32"/>
          <w:szCs w:val="32"/>
          <w:lang w:val="en-US" w:eastAsia="zh-CN"/>
        </w:rPr>
      </w:pPr>
      <w:r>
        <w:rPr>
          <w:rStyle w:val="17"/>
          <w:rFonts w:hint="eastAsia" w:ascii="仿宋" w:eastAsia="仿宋"/>
          <w:bCs/>
          <w:color w:val="000000"/>
          <w:sz w:val="32"/>
          <w:szCs w:val="32"/>
          <w:lang w:val="en-US" w:eastAsia="zh-CN"/>
        </w:rPr>
        <w:t>10.农林水支出（类）水利（款）其他水利支出（项）：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2192.39</w:t>
      </w:r>
      <w:r>
        <w:rPr>
          <w:rStyle w:val="17"/>
          <w:rFonts w:hint="eastAsia" w:ascii="仿宋" w:eastAsia="仿宋"/>
          <w:b w:val="0"/>
          <w:bCs/>
          <w:color w:val="000000"/>
          <w:sz w:val="32"/>
          <w:szCs w:val="32"/>
        </w:rPr>
        <w:t>万元。</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11.农林水支出（类）巩固脱贫衔接乡村振兴（款）农村基础设施建设（项）：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1002.08</w:t>
      </w:r>
      <w:r>
        <w:rPr>
          <w:rStyle w:val="17"/>
          <w:rFonts w:hint="eastAsia" w:ascii="仿宋" w:eastAsia="仿宋"/>
          <w:b w:val="0"/>
          <w:bCs/>
          <w:color w:val="000000"/>
          <w:sz w:val="32"/>
          <w:szCs w:val="32"/>
        </w:rPr>
        <w:t>万元。</w:t>
      </w:r>
    </w:p>
    <w:p>
      <w:pPr>
        <w:spacing w:line="600" w:lineRule="exact"/>
        <w:ind w:firstLine="643" w:firstLineChars="200"/>
        <w:rPr>
          <w:rStyle w:val="17"/>
          <w:rFonts w:hint="eastAsia" w:ascii="仿宋" w:eastAsia="仿宋"/>
          <w:bCs/>
          <w:color w:val="000000"/>
          <w:sz w:val="32"/>
          <w:szCs w:val="32"/>
          <w:lang w:val="en-US" w:eastAsia="zh-CN"/>
        </w:rPr>
      </w:pPr>
      <w:r>
        <w:rPr>
          <w:rStyle w:val="17"/>
          <w:rFonts w:hint="eastAsia" w:ascii="仿宋" w:eastAsia="仿宋"/>
          <w:bCs/>
          <w:color w:val="000000"/>
          <w:sz w:val="32"/>
          <w:szCs w:val="32"/>
          <w:lang w:val="en-US" w:eastAsia="zh-CN"/>
        </w:rPr>
        <w:t>12.农林水支出（类）巩固脱贫衔接乡村振兴（款）生产发展（项）：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51</w:t>
      </w:r>
      <w:r>
        <w:rPr>
          <w:rStyle w:val="17"/>
          <w:rFonts w:hint="eastAsia" w:ascii="仿宋" w:eastAsia="仿宋"/>
          <w:b w:val="0"/>
          <w:bCs/>
          <w:color w:val="000000"/>
          <w:sz w:val="32"/>
          <w:szCs w:val="32"/>
        </w:rPr>
        <w:t>万元。</w:t>
      </w:r>
    </w:p>
    <w:p>
      <w:pPr>
        <w:pStyle w:val="14"/>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13.农林水支出（类）大中型水库库区基金安排的支出（款）  基础设施建设和经济发展（项）：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326</w:t>
      </w:r>
      <w:r>
        <w:rPr>
          <w:rStyle w:val="17"/>
          <w:rFonts w:hint="eastAsia" w:ascii="仿宋" w:eastAsia="仿宋"/>
          <w:b w:val="0"/>
          <w:bCs/>
          <w:color w:val="000000"/>
          <w:sz w:val="32"/>
          <w:szCs w:val="32"/>
        </w:rPr>
        <w:t>万元。</w:t>
      </w:r>
    </w:p>
    <w:p>
      <w:pPr>
        <w:pStyle w:val="14"/>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14.农林水支出（类） 其他农林水支出（款）其他农林水支出（项）：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666</w:t>
      </w:r>
      <w:r>
        <w:rPr>
          <w:rStyle w:val="17"/>
          <w:rFonts w:hint="eastAsia" w:ascii="仿宋" w:eastAsia="仿宋"/>
          <w:b w:val="0"/>
          <w:bCs/>
          <w:color w:val="000000"/>
          <w:sz w:val="32"/>
          <w:szCs w:val="32"/>
        </w:rPr>
        <w:t>万元。</w:t>
      </w:r>
    </w:p>
    <w:p>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lang w:val="en-US" w:eastAsia="zh-CN"/>
        </w:rPr>
        <w:t>15</w:t>
      </w:r>
      <w:r>
        <w:rPr>
          <w:rStyle w:val="17"/>
          <w:rFonts w:hint="eastAsia" w:ascii="仿宋" w:eastAsia="仿宋"/>
          <w:bCs/>
          <w:color w:val="000000"/>
          <w:sz w:val="32"/>
          <w:szCs w:val="32"/>
        </w:rPr>
        <w:t>.住房保障（类）住房改革支出</w:t>
      </w:r>
      <w:r>
        <w:rPr>
          <w:rStyle w:val="17"/>
          <w:rFonts w:hint="eastAsia" w:ascii="仿宋" w:eastAsia="仿宋"/>
          <w:bCs/>
          <w:color w:val="000000"/>
          <w:sz w:val="32"/>
          <w:szCs w:val="32"/>
          <w:lang w:eastAsia="zh-CN"/>
        </w:rPr>
        <w:t>（款）  住房公积金（项）</w:t>
      </w:r>
      <w:r>
        <w:rPr>
          <w:rStyle w:val="17"/>
          <w:rFonts w:hint="eastAsia"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49</w:t>
      </w:r>
      <w:r>
        <w:rPr>
          <w:rStyle w:val="17"/>
          <w:rFonts w:hint="eastAsia" w:ascii="仿宋" w:eastAsia="仿宋"/>
          <w:b w:val="0"/>
          <w:bCs/>
          <w:color w:val="000000"/>
          <w:sz w:val="32"/>
          <w:szCs w:val="32"/>
        </w:rPr>
        <w:t>万元。</w:t>
      </w:r>
    </w:p>
    <w:p>
      <w:pPr>
        <w:pStyle w:val="15"/>
        <w:rPr>
          <w:rFonts w:hint="eastAsia"/>
          <w:lang w:val="en-US" w:eastAsia="zh-CN"/>
        </w:rPr>
      </w:pPr>
    </w:p>
    <w:p>
      <w:pPr>
        <w:spacing w:line="600" w:lineRule="exact"/>
        <w:ind w:firstLine="640"/>
        <w:outlineLvl w:val="1"/>
        <w:rPr>
          <w:rStyle w:val="21"/>
        </w:rPr>
      </w:pPr>
      <w:bookmarkStart w:id="33" w:name="_Toc1182"/>
      <w:r>
        <w:rPr>
          <w:rFonts w:hint="eastAsia" w:ascii="黑体" w:eastAsia="黑体"/>
          <w:color w:val="000000"/>
          <w:sz w:val="32"/>
          <w:szCs w:val="32"/>
        </w:rPr>
        <w:t>六</w:t>
      </w:r>
      <w:r>
        <w:rPr>
          <w:rFonts w:hint="eastAsia" w:ascii="黑体" w:eastAsia="黑体"/>
          <w:b/>
          <w:color w:val="000000"/>
          <w:sz w:val="32"/>
          <w:szCs w:val="32"/>
        </w:rPr>
        <w:t>、一</w:t>
      </w:r>
      <w:r>
        <w:rPr>
          <w:rStyle w:val="21"/>
          <w:rFonts w:hint="eastAsia" w:ascii="黑体" w:eastAsia="黑体"/>
          <w:b w:val="0"/>
        </w:rPr>
        <w:t>般公共预算财政拨款基本支出决算情况说明</w:t>
      </w:r>
      <w:bookmarkEnd w:id="32"/>
      <w:bookmarkEnd w:id="33"/>
      <w:r>
        <w:rPr>
          <w:rStyle w:val="21"/>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22</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763.82</w:t>
      </w:r>
      <w:r>
        <w:rPr>
          <w:rFonts w:hint="eastAsia" w:ascii="仿宋" w:eastAsia="仿宋"/>
          <w:color w:val="000000"/>
          <w:sz w:val="32"/>
          <w:szCs w:val="32"/>
        </w:rPr>
        <w:t>万元，其中：</w:t>
      </w:r>
    </w:p>
    <w:p>
      <w:pPr>
        <w:spacing w:line="600" w:lineRule="exact"/>
        <w:ind w:firstLine="645"/>
        <w:rPr>
          <w:rFonts w:hint="default" w:ascii="仿宋" w:eastAsia="仿宋"/>
          <w:color w:val="auto"/>
          <w:sz w:val="32"/>
          <w:szCs w:val="32"/>
          <w:lang w:val="en-US" w:eastAsia="zh-CN"/>
        </w:rPr>
      </w:pPr>
      <w:r>
        <w:rPr>
          <w:rFonts w:hint="eastAsia" w:ascii="仿宋" w:eastAsia="仿宋"/>
          <w:color w:val="auto"/>
          <w:sz w:val="32"/>
          <w:szCs w:val="32"/>
        </w:rPr>
        <w:t>人员经费</w:t>
      </w:r>
      <w:r>
        <w:rPr>
          <w:rFonts w:hint="eastAsia" w:ascii="仿宋" w:eastAsia="仿宋"/>
          <w:color w:val="auto"/>
          <w:sz w:val="32"/>
          <w:szCs w:val="32"/>
          <w:lang w:val="en-US" w:eastAsia="zh-CN"/>
        </w:rPr>
        <w:t>738.22</w:t>
      </w:r>
      <w:r>
        <w:rPr>
          <w:rFonts w:hint="eastAsia" w:ascii="仿宋" w:eastAsia="仿宋"/>
          <w:color w:val="auto"/>
          <w:sz w:val="32"/>
          <w:szCs w:val="32"/>
        </w:rPr>
        <w:t>万元，主要包括：基本工资150.69</w:t>
      </w:r>
      <w:r>
        <w:rPr>
          <w:rFonts w:hint="eastAsia" w:ascii="仿宋" w:eastAsia="仿宋"/>
          <w:color w:val="auto"/>
          <w:sz w:val="32"/>
          <w:szCs w:val="32"/>
          <w:lang w:val="en-US" w:eastAsia="zh-CN"/>
        </w:rPr>
        <w:t>万元</w:t>
      </w:r>
      <w:r>
        <w:rPr>
          <w:rFonts w:hint="eastAsia" w:ascii="仿宋" w:eastAsia="仿宋"/>
          <w:color w:val="auto"/>
          <w:sz w:val="32"/>
          <w:szCs w:val="32"/>
        </w:rPr>
        <w:t>、津贴补贴100.41</w:t>
      </w:r>
      <w:r>
        <w:rPr>
          <w:rFonts w:hint="eastAsia" w:ascii="仿宋" w:eastAsia="仿宋"/>
          <w:color w:val="auto"/>
          <w:sz w:val="32"/>
          <w:szCs w:val="32"/>
          <w:lang w:val="en-US" w:eastAsia="zh-CN"/>
        </w:rPr>
        <w:t>万元</w:t>
      </w:r>
      <w:r>
        <w:rPr>
          <w:rFonts w:hint="eastAsia" w:ascii="仿宋" w:eastAsia="仿宋"/>
          <w:color w:val="auto"/>
          <w:sz w:val="32"/>
          <w:szCs w:val="32"/>
        </w:rPr>
        <w:t>、奖金</w:t>
      </w:r>
      <w:r>
        <w:rPr>
          <w:rFonts w:hint="eastAsia" w:ascii="仿宋" w:eastAsia="仿宋"/>
          <w:color w:val="auto"/>
          <w:sz w:val="32"/>
          <w:szCs w:val="32"/>
          <w:lang w:val="en-US" w:eastAsia="zh-CN"/>
        </w:rPr>
        <w:t>131.06万元</w:t>
      </w:r>
      <w:r>
        <w:rPr>
          <w:rFonts w:hint="eastAsia" w:ascii="仿宋" w:eastAsia="仿宋"/>
          <w:color w:val="auto"/>
          <w:sz w:val="32"/>
          <w:szCs w:val="32"/>
        </w:rPr>
        <w:t>、</w:t>
      </w:r>
      <w:r>
        <w:rPr>
          <w:rFonts w:hint="eastAsia" w:ascii="仿宋" w:eastAsia="仿宋"/>
          <w:color w:val="auto"/>
          <w:sz w:val="32"/>
          <w:szCs w:val="32"/>
          <w:lang w:eastAsia="zh-CN"/>
        </w:rPr>
        <w:t>绩效工资69.91万元、</w:t>
      </w:r>
      <w:r>
        <w:rPr>
          <w:rFonts w:hint="eastAsia" w:ascii="仿宋" w:eastAsia="仿宋"/>
          <w:color w:val="auto"/>
          <w:sz w:val="32"/>
          <w:szCs w:val="32"/>
        </w:rPr>
        <w:t>机关事业单位基本养老保险缴费</w:t>
      </w:r>
      <w:r>
        <w:rPr>
          <w:rFonts w:hint="eastAsia" w:ascii="仿宋" w:eastAsia="仿宋"/>
          <w:color w:val="auto"/>
          <w:sz w:val="32"/>
          <w:szCs w:val="32"/>
          <w:lang w:val="en-US" w:eastAsia="zh-CN"/>
        </w:rPr>
        <w:t>61.53万元</w:t>
      </w:r>
      <w:r>
        <w:rPr>
          <w:rFonts w:hint="eastAsia" w:ascii="仿宋" w:eastAsia="仿宋"/>
          <w:color w:val="auto"/>
          <w:sz w:val="32"/>
          <w:szCs w:val="32"/>
        </w:rPr>
        <w:t>、职业年金缴费</w:t>
      </w:r>
      <w:r>
        <w:rPr>
          <w:rFonts w:hint="eastAsia" w:ascii="仿宋" w:eastAsia="仿宋"/>
          <w:color w:val="auto"/>
          <w:sz w:val="32"/>
          <w:szCs w:val="32"/>
          <w:lang w:val="en-US" w:eastAsia="zh-CN"/>
        </w:rPr>
        <w:t>30.77万元</w:t>
      </w:r>
      <w:r>
        <w:rPr>
          <w:rFonts w:hint="eastAsia" w:ascii="仿宋" w:eastAsia="仿宋"/>
          <w:color w:val="auto"/>
          <w:sz w:val="32"/>
          <w:szCs w:val="32"/>
        </w:rPr>
        <w:t>、</w:t>
      </w:r>
      <w:r>
        <w:rPr>
          <w:rFonts w:hint="eastAsia" w:ascii="仿宋" w:eastAsia="仿宋"/>
          <w:color w:val="auto"/>
          <w:sz w:val="32"/>
          <w:szCs w:val="32"/>
          <w:lang w:val="en-US" w:eastAsia="zh-CN"/>
        </w:rPr>
        <w:t>职工基本医疗保险缴费26.13万元、公务员医疗补助缴费3.66万元、</w:t>
      </w:r>
      <w:r>
        <w:rPr>
          <w:rFonts w:hint="eastAsia" w:ascii="仿宋" w:eastAsia="仿宋"/>
          <w:color w:val="auto"/>
          <w:sz w:val="32"/>
          <w:szCs w:val="32"/>
        </w:rPr>
        <w:t>其他社会保障缴费</w:t>
      </w:r>
      <w:r>
        <w:rPr>
          <w:rFonts w:hint="eastAsia" w:ascii="仿宋" w:eastAsia="仿宋"/>
          <w:color w:val="auto"/>
          <w:sz w:val="32"/>
          <w:szCs w:val="32"/>
          <w:lang w:val="en-US" w:eastAsia="zh-CN"/>
        </w:rPr>
        <w:t>11.69万元</w:t>
      </w:r>
      <w:r>
        <w:rPr>
          <w:rFonts w:hint="eastAsia" w:ascii="仿宋" w:eastAsia="仿宋"/>
          <w:color w:val="auto"/>
          <w:sz w:val="32"/>
          <w:szCs w:val="32"/>
        </w:rPr>
        <w:t>、住房公积金</w:t>
      </w:r>
      <w:r>
        <w:rPr>
          <w:rFonts w:hint="eastAsia" w:ascii="仿宋" w:eastAsia="仿宋"/>
          <w:color w:val="auto"/>
          <w:sz w:val="32"/>
          <w:szCs w:val="32"/>
          <w:lang w:val="en-US" w:eastAsia="zh-CN"/>
        </w:rPr>
        <w:t>49万元、生活补助22.73万元、奖励金80.64万元。</w:t>
      </w:r>
      <w:r>
        <w:rPr>
          <w:rFonts w:ascii="仿宋" w:eastAsia="仿宋"/>
          <w:color w:val="auto"/>
          <w:sz w:val="32"/>
          <w:szCs w:val="32"/>
        </w:rPr>
        <w:br w:type="textWrapping"/>
      </w:r>
      <w:r>
        <w:rPr>
          <w:rFonts w:hint="eastAsia" w:ascii="仿宋" w:eastAsia="仿宋"/>
          <w:color w:val="auto"/>
          <w:sz w:val="32"/>
          <w:szCs w:val="32"/>
        </w:rPr>
        <w:t>　　公用经费</w:t>
      </w:r>
      <w:r>
        <w:rPr>
          <w:rFonts w:hint="eastAsia" w:ascii="仿宋" w:eastAsia="仿宋"/>
          <w:color w:val="auto"/>
          <w:sz w:val="32"/>
          <w:szCs w:val="32"/>
          <w:lang w:val="en-US" w:eastAsia="zh-CN"/>
        </w:rPr>
        <w:t>25.6</w:t>
      </w:r>
      <w:r>
        <w:rPr>
          <w:rFonts w:hint="eastAsia" w:ascii="仿宋" w:eastAsia="仿宋"/>
          <w:color w:val="auto"/>
          <w:sz w:val="32"/>
          <w:szCs w:val="32"/>
        </w:rPr>
        <w:t>万元，主要包括：</w:t>
      </w:r>
      <w:r>
        <w:rPr>
          <w:rFonts w:hint="eastAsia" w:ascii="仿宋" w:eastAsia="仿宋"/>
          <w:color w:val="auto"/>
          <w:sz w:val="32"/>
          <w:szCs w:val="32"/>
          <w:lang w:val="en-US" w:eastAsia="zh-CN"/>
        </w:rPr>
        <w:t>办公费3.45万元、水费0.07万元、邮电费0.8万元、差旅费8.37万元、劳务费5.05万元、福利费0.3万元、公务用车运行维护费5.97万元、其他交通费1.59万元</w:t>
      </w:r>
      <w:r>
        <w:rPr>
          <w:rFonts w:hint="eastAsia" w:ascii="仿宋" w:eastAsia="仿宋"/>
          <w:color w:val="auto"/>
          <w:sz w:val="32"/>
          <w:szCs w:val="32"/>
        </w:rPr>
        <w:t>。</w:t>
      </w:r>
    </w:p>
    <w:p>
      <w:pPr>
        <w:pStyle w:val="12"/>
        <w:ind w:left="0" w:leftChars="0" w:firstLine="640" w:firstLineChars="200"/>
        <w:jc w:val="left"/>
        <w:rPr>
          <w:rFonts w:hint="default" w:eastAsia="仿宋"/>
          <w:color w:val="auto"/>
          <w:lang w:val="en-US" w:eastAsia="zh-CN"/>
        </w:rPr>
      </w:pPr>
      <w:r>
        <w:rPr>
          <w:rFonts w:hint="eastAsia" w:ascii="仿宋" w:eastAsia="仿宋"/>
          <w:color w:val="auto"/>
          <w:sz w:val="32"/>
          <w:szCs w:val="32"/>
          <w:lang w:eastAsia="zh-CN"/>
        </w:rPr>
        <w:t>项目支出</w:t>
      </w:r>
      <w:r>
        <w:rPr>
          <w:rFonts w:hint="eastAsia" w:ascii="仿宋" w:eastAsia="仿宋"/>
          <w:color w:val="auto"/>
          <w:sz w:val="32"/>
          <w:szCs w:val="32"/>
          <w:lang w:val="en-US" w:eastAsia="zh-CN"/>
        </w:rPr>
        <w:t>4318.87万元，主要包括：农林水支出：4290.47万元、社会保障和就业支出28.4万元。</w:t>
      </w:r>
    </w:p>
    <w:p>
      <w:pPr>
        <w:spacing w:line="600" w:lineRule="exact"/>
        <w:ind w:firstLine="640" w:firstLineChars="200"/>
        <w:outlineLvl w:val="1"/>
        <w:rPr>
          <w:rStyle w:val="21"/>
          <w:rFonts w:ascii="黑体" w:eastAsia="黑体"/>
          <w:b w:val="0"/>
        </w:rPr>
      </w:pPr>
      <w:bookmarkStart w:id="34" w:name="_Toc3453"/>
      <w:bookmarkStart w:id="35" w:name="_Toc15377215"/>
      <w:r>
        <w:rPr>
          <w:rFonts w:hint="eastAsia" w:ascii="黑体" w:eastAsia="黑体"/>
          <w:color w:val="000000"/>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34"/>
      <w:bookmarkEnd w:id="35"/>
    </w:p>
    <w:p>
      <w:pPr>
        <w:spacing w:line="600" w:lineRule="exact"/>
        <w:ind w:firstLine="640"/>
        <w:outlineLvl w:val="2"/>
        <w:rPr>
          <w:rFonts w:ascii="仿宋" w:eastAsia="仿宋"/>
          <w:b/>
          <w:color w:val="000000"/>
          <w:sz w:val="32"/>
          <w:szCs w:val="32"/>
        </w:rPr>
      </w:pPr>
      <w:bookmarkStart w:id="36" w:name="_Toc15377216"/>
      <w:r>
        <w:rPr>
          <w:rFonts w:hint="eastAsia" w:ascii="仿宋" w:eastAsia="仿宋"/>
          <w:b/>
          <w:color w:val="000000"/>
          <w:sz w:val="32"/>
          <w:szCs w:val="32"/>
        </w:rPr>
        <w:t>（一）“三公”经费财政拨款支出决算总体情况说明</w:t>
      </w:r>
      <w:bookmarkEnd w:id="36"/>
    </w:p>
    <w:p>
      <w:pPr>
        <w:spacing w:line="600" w:lineRule="exact"/>
        <w:ind w:firstLine="640"/>
        <w:rPr>
          <w:rFonts w:hint="eastAsia" w:ascii="仿宋" w:eastAsia="仿宋"/>
          <w:color w:val="auto"/>
          <w:sz w:val="32"/>
          <w:szCs w:val="32"/>
          <w:lang w:val="en-US" w:eastAsia="zh-CN"/>
        </w:rPr>
      </w:pPr>
      <w:r>
        <w:rPr>
          <w:rFonts w:ascii="仿宋" w:eastAsia="仿宋"/>
          <w:color w:val="auto"/>
          <w:sz w:val="32"/>
          <w:szCs w:val="32"/>
        </w:rPr>
        <w:t>20</w:t>
      </w:r>
      <w:r>
        <w:rPr>
          <w:rFonts w:hint="eastAsia" w:ascii="仿宋" w:eastAsia="仿宋"/>
          <w:color w:val="auto"/>
          <w:sz w:val="32"/>
          <w:szCs w:val="32"/>
          <w:lang w:val="en-US" w:eastAsia="zh-CN"/>
        </w:rPr>
        <w:t>22</w:t>
      </w:r>
      <w:r>
        <w:rPr>
          <w:rFonts w:hint="eastAsia" w:ascii="仿宋" w:eastAsia="仿宋"/>
          <w:color w:val="auto"/>
          <w:sz w:val="32"/>
          <w:szCs w:val="32"/>
        </w:rPr>
        <w:t>年“三公”经费财政拨款支出决算为</w:t>
      </w:r>
      <w:r>
        <w:rPr>
          <w:rFonts w:hint="eastAsia" w:ascii="仿宋" w:eastAsia="仿宋"/>
          <w:color w:val="auto"/>
          <w:sz w:val="32"/>
          <w:szCs w:val="32"/>
          <w:lang w:val="en-US" w:eastAsia="zh-CN"/>
        </w:rPr>
        <w:t>5.97</w:t>
      </w:r>
      <w:r>
        <w:rPr>
          <w:rFonts w:hint="eastAsia" w:ascii="仿宋" w:eastAsia="仿宋"/>
          <w:color w:val="auto"/>
          <w:sz w:val="32"/>
          <w:szCs w:val="32"/>
        </w:rPr>
        <w:t>万元</w:t>
      </w:r>
      <w:r>
        <w:rPr>
          <w:rFonts w:hint="eastAsia" w:ascii="仿宋" w:eastAsia="仿宋"/>
          <w:color w:val="auto"/>
          <w:sz w:val="32"/>
          <w:szCs w:val="32"/>
          <w:lang w:eastAsia="zh-CN"/>
        </w:rPr>
        <w:t>。</w:t>
      </w:r>
    </w:p>
    <w:p>
      <w:pPr>
        <w:spacing w:line="600" w:lineRule="exact"/>
        <w:ind w:firstLine="640"/>
        <w:outlineLvl w:val="2"/>
        <w:rPr>
          <w:rFonts w:ascii="仿宋" w:eastAsia="仿宋"/>
          <w:b/>
          <w:color w:val="auto"/>
          <w:sz w:val="32"/>
          <w:szCs w:val="32"/>
        </w:rPr>
      </w:pPr>
      <w:bookmarkStart w:id="37" w:name="_Toc15377217"/>
      <w:r>
        <w:rPr>
          <w:rFonts w:hint="eastAsia" w:ascii="仿宋" w:eastAsia="仿宋"/>
          <w:b/>
          <w:color w:val="auto"/>
          <w:sz w:val="32"/>
          <w:szCs w:val="32"/>
        </w:rPr>
        <w:t>（二）“三公”经费财政拨款支出决算具体情况说明</w:t>
      </w:r>
      <w:bookmarkEnd w:id="37"/>
    </w:p>
    <w:p>
      <w:pPr>
        <w:spacing w:line="600" w:lineRule="exact"/>
        <w:ind w:firstLine="640"/>
        <w:rPr>
          <w:rFonts w:hint="eastAsia" w:ascii="仿宋" w:eastAsia="仿宋"/>
          <w:color w:val="auto"/>
          <w:sz w:val="32"/>
          <w:szCs w:val="32"/>
          <w:lang w:eastAsia="zh-CN"/>
        </w:rPr>
      </w:pPr>
      <w:r>
        <w:rPr>
          <w:rFonts w:ascii="仿宋" w:eastAsia="仿宋"/>
          <w:color w:val="auto"/>
          <w:sz w:val="32"/>
          <w:szCs w:val="32"/>
        </w:rPr>
        <w:t>20</w:t>
      </w:r>
      <w:r>
        <w:rPr>
          <w:rFonts w:hint="eastAsia" w:ascii="仿宋" w:eastAsia="仿宋"/>
          <w:color w:val="auto"/>
          <w:sz w:val="32"/>
          <w:szCs w:val="32"/>
          <w:lang w:val="en-US" w:eastAsia="zh-CN"/>
        </w:rPr>
        <w:t>22</w:t>
      </w:r>
      <w:r>
        <w:rPr>
          <w:rFonts w:hint="eastAsia" w:ascii="仿宋" w:eastAsia="仿宋"/>
          <w:color w:val="auto"/>
          <w:sz w:val="32"/>
          <w:szCs w:val="32"/>
        </w:rPr>
        <w:t>年“三公”经费财政拨款支出决算</w:t>
      </w:r>
      <w:r>
        <w:rPr>
          <w:rFonts w:hint="eastAsia" w:ascii="仿宋" w:eastAsia="仿宋"/>
          <w:color w:val="auto"/>
          <w:sz w:val="32"/>
          <w:szCs w:val="32"/>
          <w:lang w:val="en-US" w:eastAsia="zh-CN"/>
        </w:rPr>
        <w:t>5.97万元</w:t>
      </w:r>
      <w:r>
        <w:rPr>
          <w:rFonts w:hint="eastAsia" w:ascii="仿宋" w:eastAsia="仿宋"/>
          <w:color w:val="auto"/>
          <w:sz w:val="32"/>
          <w:szCs w:val="32"/>
        </w:rPr>
        <w:t>，</w:t>
      </w:r>
      <w:r>
        <w:rPr>
          <w:rFonts w:hint="eastAsia" w:ascii="仿宋" w:eastAsia="仿宋"/>
          <w:color w:val="auto"/>
          <w:sz w:val="32"/>
          <w:szCs w:val="32"/>
          <w:lang w:val="en-US" w:eastAsia="zh-CN"/>
        </w:rPr>
        <w:t>其中：</w:t>
      </w:r>
      <w:r>
        <w:rPr>
          <w:rFonts w:hint="eastAsia" w:ascii="仿宋" w:eastAsia="仿宋"/>
          <w:color w:val="auto"/>
          <w:sz w:val="32"/>
          <w:szCs w:val="32"/>
        </w:rPr>
        <w:t>因公出国（境）费支出决算</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；公务用车购置及运行维护费支出决算</w:t>
      </w:r>
      <w:r>
        <w:rPr>
          <w:rFonts w:hint="eastAsia" w:ascii="仿宋" w:eastAsia="仿宋"/>
          <w:color w:val="auto"/>
          <w:sz w:val="32"/>
          <w:szCs w:val="32"/>
          <w:lang w:val="en-US" w:eastAsia="zh-CN"/>
        </w:rPr>
        <w:t>5.97</w:t>
      </w:r>
      <w:r>
        <w:rPr>
          <w:rFonts w:hint="eastAsia" w:ascii="仿宋" w:eastAsia="仿宋"/>
          <w:color w:val="auto"/>
          <w:sz w:val="32"/>
          <w:szCs w:val="32"/>
        </w:rPr>
        <w:t>万元，占</w:t>
      </w:r>
      <w:r>
        <w:rPr>
          <w:rFonts w:hint="eastAsia" w:ascii="仿宋" w:eastAsia="仿宋"/>
          <w:color w:val="auto"/>
          <w:sz w:val="32"/>
          <w:szCs w:val="32"/>
          <w:lang w:val="en-US" w:eastAsia="zh-CN"/>
        </w:rPr>
        <w:t>100</w:t>
      </w:r>
      <w:r>
        <w:rPr>
          <w:rFonts w:ascii="仿宋" w:eastAsia="仿宋"/>
          <w:color w:val="auto"/>
          <w:sz w:val="32"/>
          <w:szCs w:val="32"/>
        </w:rPr>
        <w:t>%</w:t>
      </w:r>
      <w:r>
        <w:rPr>
          <w:rFonts w:hint="eastAsia" w:ascii="仿宋" w:eastAsia="仿宋"/>
          <w:color w:val="auto"/>
          <w:sz w:val="32"/>
          <w:szCs w:val="32"/>
        </w:rPr>
        <w:t>；公务接待费支出决算</w:t>
      </w:r>
      <w:r>
        <w:rPr>
          <w:rFonts w:hint="eastAsia" w:ascii="仿宋" w:eastAsia="仿宋"/>
          <w:color w:val="auto"/>
          <w:sz w:val="32"/>
          <w:szCs w:val="32"/>
          <w:lang w:val="en-US" w:eastAsia="zh-CN"/>
        </w:rPr>
        <w:t>0</w:t>
      </w:r>
      <w:r>
        <w:rPr>
          <w:rFonts w:hint="eastAsia" w:ascii="仿宋" w:eastAsia="仿宋"/>
          <w:color w:val="auto"/>
          <w:sz w:val="32"/>
          <w:szCs w:val="32"/>
        </w:rPr>
        <w:t>万元，占</w:t>
      </w:r>
      <w:r>
        <w:rPr>
          <w:rFonts w:hint="eastAsia" w:ascii="仿宋" w:eastAsia="仿宋"/>
          <w:color w:val="auto"/>
          <w:sz w:val="32"/>
          <w:szCs w:val="32"/>
          <w:lang w:val="en-US" w:eastAsia="zh-CN"/>
        </w:rPr>
        <w:t>0</w:t>
      </w:r>
      <w:r>
        <w:rPr>
          <w:rFonts w:ascii="仿宋" w:eastAsia="仿宋"/>
          <w:color w:val="auto"/>
          <w:sz w:val="32"/>
          <w:szCs w:val="32"/>
        </w:rPr>
        <w:t>%</w:t>
      </w:r>
      <w:r>
        <w:rPr>
          <w:rFonts w:hint="eastAsia" w:ascii="仿宋" w:eastAsia="仿宋"/>
          <w:color w:val="auto"/>
          <w:sz w:val="32"/>
          <w:szCs w:val="32"/>
        </w:rPr>
        <w:t>。</w:t>
      </w:r>
    </w:p>
    <w:p>
      <w:pPr>
        <w:numPr>
          <w:ilvl w:val="0"/>
          <w:numId w:val="2"/>
        </w:numPr>
        <w:spacing w:line="600" w:lineRule="exact"/>
        <w:ind w:firstLine="640"/>
        <w:rPr>
          <w:rFonts w:hint="eastAsia" w:ascii="仿宋_GB2312" w:eastAsia="仿宋_GB2312" w:cs="仿宋"/>
          <w:color w:val="auto"/>
          <w:sz w:val="32"/>
          <w:szCs w:val="32"/>
          <w:lang w:val="en-US" w:eastAsia="zh-CN"/>
        </w:rPr>
      </w:pPr>
      <w:r>
        <w:rPr>
          <w:rFonts w:hint="eastAsia" w:ascii="仿宋_GB2312" w:eastAsia="仿宋_GB2312"/>
          <w:b/>
          <w:color w:val="auto"/>
          <w:sz w:val="32"/>
          <w:szCs w:val="32"/>
        </w:rPr>
        <w:t>因公出国（境）经费支出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Style w:val="17"/>
          <w:rFonts w:hint="eastAsia" w:ascii="仿宋" w:eastAsia="仿宋"/>
          <w:b w:val="0"/>
          <w:bCs/>
          <w:color w:val="auto"/>
          <w:sz w:val="32"/>
          <w:szCs w:val="32"/>
        </w:rPr>
        <w:t>完成预算</w:t>
      </w:r>
      <w:r>
        <w:rPr>
          <w:rStyle w:val="17"/>
          <w:rFonts w:hint="eastAsia" w:ascii="仿宋" w:eastAsia="仿宋"/>
          <w:b w:val="0"/>
          <w:bCs/>
          <w:color w:val="auto"/>
          <w:sz w:val="32"/>
          <w:szCs w:val="32"/>
          <w:lang w:val="en-US" w:eastAsia="zh-CN"/>
        </w:rPr>
        <w:t>100</w:t>
      </w:r>
      <w:r>
        <w:rPr>
          <w:rStyle w:val="17"/>
          <w:rFonts w:ascii="仿宋" w:eastAsia="仿宋"/>
          <w:b w:val="0"/>
          <w:bCs/>
          <w:color w:val="auto"/>
          <w:sz w:val="32"/>
          <w:szCs w:val="32"/>
        </w:rPr>
        <w:t>%</w:t>
      </w:r>
      <w:r>
        <w:rPr>
          <w:rStyle w:val="17"/>
          <w:rFonts w:hint="eastAsia" w:ascii="仿宋" w:eastAsia="仿宋"/>
          <w:b w:val="0"/>
          <w:bCs/>
          <w:color w:val="auto"/>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人。因公出国（境）支出决算比</w:t>
      </w:r>
      <w:r>
        <w:rPr>
          <w:rFonts w:ascii="仿宋_GB2312" w:eastAsia="仿宋_GB2312"/>
          <w:color w:val="auto"/>
          <w:sz w:val="32"/>
          <w:szCs w:val="32"/>
        </w:rPr>
        <w:t>20</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年</w:t>
      </w:r>
      <w:r>
        <w:rPr>
          <w:rFonts w:hint="eastAsia" w:ascii="仿宋_GB2312" w:eastAsia="仿宋_GB2312"/>
          <w:color w:val="auto"/>
          <w:sz w:val="32"/>
          <w:szCs w:val="32"/>
          <w:lang w:eastAsia="zh-CN"/>
        </w:rPr>
        <w:t>未增加。</w:t>
      </w:r>
    </w:p>
    <w:p>
      <w:pPr>
        <w:spacing w:line="600" w:lineRule="exact"/>
        <w:ind w:firstLine="640"/>
        <w:rPr>
          <w:rFonts w:ascii="仿宋_GB2312" w:eastAsia="仿宋_GB2312"/>
          <w:b/>
          <w:color w:val="auto"/>
          <w:sz w:val="32"/>
          <w:szCs w:val="32"/>
        </w:rPr>
      </w:pPr>
      <w:r>
        <w:rPr>
          <w:rFonts w:hint="eastAsia" w:ascii="仿宋_GB2312" w:eastAsia="仿宋_GB2312"/>
          <w:b/>
          <w:color w:val="auto"/>
          <w:sz w:val="32"/>
          <w:szCs w:val="32"/>
          <w:lang w:val="en-US" w:eastAsia="zh-CN"/>
        </w:rPr>
        <w:t>2.公务</w:t>
      </w:r>
      <w:r>
        <w:rPr>
          <w:rFonts w:hint="eastAsia" w:ascii="仿宋_GB2312" w:eastAsia="仿宋_GB2312"/>
          <w:b/>
          <w:color w:val="auto"/>
          <w:sz w:val="32"/>
          <w:szCs w:val="32"/>
          <w:shd w:val="clear" w:color="auto" w:fill="auto"/>
        </w:rPr>
        <w:t>用车购置</w:t>
      </w:r>
      <w:r>
        <w:rPr>
          <w:rFonts w:hint="eastAsia" w:ascii="仿宋_GB2312" w:eastAsia="仿宋_GB2312"/>
          <w:b/>
          <w:color w:val="auto"/>
          <w:sz w:val="32"/>
          <w:szCs w:val="32"/>
        </w:rPr>
        <w:t>及运行维护费支出</w:t>
      </w:r>
      <w:r>
        <w:rPr>
          <w:rFonts w:hint="eastAsia" w:ascii="仿宋" w:eastAsia="仿宋"/>
          <w:color w:val="auto"/>
          <w:sz w:val="32"/>
          <w:szCs w:val="32"/>
          <w:lang w:val="en-US" w:eastAsia="zh-CN"/>
        </w:rPr>
        <w:t>5.97</w:t>
      </w:r>
      <w:r>
        <w:rPr>
          <w:rFonts w:hint="eastAsia" w:ascii="仿宋_GB2312" w:eastAsia="仿宋_GB2312"/>
          <w:color w:val="auto"/>
          <w:sz w:val="32"/>
          <w:szCs w:val="32"/>
        </w:rPr>
        <w:t>万元</w:t>
      </w:r>
      <w:r>
        <w:rPr>
          <w:rStyle w:val="17"/>
          <w:rFonts w:hint="eastAsia" w:ascii="仿宋" w:eastAsia="仿宋"/>
          <w:b w:val="0"/>
          <w:bCs/>
          <w:color w:val="auto"/>
          <w:sz w:val="32"/>
          <w:szCs w:val="32"/>
        </w:rPr>
        <w:t>。</w:t>
      </w:r>
      <w:r>
        <w:rPr>
          <w:rFonts w:hint="eastAsia" w:ascii="仿宋_GB2312" w:eastAsia="仿宋_GB2312"/>
          <w:color w:val="auto"/>
          <w:sz w:val="32"/>
          <w:szCs w:val="32"/>
        </w:rPr>
        <w:t>公务用车购置及运行维护费支出决算比</w:t>
      </w:r>
      <w:r>
        <w:rPr>
          <w:rFonts w:ascii="仿宋_GB2312" w:eastAsia="仿宋_GB2312"/>
          <w:color w:val="auto"/>
          <w:sz w:val="32"/>
          <w:szCs w:val="32"/>
        </w:rPr>
        <w:t>20</w:t>
      </w:r>
      <w:r>
        <w:rPr>
          <w:rFonts w:hint="eastAsia" w:ascii="仿宋_GB2312" w:eastAsia="仿宋_GB2312"/>
          <w:color w:val="auto"/>
          <w:sz w:val="32"/>
          <w:szCs w:val="32"/>
          <w:lang w:val="en-US" w:eastAsia="zh-CN"/>
        </w:rPr>
        <w:t>21</w:t>
      </w:r>
      <w:r>
        <w:rPr>
          <w:rFonts w:hint="eastAsia" w:ascii="仿宋_GB2312" w:eastAsia="仿宋_GB2312"/>
          <w:color w:val="auto"/>
          <w:sz w:val="32"/>
          <w:szCs w:val="32"/>
        </w:rPr>
        <w:t>年</w:t>
      </w:r>
      <w:r>
        <w:rPr>
          <w:rFonts w:hint="eastAsia" w:ascii="仿宋_GB2312" w:eastAsia="仿宋_GB2312"/>
          <w:color w:val="auto"/>
          <w:sz w:val="32"/>
          <w:szCs w:val="32"/>
          <w:lang w:eastAsia="zh-CN"/>
        </w:rPr>
        <w:t>增加</w:t>
      </w:r>
      <w:r>
        <w:rPr>
          <w:rFonts w:hint="eastAsia" w:ascii="仿宋_GB2312" w:eastAsia="仿宋_GB2312"/>
          <w:color w:val="auto"/>
          <w:sz w:val="32"/>
          <w:szCs w:val="32"/>
          <w:lang w:val="en-US" w:eastAsia="zh-CN"/>
        </w:rPr>
        <w:t>0.03</w:t>
      </w:r>
      <w:r>
        <w:rPr>
          <w:rFonts w:hint="eastAsia" w:ascii="仿宋_GB2312" w:eastAsia="仿宋_GB2312"/>
          <w:color w:val="auto"/>
          <w:sz w:val="32"/>
          <w:szCs w:val="32"/>
        </w:rPr>
        <w:t>万元。主要</w:t>
      </w:r>
      <w:r>
        <w:rPr>
          <w:rFonts w:hint="eastAsia" w:ascii="仿宋_GB2312" w:eastAsia="仿宋_GB2312"/>
          <w:color w:val="auto"/>
          <w:sz w:val="32"/>
          <w:szCs w:val="32"/>
          <w:lang w:eastAsia="zh-CN"/>
        </w:rPr>
        <w:t>原因为公务用车运行维护费增加。</w:t>
      </w:r>
    </w:p>
    <w:p>
      <w:pPr>
        <w:autoSpaceDE w:val="0"/>
        <w:autoSpaceDN w:val="0"/>
        <w:adjustRightInd w:val="0"/>
        <w:spacing w:line="600" w:lineRule="exact"/>
        <w:ind w:firstLine="640" w:firstLineChars="200"/>
        <w:jc w:val="left"/>
        <w:rPr>
          <w:rFonts w:hint="eastAsia" w:ascii="仿宋_GB2312" w:eastAsia="仿宋_GB2312"/>
          <w:b/>
          <w:color w:val="auto"/>
          <w:sz w:val="32"/>
          <w:szCs w:val="32"/>
          <w:lang w:val="en-US" w:eastAsia="zh-CN"/>
        </w:rPr>
      </w:pPr>
      <w:r>
        <w:rPr>
          <w:rFonts w:hint="eastAsia" w:ascii="仿宋_GB2312" w:eastAsia="仿宋_GB2312"/>
          <w:color w:val="auto"/>
          <w:sz w:val="32"/>
          <w:szCs w:val="32"/>
        </w:rPr>
        <w:t>其中：</w:t>
      </w:r>
      <w:r>
        <w:rPr>
          <w:rFonts w:hint="eastAsia" w:ascii="仿宋_GB2312" w:eastAsia="仿宋_GB2312"/>
          <w:b/>
          <w:color w:val="auto"/>
          <w:sz w:val="32"/>
          <w:szCs w:val="32"/>
        </w:rPr>
        <w:t>公务用车购置支出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万元。全年按规定更新购置公务用车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辆。截至</w:t>
      </w:r>
      <w:r>
        <w:rPr>
          <w:rFonts w:ascii="仿宋_GB2312" w:eastAsia="仿宋_GB2312"/>
          <w:color w:val="auto"/>
          <w:sz w:val="32"/>
          <w:szCs w:val="32"/>
        </w:rPr>
        <w:t>20</w:t>
      </w:r>
      <w:r>
        <w:rPr>
          <w:rFonts w:hint="eastAsia" w:ascii="仿宋_GB2312" w:eastAsia="仿宋_GB2312"/>
          <w:color w:val="auto"/>
          <w:sz w:val="32"/>
          <w:szCs w:val="32"/>
          <w:lang w:val="en-US" w:eastAsia="zh-CN"/>
        </w:rPr>
        <w:t>22</w:t>
      </w:r>
      <w:r>
        <w:rPr>
          <w:rFonts w:hint="eastAsia" w:ascii="仿宋_GB2312" w:eastAsia="仿宋_GB2312"/>
          <w:color w:val="auto"/>
          <w:sz w:val="32"/>
          <w:szCs w:val="32"/>
        </w:rPr>
        <w:t>年</w:t>
      </w:r>
      <w:r>
        <w:rPr>
          <w:rFonts w:ascii="仿宋_GB2312" w:eastAsia="仿宋_GB2312"/>
          <w:color w:val="auto"/>
          <w:sz w:val="32"/>
          <w:szCs w:val="32"/>
        </w:rPr>
        <w:t>12</w:t>
      </w:r>
      <w:r>
        <w:rPr>
          <w:rFonts w:hint="eastAsia" w:ascii="仿宋_GB2312" w:eastAsia="仿宋_GB2312"/>
          <w:color w:val="auto"/>
          <w:sz w:val="32"/>
          <w:szCs w:val="32"/>
        </w:rPr>
        <w:t>月</w:t>
      </w:r>
      <w:r>
        <w:rPr>
          <w:rFonts w:ascii="仿宋_GB2312" w:eastAsia="仿宋_GB2312"/>
          <w:color w:val="auto"/>
          <w:sz w:val="32"/>
          <w:szCs w:val="32"/>
        </w:rPr>
        <w:t>31</w:t>
      </w:r>
      <w:r>
        <w:rPr>
          <w:rFonts w:hint="eastAsia" w:ascii="仿宋_GB2312" w:eastAsia="仿宋_GB2312"/>
          <w:color w:val="auto"/>
          <w:sz w:val="32"/>
          <w:szCs w:val="32"/>
        </w:rPr>
        <w:t>日，共有车辆</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辆，其中：部级领导干部用车0辆、主要领导干部用车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辆、机要通信用车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辆、应急保障用车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辆、执法执勤用车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辆、特种专业技术用车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辆、离退休干部用车</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辆、其他用车</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辆</w:t>
      </w:r>
      <w:r>
        <w:rPr>
          <w:rFonts w:hint="eastAsia" w:ascii="仿宋_GB2312" w:eastAsia="仿宋_GB2312"/>
          <w:color w:val="auto"/>
          <w:sz w:val="32"/>
          <w:szCs w:val="32"/>
          <w:lang w:eastAsia="zh-CN"/>
        </w:rPr>
        <w:t>；</w:t>
      </w:r>
    </w:p>
    <w:p>
      <w:pPr>
        <w:numPr>
          <w:ilvl w:val="0"/>
          <w:numId w:val="0"/>
        </w:numPr>
        <w:spacing w:line="600" w:lineRule="exact"/>
        <w:ind w:firstLine="643" w:firstLineChars="200"/>
        <w:rPr>
          <w:rFonts w:ascii="仿宋_GB2312" w:eastAsia="仿宋_GB2312"/>
          <w:color w:val="auto"/>
          <w:sz w:val="32"/>
          <w:szCs w:val="32"/>
        </w:rPr>
      </w:pPr>
      <w:r>
        <w:rPr>
          <w:rFonts w:hint="eastAsia" w:ascii="仿宋_GB2312" w:eastAsia="仿宋_GB2312"/>
          <w:b/>
          <w:color w:val="auto"/>
          <w:sz w:val="32"/>
          <w:szCs w:val="32"/>
          <w:lang w:val="en-US" w:eastAsia="zh-CN"/>
        </w:rPr>
        <w:t>3.</w:t>
      </w:r>
      <w:r>
        <w:rPr>
          <w:rFonts w:hint="eastAsia" w:ascii="仿宋_GB2312" w:eastAsia="仿宋_GB2312"/>
          <w:b/>
          <w:color w:val="auto"/>
          <w:sz w:val="32"/>
          <w:szCs w:val="32"/>
        </w:rPr>
        <w:t>公务接待费支出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r>
        <w:rPr>
          <w:rStyle w:val="17"/>
          <w:rFonts w:hint="eastAsia" w:ascii="仿宋" w:eastAsia="仿宋"/>
          <w:b w:val="0"/>
          <w:bCs/>
          <w:color w:val="auto"/>
          <w:sz w:val="32"/>
          <w:szCs w:val="32"/>
        </w:rPr>
        <w:t>。</w:t>
      </w:r>
      <w:r>
        <w:rPr>
          <w:rFonts w:hint="eastAsia" w:ascii="仿宋_GB2312" w:eastAsia="仿宋_GB2312"/>
          <w:color w:val="auto"/>
          <w:sz w:val="32"/>
          <w:szCs w:val="32"/>
        </w:rPr>
        <w:t>主要用于执行公务、开展业务活动开支的交通费、住宿费、用餐费等。国内公务接待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人次，共计支出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p>
    <w:p>
      <w:pPr>
        <w:spacing w:line="600" w:lineRule="exact"/>
        <w:ind w:firstLine="640"/>
        <w:outlineLvl w:val="9"/>
        <w:rPr>
          <w:rFonts w:hint="eastAsia" w:ascii="仿宋_GB2312" w:eastAsia="仿宋_GB2312"/>
          <w:color w:val="auto"/>
          <w:sz w:val="32"/>
          <w:szCs w:val="32"/>
        </w:rPr>
      </w:pPr>
      <w:r>
        <w:rPr>
          <w:rFonts w:hint="eastAsia" w:ascii="仿宋" w:eastAsia="仿宋"/>
          <w:b/>
          <w:color w:val="auto"/>
          <w:sz w:val="32"/>
          <w:szCs w:val="32"/>
        </w:rPr>
        <w:t>外事接待支出</w:t>
      </w:r>
      <w:r>
        <w:rPr>
          <w:rFonts w:hint="eastAsia" w:ascii="仿宋" w:eastAsia="仿宋"/>
          <w:color w:val="auto"/>
          <w:sz w:val="32"/>
          <w:szCs w:val="32"/>
          <w:lang w:val="en-US" w:eastAsia="zh-CN"/>
        </w:rPr>
        <w:t>0</w:t>
      </w:r>
      <w:r>
        <w:rPr>
          <w:rFonts w:hint="eastAsia" w:ascii="仿宋_GB2312" w:eastAsia="仿宋_GB2312"/>
          <w:color w:val="auto"/>
          <w:sz w:val="32"/>
          <w:szCs w:val="32"/>
        </w:rPr>
        <w:t>万元，外事接待</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批次，</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人，共计支出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w:t>
      </w:r>
      <w:bookmarkStart w:id="38" w:name="_Toc15377218"/>
    </w:p>
    <w:p>
      <w:pPr>
        <w:spacing w:line="600" w:lineRule="exact"/>
        <w:ind w:firstLine="640"/>
        <w:outlineLvl w:val="1"/>
        <w:rPr>
          <w:rStyle w:val="21"/>
          <w:rFonts w:ascii="黑体" w:eastAsia="黑体"/>
        </w:rPr>
      </w:pPr>
      <w:bookmarkStart w:id="39" w:name="_Toc7712"/>
      <w:r>
        <w:rPr>
          <w:rFonts w:hint="eastAsia" w:ascii="黑体" w:eastAsia="黑体"/>
          <w:color w:val="000000"/>
          <w:sz w:val="32"/>
          <w:szCs w:val="32"/>
        </w:rPr>
        <w:t>八、</w:t>
      </w:r>
      <w:r>
        <w:rPr>
          <w:rStyle w:val="21"/>
          <w:rFonts w:hint="eastAsia" w:ascii="黑体" w:eastAsia="黑体"/>
          <w:b w:val="0"/>
        </w:rPr>
        <w:t>政府性基金预算支出决算情况说明</w:t>
      </w:r>
      <w:bookmarkEnd w:id="38"/>
      <w:bookmarkEnd w:id="3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577</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21"/>
          <w:rFonts w:ascii="黑体" w:eastAsia="黑体"/>
          <w:b w:val="0"/>
        </w:rPr>
      </w:pPr>
      <w:bookmarkStart w:id="40" w:name="_Toc11877"/>
      <w:bookmarkStart w:id="41" w:name="_Toc15377219"/>
      <w:r>
        <w:rPr>
          <w:rStyle w:val="21"/>
          <w:rFonts w:hint="eastAsia" w:ascii="黑体" w:eastAsia="黑体"/>
          <w:b w:val="0"/>
        </w:rPr>
        <w:t>国有资本经营预算支出决算情况说明</w:t>
      </w:r>
      <w:bookmarkEnd w:id="40"/>
      <w:bookmarkEnd w:id="4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6"/>
        <w:numPr>
          <w:ilvl w:val="0"/>
          <w:numId w:val="4"/>
        </w:numPr>
        <w:spacing w:line="580" w:lineRule="exact"/>
        <w:ind w:firstLineChars="0"/>
        <w:outlineLvl w:val="1"/>
        <w:rPr>
          <w:rStyle w:val="21"/>
          <w:rFonts w:ascii="黑体" w:eastAsia="黑体"/>
          <w:b w:val="0"/>
        </w:rPr>
      </w:pPr>
      <w:bookmarkStart w:id="42" w:name="_Toc11063"/>
      <w:r>
        <w:rPr>
          <w:rStyle w:val="21"/>
          <w:rFonts w:hint="eastAsia" w:ascii="黑体" w:eastAsia="黑体"/>
          <w:b w:val="0"/>
        </w:rPr>
        <w:t>预算绩效情况说明</w:t>
      </w:r>
      <w:bookmarkEnd w:id="42"/>
    </w:p>
    <w:p>
      <w:pPr>
        <w:numPr>
          <w:ilvl w:val="0"/>
          <w:numId w:val="5"/>
        </w:numPr>
        <w:spacing w:line="580" w:lineRule="exact"/>
        <w:ind w:left="0" w:firstLine="643" w:firstLineChars="200"/>
        <w:outlineLvl w:val="2"/>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单位在年初预算编制阶段，组织对开展了预算事前绩效评估</w:t>
      </w:r>
      <w:r>
        <w:rPr>
          <w:rFonts w:hint="eastAsia" w:ascii="仿宋_GB2312" w:eastAsia="仿宋_GB2312" w:cs="仿宋_GB2312"/>
          <w:sz w:val="32"/>
          <w:szCs w:val="32"/>
          <w:lang w:eastAsia="zh-CN"/>
        </w:rPr>
        <w:t>，我单位无项目预算。</w:t>
      </w:r>
    </w:p>
    <w:p>
      <w:pPr>
        <w:numPr>
          <w:ilvl w:val="0"/>
          <w:numId w:val="6"/>
        </w:num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按照预算绩效管理要求，本部门对202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年一般公共预算支出开展了绩效目标管理，正常完成绩效目标。</w:t>
      </w:r>
      <w:r>
        <w:rPr>
          <w:rFonts w:hint="eastAsia" w:ascii="仿宋_GB2312" w:eastAsia="仿宋_GB2312" w:cs="仿宋_GB2312"/>
          <w:sz w:val="32"/>
          <w:szCs w:val="32"/>
        </w:rPr>
        <w:br w:type="textWrapping"/>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2.部门整体支出绩效自评开展情况。</w:t>
      </w:r>
      <w:r>
        <w:rPr>
          <w:rFonts w:hint="eastAsia" w:ascii="仿宋_GB2312" w:eastAsia="仿宋_GB2312" w:cs="仿宋_GB2312"/>
          <w:sz w:val="32"/>
          <w:szCs w:val="32"/>
        </w:rPr>
        <w:br w:type="textWrapping"/>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按照预算绩效管理要求，本部门对202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年整体支出开展绩效自评，自评得分</w:t>
      </w:r>
      <w:r>
        <w:rPr>
          <w:rFonts w:hint="eastAsia" w:ascii="仿宋_GB2312" w:eastAsia="仿宋_GB2312" w:cs="仿宋_GB2312"/>
          <w:sz w:val="32"/>
          <w:szCs w:val="32"/>
          <w:lang w:val="en-US" w:eastAsia="zh-CN"/>
        </w:rPr>
        <w:t>92</w:t>
      </w:r>
      <w:r>
        <w:rPr>
          <w:rFonts w:hint="eastAsia" w:ascii="仿宋_GB2312" w:eastAsia="仿宋_GB2312" w:cs="仿宋_GB2312"/>
          <w:sz w:val="32"/>
          <w:szCs w:val="32"/>
        </w:rPr>
        <w:t>分。存在的问题：一是预算经费支出进度缓；二是部门</w:t>
      </w:r>
      <w:r>
        <w:rPr>
          <w:rFonts w:hint="eastAsia" w:ascii="仿宋_GB2312" w:eastAsia="仿宋_GB2312" w:cs="仿宋_GB2312"/>
          <w:sz w:val="32"/>
          <w:szCs w:val="32"/>
          <w:lang w:eastAsia="zh-CN"/>
        </w:rPr>
        <w:t>项目款支出缓慢</w:t>
      </w:r>
      <w:r>
        <w:rPr>
          <w:rFonts w:hint="eastAsia" w:ascii="仿宋_GB2312" w:eastAsia="仿宋_GB2312" w:cs="仿宋_GB2312"/>
          <w:sz w:val="32"/>
          <w:szCs w:val="32"/>
        </w:rPr>
        <w:t>；三是项目绩效目标编制不完善、细化度不够</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w:t>
      </w:r>
      <w:r>
        <w:rPr>
          <w:rFonts w:hint="eastAsia" w:ascii="仿宋_GB2312" w:eastAsia="仿宋_GB2312" w:cs="仿宋_GB2312"/>
          <w:sz w:val="32"/>
          <w:szCs w:val="32"/>
        </w:rPr>
        <w:br w:type="textWrapping"/>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我部门</w:t>
      </w:r>
      <w:r>
        <w:rPr>
          <w:rFonts w:hint="eastAsia" w:ascii="仿宋_GB2312" w:eastAsia="仿宋_GB2312" w:cs="仿宋_GB2312"/>
          <w:sz w:val="32"/>
          <w:szCs w:val="32"/>
          <w:lang w:eastAsia="zh-CN"/>
        </w:rPr>
        <w:t>将</w:t>
      </w:r>
      <w:r>
        <w:rPr>
          <w:rFonts w:hint="eastAsia" w:ascii="仿宋_GB2312" w:eastAsia="仿宋_GB2312" w:cs="仿宋_GB2312"/>
          <w:sz w:val="32"/>
          <w:szCs w:val="32"/>
        </w:rPr>
        <w:t>加强预算绩效管理，提高预算资金的使用效益和政府工作效率，积极推进预算绩效管理工作。下一步改进措施：一是高度重视，加强领导，精心组织，逐步推开，实现编制预算绩效目标全覆盖；二是加快完善部门财务规章制度建设，加强会计核算和财务管理能力；三是加强与县财政局相关科室对接工作，提升工作效率；四是完善相关制度，推进制度落实。依据相关法律、法规及管理办法，建立分级分类、使用高效、便于操作的实施细则及业务规范，制定绩效问责制度、公开制度等。</w:t>
      </w:r>
    </w:p>
    <w:p>
      <w:pPr>
        <w:jc w:val="center"/>
        <w:rPr>
          <w:rFonts w:hint="eastAsia" w:ascii="黑体" w:hAnsi="黑体" w:eastAsia="黑体"/>
          <w:color w:val="000000"/>
          <w:sz w:val="32"/>
          <w:szCs w:val="32"/>
        </w:rPr>
      </w:pPr>
      <w:r>
        <w:rPr>
          <w:rFonts w:hint="eastAsia" w:ascii="黑体" w:hAnsi="黑体" w:eastAsia="黑体"/>
          <w:color w:val="000000"/>
          <w:sz w:val="32"/>
          <w:szCs w:val="32"/>
        </w:rPr>
        <w:t>20</w:t>
      </w:r>
      <w:r>
        <w:rPr>
          <w:rFonts w:hint="eastAsia" w:ascii="黑体" w:hAnsi="黑体" w:eastAsia="黑体"/>
          <w:color w:val="000000"/>
          <w:sz w:val="32"/>
          <w:szCs w:val="32"/>
          <w:lang w:val="en-US" w:eastAsia="zh-CN"/>
        </w:rPr>
        <w:t>22</w:t>
      </w:r>
      <w:r>
        <w:rPr>
          <w:rFonts w:hint="eastAsia" w:ascii="黑体" w:hAnsi="黑体" w:eastAsia="黑体"/>
          <w:color w:val="000000"/>
          <w:sz w:val="32"/>
          <w:szCs w:val="32"/>
        </w:rPr>
        <w:t>年部门整体支出绩效评价得分表</w:t>
      </w:r>
    </w:p>
    <w:tbl>
      <w:tblPr>
        <w:tblStyle w:val="19"/>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Layout w:type="fixed"/>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vAlign w:val="top"/>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Layout w:type="fixed"/>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5</w:t>
            </w:r>
          </w:p>
        </w:tc>
      </w:tr>
      <w:tr>
        <w:tblPrEx>
          <w:tblLayout w:type="fixed"/>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4</w:t>
            </w:r>
          </w:p>
        </w:tc>
      </w:tr>
      <w:tr>
        <w:tblPrEx>
          <w:tblLayout w:type="fixed"/>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r>
      <w:tr>
        <w:tblPrEx>
          <w:tblLayout w:type="fixed"/>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1</w:t>
            </w:r>
          </w:p>
        </w:tc>
      </w:tr>
      <w:tr>
        <w:tblPrEx>
          <w:tblLayout w:type="fixed"/>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内部控制度健全完整（2分）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2</w:t>
            </w:r>
          </w:p>
        </w:tc>
      </w:tr>
      <w:tr>
        <w:tblPrEx>
          <w:tblLayout w:type="fixed"/>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3</w:t>
            </w:r>
          </w:p>
        </w:tc>
      </w:tr>
      <w:tr>
        <w:tblPrEx>
          <w:tblLayout w:type="fixed"/>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w:t>
            </w:r>
          </w:p>
        </w:tc>
      </w:tr>
      <w:tr>
        <w:tblPrEx>
          <w:tblLayout w:type="fixed"/>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4</w:t>
            </w:r>
          </w:p>
        </w:tc>
      </w:tr>
      <w:tr>
        <w:tblPrEx>
          <w:tblLayout w:type="fixed"/>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r>
        <w:tblPrEx>
          <w:tblLayout w:type="fixed"/>
          <w:tblCellMar>
            <w:top w:w="0" w:type="dxa"/>
            <w:left w:w="108" w:type="dxa"/>
            <w:bottom w:w="0" w:type="dxa"/>
            <w:right w:w="108" w:type="dxa"/>
          </w:tblCellMar>
        </w:tblPrEx>
        <w:trPr>
          <w:trHeight w:val="359"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val="en-US" w:eastAsia="zh-CN"/>
              </w:rPr>
              <w:t>4</w:t>
            </w:r>
          </w:p>
        </w:tc>
      </w:tr>
      <w:tr>
        <w:tblPrEx>
          <w:tblLayout w:type="fixed"/>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3</w:t>
            </w:r>
          </w:p>
        </w:tc>
      </w:tr>
      <w:tr>
        <w:tblPrEx>
          <w:tblLayout w:type="fixed"/>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4</w:t>
            </w:r>
          </w:p>
        </w:tc>
      </w:tr>
    </w:tbl>
    <w:p>
      <w:pPr>
        <w:jc w:val="center"/>
        <w:rPr>
          <w:rFonts w:hint="eastAsia" w:ascii="黑体" w:hAnsi="黑体" w:eastAsia="黑体"/>
          <w:color w:val="auto"/>
          <w:sz w:val="32"/>
          <w:szCs w:val="32"/>
        </w:rPr>
      </w:pPr>
      <w:bookmarkStart w:id="43" w:name="YS060103"/>
      <w:r>
        <w:rPr>
          <w:rFonts w:hint="eastAsia" w:ascii="黑体" w:hAnsi="黑体" w:eastAsia="黑体"/>
          <w:color w:val="auto"/>
          <w:sz w:val="32"/>
          <w:szCs w:val="32"/>
        </w:rPr>
        <w:t>20</w:t>
      </w:r>
      <w:r>
        <w:rPr>
          <w:rFonts w:hint="eastAsia" w:ascii="黑体" w:hAnsi="黑体" w:eastAsia="黑体"/>
          <w:color w:val="auto"/>
          <w:sz w:val="32"/>
          <w:szCs w:val="32"/>
          <w:lang w:val="en-US" w:eastAsia="zh-CN"/>
        </w:rPr>
        <w:t>22</w:t>
      </w:r>
      <w:r>
        <w:rPr>
          <w:rFonts w:hint="eastAsia" w:ascii="黑体" w:hAnsi="黑体" w:eastAsia="黑体"/>
          <w:color w:val="auto"/>
          <w:sz w:val="32"/>
          <w:szCs w:val="32"/>
        </w:rPr>
        <w:t>年项目支出绩效评价得分表</w:t>
      </w:r>
    </w:p>
    <w:tbl>
      <w:tblPr>
        <w:tblStyle w:val="19"/>
        <w:tblW w:w="98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9" w:hRule="atLeast"/>
          <w:jc w:val="center"/>
        </w:trPr>
        <w:tc>
          <w:tcPr>
            <w:tcW w:w="1618" w:type="dxa"/>
            <w:vAlign w:val="center"/>
          </w:tcPr>
          <w:p>
            <w:pPr>
              <w:widowControl/>
              <w:spacing w:line="260" w:lineRule="exact"/>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单位名称/</w:t>
            </w:r>
          </w:p>
          <w:p>
            <w:pPr>
              <w:widowControl/>
              <w:spacing w:line="260" w:lineRule="exact"/>
              <w:jc w:val="center"/>
              <w:rPr>
                <w:rFonts w:hint="eastAsia" w:ascii="宋体" w:hAnsi="宋体" w:cs="宋体"/>
                <w:b/>
                <w:bCs/>
                <w:color w:val="auto"/>
                <w:kern w:val="0"/>
                <w:sz w:val="20"/>
                <w:szCs w:val="20"/>
              </w:rPr>
            </w:pPr>
            <w:r>
              <w:rPr>
                <w:rFonts w:hint="eastAsia" w:ascii="宋体" w:hAnsi="宋体" w:cs="宋体"/>
                <w:b/>
                <w:bCs/>
                <w:color w:val="auto"/>
                <w:kern w:val="0"/>
                <w:sz w:val="20"/>
                <w:szCs w:val="20"/>
              </w:rPr>
              <w:t>项目名称</w:t>
            </w:r>
          </w:p>
        </w:tc>
        <w:tc>
          <w:tcPr>
            <w:tcW w:w="8270" w:type="dxa"/>
            <w:gridSpan w:val="4"/>
            <w:vAlign w:val="center"/>
          </w:tcPr>
          <w:p>
            <w:pPr>
              <w:widowControl/>
              <w:spacing w:line="260" w:lineRule="exact"/>
              <w:jc w:val="center"/>
              <w:rPr>
                <w:rFonts w:hint="eastAsia" w:ascii="宋体" w:hAnsi="宋体" w:cs="宋体"/>
                <w:b/>
                <w:bCs/>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atLeast"/>
          <w:jc w:val="center"/>
        </w:trPr>
        <w:tc>
          <w:tcPr>
            <w:tcW w:w="1618" w:type="dxa"/>
            <w:vAlign w:val="center"/>
          </w:tcPr>
          <w:p>
            <w:pPr>
              <w:widowControl/>
              <w:spacing w:line="26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一级</w:t>
            </w:r>
          </w:p>
          <w:p>
            <w:pPr>
              <w:widowControl/>
              <w:spacing w:line="26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指标</w:t>
            </w:r>
          </w:p>
        </w:tc>
        <w:tc>
          <w:tcPr>
            <w:tcW w:w="2113" w:type="dxa"/>
            <w:vAlign w:val="center"/>
          </w:tcPr>
          <w:p>
            <w:pPr>
              <w:widowControl/>
              <w:spacing w:line="26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二级</w:t>
            </w:r>
          </w:p>
          <w:p>
            <w:pPr>
              <w:widowControl/>
              <w:spacing w:line="26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指标</w:t>
            </w:r>
          </w:p>
        </w:tc>
        <w:tc>
          <w:tcPr>
            <w:tcW w:w="3535" w:type="dxa"/>
            <w:vAlign w:val="center"/>
          </w:tcPr>
          <w:p>
            <w:pPr>
              <w:widowControl/>
              <w:spacing w:line="26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三级指标</w:t>
            </w:r>
          </w:p>
        </w:tc>
        <w:tc>
          <w:tcPr>
            <w:tcW w:w="1311" w:type="dxa"/>
            <w:vAlign w:val="center"/>
          </w:tcPr>
          <w:p>
            <w:pPr>
              <w:widowControl/>
              <w:spacing w:line="260" w:lineRule="exact"/>
              <w:jc w:val="center"/>
              <w:rPr>
                <w:rFonts w:ascii="宋体" w:hAnsi="宋体" w:cs="宋体"/>
                <w:b/>
                <w:bCs/>
                <w:color w:val="auto"/>
                <w:kern w:val="0"/>
                <w:sz w:val="20"/>
                <w:szCs w:val="20"/>
              </w:rPr>
            </w:pPr>
            <w:r>
              <w:rPr>
                <w:rFonts w:hint="eastAsia" w:ascii="宋体" w:hAnsi="宋体" w:cs="宋体"/>
                <w:b/>
                <w:bCs/>
                <w:color w:val="auto"/>
                <w:kern w:val="0"/>
                <w:sz w:val="20"/>
                <w:szCs w:val="20"/>
              </w:rPr>
              <w:t>分值</w:t>
            </w:r>
          </w:p>
        </w:tc>
        <w:tc>
          <w:tcPr>
            <w:tcW w:w="1311" w:type="dxa"/>
            <w:vAlign w:val="center"/>
          </w:tcPr>
          <w:p>
            <w:pPr>
              <w:widowControl/>
              <w:spacing w:line="26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618" w:type="dxa"/>
            <w:vMerge w:val="restart"/>
            <w:textDirection w:val="tbRlV"/>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（20分）</w:t>
            </w:r>
            <w:r>
              <w:rPr>
                <w:rFonts w:hint="eastAsia" w:ascii="宋体" w:hAnsi="宋体" w:cs="宋体"/>
                <w:color w:val="auto"/>
                <w:kern w:val="0"/>
                <w:sz w:val="20"/>
                <w:szCs w:val="20"/>
              </w:rPr>
              <w:br w:type="textWrapping"/>
            </w:r>
            <w:r>
              <w:rPr>
                <w:rFonts w:hint="eastAsia" w:ascii="宋体" w:hAnsi="宋体" w:cs="宋体"/>
                <w:color w:val="auto"/>
                <w:kern w:val="0"/>
                <w:sz w:val="20"/>
                <w:szCs w:val="20"/>
              </w:rPr>
              <w:t>项目决策</w:t>
            </w:r>
          </w:p>
        </w:tc>
        <w:tc>
          <w:tcPr>
            <w:tcW w:w="2113" w:type="dxa"/>
            <w:vMerge w:val="restart"/>
            <w:textDirection w:val="tbRlV"/>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（10分）</w:t>
            </w:r>
            <w:r>
              <w:rPr>
                <w:rFonts w:hint="eastAsia" w:ascii="宋体" w:hAnsi="宋体" w:cs="宋体"/>
                <w:color w:val="auto"/>
                <w:kern w:val="0"/>
                <w:sz w:val="20"/>
                <w:szCs w:val="20"/>
              </w:rPr>
              <w:br w:type="textWrapping"/>
            </w:r>
            <w:r>
              <w:rPr>
                <w:rFonts w:hint="eastAsia" w:ascii="宋体" w:hAnsi="宋体" w:cs="宋体"/>
                <w:color w:val="auto"/>
                <w:kern w:val="0"/>
                <w:sz w:val="20"/>
                <w:szCs w:val="20"/>
              </w:rPr>
              <w:t>科学决策</w:t>
            </w: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必要性</w:t>
            </w:r>
            <w:r>
              <w:rPr>
                <w:rFonts w:hint="eastAsia" w:ascii="宋体" w:hAnsi="宋体" w:cs="宋体"/>
                <w:color w:val="auto"/>
                <w:kern w:val="0"/>
                <w:sz w:val="20"/>
                <w:szCs w:val="20"/>
              </w:rPr>
              <w:br w:type="textWrapping"/>
            </w:r>
            <w:r>
              <w:rPr>
                <w:rFonts w:hint="eastAsia" w:ascii="宋体" w:hAnsi="宋体" w:cs="宋体"/>
                <w:color w:val="auto"/>
                <w:kern w:val="0"/>
                <w:sz w:val="20"/>
                <w:szCs w:val="20"/>
              </w:rPr>
              <w:t>（政策依据)</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311" w:type="dxa"/>
            <w:vAlign w:val="top"/>
          </w:tcPr>
          <w:p>
            <w:pPr>
              <w:widowControl/>
              <w:spacing w:line="260" w:lineRule="exact"/>
              <w:jc w:val="center"/>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可行性</w:t>
            </w:r>
            <w:r>
              <w:rPr>
                <w:rFonts w:hint="eastAsia" w:ascii="宋体" w:hAnsi="宋体" w:cs="宋体"/>
                <w:color w:val="auto"/>
                <w:kern w:val="0"/>
                <w:sz w:val="20"/>
                <w:szCs w:val="20"/>
              </w:rPr>
              <w:br w:type="textWrapping"/>
            </w:r>
            <w:r>
              <w:rPr>
                <w:rFonts w:hint="eastAsia" w:ascii="宋体" w:hAnsi="宋体" w:cs="宋体"/>
                <w:color w:val="auto"/>
                <w:kern w:val="0"/>
                <w:sz w:val="20"/>
                <w:szCs w:val="20"/>
              </w:rPr>
              <w:t>（政策完善）</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311" w:type="dxa"/>
            <w:vAlign w:val="top"/>
          </w:tcPr>
          <w:p>
            <w:pPr>
              <w:widowControl/>
              <w:spacing w:line="260" w:lineRule="exact"/>
              <w:jc w:val="center"/>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（10）</w:t>
            </w:r>
            <w:r>
              <w:rPr>
                <w:rFonts w:hint="eastAsia" w:ascii="宋体" w:hAnsi="宋体" w:cs="宋体"/>
                <w:color w:val="auto"/>
                <w:kern w:val="0"/>
                <w:sz w:val="20"/>
                <w:szCs w:val="20"/>
              </w:rPr>
              <w:br w:type="textWrapping"/>
            </w:r>
            <w:r>
              <w:rPr>
                <w:rFonts w:hint="eastAsia" w:ascii="宋体" w:hAnsi="宋体" w:cs="宋体"/>
                <w:color w:val="auto"/>
                <w:kern w:val="0"/>
                <w:sz w:val="20"/>
                <w:szCs w:val="20"/>
              </w:rPr>
              <w:t xml:space="preserve">绩效目标    </w:t>
            </w: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明确性</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311" w:type="dxa"/>
            <w:vAlign w:val="top"/>
          </w:tcPr>
          <w:p>
            <w:pPr>
              <w:widowControl/>
              <w:spacing w:line="260" w:lineRule="exact"/>
              <w:jc w:val="center"/>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合理性</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311" w:type="dxa"/>
            <w:vAlign w:val="top"/>
          </w:tcPr>
          <w:p>
            <w:pPr>
              <w:widowControl/>
              <w:spacing w:line="260" w:lineRule="exact"/>
              <w:jc w:val="center"/>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1" w:hRule="atLeast"/>
          <w:jc w:val="center"/>
        </w:trPr>
        <w:tc>
          <w:tcPr>
            <w:tcW w:w="1618" w:type="dxa"/>
            <w:vMerge w:val="restart"/>
            <w:textDirection w:val="tbRlV"/>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（10分）</w:t>
            </w:r>
            <w:r>
              <w:rPr>
                <w:rFonts w:hint="eastAsia" w:ascii="宋体" w:hAnsi="宋体" w:cs="宋体"/>
                <w:color w:val="auto"/>
                <w:kern w:val="0"/>
                <w:sz w:val="20"/>
                <w:szCs w:val="20"/>
              </w:rPr>
              <w:br w:type="textWrapping"/>
            </w:r>
            <w:r>
              <w:rPr>
                <w:rFonts w:hint="eastAsia" w:ascii="宋体" w:hAnsi="宋体" w:cs="宋体"/>
                <w:color w:val="auto"/>
                <w:kern w:val="0"/>
                <w:sz w:val="20"/>
                <w:szCs w:val="20"/>
              </w:rPr>
              <w:t>项目管理</w:t>
            </w:r>
          </w:p>
        </w:tc>
        <w:tc>
          <w:tcPr>
            <w:tcW w:w="2113" w:type="dxa"/>
            <w:vMerge w:val="restart"/>
            <w:textDirection w:val="tbRlV"/>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（7分）</w:t>
            </w:r>
            <w:r>
              <w:rPr>
                <w:rFonts w:hint="eastAsia" w:ascii="宋体" w:hAnsi="宋体" w:cs="宋体"/>
                <w:color w:val="auto"/>
                <w:kern w:val="0"/>
                <w:sz w:val="20"/>
                <w:szCs w:val="20"/>
              </w:rPr>
              <w:br w:type="textWrapping"/>
            </w:r>
            <w:r>
              <w:rPr>
                <w:rFonts w:hint="eastAsia" w:ascii="宋体" w:hAnsi="宋体" w:cs="宋体"/>
                <w:color w:val="auto"/>
                <w:kern w:val="0"/>
                <w:sz w:val="20"/>
                <w:szCs w:val="20"/>
              </w:rPr>
              <w:t>资金管理</w:t>
            </w: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资金分配</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1311" w:type="dxa"/>
            <w:vAlign w:val="top"/>
          </w:tcPr>
          <w:p>
            <w:pPr>
              <w:widowControl/>
              <w:spacing w:line="260" w:lineRule="exact"/>
              <w:jc w:val="center"/>
              <w:rPr>
                <w:rFonts w:hint="eastAsia" w:ascii="宋体" w:hAnsi="宋体" w:cs="宋体"/>
                <w:color w:val="auto"/>
                <w:kern w:val="0"/>
                <w:sz w:val="15"/>
                <w:szCs w:val="15"/>
              </w:rPr>
            </w:pPr>
            <w:r>
              <w:rPr>
                <w:rFonts w:hint="eastAsia" w:ascii="宋体" w:hAnsi="宋体" w:cs="宋体"/>
                <w:color w:val="auto"/>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textDirection w:val="tbRlV"/>
            <w:vAlign w:val="center"/>
          </w:tcPr>
          <w:p>
            <w:pPr>
              <w:widowControl/>
              <w:spacing w:line="260" w:lineRule="exact"/>
              <w:jc w:val="center"/>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资金使用</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4</w:t>
            </w:r>
          </w:p>
        </w:tc>
        <w:tc>
          <w:tcPr>
            <w:tcW w:w="1311" w:type="dxa"/>
            <w:vAlign w:val="top"/>
          </w:tcPr>
          <w:p>
            <w:pPr>
              <w:widowControl/>
              <w:spacing w:line="260" w:lineRule="exact"/>
              <w:jc w:val="center"/>
              <w:rPr>
                <w:rFonts w:hint="eastAsia" w:ascii="宋体" w:hAnsi="宋体" w:cs="宋体"/>
                <w:color w:val="auto"/>
                <w:kern w:val="0"/>
                <w:sz w:val="15"/>
                <w:szCs w:val="15"/>
              </w:rPr>
            </w:pPr>
            <w:r>
              <w:rPr>
                <w:rFonts w:hint="eastAsia" w:ascii="宋体" w:hAnsi="宋体" w:cs="宋体"/>
                <w:color w:val="auto"/>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textDirection w:val="tbRlV"/>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（3分）</w:t>
            </w:r>
            <w:r>
              <w:rPr>
                <w:rFonts w:hint="eastAsia" w:ascii="宋体" w:hAnsi="宋体" w:cs="宋体"/>
                <w:color w:val="auto"/>
                <w:kern w:val="0"/>
                <w:sz w:val="20"/>
                <w:szCs w:val="20"/>
              </w:rPr>
              <w:br w:type="textWrapping"/>
            </w:r>
            <w:r>
              <w:rPr>
                <w:rFonts w:hint="eastAsia" w:ascii="宋体" w:hAnsi="宋体" w:cs="宋体"/>
                <w:color w:val="auto"/>
                <w:kern w:val="0"/>
                <w:sz w:val="20"/>
                <w:szCs w:val="20"/>
              </w:rPr>
              <w:t>项目执行</w:t>
            </w: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执行规范</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3</w:t>
            </w:r>
          </w:p>
        </w:tc>
        <w:tc>
          <w:tcPr>
            <w:tcW w:w="1311" w:type="dxa"/>
            <w:vAlign w:val="top"/>
          </w:tcPr>
          <w:p>
            <w:pPr>
              <w:widowControl/>
              <w:spacing w:line="260" w:lineRule="exact"/>
              <w:jc w:val="center"/>
              <w:rPr>
                <w:rFonts w:hint="eastAsia" w:ascii="宋体" w:hAnsi="宋体" w:cs="宋体"/>
                <w:color w:val="auto"/>
                <w:kern w:val="0"/>
                <w:sz w:val="15"/>
                <w:szCs w:val="15"/>
              </w:rPr>
            </w:pPr>
            <w:r>
              <w:rPr>
                <w:rFonts w:hint="eastAsia" w:ascii="宋体" w:hAnsi="宋体" w:cs="宋体"/>
                <w:color w:val="auto"/>
                <w:kern w:val="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618" w:type="dxa"/>
            <w:vMerge w:val="restart"/>
            <w:textDirection w:val="tbRlV"/>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（特性指标70分）</w:t>
            </w:r>
            <w:r>
              <w:rPr>
                <w:rFonts w:hint="eastAsia" w:ascii="宋体" w:hAnsi="宋体" w:cs="宋体"/>
                <w:color w:val="auto"/>
                <w:kern w:val="0"/>
                <w:sz w:val="20"/>
                <w:szCs w:val="20"/>
              </w:rPr>
              <w:br w:type="textWrapping"/>
            </w:r>
            <w:r>
              <w:rPr>
                <w:rFonts w:hint="eastAsia" w:ascii="宋体" w:hAnsi="宋体" w:cs="宋体"/>
                <w:color w:val="auto"/>
                <w:kern w:val="0"/>
                <w:sz w:val="20"/>
                <w:szCs w:val="20"/>
              </w:rPr>
              <w:t xml:space="preserve">项目绩效  </w:t>
            </w:r>
          </w:p>
        </w:tc>
        <w:tc>
          <w:tcPr>
            <w:tcW w:w="2113" w:type="dxa"/>
            <w:vMerge w:val="restart"/>
            <w:textDirection w:val="tbRlV"/>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（20）</w:t>
            </w:r>
            <w:r>
              <w:rPr>
                <w:rFonts w:hint="eastAsia" w:ascii="宋体" w:hAnsi="宋体" w:cs="宋体"/>
                <w:color w:val="auto"/>
                <w:kern w:val="0"/>
                <w:sz w:val="20"/>
                <w:szCs w:val="20"/>
              </w:rPr>
              <w:br w:type="textWrapping"/>
            </w:r>
            <w:r>
              <w:rPr>
                <w:rFonts w:hint="eastAsia" w:ascii="宋体" w:hAnsi="宋体" w:cs="宋体"/>
                <w:color w:val="auto"/>
                <w:kern w:val="0"/>
                <w:sz w:val="20"/>
                <w:szCs w:val="20"/>
              </w:rPr>
              <w:t>项目完成</w:t>
            </w: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完成数量</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 xml:space="preserve">5 </w:t>
            </w:r>
          </w:p>
        </w:tc>
        <w:tc>
          <w:tcPr>
            <w:tcW w:w="1311" w:type="dxa"/>
            <w:vAlign w:val="top"/>
          </w:tcPr>
          <w:p>
            <w:pPr>
              <w:widowControl/>
              <w:spacing w:line="260" w:lineRule="exact"/>
              <w:jc w:val="center"/>
              <w:rPr>
                <w:rFonts w:hint="eastAsia" w:ascii="宋体" w:hAnsi="宋体" w:cs="宋体"/>
                <w:color w:val="auto"/>
                <w:kern w:val="0"/>
                <w:sz w:val="15"/>
                <w:szCs w:val="15"/>
              </w:rPr>
            </w:pPr>
            <w:r>
              <w:rPr>
                <w:rFonts w:hint="eastAsia" w:ascii="宋体" w:hAnsi="宋体" w:cs="宋体"/>
                <w:color w:val="auto"/>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完成质量</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 xml:space="preserve">5 </w:t>
            </w:r>
          </w:p>
        </w:tc>
        <w:tc>
          <w:tcPr>
            <w:tcW w:w="1311" w:type="dxa"/>
            <w:vAlign w:val="top"/>
          </w:tcPr>
          <w:p>
            <w:pPr>
              <w:widowControl/>
              <w:spacing w:line="260" w:lineRule="exact"/>
              <w:jc w:val="center"/>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完成时效</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311" w:type="dxa"/>
            <w:vAlign w:val="top"/>
          </w:tcPr>
          <w:p>
            <w:pPr>
              <w:widowControl/>
              <w:spacing w:line="260" w:lineRule="exact"/>
              <w:jc w:val="center"/>
              <w:rPr>
                <w:rFonts w:hint="eastAsia" w:ascii="宋体" w:hAnsi="宋体" w:cs="宋体"/>
                <w:color w:val="auto"/>
                <w:kern w:val="0"/>
                <w:sz w:val="15"/>
                <w:szCs w:val="15"/>
              </w:rPr>
            </w:pPr>
            <w:r>
              <w:rPr>
                <w:rFonts w:hint="eastAsia" w:ascii="宋体" w:hAnsi="宋体" w:cs="宋体"/>
                <w:color w:val="auto"/>
                <w:kern w:val="0"/>
                <w:sz w:val="15"/>
                <w:szCs w:val="15"/>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完成成本</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5</w:t>
            </w:r>
          </w:p>
        </w:tc>
        <w:tc>
          <w:tcPr>
            <w:tcW w:w="1311" w:type="dxa"/>
            <w:vAlign w:val="top"/>
          </w:tcPr>
          <w:p>
            <w:pPr>
              <w:widowControl/>
              <w:spacing w:line="260" w:lineRule="exact"/>
              <w:jc w:val="center"/>
              <w:rPr>
                <w:rFonts w:hint="eastAsia" w:ascii="宋体" w:hAnsi="宋体" w:cs="宋体"/>
                <w:color w:val="auto"/>
                <w:kern w:val="0"/>
                <w:sz w:val="15"/>
                <w:szCs w:val="15"/>
              </w:rPr>
            </w:pPr>
            <w:r>
              <w:rPr>
                <w:rFonts w:hint="eastAsia" w:ascii="宋体" w:hAnsi="宋体" w:cs="宋体"/>
                <w:color w:val="auto"/>
                <w:kern w:val="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restart"/>
            <w:textDirection w:val="tbRlV"/>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（50分）</w:t>
            </w:r>
            <w:r>
              <w:rPr>
                <w:rFonts w:hint="eastAsia" w:ascii="宋体" w:hAnsi="宋体" w:cs="宋体"/>
                <w:color w:val="auto"/>
                <w:kern w:val="0"/>
                <w:sz w:val="20"/>
                <w:szCs w:val="20"/>
              </w:rPr>
              <w:br w:type="textWrapping"/>
            </w:r>
            <w:r>
              <w:rPr>
                <w:rFonts w:hint="eastAsia" w:ascii="宋体" w:hAnsi="宋体" w:cs="宋体"/>
                <w:color w:val="auto"/>
                <w:kern w:val="0"/>
                <w:sz w:val="20"/>
                <w:szCs w:val="20"/>
              </w:rPr>
              <w:t>项目效益</w:t>
            </w: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经济效益（可选项）</w:t>
            </w:r>
          </w:p>
        </w:tc>
        <w:tc>
          <w:tcPr>
            <w:tcW w:w="1311" w:type="dxa"/>
            <w:vMerge w:val="restart"/>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40</w:t>
            </w:r>
          </w:p>
        </w:tc>
        <w:tc>
          <w:tcPr>
            <w:tcW w:w="1311" w:type="dxa"/>
            <w:vAlign w:val="top"/>
          </w:tcPr>
          <w:p>
            <w:pPr>
              <w:widowControl/>
              <w:spacing w:line="260" w:lineRule="exact"/>
              <w:jc w:val="center"/>
              <w:rPr>
                <w:rFonts w:hint="eastAsia" w:ascii="宋体" w:hAnsi="宋体" w:eastAsia="宋体" w:cs="宋体"/>
                <w:color w:val="auto"/>
                <w:kern w:val="0"/>
                <w:sz w:val="15"/>
                <w:szCs w:val="15"/>
                <w:lang w:val="en-US" w:eastAsia="zh-CN"/>
              </w:rPr>
            </w:pPr>
            <w:r>
              <w:rPr>
                <w:rFonts w:hint="eastAsia" w:ascii="宋体" w:hAnsi="宋体" w:cs="宋体"/>
                <w:color w:val="auto"/>
                <w:kern w:val="0"/>
                <w:sz w:val="15"/>
                <w:szCs w:val="15"/>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6"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社会效益（可选项）</w:t>
            </w:r>
          </w:p>
        </w:tc>
        <w:tc>
          <w:tcPr>
            <w:tcW w:w="1311" w:type="dxa"/>
            <w:vMerge w:val="continue"/>
            <w:vAlign w:val="center"/>
          </w:tcPr>
          <w:p>
            <w:pPr>
              <w:widowControl/>
              <w:spacing w:line="260" w:lineRule="exact"/>
              <w:jc w:val="left"/>
              <w:rPr>
                <w:rFonts w:ascii="宋体" w:hAnsi="宋体" w:cs="宋体"/>
                <w:color w:val="auto"/>
                <w:kern w:val="0"/>
                <w:sz w:val="20"/>
                <w:szCs w:val="20"/>
              </w:rPr>
            </w:pPr>
          </w:p>
        </w:tc>
        <w:tc>
          <w:tcPr>
            <w:tcW w:w="1311" w:type="dxa"/>
            <w:vAlign w:val="top"/>
          </w:tcPr>
          <w:p>
            <w:pPr>
              <w:widowControl/>
              <w:spacing w:line="260" w:lineRule="exact"/>
              <w:jc w:val="left"/>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生态效益（可选项）</w:t>
            </w:r>
          </w:p>
        </w:tc>
        <w:tc>
          <w:tcPr>
            <w:tcW w:w="1311" w:type="dxa"/>
            <w:vMerge w:val="continue"/>
            <w:vAlign w:val="center"/>
          </w:tcPr>
          <w:p>
            <w:pPr>
              <w:widowControl/>
              <w:spacing w:line="260" w:lineRule="exact"/>
              <w:jc w:val="left"/>
              <w:rPr>
                <w:rFonts w:ascii="宋体" w:hAnsi="宋体" w:cs="宋体"/>
                <w:color w:val="auto"/>
                <w:kern w:val="0"/>
                <w:sz w:val="20"/>
                <w:szCs w:val="20"/>
              </w:rPr>
            </w:pPr>
          </w:p>
        </w:tc>
        <w:tc>
          <w:tcPr>
            <w:tcW w:w="1311" w:type="dxa"/>
            <w:vAlign w:val="top"/>
          </w:tcPr>
          <w:p>
            <w:pPr>
              <w:widowControl/>
              <w:spacing w:line="260" w:lineRule="exact"/>
              <w:jc w:val="left"/>
              <w:rPr>
                <w:rFonts w:hint="eastAsia" w:ascii="宋体" w:hAnsi="宋体" w:cs="宋体"/>
                <w:color w:val="auto"/>
                <w:kern w:val="0"/>
                <w:sz w:val="15"/>
                <w:szCs w:val="15"/>
              </w:rPr>
            </w:pPr>
            <w:r>
              <w:rPr>
                <w:rFonts w:hint="eastAsia" w:ascii="宋体" w:hAnsi="宋体" w:cs="宋体"/>
                <w:color w:val="auto"/>
                <w:kern w:val="0"/>
                <w:sz w:val="15"/>
                <w:szCs w:val="15"/>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可持续效益（可选项）</w:t>
            </w:r>
          </w:p>
        </w:tc>
        <w:tc>
          <w:tcPr>
            <w:tcW w:w="1311" w:type="dxa"/>
            <w:vMerge w:val="continue"/>
            <w:vAlign w:val="center"/>
          </w:tcPr>
          <w:p>
            <w:pPr>
              <w:widowControl/>
              <w:spacing w:line="260" w:lineRule="exact"/>
              <w:jc w:val="left"/>
              <w:rPr>
                <w:rFonts w:ascii="宋体" w:hAnsi="宋体" w:cs="宋体"/>
                <w:color w:val="auto"/>
                <w:kern w:val="0"/>
                <w:sz w:val="20"/>
                <w:szCs w:val="20"/>
              </w:rPr>
            </w:pPr>
          </w:p>
        </w:tc>
        <w:tc>
          <w:tcPr>
            <w:tcW w:w="1311" w:type="dxa"/>
            <w:vAlign w:val="top"/>
          </w:tcPr>
          <w:p>
            <w:pPr>
              <w:widowControl/>
              <w:spacing w:line="260" w:lineRule="exact"/>
              <w:jc w:val="left"/>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公平效率（可选项）</w:t>
            </w:r>
          </w:p>
        </w:tc>
        <w:tc>
          <w:tcPr>
            <w:tcW w:w="1311" w:type="dxa"/>
            <w:vMerge w:val="continue"/>
            <w:vAlign w:val="center"/>
          </w:tcPr>
          <w:p>
            <w:pPr>
              <w:widowControl/>
              <w:spacing w:line="260" w:lineRule="exact"/>
              <w:jc w:val="left"/>
              <w:rPr>
                <w:rFonts w:ascii="宋体" w:hAnsi="宋体" w:cs="宋体"/>
                <w:color w:val="auto"/>
                <w:kern w:val="0"/>
                <w:sz w:val="20"/>
                <w:szCs w:val="20"/>
              </w:rPr>
            </w:pPr>
          </w:p>
        </w:tc>
        <w:tc>
          <w:tcPr>
            <w:tcW w:w="1311" w:type="dxa"/>
            <w:vAlign w:val="top"/>
          </w:tcPr>
          <w:p>
            <w:pPr>
              <w:widowControl/>
              <w:spacing w:line="260" w:lineRule="exact"/>
              <w:jc w:val="left"/>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使用效率（可选项）</w:t>
            </w:r>
          </w:p>
        </w:tc>
        <w:tc>
          <w:tcPr>
            <w:tcW w:w="1311" w:type="dxa"/>
            <w:vMerge w:val="continue"/>
            <w:vAlign w:val="center"/>
          </w:tcPr>
          <w:p>
            <w:pPr>
              <w:widowControl/>
              <w:spacing w:line="260" w:lineRule="exact"/>
              <w:jc w:val="left"/>
              <w:rPr>
                <w:rFonts w:ascii="宋体" w:hAnsi="宋体" w:cs="宋体"/>
                <w:color w:val="auto"/>
                <w:kern w:val="0"/>
                <w:sz w:val="20"/>
                <w:szCs w:val="20"/>
              </w:rPr>
            </w:pPr>
          </w:p>
        </w:tc>
        <w:tc>
          <w:tcPr>
            <w:tcW w:w="1311" w:type="dxa"/>
            <w:vAlign w:val="top"/>
          </w:tcPr>
          <w:p>
            <w:pPr>
              <w:widowControl/>
              <w:spacing w:line="260" w:lineRule="exact"/>
              <w:jc w:val="left"/>
              <w:rPr>
                <w:rFonts w:hint="eastAsia" w:ascii="宋体" w:hAnsi="宋体" w:eastAsia="宋体" w:cs="宋体"/>
                <w:color w:val="auto"/>
                <w:kern w:val="0"/>
                <w:sz w:val="15"/>
                <w:szCs w:val="15"/>
                <w:lang w:eastAsia="zh-CN"/>
              </w:rPr>
            </w:pPr>
            <w:r>
              <w:rPr>
                <w:rFonts w:hint="eastAsia" w:ascii="宋体" w:hAnsi="宋体" w:cs="宋体"/>
                <w:color w:val="auto"/>
                <w:kern w:val="0"/>
                <w:sz w:val="15"/>
                <w:szCs w:val="15"/>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jc w:val="center"/>
        </w:trPr>
        <w:tc>
          <w:tcPr>
            <w:tcW w:w="1618" w:type="dxa"/>
            <w:vMerge w:val="continue"/>
            <w:vAlign w:val="center"/>
          </w:tcPr>
          <w:p>
            <w:pPr>
              <w:widowControl/>
              <w:spacing w:line="260" w:lineRule="exact"/>
              <w:jc w:val="left"/>
              <w:rPr>
                <w:rFonts w:ascii="宋体" w:hAnsi="宋体" w:cs="宋体"/>
                <w:color w:val="auto"/>
                <w:kern w:val="0"/>
                <w:sz w:val="20"/>
                <w:szCs w:val="20"/>
              </w:rPr>
            </w:pPr>
          </w:p>
        </w:tc>
        <w:tc>
          <w:tcPr>
            <w:tcW w:w="2113" w:type="dxa"/>
            <w:vMerge w:val="continue"/>
            <w:vAlign w:val="center"/>
          </w:tcPr>
          <w:p>
            <w:pPr>
              <w:widowControl/>
              <w:spacing w:line="260" w:lineRule="exact"/>
              <w:jc w:val="left"/>
              <w:rPr>
                <w:rFonts w:ascii="宋体" w:hAnsi="宋体" w:cs="宋体"/>
                <w:color w:val="auto"/>
                <w:kern w:val="0"/>
                <w:sz w:val="20"/>
                <w:szCs w:val="20"/>
              </w:rPr>
            </w:pPr>
          </w:p>
        </w:tc>
        <w:tc>
          <w:tcPr>
            <w:tcW w:w="3535"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 xml:space="preserve">服务对象满意度    </w:t>
            </w:r>
          </w:p>
        </w:tc>
        <w:tc>
          <w:tcPr>
            <w:tcW w:w="1311" w:type="dxa"/>
            <w:vAlign w:val="center"/>
          </w:tcPr>
          <w:p>
            <w:pPr>
              <w:widowControl/>
              <w:spacing w:line="260" w:lineRule="exact"/>
              <w:jc w:val="center"/>
              <w:rPr>
                <w:rFonts w:ascii="宋体" w:hAnsi="宋体" w:cs="宋体"/>
                <w:color w:val="auto"/>
                <w:kern w:val="0"/>
                <w:sz w:val="20"/>
                <w:szCs w:val="20"/>
              </w:rPr>
            </w:pPr>
            <w:r>
              <w:rPr>
                <w:rFonts w:hint="eastAsia" w:ascii="宋体" w:hAnsi="宋体" w:cs="宋体"/>
                <w:color w:val="auto"/>
                <w:kern w:val="0"/>
                <w:sz w:val="20"/>
                <w:szCs w:val="20"/>
              </w:rPr>
              <w:t>10</w:t>
            </w:r>
          </w:p>
        </w:tc>
        <w:tc>
          <w:tcPr>
            <w:tcW w:w="1311" w:type="dxa"/>
            <w:vAlign w:val="top"/>
          </w:tcPr>
          <w:p>
            <w:pPr>
              <w:widowControl/>
              <w:spacing w:line="260" w:lineRule="exact"/>
              <w:jc w:val="center"/>
              <w:rPr>
                <w:rFonts w:hint="eastAsia" w:ascii="宋体" w:hAnsi="宋体" w:eastAsia="宋体" w:cs="宋体"/>
                <w:color w:val="auto"/>
                <w:kern w:val="0"/>
                <w:sz w:val="15"/>
                <w:szCs w:val="15"/>
                <w:lang w:val="en-US" w:eastAsia="zh-CN"/>
              </w:rPr>
            </w:pPr>
            <w:r>
              <w:rPr>
                <w:rFonts w:hint="eastAsia" w:ascii="宋体" w:hAnsi="宋体" w:cs="宋体"/>
                <w:color w:val="auto"/>
                <w:kern w:val="0"/>
                <w:sz w:val="15"/>
                <w:szCs w:val="15"/>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6" w:hRule="atLeast"/>
          <w:jc w:val="center"/>
        </w:trPr>
        <w:tc>
          <w:tcPr>
            <w:tcW w:w="1618" w:type="dxa"/>
            <w:vAlign w:val="center"/>
          </w:tcPr>
          <w:p>
            <w:pPr>
              <w:widowControl/>
              <w:spacing w:line="260" w:lineRule="exact"/>
              <w:jc w:val="left"/>
              <w:rPr>
                <w:rFonts w:ascii="宋体" w:hAnsi="宋体" w:cs="宋体"/>
                <w:color w:val="auto"/>
                <w:kern w:val="0"/>
                <w:sz w:val="20"/>
                <w:szCs w:val="20"/>
              </w:rPr>
            </w:pPr>
            <w:r>
              <w:rPr>
                <w:rFonts w:hint="eastAsia" w:ascii="宋体" w:hAnsi="宋体" w:cs="宋体"/>
                <w:color w:val="auto"/>
                <w:kern w:val="0"/>
                <w:sz w:val="20"/>
                <w:szCs w:val="20"/>
              </w:rPr>
              <w:t>总分</w:t>
            </w:r>
          </w:p>
        </w:tc>
        <w:tc>
          <w:tcPr>
            <w:tcW w:w="8270" w:type="dxa"/>
            <w:gridSpan w:val="4"/>
            <w:vAlign w:val="center"/>
          </w:tcPr>
          <w:p>
            <w:pPr>
              <w:widowControl/>
              <w:spacing w:line="260" w:lineRule="exact"/>
              <w:jc w:val="center"/>
              <w:rPr>
                <w:rFonts w:hint="default" w:ascii="宋体" w:hAnsi="宋体" w:eastAsia="宋体" w:cs="宋体"/>
                <w:color w:val="auto"/>
                <w:kern w:val="0"/>
                <w:sz w:val="15"/>
                <w:szCs w:val="15"/>
                <w:lang w:val="en-US" w:eastAsia="zh-CN"/>
              </w:rPr>
            </w:pPr>
            <w:r>
              <w:rPr>
                <w:rFonts w:hint="eastAsia" w:ascii="宋体" w:hAnsi="宋体" w:cs="宋体"/>
                <w:color w:val="auto"/>
                <w:kern w:val="0"/>
                <w:sz w:val="15"/>
                <w:szCs w:val="15"/>
                <w:lang w:val="en-US" w:eastAsia="zh-CN"/>
              </w:rPr>
              <w:t>89</w:t>
            </w:r>
          </w:p>
        </w:tc>
      </w:tr>
      <w:bookmarkEnd w:id="43"/>
    </w:tbl>
    <w:p>
      <w:pPr>
        <w:rPr>
          <w:rFonts w:hint="eastAsia"/>
          <w:lang w:eastAsia="zh-CN"/>
        </w:rPr>
      </w:pPr>
    </w:p>
    <w:p>
      <w:pPr>
        <w:spacing w:line="600" w:lineRule="exact"/>
        <w:ind w:firstLine="640" w:firstLineChars="200"/>
        <w:outlineLvl w:val="1"/>
        <w:rPr>
          <w:rStyle w:val="21"/>
          <w:rFonts w:ascii="黑体" w:eastAsia="黑体"/>
        </w:rPr>
      </w:pPr>
      <w:bookmarkStart w:id="44" w:name="_Toc15377221"/>
      <w:bookmarkStart w:id="45" w:name="_Toc3915"/>
      <w:r>
        <w:rPr>
          <w:rFonts w:hint="eastAsia" w:ascii="黑体" w:eastAsia="黑体"/>
          <w:color w:val="000000"/>
          <w:sz w:val="32"/>
          <w:szCs w:val="32"/>
        </w:rPr>
        <w:t>十</w:t>
      </w:r>
      <w:r>
        <w:rPr>
          <w:rStyle w:val="21"/>
          <w:rFonts w:hint="eastAsia" w:ascii="黑体" w:eastAsia="黑体"/>
        </w:rPr>
        <w:t>一、</w:t>
      </w:r>
      <w:r>
        <w:rPr>
          <w:rStyle w:val="21"/>
          <w:rFonts w:hint="eastAsia" w:ascii="黑体" w:eastAsia="黑体"/>
          <w:b w:val="0"/>
        </w:rPr>
        <w:t>其他重要事项的情况说明</w:t>
      </w:r>
      <w:bookmarkEnd w:id="44"/>
      <w:bookmarkEnd w:id="45"/>
    </w:p>
    <w:p>
      <w:pPr>
        <w:spacing w:line="600" w:lineRule="exact"/>
        <w:ind w:firstLine="643" w:firstLineChars="200"/>
        <w:outlineLvl w:val="2"/>
        <w:rPr>
          <w:rFonts w:ascii="仿宋" w:eastAsia="仿宋"/>
          <w:color w:val="000000"/>
          <w:sz w:val="32"/>
          <w:szCs w:val="32"/>
        </w:rPr>
      </w:pPr>
      <w:bookmarkStart w:id="46" w:name="_Toc15377222"/>
      <w:r>
        <w:rPr>
          <w:rFonts w:hint="eastAsia" w:ascii="仿宋" w:eastAsia="仿宋"/>
          <w:b/>
          <w:color w:val="000000"/>
          <w:sz w:val="32"/>
          <w:szCs w:val="32"/>
        </w:rPr>
        <w:t>（一）机关运行经费支出情况</w:t>
      </w:r>
      <w:bookmarkEnd w:id="46"/>
    </w:p>
    <w:p>
      <w:pPr>
        <w:spacing w:line="600" w:lineRule="exact"/>
        <w:ind w:firstLine="640" w:firstLineChars="200"/>
        <w:rPr>
          <w:rFonts w:ascii="仿宋_GB2312" w:eastAsia="仿宋_GB2312"/>
          <w:color w:val="auto"/>
          <w:sz w:val="32"/>
          <w:szCs w:val="32"/>
          <w:shd w:val="clear" w:color="auto" w:fill="auto"/>
          <w:lang w:val="en-US" w:eastAsia="zh-CN"/>
        </w:rPr>
      </w:pPr>
      <w:r>
        <w:rPr>
          <w:rFonts w:ascii="仿宋_GB2312" w:eastAsia="仿宋_GB2312"/>
          <w:color w:val="auto"/>
          <w:sz w:val="32"/>
          <w:szCs w:val="32"/>
          <w:shd w:val="clear" w:color="auto" w:fill="auto"/>
        </w:rPr>
        <w:t>20</w:t>
      </w:r>
      <w:r>
        <w:rPr>
          <w:rFonts w:hint="eastAsia" w:ascii="仿宋_GB2312" w:eastAsia="仿宋_GB2312"/>
          <w:color w:val="auto"/>
          <w:sz w:val="32"/>
          <w:szCs w:val="32"/>
          <w:shd w:val="clear" w:color="auto" w:fill="auto"/>
          <w:lang w:val="en-US" w:eastAsia="zh-CN"/>
        </w:rPr>
        <w:t>22</w:t>
      </w:r>
      <w:r>
        <w:rPr>
          <w:rFonts w:hint="eastAsia" w:ascii="仿宋_GB2312" w:eastAsia="仿宋_GB2312"/>
          <w:color w:val="auto"/>
          <w:sz w:val="32"/>
          <w:szCs w:val="32"/>
          <w:shd w:val="clear" w:color="auto" w:fill="auto"/>
        </w:rPr>
        <w:t>年，</w:t>
      </w:r>
      <w:r>
        <w:rPr>
          <w:rFonts w:hint="eastAsia" w:ascii="仿宋_GB2312" w:eastAsia="仿宋_GB2312"/>
          <w:color w:val="auto"/>
          <w:sz w:val="32"/>
          <w:szCs w:val="32"/>
          <w:shd w:val="clear" w:color="auto" w:fill="auto"/>
          <w:lang w:val="en-US" w:eastAsia="zh-CN"/>
        </w:rPr>
        <w:t>金川县水务局</w:t>
      </w:r>
      <w:r>
        <w:rPr>
          <w:rFonts w:hint="eastAsia" w:ascii="仿宋_GB2312" w:eastAsia="仿宋_GB2312"/>
          <w:color w:val="auto"/>
          <w:sz w:val="32"/>
          <w:szCs w:val="32"/>
          <w:shd w:val="clear" w:color="auto" w:fill="auto"/>
        </w:rPr>
        <w:t>运行经费支出</w:t>
      </w:r>
      <w:r>
        <w:rPr>
          <w:rFonts w:hint="eastAsia" w:ascii="仿宋_GB2312" w:eastAsia="仿宋_GB2312"/>
          <w:color w:val="auto"/>
          <w:sz w:val="32"/>
          <w:szCs w:val="32"/>
          <w:shd w:val="clear" w:color="auto" w:fill="auto"/>
          <w:lang w:val="en-US" w:eastAsia="zh-CN"/>
        </w:rPr>
        <w:t>7.61</w:t>
      </w:r>
      <w:r>
        <w:rPr>
          <w:rFonts w:hint="eastAsia" w:ascii="仿宋_GB2312" w:eastAsia="仿宋_GB2312"/>
          <w:color w:val="auto"/>
          <w:sz w:val="32"/>
          <w:szCs w:val="32"/>
          <w:shd w:val="clear" w:color="auto" w:fill="auto"/>
        </w:rPr>
        <w:t>万元，比</w:t>
      </w:r>
      <w:r>
        <w:rPr>
          <w:rFonts w:ascii="仿宋_GB2312" w:eastAsia="仿宋_GB2312"/>
          <w:color w:val="auto"/>
          <w:sz w:val="32"/>
          <w:szCs w:val="32"/>
          <w:shd w:val="clear" w:color="auto" w:fill="auto"/>
        </w:rPr>
        <w:t>20</w:t>
      </w:r>
      <w:r>
        <w:rPr>
          <w:rFonts w:hint="eastAsia" w:ascii="仿宋_GB2312" w:eastAsia="仿宋_GB2312"/>
          <w:color w:val="auto"/>
          <w:sz w:val="32"/>
          <w:szCs w:val="32"/>
          <w:shd w:val="clear" w:color="auto" w:fill="auto"/>
          <w:lang w:val="en-US" w:eastAsia="zh-CN"/>
        </w:rPr>
        <w:t>21</w:t>
      </w:r>
      <w:r>
        <w:rPr>
          <w:rFonts w:hint="eastAsia" w:ascii="仿宋_GB2312" w:eastAsia="仿宋_GB2312"/>
          <w:color w:val="auto"/>
          <w:sz w:val="32"/>
          <w:szCs w:val="32"/>
          <w:shd w:val="clear" w:color="auto" w:fill="auto"/>
        </w:rPr>
        <w:t>年</w:t>
      </w:r>
      <w:r>
        <w:rPr>
          <w:rFonts w:hint="eastAsia" w:ascii="仿宋_GB2312" w:eastAsia="仿宋_GB2312"/>
          <w:color w:val="auto"/>
          <w:sz w:val="32"/>
          <w:szCs w:val="32"/>
          <w:shd w:val="clear" w:color="auto" w:fill="auto"/>
          <w:lang w:eastAsia="zh-CN"/>
        </w:rPr>
        <w:t>减少</w:t>
      </w:r>
      <w:r>
        <w:rPr>
          <w:rFonts w:hint="eastAsia" w:ascii="仿宋_GB2312" w:eastAsia="仿宋_GB2312"/>
          <w:color w:val="auto"/>
          <w:sz w:val="32"/>
          <w:szCs w:val="32"/>
          <w:shd w:val="clear" w:color="auto" w:fill="auto"/>
          <w:lang w:val="en-US" w:eastAsia="zh-CN"/>
        </w:rPr>
        <w:t>8.81</w:t>
      </w:r>
      <w:r>
        <w:rPr>
          <w:rFonts w:hint="eastAsia" w:ascii="仿宋_GB2312" w:eastAsia="仿宋_GB2312"/>
          <w:color w:val="auto"/>
          <w:sz w:val="32"/>
          <w:szCs w:val="32"/>
          <w:shd w:val="clear" w:color="auto" w:fill="auto"/>
        </w:rPr>
        <w:t>万元。主要原因</w:t>
      </w:r>
      <w:r>
        <w:rPr>
          <w:rFonts w:hint="eastAsia" w:ascii="仿宋_GB2312" w:eastAsia="仿宋_GB2312"/>
          <w:color w:val="auto"/>
          <w:sz w:val="32"/>
          <w:szCs w:val="32"/>
          <w:shd w:val="clear" w:color="auto" w:fill="auto"/>
          <w:lang w:eastAsia="zh-CN"/>
        </w:rPr>
        <w:t>是本单位严格执行厉行节约成本</w:t>
      </w:r>
      <w:bookmarkStart w:id="98" w:name="_GoBack"/>
      <w:bookmarkEnd w:id="98"/>
      <w:r>
        <w:rPr>
          <w:rFonts w:hint="eastAsia" w:ascii="仿宋_GB2312" w:eastAsia="仿宋_GB2312"/>
          <w:color w:val="auto"/>
          <w:sz w:val="32"/>
          <w:szCs w:val="32"/>
          <w:shd w:val="clear" w:color="auto" w:fill="auto"/>
          <w:lang w:val="en-US"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47" w:name="_Toc15377223"/>
      <w:r>
        <w:rPr>
          <w:rFonts w:hint="eastAsia" w:ascii="仿宋" w:eastAsia="仿宋"/>
          <w:b/>
          <w:color w:val="000000"/>
          <w:sz w:val="32"/>
          <w:szCs w:val="32"/>
        </w:rPr>
        <w:t>（二）政府采购支出情况</w:t>
      </w:r>
      <w:bookmarkEnd w:id="47"/>
    </w:p>
    <w:p>
      <w:pPr>
        <w:spacing w:line="600" w:lineRule="exact"/>
        <w:ind w:firstLine="640" w:firstLineChars="200"/>
        <w:rPr>
          <w:rFonts w:ascii="仿宋" w:eastAsia="仿宋"/>
          <w:b/>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78</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78</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auto"/>
          <w:sz w:val="32"/>
          <w:szCs w:val="32"/>
        </w:rPr>
        <w:t>主要用于</w:t>
      </w:r>
      <w:r>
        <w:rPr>
          <w:rFonts w:hint="eastAsia" w:ascii="仿宋_GB2312" w:eastAsia="仿宋_GB2312"/>
          <w:color w:val="auto"/>
          <w:sz w:val="32"/>
          <w:szCs w:val="32"/>
          <w:lang w:eastAsia="zh-CN"/>
        </w:rPr>
        <w:t>项目建设</w:t>
      </w:r>
      <w:r>
        <w:rPr>
          <w:rFonts w:hint="eastAsia" w:ascii="仿宋_GB2312" w:eastAsia="仿宋_GB2312"/>
          <w:color w:val="auto"/>
          <w:sz w:val="32"/>
          <w:szCs w:val="32"/>
          <w:lang w:val="en-US" w:eastAsia="zh-CN"/>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48" w:name="_Toc15377224"/>
      <w:r>
        <w:rPr>
          <w:rFonts w:hint="eastAsia" w:ascii="仿宋" w:eastAsia="仿宋"/>
          <w:b/>
          <w:color w:val="000000"/>
          <w:sz w:val="32"/>
          <w:szCs w:val="32"/>
        </w:rPr>
        <w:t>（三）国有资产占有使用情况</w:t>
      </w:r>
      <w:bookmarkEnd w:id="48"/>
    </w:p>
    <w:p>
      <w:pPr>
        <w:widowControl/>
        <w:ind w:firstLine="640" w:firstLineChars="200"/>
        <w:jc w:val="left"/>
        <w:rPr>
          <w:rFonts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辆，为日常工作及应急保障用车，单价50万元以上通用设备0台，单价100万元以上专用设备0台（套）。</w:t>
      </w:r>
    </w:p>
    <w:p>
      <w:pPr>
        <w:numPr>
          <w:ilvl w:val="0"/>
          <w:numId w:val="7"/>
        </w:numPr>
        <w:spacing w:line="600" w:lineRule="exact"/>
        <w:ind w:left="0" w:firstLine="663" w:firstLineChars="150"/>
        <w:jc w:val="center"/>
        <w:outlineLvl w:val="0"/>
        <w:rPr>
          <w:rStyle w:val="20"/>
          <w:rFonts w:ascii="黑体" w:eastAsia="黑体"/>
          <w:b w:val="0"/>
        </w:rPr>
      </w:pPr>
      <w:bookmarkStart w:id="49" w:name="_Toc26914"/>
      <w:bookmarkStart w:id="50" w:name="_Toc15377225"/>
      <w:r>
        <w:rPr>
          <w:rFonts w:hint="eastAsia" w:ascii="黑体" w:eastAsia="黑体"/>
          <w:b/>
          <w:color w:val="000000"/>
          <w:sz w:val="44"/>
          <w:szCs w:val="44"/>
        </w:rPr>
        <w:t>名</w:t>
      </w:r>
      <w:r>
        <w:rPr>
          <w:rStyle w:val="20"/>
          <w:rFonts w:hint="eastAsia" w:ascii="黑体" w:eastAsia="黑体"/>
          <w:b w:val="0"/>
        </w:rPr>
        <w:t>词解释</w:t>
      </w:r>
      <w:bookmarkEnd w:id="49"/>
      <w:bookmarkEnd w:id="50"/>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3092" w:firstLineChars="700"/>
        <w:jc w:val="both"/>
        <w:outlineLvl w:val="0"/>
        <w:rPr>
          <w:rFonts w:hint="eastAsia" w:ascii="黑体" w:eastAsia="黑体"/>
          <w:b/>
          <w:color w:val="000000"/>
          <w:sz w:val="44"/>
          <w:szCs w:val="44"/>
          <w:lang w:val="en-US" w:eastAsia="zh-CN"/>
        </w:rPr>
      </w:pPr>
      <w:bookmarkStart w:id="51" w:name="_Toc15377226"/>
      <w:r>
        <w:rPr>
          <w:rFonts w:hint="eastAsia" w:ascii="黑体" w:eastAsia="黑体"/>
          <w:b/>
          <w:color w:val="000000"/>
          <w:sz w:val="44"/>
          <w:szCs w:val="44"/>
          <w:lang w:val="en-US" w:eastAsia="zh-CN"/>
        </w:rPr>
        <w:t>第四部分</w:t>
      </w:r>
    </w:p>
    <w:p>
      <w:pPr>
        <w:rPr>
          <w:rFonts w:hint="eastAsia" w:ascii="仿宋_GB2312" w:hAnsi="Times New Roman" w:eastAsia="仿宋_GB2312" w:cs="仿宋"/>
          <w:color w:val="000000"/>
          <w:kern w:val="0"/>
          <w:sz w:val="32"/>
          <w:szCs w:val="32"/>
          <w:lang w:val="en-US" w:eastAsia="zh-CN" w:bidi="ar-SA"/>
        </w:rPr>
      </w:pPr>
      <w:r>
        <w:rPr>
          <w:rFonts w:hint="eastAsia" w:ascii="仿宋_GB2312" w:hAnsi="Times New Roman" w:eastAsia="仿宋_GB2312" w:cs="仿宋"/>
          <w:color w:val="000000"/>
          <w:kern w:val="0"/>
          <w:sz w:val="32"/>
          <w:szCs w:val="32"/>
          <w:lang w:val="en-US" w:eastAsia="zh-CN" w:bidi="ar-SA"/>
        </w:rPr>
        <w:t>附件</w:t>
      </w:r>
    </w:p>
    <w:p>
      <w:pPr>
        <w:keepNext w:val="0"/>
        <w:keepLines w:val="0"/>
        <w:pageBreakBefore w:val="0"/>
        <w:widowControl/>
        <w:tabs>
          <w:tab w:val="left" w:pos="1582"/>
          <w:tab w:val="center" w:pos="4212"/>
        </w:tabs>
        <w:bidi w:val="0"/>
        <w:spacing w:line="600" w:lineRule="exact"/>
        <w:contextualSpacing/>
        <w:jc w:val="left"/>
        <w:textAlignment w:val="auto"/>
        <w:rPr>
          <w:rFonts w:hint="eastAsia" w:ascii="方正小标宋简体" w:hAnsi="方正小标宋简体" w:eastAsia="方正小标宋简体" w:cs="方正小标宋简体"/>
          <w:b/>
          <w:spacing w:val="34"/>
          <w:sz w:val="44"/>
          <w:szCs w:val="44"/>
          <w:shd w:val="clear" w:color="auto" w:fill="FFFFFF"/>
          <w:lang w:eastAsia="zh-CN"/>
        </w:rPr>
      </w:pPr>
      <w:r>
        <w:rPr>
          <w:rFonts w:hint="eastAsia" w:ascii="方正小标宋简体" w:hAnsi="方正小标宋简体" w:eastAsia="方正小标宋简体" w:cs="方正小标宋简体"/>
          <w:b/>
          <w:spacing w:val="34"/>
          <w:sz w:val="44"/>
          <w:szCs w:val="44"/>
          <w:shd w:val="clear" w:color="auto" w:fill="FFFFFF"/>
          <w:lang w:eastAsia="zh-CN"/>
        </w:rPr>
        <w:tab/>
      </w:r>
      <w:r>
        <w:rPr>
          <w:rFonts w:hint="eastAsia" w:ascii="方正小标宋简体" w:hAnsi="方正小标宋简体" w:eastAsia="方正小标宋简体" w:cs="方正小标宋简体"/>
          <w:b/>
          <w:spacing w:val="34"/>
          <w:sz w:val="44"/>
          <w:szCs w:val="44"/>
          <w:shd w:val="clear" w:color="auto" w:fill="FFFFFF"/>
          <w:lang w:val="en-US" w:eastAsia="zh-CN"/>
        </w:rPr>
        <w:t xml:space="preserve">   </w:t>
      </w:r>
      <w:r>
        <w:rPr>
          <w:rFonts w:hint="eastAsia" w:ascii="方正小标宋简体" w:hAnsi="方正小标宋简体" w:eastAsia="方正小标宋简体" w:cs="方正小标宋简体"/>
          <w:b/>
          <w:spacing w:val="34"/>
          <w:sz w:val="44"/>
          <w:szCs w:val="44"/>
          <w:shd w:val="clear" w:color="auto" w:fill="FFFFFF"/>
        </w:rPr>
        <w:t>金川县</w:t>
      </w:r>
      <w:r>
        <w:rPr>
          <w:rFonts w:hint="eastAsia" w:ascii="方正小标宋简体" w:hAnsi="方正小标宋简体" w:eastAsia="方正小标宋简体" w:cs="方正小标宋简体"/>
          <w:b/>
          <w:spacing w:val="34"/>
          <w:sz w:val="44"/>
          <w:szCs w:val="44"/>
          <w:shd w:val="clear" w:color="auto" w:fill="FFFFFF"/>
          <w:lang w:eastAsia="zh-CN"/>
        </w:rPr>
        <w:t>水务局</w:t>
      </w:r>
    </w:p>
    <w:p>
      <w:pPr>
        <w:keepNext w:val="0"/>
        <w:keepLines w:val="0"/>
        <w:pageBreakBefore w:val="0"/>
        <w:widowControl/>
        <w:bidi w:val="0"/>
        <w:spacing w:line="600" w:lineRule="exact"/>
        <w:contextualSpacing/>
        <w:jc w:val="center"/>
        <w:textAlignment w:val="auto"/>
        <w:rPr>
          <w:rFonts w:hint="eastAsia" w:ascii="方正小标宋简体" w:hAnsi="方正小标宋简体" w:eastAsia="方正小标宋简体" w:cs="方正小标宋简体"/>
          <w:b/>
          <w:spacing w:val="34"/>
          <w:sz w:val="44"/>
          <w:szCs w:val="44"/>
          <w:shd w:val="clear" w:color="auto" w:fill="FFFFFF"/>
        </w:rPr>
      </w:pPr>
      <w:r>
        <w:rPr>
          <w:rFonts w:hint="eastAsia" w:ascii="方正小标宋简体" w:hAnsi="方正小标宋简体" w:eastAsia="方正小标宋简体" w:cs="方正小标宋简体"/>
          <w:b/>
          <w:spacing w:val="34"/>
          <w:sz w:val="44"/>
          <w:szCs w:val="44"/>
          <w:shd w:val="clear" w:color="auto" w:fill="FFFFFF"/>
        </w:rPr>
        <w:t>2022年部门整体支出绩效</w:t>
      </w:r>
    </w:p>
    <w:p>
      <w:pPr>
        <w:keepNext w:val="0"/>
        <w:keepLines w:val="0"/>
        <w:pageBreakBefore w:val="0"/>
        <w:widowControl/>
        <w:bidi w:val="0"/>
        <w:spacing w:line="600" w:lineRule="exact"/>
        <w:contextualSpacing/>
        <w:jc w:val="center"/>
        <w:textAlignment w:val="auto"/>
        <w:rPr>
          <w:rFonts w:hint="eastAsia"/>
          <w:sz w:val="44"/>
          <w:szCs w:val="44"/>
        </w:rPr>
      </w:pPr>
      <w:r>
        <w:rPr>
          <w:rFonts w:hint="eastAsia" w:ascii="方正小标宋简体" w:hAnsi="方正小标宋简体" w:eastAsia="方正小标宋简体" w:cs="方正小标宋简体"/>
          <w:b/>
          <w:spacing w:val="34"/>
          <w:sz w:val="44"/>
          <w:szCs w:val="44"/>
          <w:shd w:val="clear" w:color="auto" w:fill="FFFFFF"/>
        </w:rPr>
        <w:t>评价报告</w:t>
      </w:r>
    </w:p>
    <w:p>
      <w:pPr>
        <w:keepNext w:val="0"/>
        <w:keepLines w:val="0"/>
        <w:pageBreakBefore w:val="0"/>
        <w:widowControl/>
        <w:kinsoku w:val="0"/>
        <w:overflowPunct w:val="0"/>
        <w:autoSpaceDE w:val="0"/>
        <w:autoSpaceDN w:val="0"/>
        <w:bidi w:val="0"/>
        <w:spacing w:line="600" w:lineRule="exact"/>
        <w:ind w:firstLine="640" w:firstLineChars="200"/>
        <w:jc w:val="left"/>
        <w:textAlignment w:val="auto"/>
        <w:rPr>
          <w:rFonts w:hint="eastAsia" w:ascii="仿宋" w:eastAsia="仿宋"/>
          <w:color w:val="000000"/>
          <w:sz w:val="32"/>
          <w:szCs w:val="32"/>
        </w:rPr>
      </w:pPr>
    </w:p>
    <w:p>
      <w:pPr>
        <w:keepNext w:val="0"/>
        <w:keepLines w:val="0"/>
        <w:pageBreakBefore w:val="0"/>
        <w:widowControl/>
        <w:kinsoku w:val="0"/>
        <w:overflowPunct w:val="0"/>
        <w:autoSpaceDE w:val="0"/>
        <w:autoSpaceDN w:val="0"/>
        <w:bidi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我</w:t>
      </w:r>
      <w:r>
        <w:rPr>
          <w:rFonts w:hint="eastAsia" w:ascii="仿宋" w:eastAsia="仿宋"/>
          <w:color w:val="000000"/>
          <w:sz w:val="32"/>
          <w:szCs w:val="32"/>
          <w:lang w:eastAsia="zh-CN"/>
        </w:rPr>
        <w:t>局</w:t>
      </w:r>
      <w:r>
        <w:rPr>
          <w:rFonts w:hint="eastAsia" w:ascii="仿宋" w:eastAsia="仿宋"/>
          <w:color w:val="000000"/>
          <w:sz w:val="32"/>
          <w:szCs w:val="32"/>
        </w:rPr>
        <w:t>高度重视，赓即成立了绩效评价工作组负责开展202</w:t>
      </w:r>
      <w:r>
        <w:rPr>
          <w:rFonts w:hint="eastAsia" w:ascii="仿宋" w:eastAsia="仿宋"/>
          <w:color w:val="000000"/>
          <w:sz w:val="32"/>
          <w:szCs w:val="32"/>
          <w:lang w:val="en-US" w:eastAsia="zh-CN"/>
        </w:rPr>
        <w:t>2</w:t>
      </w:r>
      <w:r>
        <w:rPr>
          <w:rFonts w:hint="eastAsia" w:ascii="仿宋" w:eastAsia="仿宋"/>
          <w:color w:val="000000"/>
          <w:sz w:val="32"/>
          <w:szCs w:val="32"/>
        </w:rPr>
        <w:t>年财政支出绩效评价。</w:t>
      </w:r>
    </w:p>
    <w:p>
      <w:pPr>
        <w:keepNext w:val="0"/>
        <w:keepLines w:val="0"/>
        <w:pageBreakBefore w:val="0"/>
        <w:bidi w:val="0"/>
        <w:spacing w:line="600" w:lineRule="exact"/>
        <w:textAlignment w:val="auto"/>
        <w:rPr>
          <w:rFonts w:hint="eastAsia"/>
          <w:lang w:val="zh-CN"/>
        </w:rPr>
      </w:pPr>
    </w:p>
    <w:p>
      <w:pPr>
        <w:widowControl/>
        <w:spacing w:line="400" w:lineRule="exact"/>
        <w:ind w:firstLine="630" w:firstLineChars="197"/>
        <w:jc w:val="left"/>
        <w:outlineLvl w:val="1"/>
        <w:rPr>
          <w:rStyle w:val="21"/>
          <w:b w:val="0"/>
          <w:bCs w:val="0"/>
        </w:rPr>
      </w:pPr>
      <w:bookmarkStart w:id="52" w:name="_Toc18089"/>
      <w:bookmarkStart w:id="53" w:name="_Toc20121"/>
      <w:bookmarkStart w:id="54" w:name="_Toc13478"/>
      <w:r>
        <w:rPr>
          <w:rStyle w:val="21"/>
          <w:rFonts w:hint="eastAsia" w:ascii="黑体" w:eastAsia="黑体"/>
          <w:b w:val="0"/>
          <w:bCs w:val="0"/>
        </w:rPr>
        <w:t>一、机构设置</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2．机构情况：</w:t>
      </w:r>
    </w:p>
    <w:p>
      <w:pPr>
        <w:snapToGrid w:val="0"/>
        <w:spacing w:line="540" w:lineRule="atLeast"/>
        <w:ind w:firstLine="640" w:firstLineChars="200"/>
        <w:rPr>
          <w:rFonts w:hint="eastAsia" w:ascii="仿宋_GB2312" w:hAnsi="宋体" w:eastAsia="仿宋_GB2312" w:cs="宋体"/>
          <w:color w:val="333333"/>
          <w:kern w:val="0"/>
          <w:sz w:val="28"/>
          <w:szCs w:val="28"/>
          <w:lang w:val="zh-CN"/>
        </w:rPr>
      </w:pPr>
      <w:r>
        <w:rPr>
          <w:rFonts w:hint="eastAsia" w:ascii="仿宋_GB2312" w:hAnsi="仿宋_GB2312" w:eastAsia="仿宋_GB2312" w:cs="Arial"/>
          <w:kern w:val="0"/>
          <w:sz w:val="32"/>
          <w:szCs w:val="32"/>
          <w:lang w:val="zh-CN" w:eastAsia="zh-CN" w:bidi="ar-SA"/>
        </w:rPr>
        <w:t>我单位纳入本部门决算汇编范围的独立核算单位共</w:t>
      </w:r>
      <w:r>
        <w:rPr>
          <w:rFonts w:hint="eastAsia" w:ascii="仿宋_GB2312" w:hAnsi="仿宋_GB2312" w:eastAsia="仿宋_GB2312" w:cs="Arial"/>
          <w:kern w:val="0"/>
          <w:sz w:val="32"/>
          <w:szCs w:val="32"/>
          <w:lang w:val="en-US" w:eastAsia="zh-CN" w:bidi="ar-SA"/>
        </w:rPr>
        <w:t>1</w:t>
      </w:r>
      <w:r>
        <w:rPr>
          <w:rFonts w:hint="eastAsia" w:ascii="仿宋_GB2312" w:hAnsi="仿宋_GB2312" w:eastAsia="仿宋_GB2312" w:cs="Arial"/>
          <w:kern w:val="0"/>
          <w:sz w:val="32"/>
          <w:szCs w:val="32"/>
          <w:lang w:val="zh-CN" w:eastAsia="zh-CN" w:bidi="ar-SA"/>
        </w:rPr>
        <w:t>个，无增减变动。</w:t>
      </w:r>
    </w:p>
    <w:p>
      <w:pPr>
        <w:snapToGrid w:val="0"/>
        <w:spacing w:line="540" w:lineRule="atLeast"/>
        <w:ind w:firstLine="640" w:firstLineChars="200"/>
        <w:rPr>
          <w:rFonts w:hint="eastAsia" w:ascii="仿宋_GB2312" w:hAnsi="仿宋" w:eastAsia="仿宋_GB2312"/>
          <w:sz w:val="32"/>
          <w:szCs w:val="32"/>
        </w:rPr>
      </w:pPr>
      <w:r>
        <w:rPr>
          <w:rFonts w:hint="eastAsia" w:ascii="仿宋_GB2312" w:hAnsi="仿宋" w:eastAsia="仿宋_GB2312"/>
          <w:sz w:val="32"/>
          <w:szCs w:val="32"/>
        </w:rPr>
        <w:t>3．人员情况：</w:t>
      </w:r>
    </w:p>
    <w:p>
      <w:pPr>
        <w:snapToGrid w:val="0"/>
        <w:spacing w:line="520" w:lineRule="exact"/>
        <w:ind w:firstLine="640" w:firstLineChars="200"/>
        <w:rPr>
          <w:rFonts w:hint="eastAsia" w:ascii="仿宋_GB2312" w:hAnsi="仿宋_GB2312" w:eastAsia="仿宋_GB2312" w:cs="Arial"/>
          <w:color w:val="auto"/>
          <w:kern w:val="0"/>
          <w:sz w:val="32"/>
          <w:szCs w:val="32"/>
          <w:lang w:val="zh-CN" w:eastAsia="zh-CN" w:bidi="ar-SA"/>
        </w:rPr>
      </w:pPr>
      <w:r>
        <w:rPr>
          <w:rFonts w:hint="eastAsia" w:ascii="仿宋_GB2312" w:eastAsia="仿宋_GB2312"/>
          <w:color w:val="auto"/>
          <w:sz w:val="32"/>
          <w:szCs w:val="32"/>
          <w:lang w:eastAsia="zh-CN"/>
        </w:rPr>
        <w:t>金川县水务局</w:t>
      </w:r>
      <w:r>
        <w:rPr>
          <w:rFonts w:hint="eastAsia" w:ascii="仿宋_GB2312" w:eastAsia="仿宋_GB2312"/>
          <w:color w:val="auto"/>
          <w:sz w:val="32"/>
          <w:szCs w:val="32"/>
        </w:rPr>
        <w:t>是</w:t>
      </w:r>
      <w:r>
        <w:rPr>
          <w:rFonts w:hint="eastAsia" w:ascii="仿宋_GB2312" w:eastAsia="仿宋_GB2312"/>
          <w:bCs/>
          <w:color w:val="auto"/>
          <w:sz w:val="32"/>
          <w:szCs w:val="32"/>
        </w:rPr>
        <w:t>政府组成部门，</w:t>
      </w:r>
      <w:r>
        <w:rPr>
          <w:rFonts w:hint="eastAsia" w:ascii="仿宋_GB2312" w:eastAsia="仿宋_GB2312"/>
          <w:color w:val="auto"/>
          <w:sz w:val="32"/>
          <w:szCs w:val="32"/>
        </w:rPr>
        <w:t>核算机构1个，</w:t>
      </w:r>
      <w:r>
        <w:rPr>
          <w:rFonts w:hint="eastAsia" w:ascii="仿宋_GB2312" w:hAnsi="仿宋_GB2312" w:eastAsia="仿宋_GB2312" w:cs="Arial"/>
          <w:color w:val="auto"/>
          <w:kern w:val="0"/>
          <w:sz w:val="32"/>
          <w:szCs w:val="32"/>
          <w:lang w:val="zh-CN" w:eastAsia="zh-CN" w:bidi="ar-SA"/>
        </w:rPr>
        <w:t>我单位在职职工</w:t>
      </w:r>
      <w:r>
        <w:rPr>
          <w:rFonts w:hint="eastAsia" w:ascii="仿宋_GB2312" w:hAnsi="仿宋_GB2312" w:eastAsia="仿宋_GB2312" w:cs="Arial"/>
          <w:color w:val="auto"/>
          <w:kern w:val="0"/>
          <w:sz w:val="32"/>
          <w:szCs w:val="32"/>
          <w:lang w:val="en-US" w:eastAsia="zh-CN" w:bidi="ar-SA"/>
        </w:rPr>
        <w:t>33人，其中</w:t>
      </w:r>
      <w:r>
        <w:rPr>
          <w:rFonts w:hint="eastAsia" w:ascii="仿宋_GB2312" w:hAnsi="仿宋_GB2312" w:eastAsia="仿宋_GB2312" w:cs="Arial"/>
          <w:color w:val="auto"/>
          <w:kern w:val="0"/>
          <w:sz w:val="32"/>
          <w:szCs w:val="32"/>
          <w:lang w:val="zh-CN" w:eastAsia="zh-CN" w:bidi="ar-SA"/>
        </w:rPr>
        <w:t>行政人员</w:t>
      </w:r>
      <w:r>
        <w:rPr>
          <w:rFonts w:hint="eastAsia" w:ascii="仿宋_GB2312" w:hAnsi="仿宋_GB2312" w:eastAsia="仿宋_GB2312" w:cs="Arial"/>
          <w:color w:val="auto"/>
          <w:kern w:val="0"/>
          <w:sz w:val="32"/>
          <w:szCs w:val="32"/>
          <w:lang w:val="en-US" w:eastAsia="zh-CN" w:bidi="ar-SA"/>
        </w:rPr>
        <w:t>10</w:t>
      </w:r>
      <w:r>
        <w:rPr>
          <w:rFonts w:hint="eastAsia" w:ascii="仿宋_GB2312" w:hAnsi="仿宋_GB2312" w:eastAsia="仿宋_GB2312" w:cs="Arial"/>
          <w:color w:val="auto"/>
          <w:kern w:val="0"/>
          <w:sz w:val="32"/>
          <w:szCs w:val="32"/>
          <w:lang w:val="zh-CN" w:eastAsia="zh-CN" w:bidi="ar-SA"/>
        </w:rPr>
        <w:t>名，行政工勤</w:t>
      </w:r>
      <w:r>
        <w:rPr>
          <w:rFonts w:hint="eastAsia" w:ascii="仿宋_GB2312" w:hAnsi="仿宋_GB2312" w:eastAsia="仿宋_GB2312" w:cs="Arial"/>
          <w:color w:val="auto"/>
          <w:kern w:val="0"/>
          <w:sz w:val="32"/>
          <w:szCs w:val="32"/>
          <w:lang w:val="en-US" w:eastAsia="zh-CN" w:bidi="ar-SA"/>
        </w:rPr>
        <w:t>1人，事业技术人员22人，</w:t>
      </w:r>
      <w:r>
        <w:rPr>
          <w:rFonts w:hint="eastAsia" w:ascii="仿宋_GB2312" w:hAnsi="仿宋_GB2312" w:eastAsia="仿宋_GB2312" w:cs="Arial"/>
          <w:color w:val="auto"/>
          <w:kern w:val="0"/>
          <w:sz w:val="32"/>
          <w:szCs w:val="32"/>
          <w:lang w:val="zh-CN" w:eastAsia="zh-CN" w:bidi="ar-SA"/>
        </w:rPr>
        <w:t>在职人员较上年减少</w:t>
      </w:r>
      <w:r>
        <w:rPr>
          <w:rFonts w:hint="eastAsia" w:ascii="仿宋_GB2312" w:hAnsi="仿宋_GB2312" w:eastAsia="仿宋_GB2312" w:cs="Arial"/>
          <w:color w:val="auto"/>
          <w:kern w:val="0"/>
          <w:sz w:val="32"/>
          <w:szCs w:val="32"/>
          <w:lang w:val="en-US" w:eastAsia="zh-CN" w:bidi="ar-SA"/>
        </w:rPr>
        <w:t>1</w:t>
      </w:r>
      <w:r>
        <w:rPr>
          <w:rFonts w:hint="eastAsia" w:ascii="仿宋_GB2312" w:hAnsi="仿宋_GB2312" w:eastAsia="仿宋_GB2312" w:cs="Arial"/>
          <w:color w:val="auto"/>
          <w:kern w:val="0"/>
          <w:sz w:val="32"/>
          <w:szCs w:val="32"/>
          <w:lang w:val="zh-CN" w:eastAsia="zh-CN" w:bidi="ar-SA"/>
        </w:rPr>
        <w:t>人，减少原因为在职死亡一人，遗属人员增加</w:t>
      </w:r>
      <w:r>
        <w:rPr>
          <w:rFonts w:hint="eastAsia" w:ascii="仿宋_GB2312" w:hAnsi="仿宋_GB2312" w:eastAsia="仿宋_GB2312" w:cs="Arial"/>
          <w:color w:val="auto"/>
          <w:kern w:val="0"/>
          <w:sz w:val="32"/>
          <w:szCs w:val="32"/>
          <w:lang w:val="en-US" w:eastAsia="zh-CN" w:bidi="ar-SA"/>
        </w:rPr>
        <w:t>3名</w:t>
      </w:r>
      <w:r>
        <w:rPr>
          <w:rFonts w:hint="eastAsia" w:ascii="仿宋_GB2312" w:hAnsi="仿宋_GB2312" w:eastAsia="仿宋_GB2312" w:cs="Arial"/>
          <w:color w:val="auto"/>
          <w:kern w:val="0"/>
          <w:sz w:val="32"/>
          <w:szCs w:val="32"/>
          <w:lang w:val="zh-CN" w:eastAsia="zh-CN" w:bidi="ar-SA"/>
        </w:rPr>
        <w:t>。</w:t>
      </w:r>
    </w:p>
    <w:bookmarkEnd w:id="52"/>
    <w:bookmarkEnd w:id="53"/>
    <w:bookmarkEnd w:id="54"/>
    <w:p>
      <w:pPr>
        <w:keepNext w:val="0"/>
        <w:keepLines w:val="0"/>
        <w:pageBreakBefore w:val="0"/>
        <w:widowControl/>
        <w:wordWrap w:val="0"/>
        <w:topLinePunct/>
        <w:bidi w:val="0"/>
        <w:adjustRightInd w:val="0"/>
        <w:snapToGrid w:val="0"/>
        <w:spacing w:line="600" w:lineRule="exact"/>
        <w:ind w:firstLine="389" w:firstLineChars="100"/>
        <w:jc w:val="left"/>
        <w:textAlignment w:val="auto"/>
        <w:outlineLvl w:val="1"/>
        <w:rPr>
          <w:rFonts w:hint="eastAsia" w:ascii="黑体" w:hAnsi="黑体" w:eastAsia="黑体" w:cs="黑体"/>
          <w:b/>
          <w:bCs/>
          <w:color w:val="000000"/>
          <w:spacing w:val="34"/>
          <w:sz w:val="32"/>
          <w:szCs w:val="32"/>
          <w:lang w:val="zh-CN"/>
        </w:rPr>
      </w:pPr>
      <w:bookmarkStart w:id="55" w:name="_Toc14408"/>
      <w:bookmarkStart w:id="56" w:name="_Toc13280"/>
      <w:bookmarkStart w:id="57" w:name="_Toc3827"/>
      <w:r>
        <w:rPr>
          <w:rFonts w:hint="eastAsia" w:ascii="黑体" w:hAnsi="黑体" w:eastAsia="黑体" w:cs="黑体"/>
          <w:b/>
          <w:bCs/>
          <w:color w:val="000000"/>
          <w:spacing w:val="34"/>
          <w:sz w:val="32"/>
          <w:szCs w:val="32"/>
          <w:lang w:val="zh-CN"/>
        </w:rPr>
        <w:t>二、部门财政资金收支情况</w:t>
      </w:r>
      <w:bookmarkEnd w:id="55"/>
      <w:bookmarkEnd w:id="56"/>
      <w:bookmarkEnd w:id="57"/>
    </w:p>
    <w:p>
      <w:pPr>
        <w:keepNext w:val="0"/>
        <w:keepLines w:val="0"/>
        <w:pageBreakBefore w:val="0"/>
        <w:widowControl/>
        <w:wordWrap w:val="0"/>
        <w:topLinePunct/>
        <w:bidi w:val="0"/>
        <w:adjustRightInd w:val="0"/>
        <w:snapToGrid w:val="0"/>
        <w:spacing w:line="600" w:lineRule="exact"/>
        <w:ind w:firstLine="779" w:firstLineChars="200"/>
        <w:jc w:val="left"/>
        <w:textAlignment w:val="auto"/>
        <w:outlineLvl w:val="2"/>
        <w:rPr>
          <w:rFonts w:hint="eastAsia" w:ascii="楷体" w:hAnsi="楷体" w:eastAsia="楷体" w:cs="楷体"/>
          <w:b/>
          <w:bCs/>
          <w:color w:val="000000"/>
          <w:spacing w:val="34"/>
          <w:sz w:val="32"/>
          <w:szCs w:val="32"/>
          <w:lang w:val="zh-CN"/>
        </w:rPr>
      </w:pPr>
      <w:bookmarkStart w:id="58" w:name="_Toc912"/>
      <w:r>
        <w:rPr>
          <w:rFonts w:hint="eastAsia" w:ascii="楷体" w:hAnsi="楷体" w:eastAsia="楷体" w:cs="楷体"/>
          <w:b/>
          <w:bCs/>
          <w:color w:val="000000"/>
          <w:spacing w:val="34"/>
          <w:sz w:val="32"/>
          <w:szCs w:val="32"/>
          <w:lang w:val="zh-CN"/>
        </w:rPr>
        <w:t>（一）部门财政资金收入情况</w:t>
      </w:r>
      <w:bookmarkEnd w:id="58"/>
    </w:p>
    <w:p>
      <w:pPr>
        <w:keepNext w:val="0"/>
        <w:keepLines w:val="0"/>
        <w:pageBreakBefore w:val="0"/>
        <w:bidi w:val="0"/>
        <w:snapToGrid w:val="0"/>
        <w:spacing w:line="600" w:lineRule="exact"/>
        <w:ind w:firstLine="640" w:firstLineChars="200"/>
        <w:textAlignment w:val="auto"/>
        <w:rPr>
          <w:rFonts w:hint="eastAsia"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度财政拨款收入</w:t>
      </w:r>
      <w:r>
        <w:rPr>
          <w:rFonts w:hint="eastAsia" w:ascii="仿宋" w:eastAsia="仿宋"/>
          <w:color w:val="000000"/>
          <w:sz w:val="32"/>
          <w:szCs w:val="32"/>
          <w:lang w:val="en-US" w:eastAsia="zh-CN"/>
        </w:rPr>
        <w:t>5659.69</w:t>
      </w:r>
      <w:r>
        <w:rPr>
          <w:rFonts w:hint="eastAsia" w:ascii="仿宋" w:eastAsia="仿宋"/>
          <w:color w:val="000000"/>
          <w:sz w:val="32"/>
          <w:szCs w:val="32"/>
        </w:rPr>
        <w:t>万元，其他收入0万元，上年结转收入0万元。</w:t>
      </w:r>
    </w:p>
    <w:p>
      <w:pPr>
        <w:keepNext w:val="0"/>
        <w:keepLines w:val="0"/>
        <w:pageBreakBefore w:val="0"/>
        <w:bidi w:val="0"/>
        <w:snapToGrid w:val="0"/>
        <w:spacing w:line="600" w:lineRule="exact"/>
        <w:ind w:firstLine="558" w:firstLineChars="200"/>
        <w:textAlignment w:val="auto"/>
        <w:rPr>
          <w:rFonts w:ascii="仿宋" w:eastAsia="仿宋"/>
          <w:color w:val="000000"/>
          <w:sz w:val="32"/>
          <w:szCs w:val="32"/>
        </w:rPr>
      </w:pPr>
      <w:r>
        <w:rPr>
          <w:rFonts w:hint="eastAsia" w:ascii="楷体" w:hAnsi="楷体" w:eastAsia="楷体" w:cs="楷体"/>
          <w:b/>
          <w:bCs/>
          <w:color w:val="000000"/>
          <w:spacing w:val="34"/>
          <w:szCs w:val="32"/>
          <w:lang w:val="zh-CN"/>
        </w:rPr>
        <w:t>（</w:t>
      </w:r>
      <w:r>
        <w:rPr>
          <w:rFonts w:hint="eastAsia" w:ascii="楷体" w:hAnsi="楷体" w:eastAsia="楷体" w:cs="楷体"/>
          <w:b/>
          <w:bCs/>
          <w:color w:val="000000"/>
          <w:spacing w:val="34"/>
          <w:sz w:val="32"/>
          <w:szCs w:val="32"/>
          <w:lang w:val="zh-CN"/>
        </w:rPr>
        <w:t>二）部门财政资金支出情况</w:t>
      </w:r>
      <w:r>
        <w:rPr>
          <w:rFonts w:hint="eastAsia" w:ascii="仿宋_GB2312" w:hAnsi="宋体" w:cs="宋体"/>
          <w:color w:val="000000"/>
          <w:spacing w:val="34"/>
          <w:sz w:val="32"/>
          <w:szCs w:val="32"/>
          <w:lang w:val="zh-CN"/>
        </w:rPr>
        <w:t>。 </w:t>
      </w:r>
    </w:p>
    <w:p>
      <w:pPr>
        <w:spacing w:line="600" w:lineRule="exact"/>
        <w:ind w:firstLine="645"/>
        <w:rPr>
          <w:rFonts w:hint="eastAsia" w:ascii="仿宋" w:eastAsia="仿宋"/>
          <w:color w:val="000000"/>
          <w:sz w:val="32"/>
          <w:szCs w:val="32"/>
          <w:lang w:val="en-US" w:eastAsia="zh-CN"/>
        </w:rPr>
      </w:pPr>
      <w:bookmarkStart w:id="59" w:name="_Toc31292"/>
      <w:bookmarkStart w:id="60" w:name="_Toc9555"/>
      <w:bookmarkStart w:id="61" w:name="_Toc18927"/>
      <w:r>
        <w:rPr>
          <w:rFonts w:hint="eastAsia" w:ascii="仿宋" w:eastAsia="仿宋"/>
          <w:color w:val="000000"/>
          <w:sz w:val="32"/>
          <w:szCs w:val="32"/>
          <w:lang w:eastAsia="zh-CN"/>
        </w:rPr>
        <w:t>2022年</w:t>
      </w:r>
      <w:r>
        <w:rPr>
          <w:rFonts w:hint="eastAsia" w:ascii="仿宋" w:eastAsia="仿宋"/>
          <w:color w:val="000000"/>
          <w:sz w:val="32"/>
          <w:szCs w:val="32"/>
        </w:rPr>
        <w:t>一般公共预算财政拨款支出</w:t>
      </w:r>
      <w:r>
        <w:rPr>
          <w:rFonts w:hint="eastAsia" w:ascii="仿宋" w:eastAsia="仿宋"/>
          <w:color w:val="000000"/>
          <w:sz w:val="32"/>
          <w:szCs w:val="32"/>
          <w:lang w:val="en-US" w:eastAsia="zh-CN"/>
        </w:rPr>
        <w:t>5659.69</w:t>
      </w:r>
      <w:r>
        <w:rPr>
          <w:rFonts w:hint="eastAsia" w:ascii="仿宋" w:eastAsia="仿宋"/>
          <w:color w:val="000000"/>
          <w:sz w:val="32"/>
          <w:szCs w:val="32"/>
        </w:rPr>
        <w:t>万元</w:t>
      </w:r>
      <w:r>
        <w:rPr>
          <w:rFonts w:hint="eastAsia" w:ascii="仿宋" w:eastAsia="仿宋"/>
          <w:color w:val="000000"/>
          <w:sz w:val="32"/>
          <w:szCs w:val="32"/>
          <w:lang w:eastAsia="zh-CN"/>
        </w:rPr>
        <w:t>。</w:t>
      </w:r>
    </w:p>
    <w:p>
      <w:pPr>
        <w:snapToGrid w:val="0"/>
        <w:spacing w:line="52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763.82</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738.22</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主要包括：基本工资</w:t>
      </w:r>
      <w:r>
        <w:rPr>
          <w:rFonts w:hint="eastAsia" w:ascii="仿宋_GB2312" w:eastAsia="仿宋_GB2312"/>
          <w:color w:val="000000" w:themeColor="text1"/>
          <w:sz w:val="32"/>
          <w:szCs w:val="32"/>
          <w:lang w:val="en-US" w:eastAsia="zh-CN"/>
          <w14:textFill>
            <w14:solidFill>
              <w14:schemeClr w14:val="tx1"/>
            </w14:solidFill>
          </w14:textFill>
        </w:rPr>
        <w:t>150.69</w:t>
      </w:r>
      <w:r>
        <w:rPr>
          <w:rFonts w:hint="eastAsia" w:ascii="仿宋_GB2312" w:eastAsia="仿宋_GB2312"/>
          <w:color w:val="000000" w:themeColor="text1"/>
          <w:sz w:val="32"/>
          <w:szCs w:val="32"/>
          <w14:textFill>
            <w14:solidFill>
              <w14:schemeClr w14:val="tx1"/>
            </w14:solidFill>
          </w14:textFill>
        </w:rPr>
        <w:t>万元、津贴补贴</w:t>
      </w:r>
      <w:r>
        <w:rPr>
          <w:rFonts w:hint="eastAsia" w:ascii="仿宋_GB2312" w:eastAsia="仿宋_GB2312"/>
          <w:color w:val="000000" w:themeColor="text1"/>
          <w:sz w:val="32"/>
          <w:szCs w:val="32"/>
          <w:lang w:val="en-US" w:eastAsia="zh-CN"/>
          <w14:textFill>
            <w14:solidFill>
              <w14:schemeClr w14:val="tx1"/>
            </w14:solidFill>
          </w14:textFill>
        </w:rPr>
        <w:t>100.41</w:t>
      </w:r>
      <w:r>
        <w:rPr>
          <w:rFonts w:hint="eastAsia" w:ascii="仿宋_GB2312" w:eastAsia="仿宋_GB2312"/>
          <w:color w:val="000000" w:themeColor="text1"/>
          <w:sz w:val="32"/>
          <w:szCs w:val="32"/>
          <w14:textFill>
            <w14:solidFill>
              <w14:schemeClr w14:val="tx1"/>
            </w14:solidFill>
          </w14:textFill>
        </w:rPr>
        <w:t>万元、奖金</w:t>
      </w:r>
      <w:r>
        <w:rPr>
          <w:rFonts w:hint="eastAsia" w:ascii="仿宋_GB2312" w:eastAsia="仿宋_GB2312"/>
          <w:color w:val="000000" w:themeColor="text1"/>
          <w:sz w:val="32"/>
          <w:szCs w:val="32"/>
          <w:lang w:val="en-US" w:eastAsia="zh-CN"/>
          <w14:textFill>
            <w14:solidFill>
              <w14:schemeClr w14:val="tx1"/>
            </w14:solidFill>
          </w14:textFill>
        </w:rPr>
        <w:t>131.06</w:t>
      </w:r>
      <w:r>
        <w:rPr>
          <w:rFonts w:hint="eastAsia" w:ascii="仿宋_GB2312" w:eastAsia="仿宋_GB2312"/>
          <w:color w:val="000000" w:themeColor="text1"/>
          <w:sz w:val="32"/>
          <w:szCs w:val="32"/>
          <w14:textFill>
            <w14:solidFill>
              <w14:schemeClr w14:val="tx1"/>
            </w14:solidFill>
          </w14:textFill>
        </w:rPr>
        <w:t>万元、绩效工资</w:t>
      </w:r>
      <w:r>
        <w:rPr>
          <w:rFonts w:hint="eastAsia" w:ascii="仿宋_GB2312" w:eastAsia="仿宋_GB2312"/>
          <w:color w:val="000000" w:themeColor="text1"/>
          <w:sz w:val="32"/>
          <w:szCs w:val="32"/>
          <w:lang w:val="en-US" w:eastAsia="zh-CN"/>
          <w14:textFill>
            <w14:solidFill>
              <w14:schemeClr w14:val="tx1"/>
            </w14:solidFill>
          </w14:textFill>
        </w:rPr>
        <w:t>69.91</w:t>
      </w:r>
      <w:r>
        <w:rPr>
          <w:rFonts w:hint="eastAsia" w:ascii="仿宋_GB2312" w:eastAsia="仿宋_GB2312"/>
          <w:color w:val="000000" w:themeColor="text1"/>
          <w:sz w:val="32"/>
          <w:szCs w:val="32"/>
          <w14:textFill>
            <w14:solidFill>
              <w14:schemeClr w14:val="tx1"/>
            </w14:solidFill>
          </w14:textFill>
        </w:rPr>
        <w:t>万元、机关事业单位基本养老保险缴费</w:t>
      </w:r>
      <w:r>
        <w:rPr>
          <w:rFonts w:hint="eastAsia" w:ascii="仿宋_GB2312" w:eastAsia="仿宋_GB2312"/>
          <w:color w:val="000000" w:themeColor="text1"/>
          <w:sz w:val="32"/>
          <w:szCs w:val="32"/>
          <w:lang w:val="en-US" w:eastAsia="zh-CN"/>
          <w14:textFill>
            <w14:solidFill>
              <w14:schemeClr w14:val="tx1"/>
            </w14:solidFill>
          </w14:textFill>
        </w:rPr>
        <w:t>61.53</w:t>
      </w:r>
      <w:r>
        <w:rPr>
          <w:rFonts w:hint="eastAsia" w:ascii="仿宋_GB2312" w:eastAsia="仿宋_GB2312"/>
          <w:color w:val="000000" w:themeColor="text1"/>
          <w:sz w:val="32"/>
          <w:szCs w:val="32"/>
          <w14:textFill>
            <w14:solidFill>
              <w14:schemeClr w14:val="tx1"/>
            </w14:solidFill>
          </w14:textFill>
        </w:rPr>
        <w:t>万元、职业年金缴费</w:t>
      </w:r>
      <w:r>
        <w:rPr>
          <w:rFonts w:hint="eastAsia" w:ascii="仿宋_GB2312" w:eastAsia="仿宋_GB2312"/>
          <w:color w:val="000000" w:themeColor="text1"/>
          <w:sz w:val="32"/>
          <w:szCs w:val="32"/>
          <w:lang w:val="en-US" w:eastAsia="zh-CN"/>
          <w14:textFill>
            <w14:solidFill>
              <w14:schemeClr w14:val="tx1"/>
            </w14:solidFill>
          </w14:textFill>
        </w:rPr>
        <w:t>30.77</w:t>
      </w:r>
      <w:r>
        <w:rPr>
          <w:rFonts w:hint="eastAsia" w:ascii="仿宋_GB2312" w:eastAsia="仿宋_GB2312"/>
          <w:color w:val="000000" w:themeColor="text1"/>
          <w:sz w:val="32"/>
          <w:szCs w:val="32"/>
          <w14:textFill>
            <w14:solidFill>
              <w14:schemeClr w14:val="tx1"/>
            </w14:solidFill>
          </w14:textFill>
        </w:rPr>
        <w:t>万元、其他社会保障缴费</w:t>
      </w:r>
      <w:r>
        <w:rPr>
          <w:rFonts w:hint="eastAsia" w:ascii="仿宋_GB2312" w:eastAsia="仿宋_GB2312"/>
          <w:color w:val="000000" w:themeColor="text1"/>
          <w:sz w:val="32"/>
          <w:szCs w:val="32"/>
          <w:lang w:val="en-US" w:eastAsia="zh-CN"/>
          <w14:textFill>
            <w14:solidFill>
              <w14:schemeClr w14:val="tx1"/>
            </w14:solidFill>
          </w14:textFill>
        </w:rPr>
        <w:t>11.69</w:t>
      </w:r>
      <w:r>
        <w:rPr>
          <w:rFonts w:hint="eastAsia" w:ascii="仿宋_GB2312" w:eastAsia="仿宋_GB2312"/>
          <w:color w:val="000000" w:themeColor="text1"/>
          <w:sz w:val="32"/>
          <w:szCs w:val="32"/>
          <w14:textFill>
            <w14:solidFill>
              <w14:schemeClr w14:val="tx1"/>
            </w14:solidFill>
          </w14:textFill>
        </w:rPr>
        <w:t>万元、住房公积金</w:t>
      </w:r>
      <w:r>
        <w:rPr>
          <w:rFonts w:hint="eastAsia" w:ascii="仿宋_GB2312" w:eastAsia="仿宋_GB2312"/>
          <w:color w:val="000000" w:themeColor="text1"/>
          <w:sz w:val="32"/>
          <w:szCs w:val="32"/>
          <w:lang w:val="en-US" w:eastAsia="zh-CN"/>
          <w14:textFill>
            <w14:solidFill>
              <w14:schemeClr w14:val="tx1"/>
            </w14:solidFill>
          </w14:textFill>
        </w:rPr>
        <w:t>49</w:t>
      </w:r>
      <w:r>
        <w:rPr>
          <w:rFonts w:hint="eastAsia" w:ascii="仿宋_GB2312" w:eastAsia="仿宋_GB2312"/>
          <w:color w:val="000000" w:themeColor="text1"/>
          <w:sz w:val="32"/>
          <w:szCs w:val="32"/>
          <w14:textFill>
            <w14:solidFill>
              <w14:schemeClr w14:val="tx1"/>
            </w14:solidFill>
          </w14:textFill>
        </w:rPr>
        <w:t>万元、职工基本医疗保险缴费</w:t>
      </w:r>
      <w:r>
        <w:rPr>
          <w:rFonts w:hint="eastAsia" w:ascii="仿宋_GB2312" w:eastAsia="仿宋_GB2312"/>
          <w:color w:val="000000" w:themeColor="text1"/>
          <w:sz w:val="32"/>
          <w:szCs w:val="32"/>
          <w:lang w:val="en-US" w:eastAsia="zh-CN"/>
          <w14:textFill>
            <w14:solidFill>
              <w14:schemeClr w14:val="tx1"/>
            </w14:solidFill>
          </w14:textFill>
        </w:rPr>
        <w:t>26.13</w:t>
      </w:r>
      <w:r>
        <w:rPr>
          <w:rFonts w:hint="eastAsia" w:ascii="仿宋_GB2312" w:eastAsia="仿宋_GB2312"/>
          <w:color w:val="000000" w:themeColor="text1"/>
          <w:sz w:val="32"/>
          <w:szCs w:val="32"/>
          <w14:textFill>
            <w14:solidFill>
              <w14:schemeClr w14:val="tx1"/>
            </w14:solidFill>
          </w14:textFill>
        </w:rPr>
        <w:t>万元、公务员医疗补助</w:t>
      </w:r>
      <w:r>
        <w:rPr>
          <w:rFonts w:hint="eastAsia" w:ascii="仿宋_GB2312" w:eastAsia="仿宋_GB2312"/>
          <w:color w:val="000000" w:themeColor="text1"/>
          <w:sz w:val="32"/>
          <w:szCs w:val="32"/>
          <w:lang w:val="en-US" w:eastAsia="zh-CN"/>
          <w14:textFill>
            <w14:solidFill>
              <w14:schemeClr w14:val="tx1"/>
            </w14:solidFill>
          </w14:textFill>
        </w:rPr>
        <w:t>3.66</w:t>
      </w:r>
      <w:r>
        <w:rPr>
          <w:rFonts w:hint="eastAsia" w:ascii="仿宋_GB2312" w:eastAsia="仿宋_GB2312"/>
          <w:color w:val="000000" w:themeColor="text1"/>
          <w:sz w:val="32"/>
          <w:szCs w:val="32"/>
          <w14:textFill>
            <w14:solidFill>
              <w14:schemeClr w14:val="tx1"/>
            </w14:solidFill>
          </w14:textFill>
        </w:rPr>
        <w:t>万元、生活补助</w:t>
      </w:r>
      <w:r>
        <w:rPr>
          <w:rFonts w:hint="eastAsia" w:ascii="仿宋_GB2312" w:eastAsia="仿宋_GB2312"/>
          <w:color w:val="000000" w:themeColor="text1"/>
          <w:sz w:val="32"/>
          <w:szCs w:val="32"/>
          <w:lang w:val="en-US" w:eastAsia="zh-CN"/>
          <w14:textFill>
            <w14:solidFill>
              <w14:schemeClr w14:val="tx1"/>
            </w14:solidFill>
          </w14:textFill>
        </w:rPr>
        <w:t>22.73</w:t>
      </w:r>
      <w:r>
        <w:rPr>
          <w:rFonts w:hint="eastAsia" w:ascii="仿宋_GB2312" w:eastAsia="仿宋_GB2312"/>
          <w:color w:val="000000" w:themeColor="text1"/>
          <w:sz w:val="32"/>
          <w:szCs w:val="32"/>
          <w14:textFill>
            <w14:solidFill>
              <w14:schemeClr w14:val="tx1"/>
            </w14:solidFill>
          </w14:textFill>
        </w:rPr>
        <w:t>万元、奖励金</w:t>
      </w:r>
      <w:r>
        <w:rPr>
          <w:rFonts w:hint="eastAsia" w:ascii="仿宋_GB2312" w:eastAsia="仿宋_GB2312"/>
          <w:color w:val="000000" w:themeColor="text1"/>
          <w:sz w:val="32"/>
          <w:szCs w:val="32"/>
          <w:lang w:val="en-US" w:eastAsia="zh-CN"/>
          <w14:textFill>
            <w14:solidFill>
              <w14:schemeClr w14:val="tx1"/>
            </w14:solidFill>
          </w14:textFill>
        </w:rPr>
        <w:t>80.64</w:t>
      </w:r>
      <w:r>
        <w:rPr>
          <w:rFonts w:hint="eastAsia" w:ascii="仿宋_GB2312" w:eastAsia="仿宋_GB2312"/>
          <w:color w:val="000000" w:themeColor="text1"/>
          <w:sz w:val="32"/>
          <w:szCs w:val="32"/>
          <w14:textFill>
            <w14:solidFill>
              <w14:schemeClr w14:val="tx1"/>
            </w14:solidFill>
          </w14:textFill>
        </w:rPr>
        <w:t>万元。</w:t>
      </w:r>
    </w:p>
    <w:p>
      <w:pPr>
        <w:snapToGrid w:val="0"/>
        <w:spacing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rPr>
        <w:t>公用经费支出为</w:t>
      </w:r>
      <w:r>
        <w:rPr>
          <w:rFonts w:hint="eastAsia" w:ascii="仿宋_GB2312" w:hAnsi="仿宋" w:eastAsia="仿宋_GB2312"/>
          <w:color w:val="000000"/>
          <w:sz w:val="32"/>
          <w:szCs w:val="32"/>
          <w:lang w:val="en-US" w:eastAsia="zh-CN"/>
        </w:rPr>
        <w:t>25.6</w:t>
      </w:r>
      <w:r>
        <w:rPr>
          <w:rFonts w:hint="eastAsia" w:ascii="仿宋_GB2312" w:hAnsi="仿宋" w:eastAsia="仿宋_GB2312"/>
          <w:color w:val="000000"/>
          <w:sz w:val="32"/>
          <w:szCs w:val="32"/>
        </w:rPr>
        <w:t>万元，主要包括：办公费</w:t>
      </w:r>
      <w:r>
        <w:rPr>
          <w:rFonts w:hint="eastAsia" w:ascii="仿宋_GB2312" w:hAnsi="仿宋" w:eastAsia="仿宋_GB2312"/>
          <w:color w:val="000000"/>
          <w:sz w:val="32"/>
          <w:szCs w:val="32"/>
          <w:lang w:val="en-US" w:eastAsia="zh-CN"/>
        </w:rPr>
        <w:t>3.45</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水</w:t>
      </w:r>
      <w:r>
        <w:rPr>
          <w:rFonts w:hint="eastAsia" w:ascii="仿宋_GB2312" w:hAnsi="仿宋" w:eastAsia="仿宋_GB2312"/>
          <w:color w:val="000000"/>
          <w:sz w:val="32"/>
          <w:szCs w:val="32"/>
        </w:rPr>
        <w:t>费</w:t>
      </w:r>
      <w:r>
        <w:rPr>
          <w:rFonts w:hint="eastAsia" w:ascii="仿宋_GB2312" w:hAnsi="仿宋" w:eastAsia="仿宋_GB2312"/>
          <w:color w:val="000000"/>
          <w:sz w:val="32"/>
          <w:szCs w:val="32"/>
          <w:lang w:val="en-US" w:eastAsia="zh-CN"/>
        </w:rPr>
        <w:t>0.07</w:t>
      </w:r>
      <w:r>
        <w:rPr>
          <w:rFonts w:hint="eastAsia" w:ascii="仿宋_GB2312" w:hAnsi="仿宋" w:eastAsia="仿宋_GB2312"/>
          <w:color w:val="000000"/>
          <w:sz w:val="32"/>
          <w:szCs w:val="32"/>
        </w:rPr>
        <w:t>万元、邮电费</w:t>
      </w:r>
      <w:r>
        <w:rPr>
          <w:rFonts w:hint="eastAsia" w:ascii="仿宋_GB2312" w:hAnsi="仿宋" w:eastAsia="仿宋_GB2312"/>
          <w:color w:val="000000"/>
          <w:sz w:val="32"/>
          <w:szCs w:val="32"/>
          <w:lang w:val="en-US" w:eastAsia="zh-CN"/>
        </w:rPr>
        <w:t>0.8</w:t>
      </w:r>
      <w:r>
        <w:rPr>
          <w:rFonts w:hint="eastAsia" w:ascii="仿宋_GB2312" w:hAnsi="仿宋" w:eastAsia="仿宋_GB2312"/>
          <w:color w:val="000000"/>
          <w:sz w:val="32"/>
          <w:szCs w:val="32"/>
        </w:rPr>
        <w:t>万元、差旅费</w:t>
      </w:r>
      <w:r>
        <w:rPr>
          <w:rFonts w:hint="eastAsia" w:ascii="仿宋_GB2312" w:hAnsi="仿宋" w:eastAsia="仿宋_GB2312"/>
          <w:color w:val="000000"/>
          <w:sz w:val="32"/>
          <w:szCs w:val="32"/>
          <w:lang w:val="en-US" w:eastAsia="zh-CN"/>
        </w:rPr>
        <w:t>8.37</w:t>
      </w:r>
      <w:r>
        <w:rPr>
          <w:rFonts w:hint="eastAsia" w:ascii="仿宋_GB2312" w:hAnsi="仿宋" w:eastAsia="仿宋_GB2312"/>
          <w:color w:val="000000"/>
          <w:sz w:val="32"/>
          <w:szCs w:val="32"/>
        </w:rPr>
        <w:t>万元、劳务费</w:t>
      </w:r>
      <w:r>
        <w:rPr>
          <w:rFonts w:hint="eastAsia" w:ascii="仿宋_GB2312" w:hAnsi="仿宋" w:eastAsia="仿宋_GB2312"/>
          <w:color w:val="000000"/>
          <w:sz w:val="32"/>
          <w:szCs w:val="32"/>
          <w:lang w:val="en-US" w:eastAsia="zh-CN"/>
        </w:rPr>
        <w:t>5.05</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福利费</w:t>
      </w:r>
      <w:r>
        <w:rPr>
          <w:rFonts w:hint="eastAsia" w:ascii="仿宋_GB2312" w:hAnsi="仿宋" w:eastAsia="仿宋_GB2312"/>
          <w:color w:val="000000"/>
          <w:sz w:val="32"/>
          <w:szCs w:val="32"/>
          <w:lang w:val="en-US" w:eastAsia="zh-CN"/>
        </w:rPr>
        <w:t>0.3万元、</w:t>
      </w:r>
      <w:r>
        <w:rPr>
          <w:rFonts w:hint="eastAsia" w:ascii="仿宋_GB2312" w:hAnsi="仿宋" w:eastAsia="仿宋_GB2312"/>
          <w:color w:val="000000"/>
          <w:sz w:val="32"/>
          <w:szCs w:val="32"/>
        </w:rPr>
        <w:t>公务用车运行维护费</w:t>
      </w:r>
      <w:r>
        <w:rPr>
          <w:rFonts w:hint="eastAsia" w:ascii="仿宋_GB2312" w:hAnsi="仿宋" w:eastAsia="仿宋_GB2312"/>
          <w:color w:val="000000"/>
          <w:sz w:val="32"/>
          <w:szCs w:val="32"/>
          <w:lang w:val="en-US" w:eastAsia="zh-CN"/>
        </w:rPr>
        <w:t>5.97</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、其他交通费</w:t>
      </w:r>
      <w:r>
        <w:rPr>
          <w:rFonts w:hint="eastAsia" w:ascii="仿宋_GB2312" w:hAnsi="仿宋" w:eastAsia="仿宋_GB2312"/>
          <w:color w:val="000000"/>
          <w:sz w:val="32"/>
          <w:szCs w:val="32"/>
          <w:lang w:val="en-US" w:eastAsia="zh-CN"/>
        </w:rPr>
        <w:t>1.59万元。</w:t>
      </w:r>
    </w:p>
    <w:p>
      <w:pPr>
        <w:snapToGrid w:val="0"/>
        <w:spacing w:line="52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项目支出为4318.87元，主要包括：农业水支出：4290.47万元、社会保障和就业支出28.4万元。</w:t>
      </w:r>
    </w:p>
    <w:p>
      <w:pPr>
        <w:keepNext w:val="0"/>
        <w:keepLines w:val="0"/>
        <w:pageBreakBefore w:val="0"/>
        <w:widowControl/>
        <w:numPr>
          <w:ilvl w:val="0"/>
          <w:numId w:val="8"/>
        </w:numPr>
        <w:wordWrap w:val="0"/>
        <w:topLinePunct/>
        <w:bidi w:val="0"/>
        <w:adjustRightInd w:val="0"/>
        <w:snapToGrid w:val="0"/>
        <w:spacing w:line="600" w:lineRule="exact"/>
        <w:ind w:firstLine="640" w:firstLineChars="200"/>
        <w:jc w:val="left"/>
        <w:textAlignment w:val="auto"/>
        <w:outlineLvl w:val="1"/>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部门整体预算绩效管理情况</w:t>
      </w:r>
      <w:bookmarkEnd w:id="59"/>
      <w:bookmarkEnd w:id="60"/>
      <w:bookmarkEnd w:id="61"/>
    </w:p>
    <w:p>
      <w:pPr>
        <w:keepNext w:val="0"/>
        <w:keepLines w:val="0"/>
        <w:pageBreakBefore w:val="0"/>
        <w:widowControl/>
        <w:bidi w:val="0"/>
        <w:adjustRightInd w:val="0"/>
        <w:snapToGrid w:val="0"/>
        <w:spacing w:line="600" w:lineRule="exact"/>
        <w:ind w:firstLine="643" w:firstLineChars="200"/>
        <w:contextualSpacing/>
        <w:jc w:val="left"/>
        <w:textAlignment w:val="auto"/>
        <w:outlineLvl w:val="2"/>
        <w:rPr>
          <w:rFonts w:hint="eastAsia" w:ascii="楷体" w:hAnsi="楷体" w:eastAsia="楷体" w:cs="楷体"/>
          <w:b/>
          <w:bCs/>
          <w:color w:val="000000"/>
          <w:spacing w:val="34"/>
          <w:sz w:val="32"/>
          <w:szCs w:val="32"/>
          <w:lang w:val="zh-CN"/>
        </w:rPr>
      </w:pPr>
      <w:bookmarkStart w:id="62" w:name="_Toc6429"/>
      <w:r>
        <w:rPr>
          <w:rFonts w:hint="eastAsia" w:ascii="楷体" w:hAnsi="楷体" w:eastAsia="楷体" w:cs="楷体"/>
          <w:b/>
          <w:bCs/>
          <w:color w:val="000000"/>
          <w:kern w:val="0"/>
          <w:sz w:val="32"/>
          <w:szCs w:val="32"/>
          <w:shd w:val="clear" w:color="auto" w:fill="FFFFFF"/>
          <w:lang w:val="zh-CN"/>
        </w:rPr>
        <w:t>（一）部门预算管理</w:t>
      </w:r>
      <w:bookmarkEnd w:id="62"/>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严格按照县级部门预算编制通知和有关要求，按时完成基础库、项目库报送工作，按时完成</w:t>
      </w:r>
      <w:r>
        <w:rPr>
          <w:rFonts w:hint="eastAsia" w:ascii="仿宋" w:eastAsia="仿宋"/>
          <w:color w:val="000000"/>
          <w:sz w:val="32"/>
          <w:szCs w:val="32"/>
          <w:lang w:eastAsia="zh-CN"/>
        </w:rPr>
        <w:t>2022年</w:t>
      </w:r>
      <w:r>
        <w:rPr>
          <w:rFonts w:hint="eastAsia" w:ascii="仿宋" w:eastAsia="仿宋"/>
          <w:color w:val="000000"/>
          <w:sz w:val="32"/>
          <w:szCs w:val="32"/>
        </w:rPr>
        <w:t>预算编制工作，并按时提交部门预算草案。预算编制全面、科学。</w:t>
      </w:r>
      <w:r>
        <w:rPr>
          <w:rFonts w:hint="eastAsia" w:ascii="仿宋" w:eastAsia="仿宋"/>
          <w:color w:val="000000"/>
          <w:sz w:val="32"/>
          <w:szCs w:val="32"/>
          <w:lang w:eastAsia="zh-CN"/>
        </w:rPr>
        <w:t>2022年</w:t>
      </w:r>
      <w:r>
        <w:rPr>
          <w:rFonts w:hint="eastAsia" w:ascii="仿宋" w:eastAsia="仿宋"/>
          <w:color w:val="000000"/>
          <w:sz w:val="32"/>
          <w:szCs w:val="32"/>
        </w:rPr>
        <w:t>实际支出和部门决算一致，绩效目标填报及年末结余结转都是严格按照县财政局的要求认真完成，不存在违规违纪使用资金的情况并按时完成2022年预算编制工作，及时提交了部门预算草案。</w:t>
      </w:r>
    </w:p>
    <w:p>
      <w:pPr>
        <w:keepNext w:val="0"/>
        <w:keepLines w:val="0"/>
        <w:pageBreakBefore w:val="0"/>
        <w:widowControl/>
        <w:bidi w:val="0"/>
        <w:adjustRightInd w:val="0"/>
        <w:snapToGrid w:val="0"/>
        <w:spacing w:line="600" w:lineRule="exact"/>
        <w:ind w:firstLine="643" w:firstLineChars="200"/>
        <w:contextualSpacing/>
        <w:jc w:val="left"/>
        <w:textAlignment w:val="auto"/>
        <w:outlineLvl w:val="2"/>
        <w:rPr>
          <w:rFonts w:hint="eastAsia" w:ascii="楷体" w:hAnsi="楷体" w:eastAsia="楷体" w:cs="楷体"/>
          <w:b/>
          <w:bCs/>
          <w:color w:val="000000"/>
          <w:kern w:val="0"/>
          <w:sz w:val="32"/>
          <w:szCs w:val="32"/>
          <w:shd w:val="clear" w:color="auto" w:fill="FFFFFF"/>
          <w:lang w:val="zh-CN"/>
        </w:rPr>
      </w:pPr>
      <w:bookmarkStart w:id="63" w:name="_Toc22499"/>
      <w:r>
        <w:rPr>
          <w:rFonts w:hint="eastAsia" w:ascii="楷体" w:hAnsi="楷体" w:eastAsia="楷体" w:cs="楷体"/>
          <w:b/>
          <w:bCs/>
          <w:color w:val="000000"/>
          <w:kern w:val="0"/>
          <w:sz w:val="32"/>
          <w:szCs w:val="32"/>
          <w:shd w:val="clear" w:color="auto" w:fill="FFFFFF"/>
          <w:lang w:val="zh-CN"/>
        </w:rPr>
        <w:t>（二）执行管理情况</w:t>
      </w:r>
      <w:bookmarkEnd w:id="63"/>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三公经费：</w:t>
      </w:r>
      <w:r>
        <w:rPr>
          <w:rFonts w:hint="eastAsia" w:ascii="仿宋" w:eastAsia="仿宋"/>
          <w:color w:val="000000"/>
          <w:sz w:val="32"/>
          <w:szCs w:val="32"/>
          <w:lang w:eastAsia="zh-CN"/>
        </w:rPr>
        <w:t>2022年</w:t>
      </w:r>
      <w:r>
        <w:rPr>
          <w:rFonts w:hint="eastAsia" w:ascii="仿宋" w:eastAsia="仿宋"/>
          <w:color w:val="000000"/>
          <w:sz w:val="32"/>
          <w:szCs w:val="32"/>
        </w:rPr>
        <w:t>“三公”经费财政拨款支出决算为</w:t>
      </w:r>
      <w:r>
        <w:rPr>
          <w:rFonts w:hint="eastAsia" w:ascii="仿宋" w:eastAsia="仿宋"/>
          <w:color w:val="000000"/>
          <w:sz w:val="32"/>
          <w:szCs w:val="32"/>
          <w:lang w:val="en-US" w:eastAsia="zh-CN"/>
        </w:rPr>
        <w:t>5.97</w:t>
      </w:r>
      <w:r>
        <w:rPr>
          <w:rFonts w:hint="eastAsia" w:ascii="仿宋" w:eastAsia="仿宋"/>
          <w:color w:val="000000"/>
          <w:sz w:val="32"/>
          <w:szCs w:val="32"/>
        </w:rPr>
        <w:t>万元（公务用车运行维护费），完成预算100</w:t>
      </w:r>
      <w:r>
        <w:rPr>
          <w:rFonts w:ascii="仿宋" w:eastAsia="仿宋"/>
          <w:color w:val="000000"/>
          <w:sz w:val="32"/>
          <w:szCs w:val="32"/>
        </w:rPr>
        <w:t>%</w:t>
      </w:r>
      <w:r>
        <w:rPr>
          <w:rFonts w:hint="eastAsia" w:ascii="仿宋" w:eastAsia="仿宋"/>
          <w:color w:val="000000"/>
          <w:sz w:val="32"/>
          <w:szCs w:val="32"/>
        </w:rPr>
        <w:t>.</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“三公”经费预算</w:t>
      </w:r>
      <w:r>
        <w:rPr>
          <w:rFonts w:hint="eastAsia" w:ascii="仿宋" w:eastAsia="仿宋"/>
          <w:color w:val="000000"/>
          <w:sz w:val="32"/>
          <w:szCs w:val="32"/>
          <w:lang w:val="en-US" w:eastAsia="zh-CN"/>
        </w:rPr>
        <w:t>6</w:t>
      </w:r>
      <w:r>
        <w:rPr>
          <w:rFonts w:hint="eastAsia" w:ascii="仿宋" w:eastAsia="仿宋"/>
          <w:color w:val="000000"/>
          <w:sz w:val="32"/>
          <w:szCs w:val="32"/>
        </w:rPr>
        <w:t>万元，</w:t>
      </w:r>
      <w:r>
        <w:rPr>
          <w:rFonts w:hint="eastAsia" w:ascii="仿宋" w:eastAsia="仿宋"/>
          <w:color w:val="000000"/>
          <w:sz w:val="32"/>
          <w:szCs w:val="32"/>
          <w:lang w:eastAsia="zh-CN"/>
        </w:rPr>
        <w:t>剩余</w:t>
      </w:r>
      <w:r>
        <w:rPr>
          <w:rFonts w:hint="eastAsia" w:ascii="仿宋" w:eastAsia="仿宋"/>
          <w:color w:val="000000"/>
          <w:sz w:val="32"/>
          <w:szCs w:val="32"/>
          <w:lang w:val="en-US" w:eastAsia="zh-CN"/>
        </w:rPr>
        <w:t>0.03万元财政收回，</w:t>
      </w:r>
      <w:r>
        <w:rPr>
          <w:rFonts w:hint="eastAsia" w:ascii="仿宋" w:eastAsia="仿宋"/>
          <w:color w:val="000000"/>
          <w:sz w:val="32"/>
          <w:szCs w:val="32"/>
        </w:rPr>
        <w:t>其中公务接待费0万元，严格执行厉行节约的要求，认真贯彻落实中央八项规定及省委省政府十项规定要求，严格控制接待规模及接待标准。</w:t>
      </w:r>
    </w:p>
    <w:p>
      <w:pPr>
        <w:keepNext w:val="0"/>
        <w:keepLines w:val="0"/>
        <w:pageBreakBefore w:val="0"/>
        <w:widowControl/>
        <w:wordWrap w:val="0"/>
        <w:topLinePunct/>
        <w:bidi w:val="0"/>
        <w:adjustRightInd w:val="0"/>
        <w:snapToGrid w:val="0"/>
        <w:spacing w:line="600" w:lineRule="exact"/>
        <w:ind w:firstLine="779" w:firstLineChars="200"/>
        <w:jc w:val="left"/>
        <w:textAlignment w:val="auto"/>
        <w:outlineLvl w:val="2"/>
        <w:rPr>
          <w:rFonts w:hint="eastAsia" w:ascii="楷体" w:hAnsi="楷体" w:eastAsia="楷体" w:cs="楷体"/>
          <w:b/>
          <w:bCs/>
          <w:color w:val="000000"/>
          <w:spacing w:val="34"/>
          <w:sz w:val="32"/>
          <w:szCs w:val="48"/>
          <w:lang w:val="zh-CN"/>
        </w:rPr>
      </w:pPr>
      <w:bookmarkStart w:id="64" w:name="_Toc7445"/>
      <w:r>
        <w:rPr>
          <w:rFonts w:hint="eastAsia" w:ascii="楷体" w:hAnsi="楷体" w:eastAsia="楷体" w:cs="楷体"/>
          <w:b/>
          <w:bCs/>
          <w:color w:val="000000"/>
          <w:spacing w:val="34"/>
          <w:sz w:val="32"/>
          <w:szCs w:val="48"/>
          <w:lang w:val="zh-CN"/>
        </w:rPr>
        <w:t>（三）综合管理情况</w:t>
      </w:r>
      <w:bookmarkEnd w:id="64"/>
    </w:p>
    <w:p>
      <w:pPr>
        <w:keepNext w:val="0"/>
        <w:keepLines w:val="0"/>
        <w:pageBreakBefore w:val="0"/>
        <w:widowControl/>
        <w:wordWrap w:val="0"/>
        <w:topLinePunct/>
        <w:bidi w:val="0"/>
        <w:adjustRightInd w:val="0"/>
        <w:snapToGrid w:val="0"/>
        <w:spacing w:line="600" w:lineRule="exact"/>
        <w:ind w:firstLine="779" w:firstLineChars="200"/>
        <w:jc w:val="left"/>
        <w:textAlignment w:val="auto"/>
        <w:rPr>
          <w:rFonts w:hint="eastAsia" w:ascii="仿宋_GB2312" w:hAnsi="仿宋_GB2312" w:eastAsia="仿宋_GB2312" w:cs="仿宋_GB2312"/>
          <w:b/>
          <w:bCs/>
          <w:color w:val="000000"/>
          <w:spacing w:val="34"/>
          <w:sz w:val="32"/>
          <w:szCs w:val="48"/>
          <w:lang w:val="zh-CN"/>
        </w:rPr>
      </w:pPr>
      <w:r>
        <w:rPr>
          <w:rFonts w:hint="eastAsia" w:ascii="仿宋_GB2312" w:hAnsi="仿宋_GB2312" w:eastAsia="仿宋_GB2312" w:cs="仿宋_GB2312"/>
          <w:b/>
          <w:bCs/>
          <w:color w:val="000000"/>
          <w:spacing w:val="34"/>
          <w:sz w:val="32"/>
          <w:szCs w:val="48"/>
          <w:lang w:val="zh-CN"/>
        </w:rPr>
        <w:t>1、基础管理情况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所有国有资产纳入资产管理系统，及时准确上报并做好资产的管理工作。根据相关要求，单位使用预算资金基本符合相关的预算财务管理制度。我</w:t>
      </w:r>
      <w:r>
        <w:rPr>
          <w:rFonts w:hint="eastAsia" w:ascii="仿宋" w:eastAsia="仿宋"/>
          <w:color w:val="000000"/>
          <w:sz w:val="32"/>
          <w:szCs w:val="32"/>
          <w:lang w:eastAsia="zh-CN"/>
        </w:rPr>
        <w:t>局</w:t>
      </w:r>
      <w:r>
        <w:rPr>
          <w:rFonts w:hint="eastAsia" w:ascii="仿宋" w:eastAsia="仿宋"/>
          <w:color w:val="000000"/>
          <w:sz w:val="32"/>
          <w:szCs w:val="32"/>
        </w:rPr>
        <w:t>在财政批复后20日内在指定网站公开预决算信息。按照相关要求进行绩效自我评价，按要求及时上报，对发现的问题提出整改措施，并整改落实到位。绩效评价及依法接受财政监督情况等。</w:t>
      </w:r>
    </w:p>
    <w:p>
      <w:pPr>
        <w:keepNext w:val="0"/>
        <w:keepLines w:val="0"/>
        <w:pageBreakBefore w:val="0"/>
        <w:widowControl/>
        <w:numPr>
          <w:ilvl w:val="0"/>
          <w:numId w:val="9"/>
        </w:numPr>
        <w:wordWrap w:val="0"/>
        <w:topLinePunct/>
        <w:bidi w:val="0"/>
        <w:adjustRightInd w:val="0"/>
        <w:snapToGrid w:val="0"/>
        <w:spacing w:line="600" w:lineRule="exact"/>
        <w:ind w:firstLine="779"/>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政府债务情况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度我</w:t>
      </w:r>
      <w:r>
        <w:rPr>
          <w:rFonts w:hint="eastAsia" w:ascii="仿宋" w:eastAsia="仿宋"/>
          <w:color w:val="000000"/>
          <w:sz w:val="32"/>
          <w:szCs w:val="32"/>
          <w:lang w:eastAsia="zh-CN"/>
        </w:rPr>
        <w:t>局</w:t>
      </w:r>
      <w:r>
        <w:rPr>
          <w:rFonts w:hint="eastAsia" w:ascii="仿宋" w:eastAsia="仿宋"/>
          <w:color w:val="000000"/>
          <w:sz w:val="32"/>
          <w:szCs w:val="32"/>
        </w:rPr>
        <w:t>债务合计0万元。</w:t>
      </w:r>
    </w:p>
    <w:p>
      <w:pPr>
        <w:keepNext w:val="0"/>
        <w:keepLines w:val="0"/>
        <w:pageBreakBefore w:val="0"/>
        <w:widowControl/>
        <w:numPr>
          <w:ilvl w:val="0"/>
          <w:numId w:val="9"/>
        </w:numPr>
        <w:wordWrap w:val="0"/>
        <w:topLinePunct/>
        <w:bidi w:val="0"/>
        <w:adjustRightInd w:val="0"/>
        <w:snapToGrid w:val="0"/>
        <w:spacing w:line="600" w:lineRule="exact"/>
        <w:ind w:firstLine="779"/>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非税收入执收情况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lang w:eastAsia="zh-CN"/>
        </w:rPr>
        <w:t>2022年</w:t>
      </w:r>
      <w:r>
        <w:rPr>
          <w:rFonts w:hint="eastAsia" w:ascii="仿宋" w:eastAsia="仿宋"/>
          <w:color w:val="000000"/>
          <w:sz w:val="32"/>
          <w:szCs w:val="32"/>
        </w:rPr>
        <w:t>度我</w:t>
      </w:r>
      <w:r>
        <w:rPr>
          <w:rFonts w:hint="eastAsia" w:ascii="仿宋" w:eastAsia="仿宋"/>
          <w:color w:val="000000"/>
          <w:sz w:val="32"/>
          <w:szCs w:val="32"/>
          <w:lang w:eastAsia="zh-CN"/>
        </w:rPr>
        <w:t>局</w:t>
      </w:r>
      <w:r>
        <w:rPr>
          <w:rFonts w:hint="eastAsia" w:ascii="仿宋" w:eastAsia="仿宋"/>
          <w:color w:val="000000"/>
          <w:sz w:val="32"/>
          <w:szCs w:val="32"/>
        </w:rPr>
        <w:t xml:space="preserve">非税收入合计0元，上缴财政0万元。 </w:t>
      </w:r>
    </w:p>
    <w:p>
      <w:pPr>
        <w:keepNext w:val="0"/>
        <w:keepLines w:val="0"/>
        <w:pageBreakBefore w:val="0"/>
        <w:widowControl/>
        <w:numPr>
          <w:ilvl w:val="0"/>
          <w:numId w:val="9"/>
        </w:numPr>
        <w:wordWrap w:val="0"/>
        <w:topLinePunct/>
        <w:bidi w:val="0"/>
        <w:adjustRightInd w:val="0"/>
        <w:snapToGrid w:val="0"/>
        <w:spacing w:line="600" w:lineRule="exact"/>
        <w:ind w:firstLine="779"/>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政府采购实施计划</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局2022年我局</w:t>
      </w:r>
      <w:r>
        <w:rPr>
          <w:rFonts w:hint="eastAsia" w:ascii="仿宋" w:eastAsia="仿宋"/>
          <w:color w:val="000000"/>
          <w:sz w:val="32"/>
          <w:szCs w:val="32"/>
        </w:rPr>
        <w:t>政府采购计划</w:t>
      </w:r>
      <w:r>
        <w:rPr>
          <w:rFonts w:hint="eastAsia" w:ascii="仿宋" w:eastAsia="仿宋"/>
          <w:color w:val="000000"/>
          <w:sz w:val="32"/>
          <w:szCs w:val="32"/>
          <w:lang w:eastAsia="zh-CN"/>
        </w:rPr>
        <w:t>为</w:t>
      </w:r>
      <w:r>
        <w:rPr>
          <w:rFonts w:hint="eastAsia" w:ascii="仿宋" w:eastAsia="仿宋"/>
          <w:color w:val="000000"/>
          <w:sz w:val="32"/>
          <w:szCs w:val="32"/>
          <w:lang w:val="en-US" w:eastAsia="zh-CN"/>
        </w:rPr>
        <w:t>256.43万元</w:t>
      </w:r>
      <w:r>
        <w:rPr>
          <w:rFonts w:hint="eastAsia" w:ascii="仿宋" w:eastAsia="仿宋"/>
          <w:color w:val="000000"/>
          <w:sz w:val="32"/>
          <w:szCs w:val="32"/>
        </w:rPr>
        <w:t>。</w:t>
      </w:r>
    </w:p>
    <w:p>
      <w:pPr>
        <w:keepNext w:val="0"/>
        <w:keepLines w:val="0"/>
        <w:pageBreakBefore w:val="0"/>
        <w:widowControl/>
        <w:numPr>
          <w:ilvl w:val="0"/>
          <w:numId w:val="9"/>
        </w:numPr>
        <w:wordWrap w:val="0"/>
        <w:topLinePunct/>
        <w:bidi w:val="0"/>
        <w:adjustRightInd w:val="0"/>
        <w:snapToGrid w:val="0"/>
        <w:spacing w:line="600" w:lineRule="exact"/>
        <w:ind w:firstLine="779"/>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lang w:val="zh-CN"/>
        </w:rPr>
        <w:t>资产管理情况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局</w:t>
      </w:r>
      <w:r>
        <w:rPr>
          <w:rFonts w:hint="eastAsia" w:ascii="仿宋" w:eastAsia="仿宋"/>
          <w:color w:val="000000"/>
          <w:sz w:val="32"/>
          <w:szCs w:val="32"/>
        </w:rPr>
        <w:t>已将国有资产纳入资产信息系统管理，并落实专人负责管理维护系统，资产变动已及时把资产变动情况录入系统</w:t>
      </w:r>
    </w:p>
    <w:p>
      <w:pPr>
        <w:keepNext w:val="0"/>
        <w:keepLines w:val="0"/>
        <w:pageBreakBefore w:val="0"/>
        <w:widowControl/>
        <w:wordWrap w:val="0"/>
        <w:topLinePunct/>
        <w:bidi w:val="0"/>
        <w:adjustRightInd w:val="0"/>
        <w:snapToGrid w:val="0"/>
        <w:spacing w:line="600" w:lineRule="exact"/>
        <w:ind w:left="840"/>
        <w:jc w:val="left"/>
        <w:textAlignment w:val="auto"/>
        <w:rPr>
          <w:rFonts w:hint="eastAsia" w:ascii="楷体_GB2312" w:hAnsi="楷体_GB2312" w:eastAsia="楷体_GB2312" w:cs="楷体_GB2312"/>
          <w:b/>
          <w:bCs/>
          <w:color w:val="000000"/>
          <w:spacing w:val="34"/>
          <w:sz w:val="32"/>
          <w:szCs w:val="32"/>
          <w:lang w:val="zh-CN"/>
        </w:rPr>
      </w:pPr>
      <w:r>
        <w:rPr>
          <w:rFonts w:hint="eastAsia" w:ascii="楷体_GB2312" w:hAnsi="楷体_GB2312" w:eastAsia="楷体_GB2312" w:cs="楷体_GB2312"/>
          <w:b/>
          <w:bCs/>
          <w:color w:val="000000"/>
          <w:spacing w:val="34"/>
          <w:sz w:val="32"/>
          <w:szCs w:val="32"/>
        </w:rPr>
        <w:t>6、</w:t>
      </w:r>
      <w:r>
        <w:rPr>
          <w:rFonts w:hint="eastAsia" w:ascii="楷体_GB2312" w:hAnsi="楷体_GB2312" w:eastAsia="楷体_GB2312" w:cs="楷体_GB2312"/>
          <w:b/>
          <w:bCs/>
          <w:color w:val="000000"/>
          <w:spacing w:val="34"/>
          <w:sz w:val="32"/>
          <w:szCs w:val="32"/>
          <w:lang w:val="zh-CN"/>
        </w:rPr>
        <w:t>信息公开情况</w:t>
      </w:r>
    </w:p>
    <w:p>
      <w:pPr>
        <w:keepNext w:val="0"/>
        <w:keepLines w:val="0"/>
        <w:pageBreakBefore w:val="0"/>
        <w:widowControl/>
        <w:wordWrap w:val="0"/>
        <w:topLinePunct/>
        <w:bidi w:val="0"/>
        <w:adjustRightInd w:val="0"/>
        <w:snapToGrid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局2022年</w:t>
      </w:r>
      <w:r>
        <w:rPr>
          <w:rFonts w:hint="eastAsia" w:ascii="仿宋" w:eastAsia="仿宋"/>
          <w:color w:val="000000"/>
          <w:sz w:val="32"/>
          <w:szCs w:val="32"/>
        </w:rPr>
        <w:t>的预、决算编制说明、“三公”经费预、决算情况；按县财政要求由县财政统一公开，2022年的预算编制说明、“三公”经费预算情况在政府网站上已公开。</w:t>
      </w:r>
    </w:p>
    <w:p>
      <w:pPr>
        <w:keepNext w:val="0"/>
        <w:keepLines w:val="0"/>
        <w:pageBreakBefore w:val="0"/>
        <w:numPr>
          <w:ilvl w:val="0"/>
          <w:numId w:val="5"/>
        </w:numPr>
        <w:bidi w:val="0"/>
        <w:spacing w:line="600" w:lineRule="exact"/>
        <w:ind w:firstLine="640"/>
        <w:textAlignment w:val="auto"/>
        <w:outlineLvl w:val="2"/>
        <w:rPr>
          <w:rFonts w:hint="eastAsia" w:ascii="楷体_GB2312" w:hAnsi="楷体_GB2312" w:eastAsia="楷体_GB2312" w:cs="楷体_GB2312"/>
          <w:b/>
          <w:bCs/>
          <w:color w:val="000000"/>
          <w:spacing w:val="34"/>
          <w:sz w:val="32"/>
          <w:szCs w:val="48"/>
          <w:lang w:val="zh-CN"/>
        </w:rPr>
      </w:pPr>
      <w:bookmarkStart w:id="65" w:name="_Toc30116"/>
      <w:r>
        <w:rPr>
          <w:rFonts w:hint="eastAsia" w:ascii="楷体_GB2312" w:hAnsi="楷体_GB2312" w:eastAsia="楷体_GB2312" w:cs="楷体_GB2312"/>
          <w:b/>
          <w:bCs/>
          <w:color w:val="000000"/>
          <w:spacing w:val="34"/>
          <w:sz w:val="32"/>
          <w:szCs w:val="48"/>
          <w:lang w:val="zh-CN"/>
        </w:rPr>
        <w:t>整体绩效 </w:t>
      </w:r>
      <w:bookmarkEnd w:id="65"/>
    </w:p>
    <w:p>
      <w:pPr>
        <w:keepNext w:val="0"/>
        <w:keepLines w:val="0"/>
        <w:pageBreakBefore w:val="0"/>
        <w:tabs>
          <w:tab w:val="left" w:pos="0"/>
        </w:tabs>
        <w:bidi w:val="0"/>
        <w:spacing w:line="600" w:lineRule="exact"/>
        <w:ind w:firstLine="640" w:firstLineChars="200"/>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局</w:t>
      </w:r>
      <w:r>
        <w:rPr>
          <w:rFonts w:hint="eastAsia" w:ascii="仿宋" w:eastAsia="仿宋"/>
          <w:color w:val="000000"/>
          <w:sz w:val="32"/>
          <w:szCs w:val="32"/>
        </w:rPr>
        <w:t>对本部门实施了整体支出绩效评价 ，按照要求向金川县财政局按时报送自评报告，财政资金支出主要用于保障本部门机构正常运转、更好完成各项日常工作，社会群众对我</w:t>
      </w:r>
      <w:r>
        <w:rPr>
          <w:rFonts w:hint="eastAsia" w:ascii="仿宋" w:eastAsia="仿宋"/>
          <w:color w:val="000000"/>
          <w:sz w:val="32"/>
          <w:szCs w:val="32"/>
          <w:lang w:eastAsia="zh-CN"/>
        </w:rPr>
        <w:t>乡</w:t>
      </w:r>
      <w:r>
        <w:rPr>
          <w:rFonts w:hint="eastAsia" w:ascii="仿宋" w:eastAsia="仿宋"/>
          <w:color w:val="000000"/>
          <w:sz w:val="32"/>
          <w:szCs w:val="32"/>
        </w:rPr>
        <w:t>的工作总体较满意。</w:t>
      </w:r>
    </w:p>
    <w:p>
      <w:pPr>
        <w:keepNext w:val="0"/>
        <w:keepLines w:val="0"/>
        <w:pageBreakBefore w:val="0"/>
        <w:widowControl/>
        <w:wordWrap w:val="0"/>
        <w:topLinePunct/>
        <w:bidi w:val="0"/>
        <w:adjustRightInd w:val="0"/>
        <w:snapToGrid w:val="0"/>
        <w:spacing w:line="600" w:lineRule="exact"/>
        <w:ind w:firstLine="779" w:firstLineChars="200"/>
        <w:jc w:val="left"/>
        <w:textAlignment w:val="auto"/>
        <w:rPr>
          <w:rFonts w:hint="eastAsia" w:ascii="楷体" w:hAnsi="楷体" w:eastAsia="楷体" w:cs="楷体"/>
          <w:b/>
          <w:bCs/>
          <w:color w:val="000000"/>
          <w:spacing w:val="34"/>
          <w:sz w:val="32"/>
          <w:szCs w:val="48"/>
          <w:lang w:val="zh-CN"/>
        </w:rPr>
      </w:pPr>
      <w:r>
        <w:rPr>
          <w:rFonts w:hint="eastAsia" w:ascii="楷体" w:hAnsi="楷体" w:eastAsia="楷体" w:cs="楷体"/>
          <w:b/>
          <w:bCs/>
          <w:color w:val="000000"/>
          <w:spacing w:val="34"/>
          <w:sz w:val="32"/>
          <w:szCs w:val="48"/>
          <w:lang w:val="zh-CN"/>
        </w:rPr>
        <w:t>（二）绩效管理工作开展情况 </w:t>
      </w:r>
    </w:p>
    <w:p>
      <w:pPr>
        <w:keepNext w:val="0"/>
        <w:keepLines w:val="0"/>
        <w:pageBreakBefore w:val="0"/>
        <w:widowControl/>
        <w:wordWrap w:val="0"/>
        <w:topLinePunct/>
        <w:bidi w:val="0"/>
        <w:adjustRightInd w:val="0"/>
        <w:snapToGrid w:val="0"/>
        <w:spacing w:line="600" w:lineRule="exact"/>
        <w:ind w:firstLine="556" w:firstLineChars="200"/>
        <w:jc w:val="left"/>
        <w:textAlignment w:val="auto"/>
        <w:rPr>
          <w:rFonts w:hint="eastAsia" w:ascii="仿宋_GB2312" w:hAnsi="仿宋_GB2312" w:eastAsia="仿宋_GB2312" w:cs="仿宋_GB2312"/>
          <w:spacing w:val="34"/>
          <w:sz w:val="32"/>
          <w:szCs w:val="32"/>
          <w:lang w:val="zh-CN" w:bidi="ar"/>
        </w:rPr>
      </w:pPr>
      <w:r>
        <w:rPr>
          <w:rFonts w:hint="eastAsia" w:ascii="仿宋_GB2312" w:hAnsi="宋体" w:cs="宋体"/>
          <w:color w:val="000000"/>
          <w:spacing w:val="34"/>
          <w:szCs w:val="32"/>
          <w:lang w:val="zh-CN"/>
        </w:rPr>
        <w:t xml:space="preserve">  </w:t>
      </w:r>
      <w:r>
        <w:rPr>
          <w:rFonts w:hint="eastAsia" w:ascii="仿宋" w:eastAsia="仿宋"/>
          <w:color w:val="000000"/>
          <w:sz w:val="32"/>
          <w:szCs w:val="32"/>
        </w:rPr>
        <w:t xml:space="preserve"> 根据金财监绩〔2022〕22号文件要求，我</w:t>
      </w:r>
      <w:r>
        <w:rPr>
          <w:rFonts w:hint="eastAsia" w:ascii="仿宋" w:eastAsia="仿宋"/>
          <w:color w:val="000000"/>
          <w:sz w:val="32"/>
          <w:szCs w:val="32"/>
          <w:lang w:eastAsia="zh-CN"/>
        </w:rPr>
        <w:t>局</w:t>
      </w:r>
      <w:r>
        <w:rPr>
          <w:rFonts w:hint="eastAsia" w:ascii="仿宋" w:eastAsia="仿宋"/>
          <w:color w:val="000000"/>
          <w:sz w:val="32"/>
          <w:szCs w:val="32"/>
        </w:rPr>
        <w:t>对财政资金使用管理情况，按照《关于开展2022年部门整体和项目支出绩效评价工作的通知》认真开展自评工作，撰写部门自评报告。</w:t>
      </w:r>
      <w:r>
        <w:rPr>
          <w:rFonts w:hint="eastAsia" w:ascii="仿宋_GB2312" w:hAnsi="仿宋_GB2312" w:eastAsia="仿宋_GB2312" w:cs="仿宋_GB2312"/>
          <w:spacing w:val="34"/>
          <w:sz w:val="32"/>
          <w:szCs w:val="32"/>
          <w:lang w:val="zh-CN" w:bidi="ar"/>
        </w:rPr>
        <w:t> </w:t>
      </w:r>
    </w:p>
    <w:p>
      <w:pPr>
        <w:keepNext w:val="0"/>
        <w:keepLines w:val="0"/>
        <w:pageBreakBefore w:val="0"/>
        <w:widowControl/>
        <w:wordWrap w:val="0"/>
        <w:topLinePunct/>
        <w:bidi w:val="0"/>
        <w:adjustRightInd w:val="0"/>
        <w:snapToGrid w:val="0"/>
        <w:spacing w:line="600" w:lineRule="exact"/>
        <w:ind w:firstLine="776" w:firstLineChars="200"/>
        <w:jc w:val="left"/>
        <w:textAlignment w:val="auto"/>
        <w:outlineLvl w:val="1"/>
        <w:rPr>
          <w:rFonts w:hint="eastAsia" w:ascii="仿宋_GB2312" w:hAnsi="宋体" w:cs="宋体"/>
          <w:color w:val="000000"/>
          <w:spacing w:val="34"/>
          <w:sz w:val="32"/>
          <w:szCs w:val="48"/>
          <w:lang w:val="zh-CN"/>
        </w:rPr>
      </w:pPr>
      <w:bookmarkStart w:id="66" w:name="_Toc11636"/>
      <w:bookmarkStart w:id="67" w:name="_Toc21502"/>
      <w:bookmarkStart w:id="68" w:name="_Toc23708"/>
      <w:r>
        <w:rPr>
          <w:rFonts w:hint="eastAsia" w:ascii="黑体" w:hAnsi="黑体" w:eastAsia="黑体" w:cs="黑体"/>
          <w:color w:val="000000"/>
          <w:spacing w:val="34"/>
          <w:sz w:val="32"/>
          <w:szCs w:val="48"/>
          <w:lang w:val="zh-CN"/>
        </w:rPr>
        <w:t>四、评价结论及建议</w:t>
      </w:r>
      <w:r>
        <w:rPr>
          <w:rFonts w:hint="eastAsia" w:ascii="仿宋_GB2312" w:hAnsi="宋体" w:cs="宋体"/>
          <w:color w:val="000000"/>
          <w:spacing w:val="34"/>
          <w:sz w:val="32"/>
          <w:szCs w:val="48"/>
          <w:lang w:val="zh-CN"/>
        </w:rPr>
        <w:t> </w:t>
      </w:r>
      <w:bookmarkEnd w:id="66"/>
      <w:bookmarkEnd w:id="67"/>
      <w:bookmarkEnd w:id="68"/>
    </w:p>
    <w:p>
      <w:pPr>
        <w:keepNext w:val="0"/>
        <w:keepLines w:val="0"/>
        <w:pageBreakBefore w:val="0"/>
        <w:bidi w:val="0"/>
        <w:snapToGrid w:val="0"/>
        <w:spacing w:line="600"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评价结论。根据部门支出绩效评价指标体系进行单位自评，圆满完成绩效自评工作，圆满完成中央、省、州委和县的重要工作、目标任务。</w:t>
      </w:r>
    </w:p>
    <w:p>
      <w:pPr>
        <w:keepNext w:val="0"/>
        <w:keepLines w:val="0"/>
        <w:pageBreakBefore w:val="0"/>
        <w:bidi w:val="0"/>
        <w:spacing w:line="600"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局</w:t>
      </w:r>
      <w:r>
        <w:rPr>
          <w:rFonts w:hint="eastAsia" w:ascii="仿宋" w:eastAsia="仿宋"/>
          <w:color w:val="000000"/>
          <w:sz w:val="32"/>
          <w:szCs w:val="32"/>
        </w:rPr>
        <w:t>本次自评总分8</w:t>
      </w:r>
      <w:r>
        <w:rPr>
          <w:rFonts w:hint="eastAsia" w:ascii="仿宋" w:eastAsia="仿宋"/>
          <w:color w:val="000000"/>
          <w:sz w:val="32"/>
          <w:szCs w:val="32"/>
          <w:lang w:val="en-US" w:eastAsia="zh-CN"/>
        </w:rPr>
        <w:t>9分</w:t>
      </w:r>
      <w:r>
        <w:rPr>
          <w:rFonts w:hint="eastAsia" w:ascii="仿宋" w:eastAsia="仿宋"/>
          <w:color w:val="000000"/>
          <w:sz w:val="32"/>
          <w:szCs w:val="32"/>
        </w:rPr>
        <w:t>。</w:t>
      </w:r>
    </w:p>
    <w:p>
      <w:pPr>
        <w:keepNext w:val="0"/>
        <w:keepLines w:val="0"/>
        <w:pageBreakBefore w:val="0"/>
        <w:wordWrap w:val="0"/>
        <w:bidi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我</w:t>
      </w:r>
      <w:r>
        <w:rPr>
          <w:rFonts w:hint="eastAsia" w:ascii="仿宋" w:eastAsia="仿宋"/>
          <w:color w:val="000000"/>
          <w:sz w:val="32"/>
          <w:szCs w:val="32"/>
          <w:lang w:eastAsia="zh-CN"/>
        </w:rPr>
        <w:t>局2022年</w:t>
      </w:r>
      <w:r>
        <w:rPr>
          <w:rFonts w:hint="eastAsia" w:ascii="仿宋" w:eastAsia="仿宋"/>
          <w:color w:val="000000"/>
          <w:sz w:val="32"/>
          <w:szCs w:val="32"/>
        </w:rPr>
        <w:t>部门支出与年初预算基本一致，达到预期绩效目标。但预算编制还需进一步细化，针对我会预算存在的问题，提出以下建议：</w:t>
      </w:r>
    </w:p>
    <w:p>
      <w:pPr>
        <w:keepNext w:val="0"/>
        <w:keepLines w:val="0"/>
        <w:pageBreakBefore w:val="0"/>
        <w:wordWrap w:val="0"/>
        <w:bidi w:val="0"/>
        <w:spacing w:line="600" w:lineRule="exact"/>
        <w:ind w:firstLine="640" w:firstLineChars="200"/>
        <w:jc w:val="left"/>
        <w:textAlignment w:val="auto"/>
        <w:rPr>
          <w:rFonts w:hint="eastAsia" w:ascii="仿宋" w:eastAsia="仿宋"/>
          <w:color w:val="000000"/>
          <w:sz w:val="32"/>
          <w:szCs w:val="32"/>
        </w:rPr>
      </w:pPr>
      <w:r>
        <w:rPr>
          <w:rFonts w:hint="eastAsia" w:ascii="仿宋" w:eastAsia="仿宋"/>
          <w:color w:val="000000"/>
          <w:sz w:val="32"/>
          <w:szCs w:val="32"/>
        </w:rPr>
        <w:t> 1、遵循先有预算、后有支出的原则，加强财务管理和内部控制监督制度。严禁超预算和无预算安排支出，严格开支范围和标准，严格支出报销审核，不报销任何超范围、超标准的费用。 </w:t>
      </w: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r>
        <w:rPr>
          <w:rFonts w:hint="eastAsia" w:ascii="仿宋" w:eastAsia="仿宋"/>
          <w:color w:val="000000"/>
          <w:sz w:val="32"/>
          <w:szCs w:val="32"/>
        </w:rPr>
        <w:t xml:space="preserve"> 2、严格控制“三公”经费。认真贯彻落实中央、省委省政府和县委县政府相关规定，严格“三公”经费支出的审核和审批，合理压缩“三公”经费支出。 </w:t>
      </w: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pageBreakBefore w:val="0"/>
        <w:widowControl w:val="0"/>
        <w:kinsoku/>
        <w:wordWrap/>
        <w:overflowPunct/>
        <w:topLinePunct w:val="0"/>
        <w:bidi w:val="0"/>
        <w:spacing w:line="576" w:lineRule="exact"/>
        <w:ind w:firstLine="1470" w:firstLineChars="700"/>
        <w:jc w:val="both"/>
        <w:outlineLvl w:val="0"/>
        <w:rPr>
          <w:rFonts w:ascii="Times New Roman" w:hAnsi="Times New Roman" w:eastAsia="仿宋" w:cs="Times New Roman"/>
        </w:rPr>
      </w:pPr>
    </w:p>
    <w:p>
      <w:pPr>
        <w:pStyle w:val="4"/>
        <w:keepNext/>
        <w:keepLines/>
        <w:pageBreakBefore w:val="0"/>
        <w:widowControl w:val="0"/>
        <w:kinsoku/>
        <w:wordWrap/>
        <w:overflowPunct/>
        <w:topLinePunct w:val="0"/>
        <w:bidi w:val="0"/>
        <w:spacing w:line="576" w:lineRule="exact"/>
        <w:ind w:firstLine="640" w:firstLineChars="200"/>
        <w:rPr>
          <w:rStyle w:val="21"/>
          <w:rFonts w:ascii="Times New Roman" w:hAnsi="Times New Roman" w:eastAsia="仿宋" w:cs="Times New Roman"/>
          <w:b w:val="0"/>
          <w:bCs w:val="0"/>
        </w:rPr>
      </w:pPr>
      <w:bookmarkStart w:id="69" w:name="_Toc26843638"/>
      <w:bookmarkStart w:id="70" w:name="_Toc15396631"/>
      <w:r>
        <w:rPr>
          <w:rStyle w:val="21"/>
          <w:rFonts w:ascii="Times New Roman" w:hAnsi="Times New Roman" w:eastAsia="仿宋" w:cs="Times New Roman"/>
          <w:b w:val="0"/>
          <w:bCs w:val="0"/>
        </w:rPr>
        <w:t>十三、</w:t>
      </w:r>
      <w:r>
        <w:rPr>
          <w:rFonts w:ascii="Times New Roman" w:hAnsi="Times New Roman" w:eastAsia="仿宋" w:cs="Times New Roman"/>
          <w:b w:val="0"/>
        </w:rPr>
        <w:t>国</w:t>
      </w:r>
      <w:r>
        <w:rPr>
          <w:rStyle w:val="21"/>
          <w:rFonts w:ascii="Times New Roman" w:hAnsi="Times New Roman" w:eastAsia="仿宋" w:cs="Times New Roman"/>
          <w:b w:val="0"/>
          <w:bCs w:val="0"/>
        </w:rPr>
        <w:t>有资本经营预算财政拨款收入支出决算表</w:t>
      </w:r>
      <w:bookmarkEnd w:id="69"/>
      <w:bookmarkEnd w:id="70"/>
    </w:p>
    <w:p>
      <w:pPr>
        <w:pageBreakBefore w:val="0"/>
        <w:widowControl w:val="0"/>
        <w:kinsoku/>
        <w:wordWrap/>
        <w:overflowPunct/>
        <w:topLinePunct w:val="0"/>
        <w:bidi w:val="0"/>
        <w:spacing w:line="576" w:lineRule="exact"/>
        <w:ind w:firstLine="640" w:firstLineChars="200"/>
        <w:rPr>
          <w:rFonts w:ascii="Times New Roman" w:hAnsi="Times New Roman" w:eastAsia="仿宋" w:cs="Times New Roman"/>
        </w:rPr>
      </w:pPr>
      <w:bookmarkStart w:id="71" w:name="_Toc26843639"/>
      <w:r>
        <w:rPr>
          <w:rStyle w:val="21"/>
          <w:rFonts w:ascii="Times New Roman" w:hAnsi="Times New Roman" w:eastAsia="仿宋" w:cs="Times New Roman"/>
          <w:b w:val="0"/>
          <w:bCs w:val="0"/>
        </w:rPr>
        <w:t>十四、国有资本经营预算财政拨款支出决算表</w:t>
      </w:r>
      <w:bookmarkEnd w:id="71"/>
    </w:p>
    <w:p>
      <w:pPr>
        <w:pageBreakBefore w:val="0"/>
        <w:widowControl w:val="0"/>
        <w:kinsoku/>
        <w:wordWrap/>
        <w:overflowPunct/>
        <w:topLinePunct w:val="0"/>
        <w:bidi w:val="0"/>
        <w:spacing w:line="576" w:lineRule="exact"/>
        <w:jc w:val="center"/>
        <w:outlineLvl w:val="0"/>
        <w:rPr>
          <w:rFonts w:ascii="Times New Roman" w:hAnsi="Times New Roman" w:eastAsia="仿宋" w:cs="Times New Roman"/>
        </w:rPr>
      </w:pPr>
      <w:bookmarkStart w:id="72" w:name="_Toc26843625"/>
      <w:bookmarkStart w:id="73" w:name="_Toc15396618"/>
      <w:r>
        <w:rPr>
          <w:rFonts w:ascii="Times New Roman" w:hAnsi="Times New Roman" w:eastAsia="黑体" w:cs="Times New Roman"/>
          <w:sz w:val="44"/>
          <w:szCs w:val="44"/>
        </w:rPr>
        <w:t>第</w:t>
      </w:r>
      <w:r>
        <w:rPr>
          <w:rStyle w:val="20"/>
          <w:rFonts w:ascii="Times New Roman" w:hAnsi="Times New Roman" w:eastAsia="黑体" w:cs="Times New Roman"/>
          <w:b w:val="0"/>
        </w:rPr>
        <w:t>五部分 附表</w:t>
      </w:r>
      <w:bookmarkEnd w:id="72"/>
      <w:bookmarkEnd w:id="73"/>
      <w:bookmarkStart w:id="74" w:name="_Toc15396619"/>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75" w:name="_Toc26843626"/>
      <w:r>
        <w:rPr>
          <w:rFonts w:ascii="Times New Roman" w:hAnsi="Times New Roman" w:eastAsia="仿宋" w:cs="Times New Roman"/>
          <w:b w:val="0"/>
        </w:rPr>
        <w:t>一、收</w:t>
      </w:r>
      <w:r>
        <w:rPr>
          <w:rStyle w:val="21"/>
          <w:rFonts w:ascii="Times New Roman" w:hAnsi="Times New Roman" w:eastAsia="仿宋" w:cs="Times New Roman"/>
          <w:b w:val="0"/>
          <w:bCs w:val="0"/>
        </w:rPr>
        <w:t>入支出决算总表</w:t>
      </w:r>
      <w:bookmarkEnd w:id="74"/>
      <w:bookmarkEnd w:id="75"/>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76" w:name="_Toc15396620"/>
      <w:bookmarkStart w:id="77" w:name="_Toc26843627"/>
      <w:r>
        <w:rPr>
          <w:rFonts w:ascii="Times New Roman" w:hAnsi="Times New Roman" w:eastAsia="仿宋" w:cs="Times New Roman"/>
          <w:b w:val="0"/>
        </w:rPr>
        <w:t>二、收</w:t>
      </w:r>
      <w:r>
        <w:rPr>
          <w:rStyle w:val="21"/>
          <w:rFonts w:ascii="Times New Roman" w:hAnsi="Times New Roman" w:eastAsia="仿宋" w:cs="Times New Roman"/>
          <w:b w:val="0"/>
          <w:bCs w:val="0"/>
        </w:rPr>
        <w:t>入决算表</w:t>
      </w:r>
      <w:bookmarkEnd w:id="76"/>
      <w:bookmarkEnd w:id="77"/>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78" w:name="_Toc26843628"/>
      <w:bookmarkStart w:id="79" w:name="_Toc15396621"/>
      <w:r>
        <w:rPr>
          <w:rStyle w:val="21"/>
          <w:rFonts w:ascii="Times New Roman" w:hAnsi="Times New Roman" w:eastAsia="仿宋" w:cs="Times New Roman"/>
          <w:b w:val="0"/>
          <w:bCs w:val="0"/>
        </w:rPr>
        <w:t>三、</w:t>
      </w:r>
      <w:r>
        <w:rPr>
          <w:rFonts w:ascii="Times New Roman" w:hAnsi="Times New Roman" w:eastAsia="仿宋" w:cs="Times New Roman"/>
          <w:b w:val="0"/>
        </w:rPr>
        <w:t>支</w:t>
      </w:r>
      <w:r>
        <w:rPr>
          <w:rStyle w:val="21"/>
          <w:rFonts w:ascii="Times New Roman" w:hAnsi="Times New Roman" w:eastAsia="仿宋" w:cs="Times New Roman"/>
          <w:b w:val="0"/>
          <w:bCs w:val="0"/>
        </w:rPr>
        <w:t>出决算表</w:t>
      </w:r>
      <w:bookmarkEnd w:id="78"/>
      <w:bookmarkEnd w:id="79"/>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b w:val="0"/>
        </w:rPr>
      </w:pPr>
      <w:bookmarkStart w:id="80" w:name="_Toc15396622"/>
      <w:bookmarkStart w:id="81" w:name="_Toc26843629"/>
      <w:r>
        <w:rPr>
          <w:rStyle w:val="21"/>
          <w:rFonts w:ascii="Times New Roman" w:hAnsi="Times New Roman" w:eastAsia="仿宋" w:cs="Times New Roman"/>
          <w:b w:val="0"/>
          <w:bCs w:val="0"/>
        </w:rPr>
        <w:t>四、</w:t>
      </w:r>
      <w:r>
        <w:rPr>
          <w:rFonts w:ascii="Times New Roman" w:hAnsi="Times New Roman" w:eastAsia="仿宋" w:cs="Times New Roman"/>
          <w:b w:val="0"/>
        </w:rPr>
        <w:t>财</w:t>
      </w:r>
      <w:r>
        <w:rPr>
          <w:rStyle w:val="21"/>
          <w:rFonts w:ascii="Times New Roman" w:hAnsi="Times New Roman" w:eastAsia="仿宋" w:cs="Times New Roman"/>
          <w:b w:val="0"/>
          <w:bCs w:val="0"/>
        </w:rPr>
        <w:t>政拨款收入支出决算总表</w:t>
      </w:r>
      <w:bookmarkEnd w:id="80"/>
      <w:bookmarkEnd w:id="81"/>
    </w:p>
    <w:p>
      <w:pPr>
        <w:pStyle w:val="4"/>
        <w:keepNext/>
        <w:keepLines/>
        <w:pageBreakBefore w:val="0"/>
        <w:widowControl w:val="0"/>
        <w:kinsoku/>
        <w:wordWrap/>
        <w:overflowPunct/>
        <w:topLinePunct w:val="0"/>
        <w:bidi w:val="0"/>
        <w:spacing w:line="576" w:lineRule="exact"/>
        <w:rPr>
          <w:rStyle w:val="21"/>
          <w:rFonts w:ascii="Times New Roman" w:hAnsi="Times New Roman" w:eastAsia="仿宋" w:cs="Times New Roman"/>
          <w:b w:val="0"/>
          <w:bCs w:val="0"/>
        </w:rPr>
      </w:pPr>
      <w:bookmarkStart w:id="82" w:name="_Toc15396623"/>
      <w:bookmarkStart w:id="83" w:name="_Toc26843630"/>
      <w:r>
        <w:rPr>
          <w:rStyle w:val="21"/>
          <w:rFonts w:ascii="Times New Roman" w:hAnsi="Times New Roman" w:eastAsia="仿宋" w:cs="Times New Roman"/>
          <w:b w:val="0"/>
          <w:bCs w:val="0"/>
        </w:rPr>
        <w:t>五、</w:t>
      </w:r>
      <w:r>
        <w:rPr>
          <w:rFonts w:ascii="Times New Roman" w:hAnsi="Times New Roman" w:eastAsia="仿宋" w:cs="Times New Roman"/>
          <w:b w:val="0"/>
        </w:rPr>
        <w:t>财</w:t>
      </w:r>
      <w:r>
        <w:rPr>
          <w:rStyle w:val="21"/>
          <w:rFonts w:ascii="Times New Roman" w:hAnsi="Times New Roman" w:eastAsia="仿宋" w:cs="Times New Roman"/>
          <w:b w:val="0"/>
          <w:bCs w:val="0"/>
        </w:rPr>
        <w:t>政拨款支出决算明细表</w:t>
      </w:r>
      <w:bookmarkEnd w:id="82"/>
      <w:bookmarkEnd w:id="83"/>
      <w:bookmarkStart w:id="84" w:name="_Toc15396624"/>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85" w:name="_Toc26843631"/>
      <w:r>
        <w:rPr>
          <w:rStyle w:val="21"/>
          <w:rFonts w:ascii="Times New Roman" w:hAnsi="Times New Roman" w:eastAsia="仿宋" w:cs="Times New Roman"/>
          <w:b w:val="0"/>
          <w:bCs w:val="0"/>
        </w:rPr>
        <w:t>六、</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般公共预算财政拨款支出决算表</w:t>
      </w:r>
      <w:bookmarkEnd w:id="84"/>
      <w:bookmarkEnd w:id="85"/>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86" w:name="_Toc26843632"/>
      <w:bookmarkStart w:id="87" w:name="_Toc15396625"/>
      <w:r>
        <w:rPr>
          <w:rStyle w:val="21"/>
          <w:rFonts w:ascii="Times New Roman" w:hAnsi="Times New Roman" w:eastAsia="仿宋" w:cs="Times New Roman"/>
          <w:b w:val="0"/>
          <w:bCs w:val="0"/>
        </w:rPr>
        <w:t>七、</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般公共预算财政拨款支出决算明细表</w:t>
      </w:r>
      <w:bookmarkEnd w:id="86"/>
      <w:bookmarkEnd w:id="87"/>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88" w:name="_Toc15396626"/>
      <w:bookmarkStart w:id="89" w:name="_Toc26843633"/>
      <w:r>
        <w:rPr>
          <w:rStyle w:val="21"/>
          <w:rFonts w:ascii="Times New Roman" w:hAnsi="Times New Roman" w:eastAsia="仿宋" w:cs="Times New Roman"/>
          <w:b w:val="0"/>
          <w:bCs w:val="0"/>
        </w:rPr>
        <w:t>八、</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般公共预算财政拨款基本支出决算表</w:t>
      </w:r>
      <w:bookmarkEnd w:id="88"/>
      <w:bookmarkEnd w:id="89"/>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0" w:name="_Toc26843634"/>
      <w:bookmarkStart w:id="91" w:name="_Toc15396627"/>
      <w:r>
        <w:rPr>
          <w:rStyle w:val="21"/>
          <w:rFonts w:ascii="Times New Roman" w:hAnsi="Times New Roman" w:eastAsia="仿宋" w:cs="Times New Roman"/>
          <w:b w:val="0"/>
          <w:bCs w:val="0"/>
        </w:rPr>
        <w:t>九、</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般公共预算财政拨款项目支出决算表</w:t>
      </w:r>
      <w:bookmarkEnd w:id="90"/>
      <w:bookmarkEnd w:id="91"/>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2" w:name="_Toc15396628"/>
      <w:bookmarkStart w:id="93" w:name="_Toc26843635"/>
      <w:r>
        <w:rPr>
          <w:rStyle w:val="21"/>
          <w:rFonts w:ascii="Times New Roman" w:hAnsi="Times New Roman" w:eastAsia="仿宋" w:cs="Times New Roman"/>
          <w:b w:val="0"/>
          <w:bCs w:val="0"/>
        </w:rPr>
        <w:t>十、</w:t>
      </w:r>
      <w:r>
        <w:rPr>
          <w:rFonts w:ascii="Times New Roman" w:hAnsi="Times New Roman" w:eastAsia="仿宋" w:cs="Times New Roman"/>
          <w:b w:val="0"/>
        </w:rPr>
        <w:t>一</w:t>
      </w:r>
      <w:r>
        <w:rPr>
          <w:rStyle w:val="21"/>
          <w:rFonts w:ascii="Times New Roman" w:hAnsi="Times New Roman" w:eastAsia="仿宋" w:cs="Times New Roman"/>
          <w:b w:val="0"/>
          <w:bCs w:val="0"/>
        </w:rPr>
        <w:t>般公共预算财政拨款“三公”经费支出决算表</w:t>
      </w:r>
      <w:bookmarkEnd w:id="92"/>
      <w:bookmarkEnd w:id="93"/>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4" w:name="_Toc26843636"/>
      <w:bookmarkStart w:id="95" w:name="_Toc15396629"/>
      <w:r>
        <w:rPr>
          <w:rStyle w:val="21"/>
          <w:rFonts w:ascii="Times New Roman" w:hAnsi="Times New Roman" w:eastAsia="仿宋" w:cs="Times New Roman"/>
          <w:b w:val="0"/>
          <w:bCs w:val="0"/>
        </w:rPr>
        <w:t>十一、</w:t>
      </w:r>
      <w:r>
        <w:rPr>
          <w:rFonts w:ascii="Times New Roman" w:hAnsi="Times New Roman" w:eastAsia="仿宋" w:cs="Times New Roman"/>
          <w:b w:val="0"/>
        </w:rPr>
        <w:t>政</w:t>
      </w:r>
      <w:r>
        <w:rPr>
          <w:rStyle w:val="21"/>
          <w:rFonts w:ascii="Times New Roman" w:hAnsi="Times New Roman" w:eastAsia="仿宋" w:cs="Times New Roman"/>
          <w:b w:val="0"/>
          <w:bCs w:val="0"/>
        </w:rPr>
        <w:t>府性基金预算财政拨款收入支出决算表</w:t>
      </w:r>
      <w:bookmarkEnd w:id="94"/>
      <w:bookmarkEnd w:id="95"/>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bookmarkStart w:id="96" w:name="_Toc26843637"/>
      <w:bookmarkStart w:id="97" w:name="_Toc15396630"/>
      <w:r>
        <w:rPr>
          <w:rStyle w:val="21"/>
          <w:rFonts w:ascii="Times New Roman" w:hAnsi="Times New Roman" w:eastAsia="仿宋" w:cs="Times New Roman"/>
          <w:b w:val="0"/>
          <w:bCs w:val="0"/>
        </w:rPr>
        <w:t>十二、</w:t>
      </w:r>
      <w:r>
        <w:rPr>
          <w:rFonts w:ascii="Times New Roman" w:hAnsi="Times New Roman" w:eastAsia="仿宋" w:cs="Times New Roman"/>
          <w:b w:val="0"/>
        </w:rPr>
        <w:t>政</w:t>
      </w:r>
      <w:r>
        <w:rPr>
          <w:rStyle w:val="21"/>
          <w:rFonts w:ascii="Times New Roman" w:hAnsi="Times New Roman" w:eastAsia="仿宋" w:cs="Times New Roman"/>
          <w:b w:val="0"/>
          <w:bCs w:val="0"/>
        </w:rPr>
        <w:t>府性基金预算财政拨款“三公”经费支出决算表</w:t>
      </w:r>
      <w:bookmarkEnd w:id="96"/>
      <w:bookmarkEnd w:id="97"/>
    </w:p>
    <w:p>
      <w:pPr>
        <w:pStyle w:val="4"/>
        <w:keepNext/>
        <w:keepLines/>
        <w:pageBreakBefore w:val="0"/>
        <w:widowControl w:val="0"/>
        <w:kinsoku/>
        <w:wordWrap/>
        <w:overflowPunct/>
        <w:topLinePunct w:val="0"/>
        <w:bidi w:val="0"/>
        <w:spacing w:line="576" w:lineRule="exact"/>
        <w:rPr>
          <w:rStyle w:val="21"/>
          <w:rFonts w:ascii="Times New Roman" w:hAnsi="Times New Roman" w:eastAsia="仿宋" w:cs="Times New Roman"/>
          <w:b w:val="0"/>
          <w:bCs w:val="0"/>
        </w:rPr>
      </w:pPr>
      <w:r>
        <w:rPr>
          <w:rStyle w:val="21"/>
          <w:rFonts w:ascii="Times New Roman" w:hAnsi="Times New Roman" w:eastAsia="仿宋" w:cs="Times New Roman"/>
          <w:b w:val="0"/>
          <w:bCs w:val="0"/>
        </w:rPr>
        <w:t>十三、</w:t>
      </w:r>
      <w:r>
        <w:rPr>
          <w:rFonts w:ascii="Times New Roman" w:hAnsi="Times New Roman" w:eastAsia="仿宋" w:cs="Times New Roman"/>
          <w:b w:val="0"/>
        </w:rPr>
        <w:t>国</w:t>
      </w:r>
      <w:r>
        <w:rPr>
          <w:rStyle w:val="21"/>
          <w:rFonts w:ascii="Times New Roman" w:hAnsi="Times New Roman" w:eastAsia="仿宋" w:cs="Times New Roman"/>
          <w:b w:val="0"/>
          <w:bCs w:val="0"/>
        </w:rPr>
        <w:t>有资本经营预算财政拨款收入支出决算表</w:t>
      </w:r>
    </w:p>
    <w:p>
      <w:pPr>
        <w:pageBreakBefore w:val="0"/>
        <w:widowControl w:val="0"/>
        <w:kinsoku/>
        <w:wordWrap/>
        <w:overflowPunct/>
        <w:topLinePunct w:val="0"/>
        <w:bidi w:val="0"/>
        <w:spacing w:line="576" w:lineRule="exact"/>
        <w:rPr>
          <w:rFonts w:ascii="Times New Roman" w:hAnsi="Times New Roman" w:eastAsia="仿宋" w:cs="Times New Roman"/>
        </w:rPr>
      </w:pPr>
      <w:r>
        <w:rPr>
          <w:rStyle w:val="21"/>
          <w:rFonts w:ascii="Times New Roman" w:hAnsi="Times New Roman" w:eastAsia="仿宋" w:cs="Times New Roman"/>
          <w:b w:val="0"/>
          <w:bCs w:val="0"/>
        </w:rPr>
        <w:t>十四、国有资本经营预算财政拨款支出决算表</w:t>
      </w:r>
    </w:p>
    <w:p>
      <w:pPr>
        <w:keepNext w:val="0"/>
        <w:keepLines w:val="0"/>
        <w:pageBreakBefore w:val="0"/>
        <w:widowControl/>
        <w:wordWrap w:val="0"/>
        <w:bidi w:val="0"/>
        <w:snapToGrid w:val="0"/>
        <w:spacing w:line="600" w:lineRule="exact"/>
        <w:ind w:firstLine="320" w:firstLineChars="100"/>
        <w:jc w:val="left"/>
        <w:textAlignment w:val="auto"/>
        <w:rPr>
          <w:rFonts w:hint="eastAsia" w:ascii="仿宋" w:eastAsia="仿宋"/>
          <w:color w:val="000000"/>
          <w:sz w:val="32"/>
          <w:szCs w:val="32"/>
        </w:rPr>
      </w:pP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pageBreakBefore w:val="0"/>
        <w:widowControl w:val="0"/>
        <w:kinsoku/>
        <w:wordWrap/>
        <w:overflowPunct/>
        <w:topLinePunct w:val="0"/>
        <w:bidi w:val="0"/>
        <w:spacing w:line="576" w:lineRule="exact"/>
        <w:jc w:val="center"/>
        <w:outlineLvl w:val="0"/>
        <w:rPr>
          <w:rFonts w:hint="eastAsia" w:ascii="仿宋" w:eastAsia="仿宋"/>
          <w:color w:val="000000"/>
          <w:sz w:val="32"/>
          <w:szCs w:val="32"/>
        </w:rPr>
      </w:pPr>
    </w:p>
    <w:p>
      <w:pPr>
        <w:pStyle w:val="4"/>
        <w:keepNext/>
        <w:keepLines/>
        <w:pageBreakBefore w:val="0"/>
        <w:widowControl w:val="0"/>
        <w:kinsoku/>
        <w:wordWrap/>
        <w:overflowPunct/>
        <w:topLinePunct w:val="0"/>
        <w:bidi w:val="0"/>
        <w:spacing w:line="576" w:lineRule="exact"/>
        <w:rPr>
          <w:rFonts w:ascii="Times New Roman" w:hAnsi="Times New Roman" w:eastAsia="仿宋" w:cs="Times New Roman"/>
        </w:rPr>
      </w:pPr>
      <w:r>
        <w:rPr>
          <w:rFonts w:hint="eastAsia" w:ascii="仿宋" w:eastAsia="仿宋"/>
          <w:color w:val="000000"/>
          <w:sz w:val="32"/>
          <w:szCs w:val="32"/>
        </w:rPr>
        <w:t xml:space="preserve"> </w:t>
      </w:r>
    </w:p>
    <w:bookmarkEnd w:id="51"/>
    <w:p>
      <w:pPr>
        <w:pStyle w:val="4"/>
        <w:rPr>
          <w:rFonts w:ascii="仿宋" w:eastAsia="仿宋"/>
          <w:color w:val="000000"/>
        </w:rPr>
      </w:pPr>
    </w:p>
    <w:sectPr>
      <w:footerReference r:id="rId10" w:type="first"/>
      <w:headerReference r:id="rId8" w:type="default"/>
      <w:footerReference r:id="rId9" w:type="default"/>
      <w:pgSz w:w="11906" w:h="16838"/>
      <w:pgMar w:top="1440" w:right="1800" w:bottom="1440" w:left="1800" w:header="851" w:footer="992" w:gutter="0"/>
      <w:pgNumType w:fmt="decimal" w:start="4"/>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F753C88"/>
    <w:multiLevelType w:val="singleLevel"/>
    <w:tmpl w:val="DF753C88"/>
    <w:lvl w:ilvl="0" w:tentative="0">
      <w:start w:val="3"/>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FD209342"/>
    <w:multiLevelType w:val="singleLevel"/>
    <w:tmpl w:val="FD209342"/>
    <w:lvl w:ilvl="0" w:tentative="0">
      <w:start w:val="2"/>
      <w:numFmt w:val="decimal"/>
      <w:suff w:val="nothing"/>
      <w:lvlText w:val="%1、"/>
      <w:lvlJc w:val="left"/>
      <w:pPr>
        <w:ind w:left="61"/>
      </w:pPr>
    </w:lvl>
  </w:abstractNum>
  <w:abstractNum w:abstractNumId="5">
    <w:nsid w:val="FD7552BD"/>
    <w:multiLevelType w:val="singleLevel"/>
    <w:tmpl w:val="FD7552BD"/>
    <w:lvl w:ilvl="0" w:tentative="0">
      <w:start w:val="1"/>
      <w:numFmt w:val="decimal"/>
      <w:lvlText w:val="%1."/>
      <w:lvlJc w:val="left"/>
      <w:pPr>
        <w:tabs>
          <w:tab w:val="left" w:pos="312"/>
        </w:tabs>
      </w:pPr>
    </w:lvl>
  </w:abstractNum>
  <w:abstractNum w:abstractNumId="6">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7">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8">
    <w:nsid w:val="1A3FA3A0"/>
    <w:multiLevelType w:val="singleLevel"/>
    <w:tmpl w:val="1A3FA3A0"/>
    <w:lvl w:ilvl="0" w:tentative="0">
      <w:start w:val="1"/>
      <w:numFmt w:val="decimal"/>
      <w:lvlText w:val="%1."/>
      <w:lvlJc w:val="left"/>
      <w:pPr>
        <w:tabs>
          <w:tab w:val="left" w:pos="312"/>
        </w:tabs>
      </w:pPr>
    </w:lvl>
  </w:abstractNum>
  <w:num w:numId="1">
    <w:abstractNumId w:val="6"/>
  </w:num>
  <w:num w:numId="2">
    <w:abstractNumId w:val="5"/>
  </w:num>
  <w:num w:numId="3">
    <w:abstractNumId w:val="0"/>
  </w:num>
  <w:num w:numId="4">
    <w:abstractNumId w:val="7"/>
  </w:num>
  <w:num w:numId="5">
    <w:abstractNumId w:val="3"/>
  </w:num>
  <w:num w:numId="6">
    <w:abstractNumId w:val="8"/>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ZWE4N2Y0ODJmMGY3Y2FjZWYzNWMwOTIyZmNkMDA1MzEifQ=="/>
  </w:docVars>
  <w:rsids>
    <w:rsidRoot w:val="00000000"/>
    <w:rsid w:val="00FD379E"/>
    <w:rsid w:val="012F331D"/>
    <w:rsid w:val="0145200E"/>
    <w:rsid w:val="016A2128"/>
    <w:rsid w:val="017B7F79"/>
    <w:rsid w:val="01F144FB"/>
    <w:rsid w:val="02277D29"/>
    <w:rsid w:val="02672211"/>
    <w:rsid w:val="036F6F15"/>
    <w:rsid w:val="03EF6376"/>
    <w:rsid w:val="046871EB"/>
    <w:rsid w:val="04E250AB"/>
    <w:rsid w:val="058538E6"/>
    <w:rsid w:val="059C2761"/>
    <w:rsid w:val="05A8601F"/>
    <w:rsid w:val="06515C33"/>
    <w:rsid w:val="069B03FB"/>
    <w:rsid w:val="069E4519"/>
    <w:rsid w:val="06A30A65"/>
    <w:rsid w:val="07F840D0"/>
    <w:rsid w:val="081902AF"/>
    <w:rsid w:val="08206D5C"/>
    <w:rsid w:val="09026493"/>
    <w:rsid w:val="09172932"/>
    <w:rsid w:val="093762D4"/>
    <w:rsid w:val="09557950"/>
    <w:rsid w:val="09E84E91"/>
    <w:rsid w:val="0A064A0A"/>
    <w:rsid w:val="0A69341E"/>
    <w:rsid w:val="0A9F0255"/>
    <w:rsid w:val="0ABA47D5"/>
    <w:rsid w:val="0AD82BA5"/>
    <w:rsid w:val="0B475E92"/>
    <w:rsid w:val="0B9A6303"/>
    <w:rsid w:val="0BBC04C1"/>
    <w:rsid w:val="0C5004B6"/>
    <w:rsid w:val="0C665632"/>
    <w:rsid w:val="0C6C2C40"/>
    <w:rsid w:val="0D1B1943"/>
    <w:rsid w:val="0D5034B4"/>
    <w:rsid w:val="0D772B38"/>
    <w:rsid w:val="0DD754FF"/>
    <w:rsid w:val="0DF23EF4"/>
    <w:rsid w:val="0DFA4AD1"/>
    <w:rsid w:val="0DFB4F49"/>
    <w:rsid w:val="0E194EBF"/>
    <w:rsid w:val="0E5C2FA5"/>
    <w:rsid w:val="0F2C10A2"/>
    <w:rsid w:val="0F5E05D5"/>
    <w:rsid w:val="0F666FE3"/>
    <w:rsid w:val="0F9A262D"/>
    <w:rsid w:val="102F601C"/>
    <w:rsid w:val="10D12EF3"/>
    <w:rsid w:val="10FA3A9E"/>
    <w:rsid w:val="113702EE"/>
    <w:rsid w:val="113738EB"/>
    <w:rsid w:val="117F3C75"/>
    <w:rsid w:val="11D9759D"/>
    <w:rsid w:val="11EC4170"/>
    <w:rsid w:val="128311D2"/>
    <w:rsid w:val="12902667"/>
    <w:rsid w:val="12F752F9"/>
    <w:rsid w:val="13BE0D17"/>
    <w:rsid w:val="13DD754C"/>
    <w:rsid w:val="13EA642E"/>
    <w:rsid w:val="142D048D"/>
    <w:rsid w:val="14BA5E97"/>
    <w:rsid w:val="14CD5D5A"/>
    <w:rsid w:val="14EC2307"/>
    <w:rsid w:val="15193F79"/>
    <w:rsid w:val="15510451"/>
    <w:rsid w:val="15D8240E"/>
    <w:rsid w:val="15F4281E"/>
    <w:rsid w:val="161F4EBB"/>
    <w:rsid w:val="16297FA6"/>
    <w:rsid w:val="16E50C35"/>
    <w:rsid w:val="175106A2"/>
    <w:rsid w:val="175D0FFB"/>
    <w:rsid w:val="17946876"/>
    <w:rsid w:val="17A31DFA"/>
    <w:rsid w:val="17CC19BF"/>
    <w:rsid w:val="17D55360"/>
    <w:rsid w:val="17FC5FCE"/>
    <w:rsid w:val="18023876"/>
    <w:rsid w:val="18937315"/>
    <w:rsid w:val="18C96A6F"/>
    <w:rsid w:val="19497CC6"/>
    <w:rsid w:val="195F2761"/>
    <w:rsid w:val="19DF16C9"/>
    <w:rsid w:val="19F42FDF"/>
    <w:rsid w:val="1AB317B1"/>
    <w:rsid w:val="1AD14933"/>
    <w:rsid w:val="1B6E6306"/>
    <w:rsid w:val="1C367191"/>
    <w:rsid w:val="1C645C4F"/>
    <w:rsid w:val="1C9524CE"/>
    <w:rsid w:val="1D432DE5"/>
    <w:rsid w:val="1D7F1248"/>
    <w:rsid w:val="1DCE2E67"/>
    <w:rsid w:val="1DE44A00"/>
    <w:rsid w:val="1E056F0A"/>
    <w:rsid w:val="1E8F3C3B"/>
    <w:rsid w:val="1EA35351"/>
    <w:rsid w:val="1EFC7070"/>
    <w:rsid w:val="1FAB36F8"/>
    <w:rsid w:val="1FDD4F9E"/>
    <w:rsid w:val="1FFF6F8B"/>
    <w:rsid w:val="201D2171"/>
    <w:rsid w:val="202A0681"/>
    <w:rsid w:val="205052D8"/>
    <w:rsid w:val="20886788"/>
    <w:rsid w:val="20916E00"/>
    <w:rsid w:val="20C46435"/>
    <w:rsid w:val="20C74041"/>
    <w:rsid w:val="20CB105E"/>
    <w:rsid w:val="20FA3B99"/>
    <w:rsid w:val="21501CCF"/>
    <w:rsid w:val="21606E07"/>
    <w:rsid w:val="21902897"/>
    <w:rsid w:val="21A65D6F"/>
    <w:rsid w:val="2274366E"/>
    <w:rsid w:val="22F930C4"/>
    <w:rsid w:val="238128F6"/>
    <w:rsid w:val="23ED1676"/>
    <w:rsid w:val="24154E1F"/>
    <w:rsid w:val="245319FF"/>
    <w:rsid w:val="2507364D"/>
    <w:rsid w:val="25EA0C7D"/>
    <w:rsid w:val="260977F8"/>
    <w:rsid w:val="262A36A2"/>
    <w:rsid w:val="263B5046"/>
    <w:rsid w:val="26840687"/>
    <w:rsid w:val="26D925A0"/>
    <w:rsid w:val="26E072B9"/>
    <w:rsid w:val="276E390B"/>
    <w:rsid w:val="279E2168"/>
    <w:rsid w:val="27BA7F3C"/>
    <w:rsid w:val="29B44C85"/>
    <w:rsid w:val="2A124819"/>
    <w:rsid w:val="2A6C029C"/>
    <w:rsid w:val="2AB4022A"/>
    <w:rsid w:val="2B196F53"/>
    <w:rsid w:val="2B376FA2"/>
    <w:rsid w:val="2B946258"/>
    <w:rsid w:val="2BC76094"/>
    <w:rsid w:val="2C320FA6"/>
    <w:rsid w:val="2D834EFB"/>
    <w:rsid w:val="2DDD3D59"/>
    <w:rsid w:val="2E106458"/>
    <w:rsid w:val="2F605E43"/>
    <w:rsid w:val="2F86526F"/>
    <w:rsid w:val="2FB10922"/>
    <w:rsid w:val="30215916"/>
    <w:rsid w:val="30297980"/>
    <w:rsid w:val="30C21D3C"/>
    <w:rsid w:val="30D764FD"/>
    <w:rsid w:val="314939C7"/>
    <w:rsid w:val="316B3D9F"/>
    <w:rsid w:val="31877EC7"/>
    <w:rsid w:val="31EA6DE4"/>
    <w:rsid w:val="324C2E1C"/>
    <w:rsid w:val="32674BAB"/>
    <w:rsid w:val="32A84F38"/>
    <w:rsid w:val="32CD5E6A"/>
    <w:rsid w:val="32D91749"/>
    <w:rsid w:val="32F60262"/>
    <w:rsid w:val="32FD1292"/>
    <w:rsid w:val="334655B9"/>
    <w:rsid w:val="33840A00"/>
    <w:rsid w:val="33BC17AD"/>
    <w:rsid w:val="33E81F8A"/>
    <w:rsid w:val="34771E1C"/>
    <w:rsid w:val="34A73E88"/>
    <w:rsid w:val="34A875A8"/>
    <w:rsid w:val="35846DF3"/>
    <w:rsid w:val="358E01EF"/>
    <w:rsid w:val="35B50B2E"/>
    <w:rsid w:val="36030566"/>
    <w:rsid w:val="36232075"/>
    <w:rsid w:val="362A7B91"/>
    <w:rsid w:val="365C5E2E"/>
    <w:rsid w:val="366824C4"/>
    <w:rsid w:val="36B34083"/>
    <w:rsid w:val="382D74CE"/>
    <w:rsid w:val="39092D20"/>
    <w:rsid w:val="394930D2"/>
    <w:rsid w:val="39601108"/>
    <w:rsid w:val="39F4175C"/>
    <w:rsid w:val="3A6976BC"/>
    <w:rsid w:val="3A92462D"/>
    <w:rsid w:val="3ACE56B9"/>
    <w:rsid w:val="3AE665E0"/>
    <w:rsid w:val="3B421F67"/>
    <w:rsid w:val="3B712C1D"/>
    <w:rsid w:val="3C5A1FBA"/>
    <w:rsid w:val="3C6B3E01"/>
    <w:rsid w:val="3CBF78F7"/>
    <w:rsid w:val="3CF95982"/>
    <w:rsid w:val="3CFB4BBC"/>
    <w:rsid w:val="3D2E4711"/>
    <w:rsid w:val="3D511FBE"/>
    <w:rsid w:val="3DBC39BB"/>
    <w:rsid w:val="3DDB02B9"/>
    <w:rsid w:val="3F016B50"/>
    <w:rsid w:val="3F096D63"/>
    <w:rsid w:val="404F5BAC"/>
    <w:rsid w:val="4082129F"/>
    <w:rsid w:val="40B13FFD"/>
    <w:rsid w:val="40DB0EE5"/>
    <w:rsid w:val="40EE6A13"/>
    <w:rsid w:val="411F6B14"/>
    <w:rsid w:val="412D65B0"/>
    <w:rsid w:val="41475E65"/>
    <w:rsid w:val="417E0CC8"/>
    <w:rsid w:val="41B75743"/>
    <w:rsid w:val="41C15B69"/>
    <w:rsid w:val="41F67F26"/>
    <w:rsid w:val="422A158A"/>
    <w:rsid w:val="422E3450"/>
    <w:rsid w:val="423A571C"/>
    <w:rsid w:val="426A3D3E"/>
    <w:rsid w:val="42762887"/>
    <w:rsid w:val="42807F43"/>
    <w:rsid w:val="42B45C7F"/>
    <w:rsid w:val="42EF689A"/>
    <w:rsid w:val="431E1FE9"/>
    <w:rsid w:val="43BE159D"/>
    <w:rsid w:val="43DB6472"/>
    <w:rsid w:val="445A33F2"/>
    <w:rsid w:val="447759DE"/>
    <w:rsid w:val="449370B6"/>
    <w:rsid w:val="45126EA5"/>
    <w:rsid w:val="460D369A"/>
    <w:rsid w:val="46515B48"/>
    <w:rsid w:val="471768EB"/>
    <w:rsid w:val="473E1DD8"/>
    <w:rsid w:val="477160A8"/>
    <w:rsid w:val="47D86055"/>
    <w:rsid w:val="47DD24DC"/>
    <w:rsid w:val="47EE5D47"/>
    <w:rsid w:val="484250A2"/>
    <w:rsid w:val="487B5EDE"/>
    <w:rsid w:val="493666C7"/>
    <w:rsid w:val="494A1C71"/>
    <w:rsid w:val="49A15BC2"/>
    <w:rsid w:val="4A076E77"/>
    <w:rsid w:val="4A403881"/>
    <w:rsid w:val="4A867949"/>
    <w:rsid w:val="4B0C1384"/>
    <w:rsid w:val="4B0D3A20"/>
    <w:rsid w:val="4B1161C6"/>
    <w:rsid w:val="4B983CB5"/>
    <w:rsid w:val="4BD714D5"/>
    <w:rsid w:val="4C0705C2"/>
    <w:rsid w:val="4C482897"/>
    <w:rsid w:val="4CAF70DA"/>
    <w:rsid w:val="4CC30281"/>
    <w:rsid w:val="4D051332"/>
    <w:rsid w:val="4D290F96"/>
    <w:rsid w:val="4D2B33A8"/>
    <w:rsid w:val="4D447169"/>
    <w:rsid w:val="4D723710"/>
    <w:rsid w:val="4E2B54A2"/>
    <w:rsid w:val="4EAD7745"/>
    <w:rsid w:val="4F1F4C70"/>
    <w:rsid w:val="4F404B7F"/>
    <w:rsid w:val="4F434E7B"/>
    <w:rsid w:val="4FD75235"/>
    <w:rsid w:val="5009389D"/>
    <w:rsid w:val="51E0110C"/>
    <w:rsid w:val="51EB2447"/>
    <w:rsid w:val="51F73B59"/>
    <w:rsid w:val="52560816"/>
    <w:rsid w:val="528B4227"/>
    <w:rsid w:val="52B0352F"/>
    <w:rsid w:val="52C82149"/>
    <w:rsid w:val="533E2FB1"/>
    <w:rsid w:val="53B82B4A"/>
    <w:rsid w:val="55414946"/>
    <w:rsid w:val="5541677B"/>
    <w:rsid w:val="55DE2FD9"/>
    <w:rsid w:val="565D75B2"/>
    <w:rsid w:val="567579D2"/>
    <w:rsid w:val="56786099"/>
    <w:rsid w:val="56CD1D6B"/>
    <w:rsid w:val="5731358F"/>
    <w:rsid w:val="576C678A"/>
    <w:rsid w:val="577423C8"/>
    <w:rsid w:val="57AA3ACF"/>
    <w:rsid w:val="57E66245"/>
    <w:rsid w:val="585728AF"/>
    <w:rsid w:val="58BA3A8A"/>
    <w:rsid w:val="58C23CD5"/>
    <w:rsid w:val="58C41DD8"/>
    <w:rsid w:val="58F01C9D"/>
    <w:rsid w:val="5910477D"/>
    <w:rsid w:val="59B41775"/>
    <w:rsid w:val="59F34745"/>
    <w:rsid w:val="5A2C7DEA"/>
    <w:rsid w:val="5A4B6A54"/>
    <w:rsid w:val="5A5560AB"/>
    <w:rsid w:val="5AAF285C"/>
    <w:rsid w:val="5B034FD4"/>
    <w:rsid w:val="5B0C7FF7"/>
    <w:rsid w:val="5B667060"/>
    <w:rsid w:val="5B8E7FB6"/>
    <w:rsid w:val="5C562ABF"/>
    <w:rsid w:val="5CC46D17"/>
    <w:rsid w:val="5CF07F24"/>
    <w:rsid w:val="5D0D4B7D"/>
    <w:rsid w:val="5D225670"/>
    <w:rsid w:val="5D331777"/>
    <w:rsid w:val="5D575306"/>
    <w:rsid w:val="5D7E33C1"/>
    <w:rsid w:val="5DAA0EA0"/>
    <w:rsid w:val="5DEF1069"/>
    <w:rsid w:val="5DF74A21"/>
    <w:rsid w:val="5E2769E6"/>
    <w:rsid w:val="5E7C521C"/>
    <w:rsid w:val="5EC86AC8"/>
    <w:rsid w:val="5F03601E"/>
    <w:rsid w:val="5F815477"/>
    <w:rsid w:val="5F9B73D8"/>
    <w:rsid w:val="605059DA"/>
    <w:rsid w:val="60BC3F28"/>
    <w:rsid w:val="60DC620C"/>
    <w:rsid w:val="61035772"/>
    <w:rsid w:val="613D380D"/>
    <w:rsid w:val="614E6D05"/>
    <w:rsid w:val="61681D90"/>
    <w:rsid w:val="616C27CB"/>
    <w:rsid w:val="617C6B53"/>
    <w:rsid w:val="61942F76"/>
    <w:rsid w:val="62BB755E"/>
    <w:rsid w:val="62D66184"/>
    <w:rsid w:val="62F9110C"/>
    <w:rsid w:val="632467B1"/>
    <w:rsid w:val="63561D75"/>
    <w:rsid w:val="638E6646"/>
    <w:rsid w:val="63D21730"/>
    <w:rsid w:val="640C56F5"/>
    <w:rsid w:val="64E759F2"/>
    <w:rsid w:val="65567B92"/>
    <w:rsid w:val="65733608"/>
    <w:rsid w:val="65830ED7"/>
    <w:rsid w:val="65A655C9"/>
    <w:rsid w:val="65D46BAE"/>
    <w:rsid w:val="66702314"/>
    <w:rsid w:val="66C54840"/>
    <w:rsid w:val="66FA5401"/>
    <w:rsid w:val="67214230"/>
    <w:rsid w:val="674832E8"/>
    <w:rsid w:val="675E4612"/>
    <w:rsid w:val="677777FE"/>
    <w:rsid w:val="680D1731"/>
    <w:rsid w:val="6892082C"/>
    <w:rsid w:val="68A46F56"/>
    <w:rsid w:val="68E6318D"/>
    <w:rsid w:val="695D4D2D"/>
    <w:rsid w:val="6979134C"/>
    <w:rsid w:val="69A67955"/>
    <w:rsid w:val="69AC120F"/>
    <w:rsid w:val="69D17BF1"/>
    <w:rsid w:val="69D63EE2"/>
    <w:rsid w:val="6A785916"/>
    <w:rsid w:val="6A995341"/>
    <w:rsid w:val="6AC9263E"/>
    <w:rsid w:val="6B7F526F"/>
    <w:rsid w:val="6BF471FD"/>
    <w:rsid w:val="6C297B68"/>
    <w:rsid w:val="6C5F143C"/>
    <w:rsid w:val="6C7C47AD"/>
    <w:rsid w:val="6C822643"/>
    <w:rsid w:val="6CB620C2"/>
    <w:rsid w:val="6CEF4597"/>
    <w:rsid w:val="6D445038"/>
    <w:rsid w:val="6D4A71FD"/>
    <w:rsid w:val="6DDE55CD"/>
    <w:rsid w:val="6DF57FCD"/>
    <w:rsid w:val="6E147438"/>
    <w:rsid w:val="6ECD6F8C"/>
    <w:rsid w:val="6F7940CD"/>
    <w:rsid w:val="6FBC7EA8"/>
    <w:rsid w:val="6FFD2DAF"/>
    <w:rsid w:val="70363DC4"/>
    <w:rsid w:val="707B6B7B"/>
    <w:rsid w:val="70B72372"/>
    <w:rsid w:val="713065F8"/>
    <w:rsid w:val="71A12575"/>
    <w:rsid w:val="71AE7670"/>
    <w:rsid w:val="71EE2D8C"/>
    <w:rsid w:val="71FA7F5F"/>
    <w:rsid w:val="72197D17"/>
    <w:rsid w:val="72B86F71"/>
    <w:rsid w:val="73CD6FCE"/>
    <w:rsid w:val="74DC5658"/>
    <w:rsid w:val="75C31772"/>
    <w:rsid w:val="75F10239"/>
    <w:rsid w:val="76003B84"/>
    <w:rsid w:val="76054FDD"/>
    <w:rsid w:val="765B30BC"/>
    <w:rsid w:val="765D703A"/>
    <w:rsid w:val="766F127A"/>
    <w:rsid w:val="767B37CF"/>
    <w:rsid w:val="769C21FA"/>
    <w:rsid w:val="76B965E8"/>
    <w:rsid w:val="77771F60"/>
    <w:rsid w:val="777B37EE"/>
    <w:rsid w:val="778867BA"/>
    <w:rsid w:val="77ED284F"/>
    <w:rsid w:val="78330037"/>
    <w:rsid w:val="78566B95"/>
    <w:rsid w:val="789C2F84"/>
    <w:rsid w:val="78FF2566"/>
    <w:rsid w:val="79300D4A"/>
    <w:rsid w:val="79535F5F"/>
    <w:rsid w:val="7985633E"/>
    <w:rsid w:val="79C70C3A"/>
    <w:rsid w:val="7A0B4B54"/>
    <w:rsid w:val="7A1D5BD9"/>
    <w:rsid w:val="7A705451"/>
    <w:rsid w:val="7A8271F7"/>
    <w:rsid w:val="7AA96BD3"/>
    <w:rsid w:val="7AB75450"/>
    <w:rsid w:val="7BBD3BF7"/>
    <w:rsid w:val="7C7F0E08"/>
    <w:rsid w:val="7D260DBC"/>
    <w:rsid w:val="7D48505F"/>
    <w:rsid w:val="7D6E3CAB"/>
    <w:rsid w:val="7E3E25D5"/>
    <w:rsid w:val="7E501C3B"/>
    <w:rsid w:val="7E6A7101"/>
    <w:rsid w:val="7EE77520"/>
    <w:rsid w:val="7F3E63B3"/>
    <w:rsid w:val="7F703299"/>
    <w:rsid w:val="7FD95B7B"/>
    <w:rsid w:val="7FFB13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Salutation"/>
    <w:basedOn w:val="1"/>
    <w:next w:val="1"/>
    <w:qFormat/>
    <w:uiPriority w:val="0"/>
    <w:rPr>
      <w:rFonts w:ascii="Times New Roman" w:hAnsi="Times New Roman"/>
      <w:kern w:val="0"/>
      <w:sz w:val="2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able of figures"/>
    <w:basedOn w:val="1"/>
    <w:next w:val="1"/>
    <w:qFormat/>
    <w:uiPriority w:val="0"/>
    <w:pPr>
      <w:ind w:left="400" w:leftChars="200" w:hanging="200" w:hangingChars="200"/>
    </w:pPr>
    <w:rPr>
      <w:rFonts w:ascii="Times New Roman" w:hAnsi="Times New Roman" w:eastAsia="宋体" w:cs="Times New Roman"/>
    </w:rPr>
  </w:style>
  <w:style w:type="paragraph" w:styleId="13">
    <w:name w:val="toc 2"/>
    <w:basedOn w:val="1"/>
    <w:next w:val="1"/>
    <w:qFormat/>
    <w:uiPriority w:val="0"/>
    <w:pPr>
      <w:tabs>
        <w:tab w:val="right" w:leader="dot" w:pos="8296"/>
      </w:tabs>
      <w:ind w:left="200" w:leftChars="200"/>
    </w:pPr>
  </w:style>
  <w:style w:type="paragraph" w:styleId="14">
    <w:name w:val="Normal (Web)"/>
    <w:basedOn w:val="1"/>
    <w:next w:val="15"/>
    <w:qFormat/>
    <w:uiPriority w:val="0"/>
    <w:pPr>
      <w:widowControl/>
      <w:spacing w:before="100" w:beforeAutospacing="1" w:after="100" w:afterAutospacing="1"/>
      <w:jc w:val="left"/>
    </w:pPr>
    <w:rPr>
      <w:rFonts w:ascii="宋体" w:hAnsi="宋体" w:cs="宋体"/>
      <w:kern w:val="0"/>
      <w:sz w:val="24"/>
    </w:rPr>
  </w:style>
  <w:style w:type="paragraph" w:customStyle="1" w:styleId="15">
    <w:name w:val="文本"/>
    <w:basedOn w:val="1"/>
    <w:qFormat/>
    <w:uiPriority w:val="0"/>
    <w:pPr>
      <w:widowControl/>
      <w:adjustRightInd w:val="0"/>
      <w:snapToGrid w:val="0"/>
      <w:spacing w:line="360" w:lineRule="auto"/>
      <w:ind w:firstLine="720" w:firstLineChars="200"/>
    </w:pPr>
    <w:rPr>
      <w:rFonts w:ascii="Times New Roman" w:hAnsi="Times New Roman" w:eastAsia="华文中宋" w:cs="宋体"/>
      <w:kern w:val="0"/>
      <w:sz w:val="24"/>
      <w:szCs w:val="24"/>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20">
    <w:name w:val="heading 1 Char"/>
    <w:basedOn w:val="16"/>
    <w:link w:val="3"/>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6"/>
    <w:link w:val="4"/>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8">
    <w:name w:val="table of figures"/>
    <w:basedOn w:val="1"/>
    <w:next w:val="1"/>
    <w:qFormat/>
    <w:uiPriority w:val="0"/>
    <w:pPr>
      <w:spacing w:before="100" w:beforeLines="0" w:beforeAutospacing="1" w:after="100" w:afterLines="0" w:afterAutospacing="1"/>
      <w:ind w:left="200" w:leftChars="200" w:hanging="200" w:hanging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34892;&#25919;&#27700;&#21153;&#23616;2022&#24180;&#20915;&#31639;&#20998;&#26512;&#25253;&#21578;\&#27700;&#21153;&#23616;2022&#24180;&#34892;&#25919;&#20915;&#31639;\&#20915;&#31639;&#30011;&#22270;&#27169;&#26495;.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34892;&#25919;&#27700;&#21153;&#23616;2022&#24180;&#20915;&#31639;&#20998;&#26512;&#25253;&#21578;\&#27700;&#21153;&#23616;2022&#24180;&#34892;&#25919;&#20915;&#31639;\&#20915;&#31639;&#30011;&#22270;&#27169;&#26495;.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34892;&#25919;&#27700;&#21153;&#23616;2022&#24180;&#20915;&#31639;&#20998;&#26512;&#25253;&#21578;\&#27700;&#21153;&#23616;2022&#24180;&#34892;&#25919;&#20915;&#31639;\&#20915;&#31639;&#30011;&#22270;&#27169;&#26495;.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34892;&#25919;&#27700;&#21153;&#23616;2022&#24180;&#20915;&#31639;&#20998;&#26512;&#25253;&#21578;\&#27700;&#21153;&#23616;2022&#24180;&#34892;&#25919;&#20915;&#31639;\&#20915;&#31639;&#30011;&#22270;&#27169;&#26495;.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34892;&#25919;&#27700;&#21153;&#23616;2022&#24180;&#20915;&#31639;&#20998;&#26512;&#25253;&#21578;\&#27700;&#21153;&#23616;2022&#24180;&#34892;&#25919;&#20915;&#31639;\&#20915;&#31639;&#30011;&#22270;&#27169;&#2649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cap="all" spc="150" baseline="0">
              <a:solidFill>
                <a:schemeClr val="tx1">
                  <a:lumMod val="50000"/>
                  <a:lumOff val="50000"/>
                </a:schemeClr>
              </a:solidFill>
              <a:latin typeface="+mn-lt"/>
              <a:ea typeface="+mn-ea"/>
              <a:cs typeface="+mn-cs"/>
            </a:defRPr>
          </a:pPr>
        </a:p>
      </c:txPr>
    </c:title>
    <c:autoTitleDeleted val="0"/>
    <c:plotArea>
      <c:layout/>
      <c:barChart>
        <c:barDir val="col"/>
        <c:grouping val="clustered"/>
        <c:varyColors val="0"/>
        <c:ser>
          <c:idx val="0"/>
          <c:order val="0"/>
          <c:tx>
            <c:strRef>
              <c:f>[决算画图模板.xlsx]Sheet1!$E$8</c:f>
              <c:strCache>
                <c:ptCount val="1"/>
                <c:pt idx="0">
                  <c:v>2022年决算收支对比图</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delete val="1"/>
          </c:dLbls>
          <c:cat>
            <c:strRef>
              <c:f>[决算画图模板.xlsx]Sheet1!$D$9:$D$12</c:f>
              <c:strCache>
                <c:ptCount val="4"/>
                <c:pt idx="0">
                  <c:v>2022年度财政拨款收入</c:v>
                </c:pt>
                <c:pt idx="1">
                  <c:v>2021年度财政拨款收入</c:v>
                </c:pt>
                <c:pt idx="2">
                  <c:v>2022年度财政拨款支出</c:v>
                </c:pt>
                <c:pt idx="3">
                  <c:v>2021年度财政拨款支出</c:v>
                </c:pt>
              </c:strCache>
            </c:strRef>
          </c:cat>
          <c:val>
            <c:numRef>
              <c:f>[决算画图模板.xlsx]Sheet1!$E$9:$E$12</c:f>
              <c:numCache>
                <c:formatCode>General</c:formatCode>
                <c:ptCount val="4"/>
                <c:pt idx="0">
                  <c:v>5659.69</c:v>
                </c:pt>
                <c:pt idx="1">
                  <c:v>5538.79</c:v>
                </c:pt>
                <c:pt idx="2">
                  <c:v>5659.69</c:v>
                </c:pt>
                <c:pt idx="3">
                  <c:v>5538.79</c:v>
                </c:pt>
              </c:numCache>
            </c:numRef>
          </c:val>
        </c:ser>
        <c:dLbls>
          <c:showLegendKey val="0"/>
          <c:showVal val="0"/>
          <c:showCatName val="0"/>
          <c:showSerName val="0"/>
          <c:showPercent val="0"/>
          <c:showBubbleSize val="0"/>
        </c:dLbls>
        <c:gapWidth val="164"/>
        <c:overlap val="-22"/>
        <c:axId val="353596526"/>
        <c:axId val="346859979"/>
      </c:barChart>
      <c:catAx>
        <c:axId val="353596526"/>
        <c:scaling>
          <c:orientation val="minMax"/>
        </c:scaling>
        <c:delete val="0"/>
        <c:axPos val="b"/>
        <c:majorTickMark val="none"/>
        <c:minorTickMark val="none"/>
        <c:tickLblPos val="nextTo"/>
        <c:spPr>
          <a:noFill/>
          <a:ln w="19050" cap="flat" cmpd="sng" algn="ctr">
            <a:solidFill>
              <a:schemeClr val="tx1">
                <a:lumMod val="25000"/>
                <a:lumOff val="7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6859979"/>
        <c:crosses val="autoZero"/>
        <c:auto val="1"/>
        <c:lblAlgn val="ctr"/>
        <c:lblOffset val="100"/>
        <c:noMultiLvlLbl val="0"/>
      </c:catAx>
      <c:valAx>
        <c:axId val="346859979"/>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359652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[决算画图模板.xlsx]Sheet1!$E$14</c:f>
              <c:strCache>
                <c:ptCount val="1"/>
                <c:pt idx="0">
                  <c:v>2022年收入情况占比图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[决算画图模板.xlsx]Sheet1!$D$15:$D$19</c:f>
              <c:strCache>
                <c:ptCount val="5"/>
                <c:pt idx="0">
                  <c:v>一般公共预算财政拨款收入</c:v>
                </c:pt>
                <c:pt idx="1">
                  <c:v>政府性基金预算财政拨款收入</c:v>
                </c:pt>
                <c:pt idx="2">
                  <c:v>国有资本经营预算财政拨款收入</c:v>
                </c:pt>
                <c:pt idx="3">
                  <c:v>事业收入</c:v>
                </c:pt>
                <c:pt idx="4">
                  <c:v>经营收入</c:v>
                </c:pt>
              </c:strCache>
            </c:strRef>
          </c:cat>
          <c:val>
            <c:numRef>
              <c:f>[决算画图模板.xlsx]Sheet1!$E$15:$E$19</c:f>
              <c:numCache>
                <c:formatCode>General</c:formatCode>
                <c:ptCount val="5"/>
                <c:pt idx="0">
                  <c:v>5082.68</c:v>
                </c:pt>
                <c:pt idx="1">
                  <c:v>577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[决算画图模板.xlsx]Sheet1!$E$22</c:f>
              <c:strCache>
                <c:ptCount val="1"/>
                <c:pt idx="0">
                  <c:v>2022年决算支出情况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[决算画图模板.xlsx]Sheet1!$D$23:$D$27</c:f>
              <c:strCache>
                <c:ptCount val="5"/>
                <c:pt idx="0">
                  <c:v>基本支出</c:v>
                </c:pt>
                <c:pt idx="1">
                  <c:v>项目支出</c:v>
                </c:pt>
                <c:pt idx="2">
                  <c:v>上缴上级支出</c:v>
                </c:pt>
                <c:pt idx="3">
                  <c:v>经营支出</c:v>
                </c:pt>
                <c:pt idx="4">
                  <c:v>对附属单位补助支出</c:v>
                </c:pt>
              </c:strCache>
            </c:strRef>
          </c:cat>
          <c:val>
            <c:numRef>
              <c:f>[决算画图模板.xlsx]Sheet1!$E$23:$E$27</c:f>
              <c:numCache>
                <c:formatCode>General</c:formatCode>
                <c:ptCount val="5"/>
                <c:pt idx="0">
                  <c:v>763.82</c:v>
                </c:pt>
                <c:pt idx="1">
                  <c:v>4895.86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dk1"/>
              </a:solidFill>
              <a:latin typeface="+mn-lt"/>
              <a:ea typeface="+mn-ea"/>
              <a:cs typeface="+mn-cs"/>
            </a:defRPr>
          </a:pPr>
        </a:p>
      </c:txPr>
    </c:title>
    <c:autoTitleDeleted val="0"/>
    <c:plotArea>
      <c:layout/>
      <c:barChart>
        <c:barDir val="col"/>
        <c:grouping val="clustered"/>
        <c:varyColors val="0"/>
        <c:ser>
          <c:idx val="0"/>
          <c:order val="0"/>
          <c:tx>
            <c:strRef>
              <c:f>[决算画图模板.xlsx]Sheet1!$I$16:$I$17</c:f>
              <c:strCache>
                <c:ptCount val="1"/>
                <c:pt idx="0">
                  <c:v>一般公共预算财政拨款支出对比图 2022</c:v>
                </c:pt>
              </c:strCache>
            </c:strRef>
          </c:tx>
          <c:spPr>
            <a:solidFill>
              <a:schemeClr val="accent1"/>
            </a:solidFill>
            <a:ln>
              <a:noFill/>
            </a:ln>
            <a:effectLst/>
          </c:spPr>
          <c:invertIfNegative val="0"/>
          <c:dLbls>
            <c:delete val="1"/>
          </c:dLbls>
          <c:cat>
            <c:strRef>
              <c:f>[决算画图模板.xlsx]Sheet1!$H$18:$H$19</c:f>
              <c:strCache>
                <c:ptCount val="2"/>
                <c:pt idx="0">
                  <c:v>收入</c:v>
                </c:pt>
                <c:pt idx="1">
                  <c:v>支出</c:v>
                </c:pt>
              </c:strCache>
            </c:strRef>
          </c:cat>
          <c:val>
            <c:numRef>
              <c:f>[决算画图模板.xlsx]Sheet1!$I$18:$I$19</c:f>
              <c:numCache>
                <c:formatCode>General</c:formatCode>
                <c:ptCount val="2"/>
                <c:pt idx="0">
                  <c:v>5082.68</c:v>
                </c:pt>
                <c:pt idx="1">
                  <c:v>5082.68</c:v>
                </c:pt>
              </c:numCache>
            </c:numRef>
          </c:val>
        </c:ser>
        <c:ser>
          <c:idx val="1"/>
          <c:order val="1"/>
          <c:tx>
            <c:strRef>
              <c:f>[决算画图模板.xlsx]Sheet1!$J$16:$J$17</c:f>
              <c:strCache>
                <c:ptCount val="1"/>
                <c:pt idx="0">
                  <c:v>一般公共预算财政拨款支出对比图 2021</c:v>
                </c:pt>
              </c:strCache>
            </c:strRef>
          </c:tx>
          <c:spPr>
            <a:solidFill>
              <a:schemeClr val="accent2"/>
            </a:solidFill>
            <a:ln>
              <a:noFill/>
            </a:ln>
            <a:effectLst/>
          </c:spPr>
          <c:invertIfNegative val="0"/>
          <c:dLbls>
            <c:delete val="1"/>
          </c:dLbls>
          <c:cat>
            <c:strRef>
              <c:f>[决算画图模板.xlsx]Sheet1!$H$18:$H$19</c:f>
              <c:strCache>
                <c:ptCount val="2"/>
                <c:pt idx="0">
                  <c:v>收入</c:v>
                </c:pt>
                <c:pt idx="1">
                  <c:v>支出</c:v>
                </c:pt>
              </c:strCache>
            </c:strRef>
          </c:cat>
          <c:val>
            <c:numRef>
              <c:f>[决算画图模板.xlsx]Sheet1!$J$18:$J$19</c:f>
              <c:numCache>
                <c:formatCode>General</c:formatCode>
                <c:ptCount val="2"/>
                <c:pt idx="0">
                  <c:v>5462.4</c:v>
                </c:pt>
                <c:pt idx="1">
                  <c:v>5462.4</c:v>
                </c:pt>
              </c:numCache>
            </c:numRef>
          </c:val>
        </c:ser>
        <c:dLbls>
          <c:showLegendKey val="0"/>
          <c:showVal val="0"/>
          <c:showCatName val="0"/>
          <c:showSerName val="0"/>
          <c:showPercent val="0"/>
          <c:showBubbleSize val="0"/>
        </c:dLbls>
        <c:gapWidth val="219"/>
        <c:overlap val="-27"/>
        <c:axId val="835433504"/>
        <c:axId val="865326248"/>
      </c:barChart>
      <c:catAx>
        <c:axId val="8354335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solidFill>
                <a:latin typeface="+mn-lt"/>
                <a:ea typeface="+mn-ea"/>
                <a:cs typeface="+mn-cs"/>
              </a:defRPr>
            </a:pPr>
          </a:p>
        </c:txPr>
        <c:crossAx val="865326248"/>
        <c:crosses val="autoZero"/>
        <c:auto val="1"/>
        <c:lblAlgn val="ctr"/>
        <c:lblOffset val="100"/>
        <c:noMultiLvlLbl val="0"/>
      </c:catAx>
      <c:valAx>
        <c:axId val="865326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solidFill>
                <a:latin typeface="+mn-lt"/>
                <a:ea typeface="+mn-ea"/>
                <a:cs typeface="+mn-cs"/>
              </a:defRPr>
            </a:pPr>
          </a:p>
        </c:txPr>
        <c:crossAx val="835433504"/>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dk1"/>
                </a:solid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baseline="0">
                <a:solidFill>
                  <a:schemeClr val="dk1"/>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solidFill>
              <a:latin typeface="+mn-lt"/>
              <a:ea typeface="+mn-ea"/>
              <a:cs typeface="+mn-cs"/>
            </a:defRPr>
          </a:pPr>
        </a:p>
      </c:txPr>
    </c:legend>
    <c:plotVisOnly val="1"/>
    <c:dispBlanksAs val="gap"/>
    <c:showDLblsOverMax val="0"/>
  </c:chart>
  <c:spPr>
    <a:solidFill>
      <a:schemeClr val="lt1"/>
    </a:solidFill>
    <a:ln w="12700" cap="flat" cmpd="sng" algn="ctr">
      <a:solidFill>
        <a:schemeClr val="accent4"/>
      </a:solidFill>
      <a:prstDash val="solid"/>
      <a:miter lim="800000"/>
    </a:ln>
    <a:effectLst/>
    <a:sp3d>
      <a:extrusionClr>
        <a:srgbClr val="FFFFFF"/>
      </a:extrusionClr>
      <a:contourClr>
        <a:srgbClr val="FFFFFF"/>
      </a:contourClr>
    </a:sp3d>
  </c:spPr>
  <c:txPr>
    <a:bodyPr/>
    <a:lstStyle/>
    <a:p>
      <a:pPr>
        <a:defRPr lang="zh-CN">
          <a:solidFill>
            <a:schemeClr val="dk1"/>
          </a:solidFill>
          <a:latin typeface="+mn-lt"/>
          <a:ea typeface="+mn-ea"/>
          <a:cs typeface="+mn-c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[决算画图模板.xlsx]Sheet1!$I$23</c:f>
              <c:strCache>
                <c:ptCount val="1"/>
                <c:pt idx="0">
                  <c:v>一般公共预算财政拨款支出决算结构情况</c:v>
                </c:pt>
              </c:strCache>
            </c:strRef>
          </c:tx>
          <c:spPr>
            <a:solidFill>
              <a:schemeClr val="accent1"/>
            </a:solidFill>
            <a:ln>
              <a:noFill/>
            </a:ln>
            <a:effectLst/>
          </c:spPr>
          <c:invertIfNegative val="0"/>
          <c:dLbls>
            <c:delete val="1"/>
          </c:dLbls>
          <c:cat>
            <c:strRef>
              <c:f>[决算画图模板.xlsx]Sheet1!$H$24:$H$27</c:f>
              <c:strCache>
                <c:ptCount val="4"/>
                <c:pt idx="0">
                  <c:v>农林水（类）支出</c:v>
                </c:pt>
                <c:pt idx="1">
                  <c:v>社会保障和就业（类）支出</c:v>
                </c:pt>
                <c:pt idx="2">
                  <c:v>卫生健康支出</c:v>
                </c:pt>
                <c:pt idx="3">
                  <c:v>住房保障支出</c:v>
                </c:pt>
              </c:strCache>
            </c:strRef>
          </c:cat>
          <c:val>
            <c:numRef>
              <c:f>[决算画图模板.xlsx]Sheet1!$I$24:$I$27</c:f>
              <c:numCache>
                <c:formatCode>General</c:formatCode>
                <c:ptCount val="4"/>
                <c:pt idx="0">
                  <c:v>5202.96</c:v>
                </c:pt>
                <c:pt idx="1">
                  <c:v>371.7</c:v>
                </c:pt>
                <c:pt idx="2">
                  <c:v>36.03</c:v>
                </c:pt>
                <c:pt idx="3">
                  <c:v>49</c:v>
                </c:pt>
              </c:numCache>
            </c:numRef>
          </c:val>
        </c:ser>
        <c:dLbls>
          <c:showLegendKey val="0"/>
          <c:showVal val="0"/>
          <c:showCatName val="0"/>
          <c:showSerName val="0"/>
          <c:showPercent val="0"/>
          <c:showBubbleSize val="0"/>
        </c:dLbls>
        <c:gapWidth val="219"/>
        <c:overlap val="-27"/>
        <c:axId val="671462023"/>
        <c:axId val="59386937"/>
      </c:barChart>
      <c:catAx>
        <c:axId val="6714620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386937"/>
        <c:crosses val="autoZero"/>
        <c:auto val="1"/>
        <c:lblAlgn val="ctr"/>
        <c:lblOffset val="100"/>
        <c:noMultiLvlLbl val="0"/>
      </c:catAx>
      <c:valAx>
        <c:axId val="593869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14620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26</Pages>
  <Words>9302</Words>
  <Characters>10264</Characters>
  <Lines>950</Lines>
  <Paragraphs>413</Paragraphs>
  <TotalTime>18</TotalTime>
  <ScaleCrop>false</ScaleCrop>
  <LinksUpToDate>false</LinksUpToDate>
  <CharactersWithSpaces>10382</CharactersWithSpaces>
  <Application>WPS Office_11.1.0.7832_F1E327BC-269C-435d-A152-05C5408002CA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2023-08-30T02:02:00Z</cp:lastPrinted>
  <dcterms:modified xsi:type="dcterms:W3CDTF">2023-08-30T09:38:49Z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y fmtid="{D5CDD505-2E9C-101B-9397-08002B2CF9AE}" pid="3" name="ICV">
    <vt:lpwstr>BC2B000139D6401A91591E63E614D6A2_13</vt:lpwstr>
  </property>
</Properties>
</file>