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5457"/>
      <w:bookmarkStart w:id="3" w:name="_Toc15396475"/>
      <w:bookmarkStart w:id="4" w:name="_Toc15377193"/>
      <w:bookmarkStart w:id="5" w:name="_Toc15396597"/>
      <w:bookmarkStart w:id="6" w:name="_Toc15377425"/>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0"/>
      <w:bookmarkEnd w:id="1"/>
      <w:bookmarkEnd w:id="2"/>
      <w:bookmarkEnd w:id="3"/>
      <w:bookmarkEnd w:id="4"/>
      <w:bookmarkEnd w:id="5"/>
      <w:bookmarkEnd w:id="6"/>
      <w:bookmarkStart w:id="7" w:name="_Toc15377426"/>
      <w:bookmarkStart w:id="8" w:name="_Toc15396476"/>
      <w:bookmarkStart w:id="9" w:name="_Toc15396598"/>
      <w:bookmarkStart w:id="10" w:name="_Toc15378442"/>
      <w:bookmarkStart w:id="11" w:name="_Toc15306268"/>
      <w:bookmarkStart w:id="12" w:name="_Toc15377194"/>
    </w:p>
    <w:p>
      <w:pPr>
        <w:adjustRightInd w:val="0"/>
        <w:snapToGrid w:val="0"/>
        <w:spacing w:line="360" w:lineRule="auto"/>
        <w:jc w:val="center"/>
        <w:outlineLvl w:val="0"/>
        <w:rPr>
          <w:rFonts w:ascii="方正小标宋简体" w:eastAsia="方正小标宋简体"/>
          <w:color w:val="000000"/>
          <w:sz w:val="72"/>
          <w:szCs w:val="72"/>
        </w:rPr>
      </w:pPr>
      <w:bookmarkStart w:id="13" w:name="_Toc28049"/>
      <w:r>
        <w:rPr>
          <w:rFonts w:hint="eastAsia" w:ascii="方正小标宋简体" w:eastAsia="方正小标宋简体"/>
          <w:color w:val="000000"/>
          <w:sz w:val="72"/>
          <w:szCs w:val="72"/>
        </w:rPr>
        <w:t>金川县水务局部门决算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pStyle w:val="11"/>
        <w:tabs>
          <w:tab w:val="right" w:leader="dot" w:pos="8306"/>
          <w:tab w:val="clear" w:pos="8296"/>
        </w:tabs>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r>
        <w:fldChar w:fldCharType="begin"/>
      </w:r>
      <w:r>
        <w:instrText xml:space="preserve"> HYPERLINK \l "_Toc5457" </w:instrText>
      </w:r>
      <w:r>
        <w:fldChar w:fldCharType="separate"/>
      </w:r>
      <w:r>
        <w:rPr>
          <w:rFonts w:ascii="黑体" w:eastAsia="黑体"/>
          <w:szCs w:val="72"/>
        </w:rPr>
        <w:t>20</w:t>
      </w:r>
      <w:r>
        <w:rPr>
          <w:rFonts w:hint="eastAsia" w:ascii="黑体" w:eastAsia="黑体"/>
          <w:szCs w:val="72"/>
        </w:rPr>
        <w:t>20</w:t>
      </w:r>
      <w:r>
        <w:rPr>
          <w:rFonts w:hint="eastAsia" w:ascii="方正小标宋简体" w:eastAsia="方正小标宋简体"/>
          <w:szCs w:val="72"/>
        </w:rPr>
        <w:t>年度</w:t>
      </w:r>
      <w:r>
        <w:tab/>
      </w:r>
      <w:r>
        <w:fldChar w:fldCharType="begin"/>
      </w:r>
      <w:r>
        <w:instrText xml:space="preserve"> PAGEREF _Toc5457 \h </w:instrText>
      </w:r>
      <w:r>
        <w:fldChar w:fldCharType="separate"/>
      </w:r>
      <w:r>
        <w:t>1</w:t>
      </w:r>
      <w:r>
        <w:fldChar w:fldCharType="end"/>
      </w:r>
      <w:r>
        <w:fldChar w:fldCharType="end"/>
      </w:r>
    </w:p>
    <w:p>
      <w:pPr>
        <w:pStyle w:val="11"/>
        <w:tabs>
          <w:tab w:val="right" w:leader="dot" w:pos="8306"/>
          <w:tab w:val="clear" w:pos="8296"/>
        </w:tabs>
      </w:pPr>
      <w:r>
        <w:fldChar w:fldCharType="begin"/>
      </w:r>
      <w:r>
        <w:instrText xml:space="preserve"> HYPERLINK \l "_Toc28049" </w:instrText>
      </w:r>
      <w:r>
        <w:fldChar w:fldCharType="separate"/>
      </w:r>
      <w:r>
        <w:rPr>
          <w:rFonts w:hint="eastAsia" w:ascii="方正小标宋简体" w:eastAsia="方正小标宋简体"/>
          <w:szCs w:val="72"/>
        </w:rPr>
        <w:t>金川县水务局部门决算</w:t>
      </w:r>
      <w:r>
        <w:tab/>
      </w:r>
      <w:r>
        <w:fldChar w:fldCharType="begin"/>
      </w:r>
      <w:r>
        <w:instrText xml:space="preserve"> PAGEREF _Toc28049 \h </w:instrText>
      </w:r>
      <w:r>
        <w:fldChar w:fldCharType="separate"/>
      </w:r>
      <w:r>
        <w:t>1</w:t>
      </w:r>
      <w:r>
        <w:fldChar w:fldCharType="end"/>
      </w:r>
      <w:r>
        <w:fldChar w:fldCharType="end"/>
      </w:r>
    </w:p>
    <w:p>
      <w:pPr>
        <w:pStyle w:val="11"/>
        <w:tabs>
          <w:tab w:val="right" w:leader="dot" w:pos="8306"/>
          <w:tab w:val="clear" w:pos="8296"/>
        </w:tabs>
      </w:pPr>
      <w:r>
        <w:fldChar w:fldCharType="begin"/>
      </w:r>
      <w:r>
        <w:instrText xml:space="preserve"> HYPERLINK \l "_Toc17895" </w:instrText>
      </w:r>
      <w:r>
        <w:fldChar w:fldCharType="separate"/>
      </w:r>
      <w:r>
        <w:rPr>
          <w:rFonts w:hint="eastAsia" w:ascii="黑体" w:eastAsia="黑体"/>
        </w:rPr>
        <w:t>第一部分 部门概况</w:t>
      </w:r>
      <w:r>
        <w:tab/>
      </w:r>
      <w:r>
        <w:fldChar w:fldCharType="begin"/>
      </w:r>
      <w:r>
        <w:instrText xml:space="preserve"> PAGEREF _Toc17895 \h </w:instrText>
      </w:r>
      <w:r>
        <w:fldChar w:fldCharType="separate"/>
      </w:r>
      <w:r>
        <w:t>4</w:t>
      </w:r>
      <w:r>
        <w:fldChar w:fldCharType="end"/>
      </w:r>
      <w:r>
        <w:fldChar w:fldCharType="end"/>
      </w:r>
    </w:p>
    <w:p>
      <w:pPr>
        <w:pStyle w:val="12"/>
        <w:tabs>
          <w:tab w:val="right" w:leader="dot" w:pos="8306"/>
          <w:tab w:val="clear" w:pos="8296"/>
        </w:tabs>
        <w:ind w:left="420"/>
      </w:pPr>
      <w:r>
        <w:fldChar w:fldCharType="begin"/>
      </w:r>
      <w:r>
        <w:instrText xml:space="preserve"> HYPERLINK \l "_Toc9040" </w:instrText>
      </w:r>
      <w:r>
        <w:fldChar w:fldCharType="separate"/>
      </w:r>
      <w:r>
        <w:rPr>
          <w:rFonts w:hint="eastAsia" w:ascii="黑体" w:eastAsia="黑体"/>
        </w:rPr>
        <w:t>一、基本职能及主要工作</w:t>
      </w:r>
      <w:r>
        <w:tab/>
      </w:r>
      <w:r>
        <w:fldChar w:fldCharType="begin"/>
      </w:r>
      <w:r>
        <w:instrText xml:space="preserve"> PAGEREF _Toc9040 \h </w:instrText>
      </w:r>
      <w:r>
        <w:fldChar w:fldCharType="separate"/>
      </w:r>
      <w:r>
        <w:t>4</w:t>
      </w:r>
      <w:r>
        <w:fldChar w:fldCharType="end"/>
      </w:r>
      <w:r>
        <w:fldChar w:fldCharType="end"/>
      </w:r>
    </w:p>
    <w:p>
      <w:pPr>
        <w:pStyle w:val="12"/>
        <w:tabs>
          <w:tab w:val="right" w:leader="dot" w:pos="8306"/>
          <w:tab w:val="clear" w:pos="8296"/>
        </w:tabs>
        <w:ind w:left="420"/>
      </w:pPr>
      <w:r>
        <w:fldChar w:fldCharType="begin"/>
      </w:r>
      <w:r>
        <w:instrText xml:space="preserve"> HYPERLINK \l "_Toc31425" </w:instrText>
      </w:r>
      <w:r>
        <w:fldChar w:fldCharType="separate"/>
      </w:r>
      <w:r>
        <w:rPr>
          <w:rFonts w:hint="eastAsia" w:ascii="黑体" w:eastAsia="黑体"/>
        </w:rPr>
        <w:t>二、机构设置</w:t>
      </w:r>
      <w:r>
        <w:tab/>
      </w:r>
      <w:r>
        <w:fldChar w:fldCharType="begin"/>
      </w:r>
      <w:r>
        <w:instrText xml:space="preserve"> PAGEREF _Toc31425 \h </w:instrText>
      </w:r>
      <w:r>
        <w:fldChar w:fldCharType="separate"/>
      </w:r>
      <w:r>
        <w:t>10</w:t>
      </w:r>
      <w:r>
        <w:fldChar w:fldCharType="end"/>
      </w:r>
      <w:r>
        <w:fldChar w:fldCharType="end"/>
      </w:r>
    </w:p>
    <w:p>
      <w:pPr>
        <w:pStyle w:val="11"/>
        <w:tabs>
          <w:tab w:val="right" w:leader="dot" w:pos="8306"/>
          <w:tab w:val="clear" w:pos="8296"/>
        </w:tabs>
      </w:pPr>
      <w:r>
        <w:fldChar w:fldCharType="begin"/>
      </w:r>
      <w:r>
        <w:instrText xml:space="preserve"> HYPERLINK \l "_Toc31898" </w:instrText>
      </w:r>
      <w:r>
        <w:fldChar w:fldCharType="separate"/>
      </w:r>
      <w:r>
        <w:rPr>
          <w:rFonts w:hint="eastAsia" w:ascii="黑体" w:eastAsia="黑体"/>
        </w:rPr>
        <w:t>第二部分 2020年度部门决算情况说明</w:t>
      </w:r>
      <w:r>
        <w:tab/>
      </w:r>
      <w:r>
        <w:fldChar w:fldCharType="begin"/>
      </w:r>
      <w:r>
        <w:instrText xml:space="preserve"> PAGEREF _Toc31898 \h </w:instrText>
      </w:r>
      <w:r>
        <w:fldChar w:fldCharType="separate"/>
      </w:r>
      <w:r>
        <w:t>10</w:t>
      </w:r>
      <w:r>
        <w:fldChar w:fldCharType="end"/>
      </w:r>
      <w:r>
        <w:fldChar w:fldCharType="end"/>
      </w:r>
    </w:p>
    <w:p>
      <w:pPr>
        <w:pStyle w:val="12"/>
        <w:tabs>
          <w:tab w:val="right" w:leader="dot" w:pos="8306"/>
          <w:tab w:val="clear" w:pos="8296"/>
        </w:tabs>
        <w:ind w:left="420"/>
      </w:pPr>
      <w:r>
        <w:fldChar w:fldCharType="begin"/>
      </w:r>
      <w:r>
        <w:instrText xml:space="preserve"> HYPERLINK \l "_Toc6396" </w:instrText>
      </w:r>
      <w:r>
        <w:fldChar w:fldCharType="separate"/>
      </w:r>
      <w:r>
        <w:rPr>
          <w:rFonts w:ascii="黑体" w:eastAsia="黑体"/>
        </w:rPr>
        <w:t xml:space="preserve">一、 </w:t>
      </w:r>
      <w:r>
        <w:rPr>
          <w:rFonts w:hint="eastAsia" w:ascii="黑体" w:eastAsia="黑体"/>
          <w:szCs w:val="32"/>
        </w:rPr>
        <w:t>收</w:t>
      </w:r>
      <w:r>
        <w:rPr>
          <w:rFonts w:hint="eastAsia" w:ascii="黑体" w:eastAsia="黑体"/>
        </w:rPr>
        <w:t>入支出决算总体情况说明</w:t>
      </w:r>
      <w:r>
        <w:tab/>
      </w:r>
      <w:r>
        <w:fldChar w:fldCharType="begin"/>
      </w:r>
      <w:r>
        <w:instrText xml:space="preserve"> PAGEREF _Toc6396 \h </w:instrText>
      </w:r>
      <w:r>
        <w:fldChar w:fldCharType="separate"/>
      </w:r>
      <w:r>
        <w:t>10</w:t>
      </w:r>
      <w:r>
        <w:fldChar w:fldCharType="end"/>
      </w:r>
      <w:r>
        <w:fldChar w:fldCharType="end"/>
      </w:r>
    </w:p>
    <w:p>
      <w:pPr>
        <w:pStyle w:val="12"/>
        <w:tabs>
          <w:tab w:val="right" w:leader="dot" w:pos="8306"/>
          <w:tab w:val="clear" w:pos="8296"/>
        </w:tabs>
        <w:ind w:left="420"/>
      </w:pPr>
      <w:r>
        <w:fldChar w:fldCharType="begin"/>
      </w:r>
      <w:r>
        <w:instrText xml:space="preserve"> HYPERLINK \l "_Toc28353" </w:instrText>
      </w:r>
      <w:r>
        <w:fldChar w:fldCharType="separate"/>
      </w:r>
      <w:r>
        <w:rPr>
          <w:rFonts w:hint="eastAsia" w:ascii="黑体" w:eastAsia="黑体"/>
          <w:szCs w:val="32"/>
        </w:rPr>
        <w:t>二、收入决</w:t>
      </w:r>
      <w:r>
        <w:rPr>
          <w:rFonts w:hint="eastAsia" w:ascii="黑体" w:eastAsia="黑体"/>
        </w:rPr>
        <w:t>算情况说明</w:t>
      </w:r>
      <w:r>
        <w:tab/>
      </w:r>
      <w:r>
        <w:fldChar w:fldCharType="begin"/>
      </w:r>
      <w:r>
        <w:instrText xml:space="preserve"> PAGEREF _Toc28353 \h </w:instrText>
      </w:r>
      <w:r>
        <w:fldChar w:fldCharType="separate"/>
      </w:r>
      <w:r>
        <w:t>11</w:t>
      </w:r>
      <w:r>
        <w:fldChar w:fldCharType="end"/>
      </w:r>
      <w:r>
        <w:fldChar w:fldCharType="end"/>
      </w:r>
    </w:p>
    <w:p>
      <w:pPr>
        <w:pStyle w:val="12"/>
        <w:tabs>
          <w:tab w:val="right" w:leader="dot" w:pos="8306"/>
          <w:tab w:val="clear" w:pos="8296"/>
        </w:tabs>
        <w:ind w:left="420"/>
      </w:pPr>
      <w:r>
        <w:fldChar w:fldCharType="begin"/>
      </w:r>
      <w:r>
        <w:instrText xml:space="preserve"> HYPERLINK \l "_Toc31394" </w:instrText>
      </w:r>
      <w:r>
        <w:fldChar w:fldCharType="separate"/>
      </w:r>
      <w:r>
        <w:rPr>
          <w:rFonts w:hint="eastAsia" w:ascii="黑体" w:eastAsia="黑体"/>
          <w:szCs w:val="32"/>
        </w:rPr>
        <w:t>三、支出决</w:t>
      </w:r>
      <w:r>
        <w:rPr>
          <w:rFonts w:hint="eastAsia" w:ascii="黑体" w:eastAsia="黑体"/>
        </w:rPr>
        <w:t>算情况说明</w:t>
      </w:r>
      <w:r>
        <w:tab/>
      </w:r>
      <w:r>
        <w:fldChar w:fldCharType="begin"/>
      </w:r>
      <w:r>
        <w:instrText xml:space="preserve"> PAGEREF _Toc31394 \h </w:instrText>
      </w:r>
      <w:r>
        <w:fldChar w:fldCharType="separate"/>
      </w:r>
      <w:r>
        <w:t>11</w:t>
      </w:r>
      <w:r>
        <w:fldChar w:fldCharType="end"/>
      </w:r>
      <w:r>
        <w:fldChar w:fldCharType="end"/>
      </w:r>
    </w:p>
    <w:p>
      <w:pPr>
        <w:pStyle w:val="12"/>
        <w:tabs>
          <w:tab w:val="right" w:leader="dot" w:pos="8306"/>
          <w:tab w:val="clear" w:pos="8296"/>
        </w:tabs>
        <w:ind w:left="420"/>
      </w:pPr>
      <w:r>
        <w:fldChar w:fldCharType="begin"/>
      </w:r>
      <w:r>
        <w:instrText xml:space="preserve"> HYPERLINK \l "_Toc17825" </w:instrText>
      </w:r>
      <w:r>
        <w:fldChar w:fldCharType="separate"/>
      </w:r>
      <w:r>
        <w:rPr>
          <w:rFonts w:hint="eastAsia" w:ascii="黑体" w:eastAsia="黑体"/>
          <w:szCs w:val="32"/>
        </w:rPr>
        <w:t>四、财</w:t>
      </w:r>
      <w:r>
        <w:rPr>
          <w:rFonts w:hint="eastAsia" w:ascii="黑体" w:eastAsia="黑体"/>
        </w:rPr>
        <w:t>政拨款收入支出决算总体情况说明</w:t>
      </w:r>
      <w:r>
        <w:tab/>
      </w:r>
      <w:r>
        <w:fldChar w:fldCharType="begin"/>
      </w:r>
      <w:r>
        <w:instrText xml:space="preserve"> PAGEREF _Toc17825 \h </w:instrText>
      </w:r>
      <w:r>
        <w:fldChar w:fldCharType="separate"/>
      </w:r>
      <w:r>
        <w:t>12</w:t>
      </w:r>
      <w:r>
        <w:fldChar w:fldCharType="end"/>
      </w:r>
      <w:r>
        <w:fldChar w:fldCharType="end"/>
      </w:r>
    </w:p>
    <w:p>
      <w:pPr>
        <w:pStyle w:val="12"/>
        <w:tabs>
          <w:tab w:val="right" w:leader="dot" w:pos="8306"/>
          <w:tab w:val="clear" w:pos="8296"/>
        </w:tabs>
        <w:ind w:left="420"/>
      </w:pPr>
      <w:r>
        <w:fldChar w:fldCharType="begin"/>
      </w:r>
      <w:r>
        <w:instrText xml:space="preserve"> HYPERLINK \l "_Toc5682" </w:instrText>
      </w:r>
      <w:r>
        <w:fldChar w:fldCharType="separate"/>
      </w:r>
      <w:r>
        <w:rPr>
          <w:rFonts w:hint="eastAsia" w:ascii="黑体" w:eastAsia="黑体"/>
          <w:szCs w:val="32"/>
        </w:rPr>
        <w:t>五、一</w:t>
      </w:r>
      <w:r>
        <w:rPr>
          <w:rFonts w:hint="eastAsia" w:ascii="黑体" w:eastAsia="黑体"/>
        </w:rPr>
        <w:t>般公共预算财政拨款支出决算情况说明</w:t>
      </w:r>
      <w:r>
        <w:tab/>
      </w:r>
      <w:r>
        <w:fldChar w:fldCharType="begin"/>
      </w:r>
      <w:r>
        <w:instrText xml:space="preserve"> PAGEREF _Toc5682 \h </w:instrText>
      </w:r>
      <w:r>
        <w:fldChar w:fldCharType="separate"/>
      </w:r>
      <w:r>
        <w:t>12</w:t>
      </w:r>
      <w:r>
        <w:fldChar w:fldCharType="end"/>
      </w:r>
      <w:r>
        <w:fldChar w:fldCharType="end"/>
      </w:r>
    </w:p>
    <w:p>
      <w:pPr>
        <w:pStyle w:val="12"/>
        <w:tabs>
          <w:tab w:val="right" w:leader="dot" w:pos="8306"/>
          <w:tab w:val="clear" w:pos="8296"/>
        </w:tabs>
        <w:ind w:left="420"/>
      </w:pPr>
      <w:r>
        <w:fldChar w:fldCharType="begin"/>
      </w:r>
      <w:r>
        <w:instrText xml:space="preserve"> HYPERLINK \l "_Toc22403" </w:instrText>
      </w:r>
      <w:r>
        <w:fldChar w:fldCharType="separate"/>
      </w:r>
      <w:r>
        <w:rPr>
          <w:rFonts w:hint="eastAsia" w:ascii="黑体" w:eastAsia="黑体"/>
          <w:szCs w:val="32"/>
        </w:rPr>
        <w:t>六、一</w:t>
      </w:r>
      <w:r>
        <w:rPr>
          <w:rFonts w:hint="eastAsia" w:ascii="黑体" w:eastAsia="黑体"/>
        </w:rPr>
        <w:t>般公共预算财政拨款基本支出决算情况说明</w:t>
      </w:r>
      <w:r>
        <w:tab/>
      </w:r>
      <w:r>
        <w:fldChar w:fldCharType="begin"/>
      </w:r>
      <w:r>
        <w:instrText xml:space="preserve"> PAGEREF _Toc22403 \h </w:instrText>
      </w:r>
      <w:r>
        <w:fldChar w:fldCharType="separate"/>
      </w:r>
      <w:r>
        <w:t>16</w:t>
      </w:r>
      <w:r>
        <w:fldChar w:fldCharType="end"/>
      </w:r>
      <w:r>
        <w:fldChar w:fldCharType="end"/>
      </w:r>
    </w:p>
    <w:p>
      <w:pPr>
        <w:pStyle w:val="12"/>
        <w:tabs>
          <w:tab w:val="right" w:leader="dot" w:pos="8306"/>
          <w:tab w:val="clear" w:pos="8296"/>
        </w:tabs>
        <w:ind w:left="420"/>
      </w:pPr>
      <w:r>
        <w:fldChar w:fldCharType="begin"/>
      </w:r>
      <w:r>
        <w:instrText xml:space="preserve"> HYPERLINK \l "_Toc25457" </w:instrText>
      </w:r>
      <w:r>
        <w:fldChar w:fldCharType="separate"/>
      </w:r>
      <w:r>
        <w:rPr>
          <w:rFonts w:hint="eastAsia" w:ascii="黑体" w:eastAsia="黑体"/>
          <w:szCs w:val="32"/>
        </w:rPr>
        <w:t>七、</w:t>
      </w:r>
      <w:r>
        <w:rPr>
          <w:rFonts w:hint="eastAsia" w:ascii="黑体" w:eastAsia="黑体"/>
        </w:rPr>
        <w:t>“三公”经费财政拨款支出决算情况说明</w:t>
      </w:r>
      <w:r>
        <w:tab/>
      </w:r>
      <w:r>
        <w:fldChar w:fldCharType="begin"/>
      </w:r>
      <w:r>
        <w:instrText xml:space="preserve"> PAGEREF _Toc25457 \h </w:instrText>
      </w:r>
      <w:r>
        <w:fldChar w:fldCharType="separate"/>
      </w:r>
      <w:r>
        <w:t>17</w:t>
      </w:r>
      <w:r>
        <w:fldChar w:fldCharType="end"/>
      </w:r>
      <w:r>
        <w:fldChar w:fldCharType="end"/>
      </w:r>
    </w:p>
    <w:p>
      <w:pPr>
        <w:pStyle w:val="12"/>
        <w:tabs>
          <w:tab w:val="right" w:leader="dot" w:pos="8306"/>
          <w:tab w:val="clear" w:pos="8296"/>
        </w:tabs>
        <w:ind w:left="420"/>
      </w:pPr>
      <w:r>
        <w:fldChar w:fldCharType="begin"/>
      </w:r>
      <w:r>
        <w:instrText xml:space="preserve"> HYPERLINK \l "_Toc21816" </w:instrText>
      </w:r>
      <w:r>
        <w:fldChar w:fldCharType="separate"/>
      </w:r>
      <w:r>
        <w:rPr>
          <w:rFonts w:hint="eastAsia" w:ascii="黑体" w:eastAsia="黑体"/>
          <w:szCs w:val="32"/>
        </w:rPr>
        <w:t>八、</w:t>
      </w:r>
      <w:r>
        <w:rPr>
          <w:rFonts w:hint="eastAsia" w:ascii="黑体" w:eastAsia="黑体"/>
        </w:rPr>
        <w:t>政府性基金预算支出决算情况说明</w:t>
      </w:r>
      <w:r>
        <w:tab/>
      </w:r>
      <w:r>
        <w:fldChar w:fldCharType="begin"/>
      </w:r>
      <w:r>
        <w:instrText xml:space="preserve"> PAGEREF _Toc21816 \h </w:instrText>
      </w:r>
      <w:r>
        <w:fldChar w:fldCharType="separate"/>
      </w:r>
      <w:r>
        <w:t>17</w:t>
      </w:r>
      <w:r>
        <w:fldChar w:fldCharType="end"/>
      </w:r>
      <w:r>
        <w:fldChar w:fldCharType="end"/>
      </w:r>
    </w:p>
    <w:p>
      <w:pPr>
        <w:pStyle w:val="12"/>
        <w:tabs>
          <w:tab w:val="right" w:leader="dot" w:pos="8306"/>
          <w:tab w:val="clear" w:pos="8296"/>
        </w:tabs>
        <w:ind w:left="420"/>
      </w:pPr>
      <w:r>
        <w:fldChar w:fldCharType="begin"/>
      </w:r>
      <w:r>
        <w:instrText xml:space="preserve"> HYPERLINK \l "_Toc28575" </w:instrText>
      </w:r>
      <w:r>
        <w:fldChar w:fldCharType="separate"/>
      </w:r>
      <w:r>
        <w:rPr>
          <w:rFonts w:hint="eastAsia" w:ascii="黑体" w:eastAsia="黑体"/>
        </w:rPr>
        <w:t>九、 国有资本经营预算支出决算情况说明</w:t>
      </w:r>
      <w:r>
        <w:tab/>
      </w:r>
      <w:r>
        <w:fldChar w:fldCharType="begin"/>
      </w:r>
      <w:r>
        <w:instrText xml:space="preserve"> PAGEREF _Toc28575 \h </w:instrText>
      </w:r>
      <w:r>
        <w:fldChar w:fldCharType="separate"/>
      </w:r>
      <w:r>
        <w:t>18</w:t>
      </w:r>
      <w:r>
        <w:fldChar w:fldCharType="end"/>
      </w:r>
      <w:r>
        <w:fldChar w:fldCharType="end"/>
      </w:r>
    </w:p>
    <w:p>
      <w:pPr>
        <w:pStyle w:val="12"/>
        <w:tabs>
          <w:tab w:val="right" w:leader="dot" w:pos="8306"/>
          <w:tab w:val="clear" w:pos="8296"/>
        </w:tabs>
        <w:ind w:left="420"/>
      </w:pPr>
      <w:r>
        <w:fldChar w:fldCharType="begin"/>
      </w:r>
      <w:r>
        <w:instrText xml:space="preserve"> HYPERLINK \l "_Toc32743" </w:instrText>
      </w:r>
      <w:r>
        <w:fldChar w:fldCharType="separate"/>
      </w:r>
      <w:r>
        <w:rPr>
          <w:rFonts w:ascii="黑体" w:eastAsia="黑体"/>
        </w:rPr>
        <w:t xml:space="preserve">十、 </w:t>
      </w:r>
      <w:r>
        <w:rPr>
          <w:rFonts w:hint="eastAsia" w:ascii="黑体" w:eastAsia="黑体"/>
        </w:rPr>
        <w:t>预算绩效情况说明</w:t>
      </w:r>
      <w:r>
        <w:tab/>
      </w:r>
      <w:r>
        <w:fldChar w:fldCharType="begin"/>
      </w:r>
      <w:r>
        <w:instrText xml:space="preserve"> PAGEREF _Toc32743 \h </w:instrText>
      </w:r>
      <w:r>
        <w:fldChar w:fldCharType="separate"/>
      </w:r>
      <w:r>
        <w:t>18</w:t>
      </w:r>
      <w:r>
        <w:fldChar w:fldCharType="end"/>
      </w:r>
      <w:r>
        <w:fldChar w:fldCharType="end"/>
      </w:r>
    </w:p>
    <w:p>
      <w:pPr>
        <w:pStyle w:val="12"/>
        <w:tabs>
          <w:tab w:val="right" w:leader="dot" w:pos="8306"/>
          <w:tab w:val="clear" w:pos="8296"/>
        </w:tabs>
        <w:ind w:left="420"/>
      </w:pPr>
      <w:r>
        <w:fldChar w:fldCharType="begin"/>
      </w:r>
      <w:r>
        <w:instrText xml:space="preserve"> HYPERLINK \l "_Toc25739" </w:instrText>
      </w:r>
      <w:r>
        <w:fldChar w:fldCharType="separate"/>
      </w:r>
      <w:r>
        <w:rPr>
          <w:rFonts w:hint="eastAsia" w:ascii="黑体" w:eastAsia="黑体"/>
          <w:szCs w:val="32"/>
        </w:rPr>
        <w:t>十</w:t>
      </w:r>
      <w:r>
        <w:rPr>
          <w:rFonts w:hint="eastAsia" w:ascii="黑体" w:eastAsia="黑体"/>
        </w:rPr>
        <w:t>一、其他重要事项的情况说明</w:t>
      </w:r>
      <w:r>
        <w:tab/>
      </w:r>
      <w:r>
        <w:fldChar w:fldCharType="begin"/>
      </w:r>
      <w:r>
        <w:instrText xml:space="preserve"> PAGEREF _Toc25739 \h </w:instrText>
      </w:r>
      <w:r>
        <w:fldChar w:fldCharType="separate"/>
      </w:r>
      <w:r>
        <w:t>20</w:t>
      </w:r>
      <w:r>
        <w:fldChar w:fldCharType="end"/>
      </w:r>
      <w:r>
        <w:fldChar w:fldCharType="end"/>
      </w:r>
    </w:p>
    <w:p>
      <w:pPr>
        <w:pStyle w:val="11"/>
        <w:tabs>
          <w:tab w:val="right" w:leader="dot" w:pos="8306"/>
          <w:tab w:val="clear" w:pos="8296"/>
        </w:tabs>
      </w:pPr>
      <w:r>
        <w:fldChar w:fldCharType="begin"/>
      </w:r>
      <w:r>
        <w:instrText xml:space="preserve"> HYPERLINK \l "_Toc6748" </w:instrText>
      </w:r>
      <w:r>
        <w:fldChar w:fldCharType="separate"/>
      </w:r>
      <w:r>
        <w:rPr>
          <w:rFonts w:hint="eastAsia" w:ascii="黑体" w:eastAsia="黑体"/>
        </w:rPr>
        <w:t xml:space="preserve">第三部分 </w:t>
      </w:r>
      <w:r>
        <w:rPr>
          <w:rFonts w:hint="eastAsia" w:ascii="黑体" w:eastAsia="黑体"/>
          <w:szCs w:val="44"/>
        </w:rPr>
        <w:t>名</w:t>
      </w:r>
      <w:r>
        <w:rPr>
          <w:rFonts w:hint="eastAsia" w:ascii="黑体" w:eastAsia="黑体"/>
        </w:rPr>
        <w:t>词解释</w:t>
      </w:r>
      <w:r>
        <w:tab/>
      </w:r>
      <w:r>
        <w:fldChar w:fldCharType="begin"/>
      </w:r>
      <w:r>
        <w:instrText xml:space="preserve"> PAGEREF _Toc6748 \h </w:instrText>
      </w:r>
      <w:r>
        <w:fldChar w:fldCharType="separate"/>
      </w:r>
      <w:r>
        <w:t>20</w:t>
      </w:r>
      <w:r>
        <w:fldChar w:fldCharType="end"/>
      </w:r>
      <w:r>
        <w:fldChar w:fldCharType="end"/>
      </w:r>
    </w:p>
    <w:p>
      <w:pPr>
        <w:pStyle w:val="12"/>
        <w:tabs>
          <w:tab w:val="right" w:leader="dot" w:pos="8306"/>
          <w:tab w:val="clear" w:pos="8296"/>
        </w:tabs>
        <w:ind w:left="420"/>
      </w:pPr>
      <w:r>
        <w:fldChar w:fldCharType="begin"/>
      </w:r>
      <w:r>
        <w:instrText xml:space="preserve"> HYPERLINK \l "_Toc8478" </w:instrText>
      </w:r>
      <w:r>
        <w:fldChar w:fldCharType="separate"/>
      </w:r>
      <w:r>
        <w:rPr>
          <w:rFonts w:hint="eastAsia" w:ascii="仿宋" w:eastAsia="仿宋"/>
          <w:szCs w:val="32"/>
        </w:rPr>
        <w:t>附件1</w:t>
      </w:r>
      <w:r>
        <w:tab/>
      </w:r>
      <w:r>
        <w:fldChar w:fldCharType="begin"/>
      </w:r>
      <w:r>
        <w:instrText xml:space="preserve"> PAGEREF _Toc8478 \h </w:instrText>
      </w:r>
      <w:r>
        <w:fldChar w:fldCharType="separate"/>
      </w:r>
      <w:r>
        <w:t>23</w:t>
      </w:r>
      <w:r>
        <w:fldChar w:fldCharType="end"/>
      </w:r>
      <w:r>
        <w:fldChar w:fldCharType="end"/>
      </w:r>
    </w:p>
    <w:p>
      <w:pPr>
        <w:pStyle w:val="11"/>
        <w:tabs>
          <w:tab w:val="right" w:leader="dot" w:pos="8306"/>
          <w:tab w:val="clear" w:pos="8296"/>
        </w:tabs>
      </w:pPr>
      <w:r>
        <w:fldChar w:fldCharType="begin"/>
      </w:r>
      <w:r>
        <w:instrText xml:space="preserve"> HYPERLINK \l "_Toc23016" </w:instrText>
      </w:r>
      <w:r>
        <w:fldChar w:fldCharType="separate"/>
      </w:r>
      <w:r>
        <w:rPr>
          <w:rFonts w:hint="eastAsia" w:ascii="黑体" w:eastAsia="黑体"/>
        </w:rPr>
        <w:t>第四部分 附件</w:t>
      </w:r>
      <w:r>
        <w:tab/>
      </w:r>
      <w:r>
        <w:fldChar w:fldCharType="begin"/>
      </w:r>
      <w:r>
        <w:instrText xml:space="preserve"> PAGEREF _Toc23016 \h </w:instrText>
      </w:r>
      <w:r>
        <w:fldChar w:fldCharType="separate"/>
      </w:r>
      <w:r>
        <w:t>23</w:t>
      </w:r>
      <w:r>
        <w:fldChar w:fldCharType="end"/>
      </w:r>
      <w:r>
        <w:fldChar w:fldCharType="end"/>
      </w:r>
    </w:p>
    <w:p>
      <w:pPr>
        <w:pStyle w:val="11"/>
        <w:tabs>
          <w:tab w:val="right" w:leader="dot" w:pos="8306"/>
          <w:tab w:val="clear" w:pos="8296"/>
        </w:tabs>
      </w:pPr>
      <w:r>
        <w:fldChar w:fldCharType="begin"/>
      </w:r>
      <w:r>
        <w:instrText xml:space="preserve"> HYPERLINK \l "_Toc14157" </w:instrText>
      </w:r>
      <w:r>
        <w:fldChar w:fldCharType="separate"/>
      </w:r>
      <w:r>
        <w:rPr>
          <w:rFonts w:hint="eastAsia" w:ascii="黑体" w:eastAsia="黑体"/>
          <w:szCs w:val="44"/>
        </w:rPr>
        <w:t>第</w:t>
      </w:r>
      <w:r>
        <w:rPr>
          <w:rFonts w:hint="eastAsia" w:ascii="黑体" w:eastAsia="黑体"/>
        </w:rPr>
        <w:t>五部分 附表</w:t>
      </w:r>
      <w:r>
        <w:tab/>
      </w:r>
      <w:r>
        <w:fldChar w:fldCharType="begin"/>
      </w:r>
      <w:r>
        <w:instrText xml:space="preserve"> PAGEREF _Toc14157 \h </w:instrText>
      </w:r>
      <w:r>
        <w:fldChar w:fldCharType="separate"/>
      </w:r>
      <w:r>
        <w:t>28</w:t>
      </w:r>
      <w:r>
        <w:fldChar w:fldCharType="end"/>
      </w:r>
      <w:r>
        <w:fldChar w:fldCharType="end"/>
      </w:r>
    </w:p>
    <w:p>
      <w:pPr>
        <w:pStyle w:val="12"/>
        <w:tabs>
          <w:tab w:val="right" w:leader="dot" w:pos="8306"/>
          <w:tab w:val="clear" w:pos="8296"/>
        </w:tabs>
        <w:ind w:left="420"/>
      </w:pPr>
      <w:r>
        <w:fldChar w:fldCharType="begin"/>
      </w:r>
      <w:r>
        <w:instrText xml:space="preserve"> HYPERLINK \l "_Toc31493" </w:instrText>
      </w:r>
      <w:r>
        <w:fldChar w:fldCharType="separate"/>
      </w:r>
      <w:r>
        <w:rPr>
          <w:rFonts w:hint="eastAsia" w:ascii="仿宋" w:eastAsia="仿宋"/>
        </w:rPr>
        <w:t>一、收入支出决算总表</w:t>
      </w:r>
      <w:r>
        <w:tab/>
      </w:r>
      <w:r>
        <w:fldChar w:fldCharType="begin"/>
      </w:r>
      <w:r>
        <w:instrText xml:space="preserve"> PAGEREF _Toc31493 \h </w:instrText>
      </w:r>
      <w:r>
        <w:fldChar w:fldCharType="separate"/>
      </w:r>
      <w:r>
        <w:t>29</w:t>
      </w:r>
      <w:r>
        <w:fldChar w:fldCharType="end"/>
      </w:r>
      <w:r>
        <w:fldChar w:fldCharType="end"/>
      </w:r>
    </w:p>
    <w:p>
      <w:pPr>
        <w:pStyle w:val="12"/>
        <w:tabs>
          <w:tab w:val="right" w:leader="dot" w:pos="8306"/>
          <w:tab w:val="clear" w:pos="8296"/>
        </w:tabs>
        <w:ind w:left="420"/>
      </w:pPr>
      <w:r>
        <w:fldChar w:fldCharType="begin"/>
      </w:r>
      <w:r>
        <w:instrText xml:space="preserve"> HYPERLINK \l "_Toc662" </w:instrText>
      </w:r>
      <w:r>
        <w:fldChar w:fldCharType="separate"/>
      </w:r>
      <w:r>
        <w:rPr>
          <w:rFonts w:hint="eastAsia" w:ascii="仿宋" w:eastAsia="仿宋"/>
        </w:rPr>
        <w:t>二、收入总表</w:t>
      </w:r>
      <w:r>
        <w:tab/>
      </w:r>
      <w:r>
        <w:fldChar w:fldCharType="begin"/>
      </w:r>
      <w:r>
        <w:instrText xml:space="preserve"> PAGEREF _Toc662 \h </w:instrText>
      </w:r>
      <w:r>
        <w:fldChar w:fldCharType="separate"/>
      </w:r>
      <w:r>
        <w:t>29</w:t>
      </w:r>
      <w:r>
        <w:fldChar w:fldCharType="end"/>
      </w:r>
      <w:r>
        <w:fldChar w:fldCharType="end"/>
      </w:r>
    </w:p>
    <w:p>
      <w:pPr>
        <w:pStyle w:val="12"/>
        <w:tabs>
          <w:tab w:val="right" w:leader="dot" w:pos="8306"/>
          <w:tab w:val="clear" w:pos="8296"/>
        </w:tabs>
        <w:ind w:left="420"/>
      </w:pPr>
      <w:r>
        <w:fldChar w:fldCharType="begin"/>
      </w:r>
      <w:r>
        <w:instrText xml:space="preserve"> HYPERLINK \l "_Toc97" </w:instrText>
      </w:r>
      <w:r>
        <w:fldChar w:fldCharType="separate"/>
      </w:r>
      <w:r>
        <w:rPr>
          <w:rFonts w:hint="eastAsia" w:ascii="仿宋" w:eastAsia="仿宋"/>
        </w:rPr>
        <w:t>三、支出总表</w:t>
      </w:r>
      <w:r>
        <w:tab/>
      </w:r>
      <w:r>
        <w:fldChar w:fldCharType="begin"/>
      </w:r>
      <w:r>
        <w:instrText xml:space="preserve"> PAGEREF _Toc97 \h </w:instrText>
      </w:r>
      <w:r>
        <w:fldChar w:fldCharType="separate"/>
      </w:r>
      <w:r>
        <w:t>29</w:t>
      </w:r>
      <w:r>
        <w:fldChar w:fldCharType="end"/>
      </w:r>
      <w:r>
        <w:fldChar w:fldCharType="end"/>
      </w:r>
    </w:p>
    <w:p>
      <w:pPr>
        <w:pStyle w:val="12"/>
        <w:tabs>
          <w:tab w:val="right" w:leader="dot" w:pos="8306"/>
          <w:tab w:val="clear" w:pos="8296"/>
        </w:tabs>
        <w:ind w:left="420"/>
      </w:pPr>
      <w:r>
        <w:fldChar w:fldCharType="begin"/>
      </w:r>
      <w:r>
        <w:instrText xml:space="preserve"> HYPERLINK \l "_Toc25465" </w:instrText>
      </w:r>
      <w:r>
        <w:fldChar w:fldCharType="separate"/>
      </w:r>
      <w:r>
        <w:rPr>
          <w:rFonts w:hint="eastAsia" w:ascii="仿宋" w:eastAsia="仿宋"/>
        </w:rPr>
        <w:t>四、财政拨款收入支出决算总表</w:t>
      </w:r>
      <w:r>
        <w:tab/>
      </w:r>
      <w:r>
        <w:fldChar w:fldCharType="begin"/>
      </w:r>
      <w:r>
        <w:instrText xml:space="preserve"> PAGEREF _Toc25465 \h </w:instrText>
      </w:r>
      <w:r>
        <w:fldChar w:fldCharType="separate"/>
      </w:r>
      <w:r>
        <w:t>29</w:t>
      </w:r>
      <w:r>
        <w:fldChar w:fldCharType="end"/>
      </w:r>
      <w:r>
        <w:fldChar w:fldCharType="end"/>
      </w:r>
    </w:p>
    <w:p>
      <w:pPr>
        <w:pStyle w:val="12"/>
        <w:tabs>
          <w:tab w:val="right" w:leader="dot" w:pos="8306"/>
          <w:tab w:val="clear" w:pos="8296"/>
        </w:tabs>
        <w:ind w:left="420"/>
      </w:pPr>
      <w:r>
        <w:fldChar w:fldCharType="begin"/>
      </w:r>
      <w:r>
        <w:instrText xml:space="preserve"> HYPERLINK \l "_Toc5884" </w:instrText>
      </w:r>
      <w:r>
        <w:fldChar w:fldCharType="separate"/>
      </w:r>
      <w:r>
        <w:rPr>
          <w:rFonts w:hint="eastAsia" w:ascii="仿宋" w:eastAsia="仿宋"/>
        </w:rPr>
        <w:t>五、财政拨款支出决算明细表（政府经济分类科目）</w:t>
      </w:r>
      <w:r>
        <w:tab/>
      </w:r>
      <w:r>
        <w:fldChar w:fldCharType="begin"/>
      </w:r>
      <w:r>
        <w:instrText xml:space="preserve"> PAGEREF _Toc5884 \h </w:instrText>
      </w:r>
      <w:r>
        <w:fldChar w:fldCharType="separate"/>
      </w:r>
      <w:r>
        <w:t>29</w:t>
      </w:r>
      <w:r>
        <w:fldChar w:fldCharType="end"/>
      </w:r>
      <w:r>
        <w:fldChar w:fldCharType="end"/>
      </w:r>
    </w:p>
    <w:p>
      <w:pPr>
        <w:pStyle w:val="12"/>
        <w:tabs>
          <w:tab w:val="right" w:leader="dot" w:pos="8306"/>
          <w:tab w:val="clear" w:pos="8296"/>
        </w:tabs>
        <w:ind w:left="420"/>
      </w:pPr>
      <w:r>
        <w:fldChar w:fldCharType="begin"/>
      </w:r>
      <w:r>
        <w:instrText xml:space="preserve"> HYPERLINK \l "_Toc20352" </w:instrText>
      </w:r>
      <w:r>
        <w:fldChar w:fldCharType="separate"/>
      </w:r>
      <w:r>
        <w:rPr>
          <w:rFonts w:hint="eastAsia" w:ascii="仿宋" w:eastAsia="仿宋"/>
        </w:rPr>
        <w:t>六、一般公共预算财政拨款支出决算表</w:t>
      </w:r>
      <w:r>
        <w:tab/>
      </w:r>
      <w:r>
        <w:fldChar w:fldCharType="begin"/>
      </w:r>
      <w:r>
        <w:instrText xml:space="preserve"> PAGEREF _Toc20352 \h </w:instrText>
      </w:r>
      <w:r>
        <w:fldChar w:fldCharType="separate"/>
      </w:r>
      <w:r>
        <w:t>29</w:t>
      </w:r>
      <w:r>
        <w:fldChar w:fldCharType="end"/>
      </w:r>
      <w:r>
        <w:fldChar w:fldCharType="end"/>
      </w:r>
    </w:p>
    <w:p>
      <w:pPr>
        <w:pStyle w:val="12"/>
        <w:tabs>
          <w:tab w:val="right" w:leader="dot" w:pos="8306"/>
          <w:tab w:val="clear" w:pos="8296"/>
        </w:tabs>
        <w:ind w:left="420"/>
      </w:pPr>
      <w:r>
        <w:fldChar w:fldCharType="begin"/>
      </w:r>
      <w:r>
        <w:instrText xml:space="preserve"> HYPERLINK \l "_Toc12413" </w:instrText>
      </w:r>
      <w:r>
        <w:fldChar w:fldCharType="separate"/>
      </w:r>
      <w:r>
        <w:rPr>
          <w:rFonts w:hint="eastAsia" w:ascii="仿宋" w:eastAsia="仿宋"/>
        </w:rPr>
        <w:t>七、一般公共预算财政拨款支出决算明细表</w:t>
      </w:r>
      <w:r>
        <w:tab/>
      </w:r>
      <w:r>
        <w:fldChar w:fldCharType="begin"/>
      </w:r>
      <w:r>
        <w:instrText xml:space="preserve"> PAGEREF _Toc12413 \h </w:instrText>
      </w:r>
      <w:r>
        <w:fldChar w:fldCharType="separate"/>
      </w:r>
      <w:r>
        <w:t>29</w:t>
      </w:r>
      <w:r>
        <w:fldChar w:fldCharType="end"/>
      </w:r>
      <w:r>
        <w:fldChar w:fldCharType="end"/>
      </w:r>
    </w:p>
    <w:p>
      <w:pPr>
        <w:pStyle w:val="12"/>
        <w:tabs>
          <w:tab w:val="right" w:leader="dot" w:pos="8306"/>
          <w:tab w:val="clear" w:pos="8296"/>
        </w:tabs>
        <w:ind w:left="420"/>
      </w:pPr>
      <w:r>
        <w:fldChar w:fldCharType="begin"/>
      </w:r>
      <w:r>
        <w:instrText xml:space="preserve"> HYPERLINK \l "_Toc8923" </w:instrText>
      </w:r>
      <w:r>
        <w:fldChar w:fldCharType="separate"/>
      </w:r>
      <w:r>
        <w:rPr>
          <w:rFonts w:hint="eastAsia" w:ascii="仿宋" w:eastAsia="仿宋"/>
        </w:rPr>
        <w:t>八、一般公共预算财政拨款基本支出决算表</w:t>
      </w:r>
      <w:r>
        <w:tab/>
      </w:r>
      <w:r>
        <w:fldChar w:fldCharType="begin"/>
      </w:r>
      <w:r>
        <w:instrText xml:space="preserve"> PAGEREF _Toc8923 \h </w:instrText>
      </w:r>
      <w:r>
        <w:fldChar w:fldCharType="separate"/>
      </w:r>
      <w:r>
        <w:t>29</w:t>
      </w:r>
      <w:r>
        <w:fldChar w:fldCharType="end"/>
      </w:r>
      <w:r>
        <w:fldChar w:fldCharType="end"/>
      </w:r>
    </w:p>
    <w:p>
      <w:pPr>
        <w:pStyle w:val="12"/>
        <w:tabs>
          <w:tab w:val="right" w:leader="dot" w:pos="8306"/>
          <w:tab w:val="clear" w:pos="8296"/>
        </w:tabs>
        <w:ind w:left="420"/>
      </w:pPr>
      <w:r>
        <w:fldChar w:fldCharType="begin"/>
      </w:r>
      <w:r>
        <w:instrText xml:space="preserve"> HYPERLINK \l "_Toc11501" </w:instrText>
      </w:r>
      <w:r>
        <w:fldChar w:fldCharType="separate"/>
      </w:r>
      <w:r>
        <w:rPr>
          <w:rFonts w:hint="eastAsia" w:ascii="仿宋" w:eastAsia="仿宋"/>
        </w:rPr>
        <w:t>九、一般公共预算财政拨款项目支出决算表</w:t>
      </w:r>
      <w:r>
        <w:tab/>
      </w:r>
      <w:r>
        <w:fldChar w:fldCharType="begin"/>
      </w:r>
      <w:r>
        <w:instrText xml:space="preserve"> PAGEREF _Toc11501 \h </w:instrText>
      </w:r>
      <w:r>
        <w:fldChar w:fldCharType="separate"/>
      </w:r>
      <w:r>
        <w:t>29</w:t>
      </w:r>
      <w:r>
        <w:fldChar w:fldCharType="end"/>
      </w:r>
      <w:r>
        <w:fldChar w:fldCharType="end"/>
      </w:r>
    </w:p>
    <w:p>
      <w:pPr>
        <w:pStyle w:val="12"/>
        <w:tabs>
          <w:tab w:val="right" w:leader="dot" w:pos="8306"/>
          <w:tab w:val="clear" w:pos="8296"/>
        </w:tabs>
        <w:ind w:left="420"/>
      </w:pPr>
      <w:r>
        <w:fldChar w:fldCharType="begin"/>
      </w:r>
      <w:r>
        <w:instrText xml:space="preserve"> HYPERLINK \l "_Toc18339" </w:instrText>
      </w:r>
      <w:r>
        <w:fldChar w:fldCharType="separate"/>
      </w:r>
      <w:r>
        <w:rPr>
          <w:rFonts w:hint="eastAsia" w:ascii="仿宋" w:eastAsia="仿宋"/>
        </w:rPr>
        <w:t>十、一般公共预算财政拨款“三公”经费支出决算表</w:t>
      </w:r>
      <w:r>
        <w:tab/>
      </w:r>
      <w:r>
        <w:fldChar w:fldCharType="begin"/>
      </w:r>
      <w:r>
        <w:instrText xml:space="preserve"> PAGEREF _Toc18339 \h </w:instrText>
      </w:r>
      <w:r>
        <w:fldChar w:fldCharType="separate"/>
      </w:r>
      <w:r>
        <w:t>29</w:t>
      </w:r>
      <w:r>
        <w:fldChar w:fldCharType="end"/>
      </w:r>
      <w:r>
        <w:fldChar w:fldCharType="end"/>
      </w:r>
    </w:p>
    <w:p>
      <w:pPr>
        <w:pStyle w:val="12"/>
        <w:tabs>
          <w:tab w:val="right" w:leader="dot" w:pos="8306"/>
          <w:tab w:val="clear" w:pos="8296"/>
        </w:tabs>
        <w:ind w:left="420"/>
      </w:pPr>
      <w:r>
        <w:fldChar w:fldCharType="begin"/>
      </w:r>
      <w:r>
        <w:instrText xml:space="preserve"> HYPERLINK \l "_Toc30575" </w:instrText>
      </w:r>
      <w:r>
        <w:fldChar w:fldCharType="separate"/>
      </w:r>
      <w:r>
        <w:rPr>
          <w:rFonts w:hint="eastAsia" w:ascii="仿宋" w:eastAsia="仿宋"/>
        </w:rPr>
        <w:t>十一、政府性基金预算财政拨款收入支出决算表</w:t>
      </w:r>
      <w:r>
        <w:tab/>
      </w:r>
      <w:r>
        <w:fldChar w:fldCharType="begin"/>
      </w:r>
      <w:r>
        <w:instrText xml:space="preserve"> PAGEREF _Toc30575 \h </w:instrText>
      </w:r>
      <w:r>
        <w:fldChar w:fldCharType="separate"/>
      </w:r>
      <w:r>
        <w:t>29</w:t>
      </w:r>
      <w:r>
        <w:fldChar w:fldCharType="end"/>
      </w:r>
      <w:r>
        <w:fldChar w:fldCharType="end"/>
      </w:r>
    </w:p>
    <w:p>
      <w:pPr>
        <w:pStyle w:val="12"/>
        <w:tabs>
          <w:tab w:val="right" w:leader="dot" w:pos="8306"/>
          <w:tab w:val="clear" w:pos="8296"/>
        </w:tabs>
        <w:ind w:left="420"/>
      </w:pPr>
      <w:r>
        <w:fldChar w:fldCharType="begin"/>
      </w:r>
      <w:r>
        <w:instrText xml:space="preserve"> HYPERLINK \l "_Toc10285" </w:instrText>
      </w:r>
      <w:r>
        <w:fldChar w:fldCharType="separate"/>
      </w:r>
      <w:r>
        <w:rPr>
          <w:rFonts w:hint="eastAsia" w:ascii="仿宋" w:eastAsia="仿宋"/>
        </w:rPr>
        <w:t>十二、政府性基金预算财政拨款“三公”经费支出决算表</w:t>
      </w:r>
      <w:r>
        <w:tab/>
      </w:r>
      <w:r>
        <w:fldChar w:fldCharType="begin"/>
      </w:r>
      <w:r>
        <w:instrText xml:space="preserve"> PAGEREF _Toc10285 \h </w:instrText>
      </w:r>
      <w:r>
        <w:fldChar w:fldCharType="separate"/>
      </w:r>
      <w:r>
        <w:t>29</w:t>
      </w:r>
      <w:r>
        <w:fldChar w:fldCharType="end"/>
      </w:r>
      <w:r>
        <w:fldChar w:fldCharType="end"/>
      </w:r>
    </w:p>
    <w:p>
      <w:pPr>
        <w:pStyle w:val="12"/>
        <w:tabs>
          <w:tab w:val="right" w:leader="dot" w:pos="8306"/>
          <w:tab w:val="clear" w:pos="8296"/>
        </w:tabs>
        <w:ind w:left="420"/>
      </w:pPr>
      <w:r>
        <w:fldChar w:fldCharType="begin"/>
      </w:r>
      <w:r>
        <w:instrText xml:space="preserve"> HYPERLINK \l "_Toc21949" </w:instrText>
      </w:r>
      <w:r>
        <w:fldChar w:fldCharType="separate"/>
      </w:r>
      <w:r>
        <w:rPr>
          <w:rFonts w:hint="eastAsia" w:ascii="仿宋" w:eastAsia="仿宋"/>
        </w:rPr>
        <w:t>十三、国有资本经营预算支出决算表</w:t>
      </w:r>
      <w:r>
        <w:tab/>
      </w:r>
      <w:r>
        <w:fldChar w:fldCharType="begin"/>
      </w:r>
      <w:r>
        <w:instrText xml:space="preserve"> PAGEREF _Toc21949 \h </w:instrText>
      </w:r>
      <w:r>
        <w:fldChar w:fldCharType="separate"/>
      </w:r>
      <w:r>
        <w:t>29</w:t>
      </w:r>
      <w:r>
        <w:fldChar w:fldCharType="end"/>
      </w:r>
      <w:r>
        <w:fldChar w:fldCharType="end"/>
      </w:r>
    </w:p>
    <w:p>
      <w:pPr>
        <w:widowControl/>
        <w:jc w:val="left"/>
        <w:rPr>
          <w:rFonts w:ascii="仿宋" w:eastAsia="仿宋"/>
          <w:color w:val="000000"/>
          <w:sz w:val="24"/>
        </w:rPr>
      </w:pPr>
      <w:r>
        <w:rPr>
          <w:rFonts w:ascii="仿宋" w:eastAsia="仿宋"/>
          <w:color w:val="000000"/>
        </w:rPr>
        <w:fldChar w:fldCharType="end"/>
      </w:r>
    </w:p>
    <w:p>
      <w:pPr>
        <w:widowControl/>
        <w:jc w:val="left"/>
        <w:rPr>
          <w:rFonts w:ascii="黑体" w:eastAsia="黑体"/>
          <w:bCs/>
          <w:kern w:val="44"/>
          <w:sz w:val="44"/>
          <w:szCs w:val="44"/>
        </w:rPr>
      </w:pPr>
      <w:bookmarkStart w:id="14" w:name="_Toc15377196"/>
      <w:r>
        <w:rPr>
          <w:rFonts w:ascii="黑体" w:eastAsia="黑体"/>
          <w:b/>
        </w:rPr>
        <w:br w:type="page"/>
      </w:r>
    </w:p>
    <w:p>
      <w:pPr>
        <w:pStyle w:val="3"/>
        <w:jc w:val="center"/>
        <w:rPr>
          <w:rFonts w:ascii="黑体" w:eastAsia="黑体"/>
          <w:color w:val="000000"/>
          <w:sz w:val="32"/>
          <w:szCs w:val="32"/>
        </w:rPr>
      </w:pPr>
      <w:bookmarkStart w:id="15" w:name="_Toc17895"/>
      <w:r>
        <w:rPr>
          <w:rFonts w:hint="eastAsia" w:ascii="黑体" w:eastAsia="黑体"/>
          <w:b w:val="0"/>
        </w:rPr>
        <w:t xml:space="preserve">第一部分 </w:t>
      </w:r>
      <w:r>
        <w:rPr>
          <w:rStyle w:val="18"/>
          <w:rFonts w:hint="eastAsia" w:ascii="黑体" w:eastAsia="黑体"/>
          <w:b w:val="0"/>
          <w:bCs w:val="0"/>
        </w:rPr>
        <w:t>部门概况</w:t>
      </w:r>
      <w:bookmarkEnd w:id="14"/>
      <w:bookmarkEnd w:id="15"/>
    </w:p>
    <w:p>
      <w:pPr>
        <w:pStyle w:val="4"/>
        <w:spacing w:before="0" w:after="0" w:line="240" w:lineRule="auto"/>
        <w:ind w:left="640" w:hanging="640" w:hangingChars="200"/>
        <w:rPr>
          <w:rStyle w:val="19"/>
          <w:rFonts w:ascii="黑体" w:eastAsia="黑体"/>
          <w:b w:val="0"/>
          <w:bCs w:val="0"/>
        </w:rPr>
      </w:pPr>
      <w:bookmarkStart w:id="16" w:name="_Toc9040"/>
      <w:bookmarkStart w:id="17" w:name="_Toc15377197"/>
      <w:r>
        <w:rPr>
          <w:rFonts w:hint="eastAsia" w:ascii="黑体" w:eastAsia="黑体"/>
          <w:b w:val="0"/>
          <w:color w:val="000000"/>
        </w:rPr>
        <w:t>一、基</w:t>
      </w:r>
      <w:r>
        <w:rPr>
          <w:rStyle w:val="19"/>
          <w:rFonts w:hint="eastAsia" w:ascii="黑体" w:eastAsia="黑体"/>
          <w:b w:val="0"/>
          <w:bCs w:val="0"/>
        </w:rPr>
        <w:t>本职能及主要工作</w:t>
      </w:r>
      <w:bookmarkEnd w:id="16"/>
      <w:bookmarkEnd w:id="17"/>
      <w:bookmarkStart w:id="18" w:name="_Toc15377198"/>
      <w:bookmarkStart w:id="19" w:name="_Toc15378445"/>
    </w:p>
    <w:p>
      <w:pPr>
        <w:pStyle w:val="5"/>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8"/>
      <w:bookmarkEnd w:id="19"/>
      <w:bookmarkStart w:id="20" w:name="_Toc15377199"/>
      <w:bookmarkStart w:id="21" w:name="_Toc15378446"/>
    </w:p>
    <w:p>
      <w:pPr>
        <w:pStyle w:val="13"/>
        <w:spacing w:before="0" w:beforeAutospacing="0" w:after="0" w:afterAutospacing="0" w:line="400" w:lineRule="exact"/>
        <w:ind w:firstLine="640" w:firstLineChars="200"/>
        <w:rPr>
          <w:rFonts w:ascii="仿宋_GB2312" w:eastAsia="仿宋_GB2312" w:cs="Arial"/>
          <w:sz w:val="32"/>
          <w:szCs w:val="32"/>
        </w:rPr>
      </w:pPr>
      <w:r>
        <w:rPr>
          <w:rFonts w:hint="eastAsia" w:ascii="仿宋_GB2312" w:eastAsia="仿宋_GB2312" w:cs="Arial"/>
          <w:sz w:val="32"/>
          <w:szCs w:val="32"/>
        </w:rPr>
        <w:t>1、贯彻执行国家、省、州有关水行政管理工作的方针、政策和法律、法规，研究制定配套的适合县情的实施办法和规范性文件，并监督实施；负责保障水资源的合理开发利用，组织编制全县重要江河的流域综合规划、防洪规划等重大水利规划；制定水利、水产发展目标和水利工程建设有关制度并组织实施。</w:t>
      </w:r>
    </w:p>
    <w:p>
      <w:pPr>
        <w:pStyle w:val="13"/>
        <w:spacing w:before="0" w:beforeAutospacing="0" w:after="0" w:afterAutospacing="0" w:line="400" w:lineRule="exact"/>
        <w:ind w:firstLine="640" w:firstLineChars="200"/>
        <w:rPr>
          <w:rFonts w:ascii="仿宋_GB2312" w:eastAsia="仿宋_GB2312" w:cs="Arial"/>
          <w:sz w:val="32"/>
          <w:szCs w:val="32"/>
        </w:rPr>
      </w:pPr>
      <w:r>
        <w:rPr>
          <w:rFonts w:hint="eastAsia" w:ascii="仿宋_GB2312" w:eastAsia="仿宋_GB2312" w:cs="Arial"/>
          <w:sz w:val="32"/>
          <w:szCs w:val="32"/>
        </w:rPr>
        <w:t>2、统一管理全县水资源，拟定节约用水政策，负责生活、生产经营和生态环境用水的统筹兼顾和保障。实施水资源的统一监督管理，拟订全县和跨县水中长期供求规划、水量分配方案、计划用水、节约用水规划，制定和贯彻用水标准，指导和推动节水型社会建设工作；组织开展水资源调查评价工作；组织实施取水许可、水资源有偿使用制度和水资源论证、防洪论证、水土保持论证制度；指导全县水文水资源监测，发布水资源公报。</w:t>
      </w:r>
    </w:p>
    <w:p>
      <w:pPr>
        <w:pStyle w:val="13"/>
        <w:spacing w:before="0" w:beforeAutospacing="0" w:after="0" w:afterAutospacing="0" w:line="400" w:lineRule="exact"/>
        <w:ind w:firstLine="640" w:firstLineChars="200"/>
        <w:rPr>
          <w:rFonts w:ascii="仿宋_GB2312" w:eastAsia="仿宋_GB2312" w:cs="Arial"/>
          <w:sz w:val="32"/>
          <w:szCs w:val="32"/>
        </w:rPr>
      </w:pPr>
      <w:r>
        <w:rPr>
          <w:rFonts w:hint="eastAsia" w:ascii="仿宋_GB2312" w:eastAsia="仿宋_GB2312" w:cs="Arial"/>
          <w:sz w:val="32"/>
          <w:szCs w:val="32"/>
        </w:rPr>
        <w:t>3、负责水资源保护工作。组织编制水资源保护和水源地保护规划，组织拟订重要江河的水功能区划并监督实施，核定水域纳污能力，提出限制排污总量建议。指导饮用水水源保护和建设项目排污口设置工作，指导地下水开发利用和城市规划区地下水资源保护管理工作。</w:t>
      </w:r>
    </w:p>
    <w:p>
      <w:pPr>
        <w:pStyle w:val="13"/>
        <w:spacing w:before="0" w:beforeAutospacing="0" w:after="0" w:afterAutospacing="0" w:line="400" w:lineRule="exact"/>
        <w:ind w:firstLine="640" w:firstLineChars="200"/>
        <w:rPr>
          <w:rFonts w:ascii="仿宋_GB2312" w:eastAsia="仿宋_GB2312" w:cs="Arial"/>
          <w:sz w:val="32"/>
          <w:szCs w:val="32"/>
        </w:rPr>
      </w:pPr>
      <w:r>
        <w:rPr>
          <w:rFonts w:hint="eastAsia" w:ascii="仿宋_GB2312" w:eastAsia="仿宋_GB2312" w:cs="Arial"/>
          <w:sz w:val="32"/>
          <w:szCs w:val="32"/>
        </w:rPr>
        <w:t>4、负责防治水旱灾害，承担县政府防汛抗旱指挥部的具体工作。组织、协调、监督、指挥全县防汛抗旱工作，编制全县防汛抗旱应急预案并组织实施，指导水利突发公共事件应急管理工作。</w:t>
      </w:r>
    </w:p>
    <w:p>
      <w:pPr>
        <w:pStyle w:val="13"/>
        <w:spacing w:before="0" w:beforeAutospacing="0" w:after="0" w:afterAutospacing="0" w:line="400" w:lineRule="exact"/>
        <w:ind w:firstLine="640" w:firstLineChars="200"/>
        <w:rPr>
          <w:rFonts w:ascii="仿宋_GB2312" w:eastAsia="仿宋_GB2312" w:cs="Arial"/>
          <w:sz w:val="32"/>
          <w:szCs w:val="32"/>
        </w:rPr>
      </w:pPr>
      <w:r>
        <w:rPr>
          <w:rFonts w:hint="eastAsia" w:ascii="仿宋_GB2312" w:eastAsia="仿宋_GB2312" w:cs="Arial"/>
          <w:sz w:val="32"/>
          <w:szCs w:val="32"/>
        </w:rPr>
        <w:t>5、按照管理权限，编制、审查全县水利基本建设项目建议书和可行性研究报告；初审、转报水利基本建设项目初步设计；指导水利设施、水域的管理与保护，指导全县重要江河、湖泊、水库、滩涂的治理和开发，指导水利工程建设与运行管理，组织实施具有控制性或跨县重要水利工程建设与运行管理，负责河道采砂的统一监督管理工作。</w:t>
      </w:r>
    </w:p>
    <w:p>
      <w:pPr>
        <w:pStyle w:val="13"/>
        <w:spacing w:before="0" w:beforeAutospacing="0" w:after="0" w:afterAutospacing="0" w:line="400" w:lineRule="exact"/>
        <w:ind w:firstLine="640" w:firstLineChars="200"/>
        <w:rPr>
          <w:rFonts w:ascii="仿宋_GB2312" w:eastAsia="仿宋_GB2312" w:cs="Arial"/>
          <w:sz w:val="32"/>
          <w:szCs w:val="32"/>
        </w:rPr>
      </w:pPr>
      <w:r>
        <w:rPr>
          <w:rFonts w:hint="eastAsia" w:ascii="仿宋_GB2312" w:eastAsia="仿宋_GB2312" w:cs="Arial"/>
          <w:sz w:val="32"/>
          <w:szCs w:val="32"/>
        </w:rPr>
        <w:t>6、负责防治水土流失。拟订水土保持规划并监督实施，组织实施全县水土流失的综合防治、监测预报，负责有关重大建设项目水土保持方案的审批、监督实施及水土保持设施的验收工作，指导重点水土保持建设项目的实施。</w:t>
      </w:r>
    </w:p>
    <w:p>
      <w:pPr>
        <w:pStyle w:val="13"/>
        <w:spacing w:before="0" w:beforeAutospacing="0" w:after="0" w:afterAutospacing="0" w:line="400" w:lineRule="exact"/>
        <w:ind w:firstLine="640" w:firstLineChars="200"/>
        <w:rPr>
          <w:rFonts w:ascii="仿宋_GB2312" w:eastAsia="仿宋_GB2312" w:cs="Arial"/>
          <w:sz w:val="32"/>
          <w:szCs w:val="32"/>
        </w:rPr>
      </w:pPr>
      <w:r>
        <w:rPr>
          <w:rFonts w:hint="eastAsia" w:ascii="仿宋_GB2312" w:eastAsia="仿宋_GB2312" w:cs="Arial"/>
          <w:sz w:val="32"/>
          <w:szCs w:val="32"/>
        </w:rPr>
        <w:t>7、指导农村水利工作。组织协调全县农田水利基本建设，指导农村饮水安全、节水灌溉等工程建设与管理工作，协调牧区水利工作，指导农村水利社会化服务体系建设。按规定指导农村水能资源开发工作；指导水电农村电气化、小水电代燃料和农网建设改造工作。</w:t>
      </w:r>
    </w:p>
    <w:p>
      <w:pPr>
        <w:pStyle w:val="13"/>
        <w:spacing w:before="0" w:beforeAutospacing="0" w:after="0" w:afterAutospacing="0" w:line="400" w:lineRule="exact"/>
        <w:ind w:firstLine="640" w:firstLineChars="200"/>
        <w:rPr>
          <w:rFonts w:ascii="仿宋_GB2312" w:eastAsia="仿宋_GB2312" w:cs="Arial"/>
          <w:sz w:val="32"/>
          <w:szCs w:val="32"/>
        </w:rPr>
      </w:pPr>
      <w:r>
        <w:rPr>
          <w:rFonts w:hint="eastAsia" w:ascii="仿宋_GB2312" w:eastAsia="仿宋_GB2312" w:cs="Arial"/>
          <w:sz w:val="32"/>
          <w:szCs w:val="32"/>
        </w:rPr>
        <w:t>8、负责重大涉水违法事件的查处，协调、仲裁跨县或部门间水事纠纷，指导水政监察和水行政执法。负责水利建设工程项目的招标投标活动的监督执法。依法负责水利行业安全生产工作，组织、指导水库大坝、水电站大坝等水利工程的安全监管，组织实施水利工程建设的监督和定额管理。承担水利统计工作。</w:t>
      </w:r>
    </w:p>
    <w:p>
      <w:pPr>
        <w:pStyle w:val="13"/>
        <w:spacing w:before="0" w:beforeAutospacing="0" w:after="0" w:afterAutospacing="0" w:line="400" w:lineRule="exact"/>
        <w:ind w:firstLine="640" w:firstLineChars="200"/>
        <w:rPr>
          <w:rFonts w:ascii="仿宋_GB2312" w:eastAsia="仿宋_GB2312" w:cs="Arial"/>
          <w:sz w:val="32"/>
          <w:szCs w:val="32"/>
        </w:rPr>
      </w:pPr>
      <w:r>
        <w:rPr>
          <w:rFonts w:hint="eastAsia" w:ascii="仿宋_GB2312" w:eastAsia="仿宋_GB2312" w:cs="Arial"/>
          <w:sz w:val="32"/>
          <w:szCs w:val="32"/>
        </w:rPr>
        <w:t>9、拟订水利行业经济调节措施，对全县水利资金的使用、管理进行宏观调节、监督、审计；提出水利价格、税收、信贷、财务等经济调节意见，承担县级和指导各县水利国有资产的管理。</w:t>
      </w:r>
    </w:p>
    <w:p>
      <w:pPr>
        <w:widowControl/>
        <w:spacing w:line="400" w:lineRule="exact"/>
        <w:ind w:firstLine="630" w:firstLineChars="197"/>
        <w:jc w:val="left"/>
        <w:rPr>
          <w:rFonts w:ascii="仿宋_GB2312" w:eastAsia="仿宋_GB2312" w:cs="Arial"/>
          <w:kern w:val="0"/>
          <w:sz w:val="32"/>
          <w:szCs w:val="32"/>
        </w:rPr>
      </w:pPr>
      <w:r>
        <w:rPr>
          <w:rFonts w:hint="eastAsia" w:ascii="仿宋_GB2312" w:eastAsia="仿宋_GB2312" w:cs="Arial"/>
          <w:kern w:val="0"/>
          <w:sz w:val="32"/>
          <w:szCs w:val="32"/>
        </w:rPr>
        <w:t>10、负责全县水利科技和合作交流工作。组织开展水利行业质量监督工作，贯彻水利行业的技术标准、规程规范，组织水利科学研究、技术推广和成果管理；指导全县水利行业队伍和服务体系建设，组织水利行业教育培训、职称评定和思想政治工作。</w:t>
      </w:r>
    </w:p>
    <w:p>
      <w:pPr>
        <w:widowControl/>
        <w:spacing w:line="400" w:lineRule="exact"/>
        <w:ind w:firstLine="630" w:firstLineChars="197"/>
        <w:jc w:val="left"/>
        <w:rPr>
          <w:rFonts w:ascii="仿宋_GB2312" w:eastAsia="仿宋_GB2312" w:cs="宋体"/>
          <w:kern w:val="0"/>
          <w:sz w:val="32"/>
          <w:szCs w:val="32"/>
        </w:rPr>
      </w:pPr>
      <w:r>
        <w:rPr>
          <w:rFonts w:hint="eastAsia" w:ascii="仿宋_GB2312" w:eastAsia="仿宋_GB2312" w:cs="Arial"/>
          <w:kern w:val="0"/>
          <w:sz w:val="32"/>
          <w:szCs w:val="32"/>
        </w:rPr>
        <w:t>11、</w:t>
      </w:r>
      <w:r>
        <w:rPr>
          <w:rFonts w:hint="eastAsia" w:ascii="仿宋_GB2312" w:eastAsia="仿宋_GB2312" w:cs="宋体"/>
          <w:kern w:val="0"/>
          <w:sz w:val="32"/>
          <w:szCs w:val="32"/>
        </w:rPr>
        <w:t>承担县政府公布的有关行政审批事项。</w:t>
      </w:r>
    </w:p>
    <w:p>
      <w:pPr>
        <w:widowControl/>
        <w:spacing w:line="400" w:lineRule="exact"/>
        <w:ind w:firstLine="630" w:firstLineChars="197"/>
        <w:jc w:val="left"/>
        <w:rPr>
          <w:rFonts w:ascii="仿宋_GB2312" w:eastAsia="仿宋_GB2312" w:cs="宋体"/>
          <w:color w:val="333333"/>
          <w:kern w:val="0"/>
          <w:sz w:val="28"/>
          <w:szCs w:val="28"/>
        </w:rPr>
      </w:pPr>
      <w:r>
        <w:rPr>
          <w:rFonts w:hint="eastAsia" w:ascii="仿宋_GB2312" w:eastAsia="仿宋_GB2312"/>
          <w:kern w:val="0"/>
          <w:sz w:val="32"/>
          <w:szCs w:val="32"/>
        </w:rPr>
        <w:t>12、承办县政府交办的其他事项。</w:t>
      </w:r>
    </w:p>
    <w:p>
      <w:pPr>
        <w:pStyle w:val="5"/>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20"/>
      <w:bookmarkEnd w:id="21"/>
    </w:p>
    <w:p>
      <w:pPr>
        <w:spacing w:line="560" w:lineRule="exact"/>
        <w:ind w:firstLine="640" w:firstLineChars="200"/>
        <w:contextualSpacing/>
        <w:rPr>
          <w:rFonts w:ascii="仿宋_GB2312" w:eastAsia="仿宋_GB2312" w:cs="Arial"/>
          <w:kern w:val="0"/>
          <w:sz w:val="32"/>
          <w:szCs w:val="32"/>
        </w:rPr>
      </w:pPr>
      <w:bookmarkStart w:id="22" w:name="_Toc15377200"/>
      <w:r>
        <w:rPr>
          <w:rFonts w:hint="eastAsia" w:ascii="仿宋_GB2312" w:eastAsia="仿宋_GB2312" w:cs="Arial"/>
          <w:kern w:val="0"/>
          <w:sz w:val="32"/>
          <w:szCs w:val="32"/>
        </w:rPr>
        <w:t>1、水利项目</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1）涉农整合资金项目。一是农田水利及安全饮水项目，安装饮水管道110.9公里，新建水池37口，恢复重建灌溉沟渠12.3公里及附属设施等，总投资1329.37万元；已完成县级验收18个，拨付资金849万元。二是防洪治理项目，建设防洪堤6.268公里，泄洪槽建设200米，河道清淤13.1公里。总投资3845.72万元，已合同验收16个，拨付资金2033.34万元。三是2020年农村饮水安全工程“明白卡”建设项目，制作发放“明白卡”17710张，受益户数17710户。</w:t>
      </w:r>
    </w:p>
    <w:p>
      <w:pPr>
        <w:tabs>
          <w:tab w:val="left" w:pos="6930"/>
        </w:tabs>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（2）大渡河金川县安宁堤防工程。项目在去年末开展前期设计招标，已完成项目可研及初设审查，正在进行施工投标程序。</w:t>
      </w:r>
    </w:p>
    <w:p>
      <w:pPr>
        <w:tabs>
          <w:tab w:val="left" w:pos="6930"/>
        </w:tabs>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3）中小河流及溪沟治理。一是曾达乡曾达沟清障疏浚工程。清淤10余公里，清障12万余立方米，在4月全面完工，资金拨付361万元。二是金川县撒瓦脚沟撒瓦脚段防洪治理工程。综合治理河道4公里，其中新建堤防2.7公里，清淤1.3公里，规划总投资1480万元，已完成主体工程建设，拨付资金657.03万元。</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（4）水土保持项目。金川县龙灯沟小流域水土流失综合治理工程，完成护岸工程基础</w:t>
      </w:r>
      <w:r>
        <w:rPr>
          <w:rFonts w:hint="eastAsia" w:ascii="仿宋_GB2312" w:eastAsia="仿宋_GB2312" w:cs="Arial"/>
          <w:kern w:val="0"/>
          <w:sz w:val="32"/>
          <w:szCs w:val="32"/>
          <w:lang w:eastAsia="zh-CN"/>
        </w:rPr>
        <w:t>混凝土</w:t>
      </w:r>
      <w:r>
        <w:rPr>
          <w:rFonts w:hint="eastAsia" w:ascii="仿宋_GB2312" w:eastAsia="仿宋_GB2312" w:cs="Arial"/>
          <w:kern w:val="0"/>
          <w:sz w:val="32"/>
          <w:szCs w:val="32"/>
        </w:rPr>
        <w:t>浇筑500米，种植黑麦草79.45公顷，河道疏浚300米，已完成工程量的95%。</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5）森林草原防灭火基础设施消防（灌溉）水池建设项目。新建100方消防水5座，水池附属管网工程7051.29米，取水口和沉沙池各5座，管网附属闸阀井15座以及减压池等。项目施工预算总投资205.31万元,目前完成工程进度30%。</w:t>
      </w:r>
    </w:p>
    <w:p>
      <w:pPr>
        <w:pStyle w:val="26"/>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2、河（湖）长制工作推进情况。</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1）、各级河（湖）长巡河。2020年，县级河（湖）长巡河（湖）196次，乡级河（湖）长巡河（湖）1436次；河道管护员上岗履职，常态化开展巡河累计4600余人次，各级河长、河道管护员发现并解决河道环境卫生问题122个。维护更新全县河流河长公示牌41处。</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2）、河湖“清四乱”专项行动。共排查整改河湖“四乱”问题12处，全流域清理河道垃圾90余吨，美化河湖岸线300余公里。2020年水利部通过卫星遥感发现我县“四乱”疑似问题135处，目前已全部整改完成并销号。</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3）、水域岸线管理保护。河道管理范围划定有序推进，规模以上河流俄热河、革什扎河河道管理范围划定落实资金103.6万元，已完成界桩埋设；规模以下35条河流、2个湖泊的河湖管理范围划定工作正在进行，落实资金471.66万元。</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4）、河道采砂专项整治。2020年开展水务巡查56次，出动执法人员210余人次，联合执法7次，出动砂石整治人员60余人次，整顿规范砂石加工厂15家，规范堆砂场21处，平整及规范堆砂110余万方；全面清场砂石加工点、堆砂场12处，销除砂石存量30余万方。所有堆砂场均已撤离机具并降高、打围、覆盖防尘网；有效杜绝了全县河道私挖盗采现象，切实整治了砂石资源管理乱象问题。</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3、防汛减灾工作情况。</w:t>
      </w:r>
    </w:p>
    <w:p>
      <w:pPr>
        <w:spacing w:line="560" w:lineRule="exact"/>
        <w:ind w:firstLine="640"/>
        <w:contextualSpacing/>
        <w:rPr>
          <w:rFonts w:ascii="仿宋_GB2312" w:eastAsia="仿宋_GB2312" w:cs="Arial"/>
          <w:kern w:val="0"/>
          <w:sz w:val="32"/>
          <w:szCs w:val="32"/>
        </w:rPr>
      </w:pPr>
      <w:r>
        <w:rPr>
          <w:rFonts w:hint="eastAsia" w:ascii="仿宋_GB2312" w:eastAsia="仿宋_GB2312" w:cs="Arial"/>
          <w:kern w:val="0"/>
          <w:sz w:val="32"/>
          <w:szCs w:val="32"/>
        </w:rPr>
        <w:t>为了切实做好今年的防汛工作，汛前逐级召开“部署会”，全面落实“队伍、资金、物资”三个保障，修订完善《金川县防汛抗旱抢险应急预案》，各乡镇、在建工程、重点企业相应的修订完善应急预案，并组织应急演练，全面对141处山洪灾害区开展排查。进入汛期，层层落实值班人员，做到24小时值班值守，及时通报雨情汛情。由县水务、自然资源土、气象部门紧密对接，实现信息共享，</w:t>
      </w:r>
      <w:r>
        <w:rPr>
          <w:rFonts w:hint="eastAsia" w:ascii="仿宋_GB2312" w:eastAsia="仿宋_GB2312" w:cs="Arial"/>
          <w:kern w:val="0"/>
          <w:sz w:val="32"/>
          <w:szCs w:val="32"/>
          <w:lang w:eastAsia="zh-CN"/>
        </w:rPr>
        <w:t>实时</w:t>
      </w:r>
      <w:r>
        <w:rPr>
          <w:rFonts w:hint="eastAsia" w:ascii="仿宋_GB2312" w:eastAsia="仿宋_GB2312" w:cs="Arial"/>
          <w:kern w:val="0"/>
          <w:sz w:val="32"/>
          <w:szCs w:val="32"/>
        </w:rPr>
        <w:t>预测发布全县气象、雨情、水情信息。今年我县共发生成规模泥石流灾情5起，共造成6104户、22577人受灾，安全转移群众6234人，直接经济损失达2.6495亿元，其中水利工程设施直接经济损失2779.64万元。共计发放应急物资折合人民币51.417万元（其中本级仓库18.491万元，协议商处32.926万元）。</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4、脱贫攻坚及“两联一进”群众工作。</w:t>
      </w:r>
    </w:p>
    <w:p>
      <w:pPr>
        <w:spacing w:line="560" w:lineRule="exact"/>
        <w:ind w:firstLine="643"/>
        <w:contextualSpacing/>
        <w:rPr>
          <w:rFonts w:ascii="仿宋_GB2312" w:eastAsia="仿宋_GB2312" w:cs="Arial"/>
          <w:kern w:val="0"/>
          <w:sz w:val="32"/>
          <w:szCs w:val="32"/>
        </w:rPr>
      </w:pPr>
      <w:r>
        <w:rPr>
          <w:rFonts w:hint="eastAsia" w:ascii="仿宋_GB2312" w:eastAsia="仿宋_GB2312" w:cs="Arial"/>
          <w:kern w:val="0"/>
          <w:sz w:val="32"/>
          <w:szCs w:val="32"/>
        </w:rPr>
        <w:t>围绕县脱贫攻坚工作要求，继续深入开展“百千万”、“两联一进”活动，对联系对象的帮扶责任保持不变，扎实做好“回头看、回头帮”工作。完成了2020年生态扶贫中河道管护员和水利工程巡管员的聘请工作，全县共聘请149名河道管护员和93名水利工程巡管员，涉及97个村（含52个贫困村），总投资242万元。</w:t>
      </w:r>
    </w:p>
    <w:p>
      <w:pPr>
        <w:pStyle w:val="26"/>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5、水政水资源工作。</w:t>
      </w:r>
    </w:p>
    <w:p>
      <w:pPr>
        <w:pStyle w:val="26"/>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编制全县水资源公报，完成2019年最严格水资源管理制度考核验收工作。结合《金川县长江经济带小水电清理整改工作方案》完成长江经济带小水电清理整改填报系统工作，对县内40座小水电站（其中整改类19座、退出类21座）开展现场督查，对照长江经济带小水电清理整改要件目录，全面开展清理整顿。完成长江流域工程（设施）核查登记整改计划，电站类11个，农业灌溉类3个，并依照计划开展销号工作。今年“世界水日、中国水周”进行了《水法》、新《水土保持法》等涉水法律法规的宣传，共发宣传资料300余份。</w:t>
      </w:r>
    </w:p>
    <w:p>
      <w:pPr>
        <w:spacing w:line="560" w:lineRule="exact"/>
        <w:ind w:firstLine="640"/>
        <w:contextualSpacing/>
        <w:rPr>
          <w:rFonts w:ascii="仿宋_GB2312" w:eastAsia="仿宋_GB2312" w:cs="Arial"/>
          <w:kern w:val="0"/>
          <w:sz w:val="32"/>
          <w:szCs w:val="32"/>
        </w:rPr>
      </w:pPr>
      <w:r>
        <w:rPr>
          <w:rFonts w:hint="eastAsia" w:ascii="仿宋_GB2312" w:eastAsia="仿宋_GB2312" w:cs="Arial"/>
          <w:kern w:val="0"/>
          <w:sz w:val="32"/>
          <w:szCs w:val="32"/>
        </w:rPr>
        <w:t>6、农村集中供水工程水费收缴工作。</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我县千人以上农村供水工程涉及2处（沙耳乡达埂尼集中供水站和咯尔乡兴金集中供水站），千人以下集中供水工程设计全县207处。截止目前千人以上农村供水工程2处已完成定价及水费收缴工作，千人下集中</w:t>
      </w:r>
      <w:r>
        <w:rPr>
          <w:rFonts w:hint="eastAsia" w:ascii="仿宋_GB2312" w:eastAsia="仿宋_GB2312" w:cs="Arial"/>
          <w:kern w:val="0"/>
          <w:sz w:val="32"/>
          <w:szCs w:val="32"/>
          <w:lang w:eastAsia="zh-CN"/>
        </w:rPr>
        <w:t>工程</w:t>
      </w:r>
      <w:r>
        <w:rPr>
          <w:rFonts w:hint="eastAsia" w:ascii="仿宋_GB2312" w:eastAsia="仿宋_GB2312" w:cs="Arial"/>
          <w:kern w:val="0"/>
          <w:sz w:val="32"/>
          <w:szCs w:val="32"/>
        </w:rPr>
        <w:t>207处已完成定价工作，其中28处已开始收取水费。其余供水点已基本核定价格。</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7、“十三五”规划完成情况。</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十三五”期间，总投资2.77亿元,治理水土流失综合治理84.07平方公里，综合治理河道长度8.72公里，新建堤防长度7.239公里，加固堤防0.37公里；整治或新建渠道499.59公里，改造或新建管道133.07公里，新建或维修蓄水池210口，恢复改善灌面3.3万余亩；解决全县19个乡镇93处（村）3.8576万人的饮水安全问题（含贫困人口0.9434万人），安装饮水管道779.38公里。</w:t>
      </w:r>
    </w:p>
    <w:p>
      <w:pPr>
        <w:pStyle w:val="2"/>
        <w:spacing w:line="560" w:lineRule="exact"/>
        <w:ind w:left="0" w:leftChars="0"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8、“十四五”规划编制情况。</w:t>
      </w:r>
    </w:p>
    <w:p>
      <w:pPr>
        <w:spacing w:line="578" w:lineRule="exact"/>
        <w:ind w:firstLine="640" w:firstLineChars="200"/>
        <w:rPr>
          <w:rFonts w:ascii="仿宋_GB2312" w:eastAsia="仿宋_GB2312" w:cs="Arial"/>
          <w:kern w:val="0"/>
          <w:sz w:val="32"/>
          <w:szCs w:val="32"/>
        </w:rPr>
      </w:pPr>
      <w:r>
        <w:rPr>
          <w:rFonts w:hint="eastAsia" w:ascii="仿宋_GB2312" w:eastAsia="仿宋_GB2312" w:cs="Arial"/>
          <w:kern w:val="0"/>
          <w:sz w:val="32"/>
          <w:szCs w:val="32"/>
        </w:rPr>
        <w:t>科学编制和实施好水利“十四五”规划，全面推进我县水利事业健康发展。按照流域生态治理、农村供水保障、灌区水库规划、江河防洪治理等方面规划未来五年包括独卡水利中型灌区、小流域治理、安全饮水、水库建设等共计25.4033亿元的水利项目。</w:t>
      </w:r>
    </w:p>
    <w:p>
      <w:pPr>
        <w:spacing w:line="578" w:lineRule="exact"/>
        <w:ind w:firstLine="640" w:firstLineChars="200"/>
        <w:outlineLvl w:val="1"/>
        <w:rPr>
          <w:rStyle w:val="19"/>
          <w:b w:val="0"/>
          <w:bCs w:val="0"/>
        </w:rPr>
      </w:pPr>
      <w:bookmarkStart w:id="23" w:name="_Toc31425"/>
      <w:r>
        <w:rPr>
          <w:rStyle w:val="19"/>
          <w:rFonts w:hint="eastAsia" w:ascii="黑体" w:eastAsia="黑体"/>
          <w:b w:val="0"/>
          <w:bCs w:val="0"/>
        </w:rPr>
        <w:t>二、机构设置</w:t>
      </w:r>
      <w:bookmarkEnd w:id="22"/>
      <w:bookmarkEnd w:id="23"/>
    </w:p>
    <w:p>
      <w:pPr>
        <w:snapToGrid w:val="0"/>
        <w:spacing w:line="540" w:lineRule="atLeast"/>
        <w:ind w:firstLine="640" w:firstLineChars="200"/>
        <w:rPr>
          <w:rFonts w:ascii="仿宋_GB2312" w:eastAsia="仿宋_GB2312" w:cs="宋体"/>
          <w:color w:val="333333"/>
          <w:kern w:val="0"/>
          <w:sz w:val="28"/>
          <w:szCs w:val="28"/>
          <w:lang w:val="zh-CN"/>
        </w:rPr>
      </w:pPr>
      <w:bookmarkStart w:id="24" w:name="_Toc15377204"/>
      <w:r>
        <w:rPr>
          <w:rFonts w:hint="eastAsia" w:ascii="仿宋_GB2312" w:eastAsia="仿宋_GB2312" w:cs="Arial"/>
          <w:kern w:val="0"/>
          <w:sz w:val="32"/>
          <w:szCs w:val="32"/>
          <w:lang w:val="zh-CN"/>
        </w:rPr>
        <w:t>我单位纳入本部门决算汇编范围的独立核算单位共</w:t>
      </w:r>
      <w:r>
        <w:rPr>
          <w:rFonts w:hint="eastAsia" w:ascii="仿宋_GB2312" w:eastAsia="仿宋_GB2312" w:cs="Arial"/>
          <w:kern w:val="0"/>
          <w:sz w:val="32"/>
          <w:szCs w:val="32"/>
        </w:rPr>
        <w:t>2</w:t>
      </w:r>
      <w:r>
        <w:rPr>
          <w:rFonts w:hint="eastAsia" w:ascii="仿宋_GB2312" w:eastAsia="仿宋_GB2312" w:cs="Arial"/>
          <w:kern w:val="0"/>
          <w:sz w:val="32"/>
          <w:szCs w:val="32"/>
          <w:lang w:val="zh-CN"/>
        </w:rPr>
        <w:t>个，无增减变动。</w:t>
      </w:r>
    </w:p>
    <w:p>
      <w:pPr>
        <w:snapToGrid w:val="0"/>
        <w:spacing w:line="540" w:lineRule="atLeast"/>
        <w:ind w:firstLine="640" w:firstLineChars="200"/>
        <w:rPr>
          <w:rFonts w:ascii="仿宋_GB2312" w:eastAsia="仿宋_GB2312" w:cs="Arial"/>
          <w:kern w:val="0"/>
          <w:sz w:val="32"/>
          <w:szCs w:val="32"/>
          <w:lang w:val="zh-CN"/>
        </w:rPr>
      </w:pPr>
      <w:r>
        <w:rPr>
          <w:rFonts w:hint="eastAsia" w:ascii="仿宋_GB2312" w:eastAsia="仿宋_GB2312"/>
          <w:sz w:val="32"/>
          <w:szCs w:val="32"/>
        </w:rPr>
        <w:t>人员情况：</w:t>
      </w:r>
      <w:r>
        <w:rPr>
          <w:rFonts w:hint="eastAsia" w:ascii="仿宋_GB2312" w:eastAsia="仿宋_GB2312" w:cs="Arial"/>
          <w:kern w:val="0"/>
          <w:sz w:val="32"/>
          <w:szCs w:val="32"/>
          <w:lang w:val="zh-CN"/>
        </w:rPr>
        <w:t>我单位在职职工</w:t>
      </w:r>
      <w:r>
        <w:rPr>
          <w:rFonts w:hint="eastAsia" w:ascii="仿宋_GB2312" w:eastAsia="仿宋_GB2312" w:cs="Arial"/>
          <w:kern w:val="0"/>
          <w:sz w:val="32"/>
          <w:szCs w:val="32"/>
        </w:rPr>
        <w:t>28人，其中</w:t>
      </w:r>
      <w:r>
        <w:rPr>
          <w:rFonts w:hint="eastAsia" w:ascii="仿宋_GB2312" w:eastAsia="仿宋_GB2312" w:cs="Arial"/>
          <w:kern w:val="0"/>
          <w:sz w:val="32"/>
          <w:szCs w:val="32"/>
          <w:lang w:val="zh-CN"/>
        </w:rPr>
        <w:t>行政人员6名，行政工勤</w:t>
      </w:r>
      <w:r>
        <w:rPr>
          <w:rFonts w:hint="eastAsia" w:ascii="仿宋_GB2312" w:eastAsia="仿宋_GB2312" w:cs="Arial"/>
          <w:kern w:val="0"/>
          <w:sz w:val="32"/>
          <w:szCs w:val="32"/>
        </w:rPr>
        <w:t>1人，</w:t>
      </w:r>
      <w:r>
        <w:rPr>
          <w:rFonts w:hint="eastAsia" w:ascii="仿宋_GB2312" w:eastAsia="仿宋_GB2312" w:cs="Arial"/>
          <w:kern w:val="0"/>
          <w:sz w:val="32"/>
          <w:szCs w:val="32"/>
          <w:lang w:val="zh-CN"/>
        </w:rPr>
        <w:t>事业人员</w:t>
      </w:r>
      <w:r>
        <w:rPr>
          <w:rFonts w:hint="eastAsia" w:ascii="仿宋_GB2312" w:eastAsia="仿宋_GB2312" w:cs="Arial"/>
          <w:kern w:val="0"/>
          <w:sz w:val="32"/>
          <w:szCs w:val="32"/>
        </w:rPr>
        <w:t>20人，事业工勤1人，</w:t>
      </w:r>
      <w:r>
        <w:rPr>
          <w:rFonts w:hint="eastAsia" w:ascii="仿宋_GB2312" w:eastAsia="仿宋_GB2312" w:cs="Arial"/>
          <w:kern w:val="0"/>
          <w:sz w:val="32"/>
          <w:szCs w:val="32"/>
          <w:lang w:val="zh-CN"/>
        </w:rPr>
        <w:t>遗属4人。在职人员较上年增加</w:t>
      </w:r>
      <w:r>
        <w:rPr>
          <w:rFonts w:hint="eastAsia" w:ascii="仿宋_GB2312" w:eastAsia="仿宋_GB2312" w:cs="Arial"/>
          <w:kern w:val="0"/>
          <w:sz w:val="32"/>
          <w:szCs w:val="32"/>
        </w:rPr>
        <w:t>3</w:t>
      </w:r>
      <w:r>
        <w:rPr>
          <w:rFonts w:hint="eastAsia" w:ascii="仿宋_GB2312" w:eastAsia="仿宋_GB2312" w:cs="Arial"/>
          <w:kern w:val="0"/>
          <w:sz w:val="32"/>
          <w:szCs w:val="32"/>
          <w:lang w:val="zh-CN"/>
        </w:rPr>
        <w:t>人，增加原因为机构改革人员调动；遗属人员无变化。</w:t>
      </w:r>
    </w:p>
    <w:p>
      <w:pPr>
        <w:pStyle w:val="3"/>
        <w:ind w:right="440"/>
        <w:jc w:val="center"/>
      </w:pPr>
      <w:bookmarkStart w:id="25" w:name="_Toc31898"/>
      <w:r>
        <w:rPr>
          <w:rFonts w:hint="eastAsia" w:ascii="黑体" w:eastAsia="黑体"/>
          <w:b w:val="0"/>
          <w:color w:val="000000"/>
        </w:rPr>
        <w:t>第二部分</w:t>
      </w:r>
      <w:r>
        <w:rPr>
          <w:rFonts w:hint="eastAsia" w:ascii="黑体" w:eastAsia="黑体"/>
          <w:color w:val="000000"/>
        </w:rPr>
        <w:t xml:space="preserve"> </w:t>
      </w:r>
      <w:r>
        <w:rPr>
          <w:rStyle w:val="18"/>
          <w:rFonts w:hint="eastAsia" w:ascii="黑体" w:eastAsia="黑体"/>
          <w:b w:val="0"/>
          <w:bCs w:val="0"/>
        </w:rPr>
        <w:t>2020年度部门决算情况说明</w:t>
      </w:r>
      <w:bookmarkEnd w:id="24"/>
      <w:bookmarkEnd w:id="25"/>
    </w:p>
    <w:p>
      <w:pPr>
        <w:pStyle w:val="24"/>
        <w:numPr>
          <w:ilvl w:val="0"/>
          <w:numId w:val="1"/>
        </w:numPr>
        <w:ind w:left="0" w:firstLine="0" w:firstLineChars="0"/>
        <w:outlineLvl w:val="1"/>
        <w:rPr>
          <w:rStyle w:val="19"/>
          <w:rFonts w:ascii="黑体" w:eastAsia="黑体"/>
          <w:b w:val="0"/>
        </w:rPr>
      </w:pPr>
      <w:bookmarkStart w:id="26" w:name="_Toc6396"/>
      <w:bookmarkStart w:id="27" w:name="_Toc15377205"/>
      <w:r>
        <w:rPr>
          <w:rFonts w:hint="eastAsia" w:ascii="黑体" w:eastAsia="黑体"/>
          <w:color w:val="000000"/>
          <w:sz w:val="32"/>
          <w:szCs w:val="32"/>
        </w:rPr>
        <w:t>收</w:t>
      </w:r>
      <w:r>
        <w:rPr>
          <w:rStyle w:val="19"/>
          <w:rFonts w:hint="eastAsia" w:ascii="黑体" w:eastAsia="黑体"/>
          <w:b w:val="0"/>
        </w:rPr>
        <w:t>入支出决算总体情况说明</w:t>
      </w:r>
      <w:bookmarkEnd w:id="26"/>
      <w:bookmarkEnd w:id="27"/>
    </w:p>
    <w:p>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color w:val="000000"/>
          <w:spacing w:val="-2"/>
          <w:sz w:val="32"/>
          <w:szCs w:val="32"/>
        </w:rPr>
        <w:t>2020年度总收入</w:t>
      </w:r>
      <w:r>
        <w:rPr>
          <w:rFonts w:hint="eastAsia" w:ascii="仿宋_GB2312" w:eastAsia="仿宋_GB2312" w:cs="Arial"/>
          <w:kern w:val="0"/>
          <w:sz w:val="32"/>
          <w:szCs w:val="32"/>
        </w:rPr>
        <w:t>8100.59</w:t>
      </w:r>
      <w:r>
        <w:rPr>
          <w:rFonts w:hint="eastAsia" w:ascii="仿宋_GB2312" w:eastAsia="仿宋_GB2312"/>
          <w:color w:val="000000"/>
          <w:spacing w:val="-2"/>
          <w:sz w:val="32"/>
          <w:szCs w:val="32"/>
        </w:rPr>
        <w:t>万元，较上年收入增加966.71万元，增加13.55%。增加的主要原因是2020年规范财务核算，项目资金增加。</w:t>
      </w:r>
    </w:p>
    <w:p>
      <w:pPr>
        <w:snapToGrid w:val="0"/>
        <w:spacing w:line="360" w:lineRule="auto"/>
        <w:ind w:firstLine="632" w:firstLineChars="200"/>
        <w:rPr>
          <w:rFonts w:ascii="仿宋_GB2312" w:eastAsia="仿宋_GB2312"/>
          <w:spacing w:val="-2"/>
          <w:sz w:val="32"/>
          <w:szCs w:val="32"/>
        </w:rPr>
      </w:pPr>
      <w:r>
        <w:rPr>
          <w:rFonts w:hint="eastAsia" w:ascii="仿宋_GB2312" w:eastAsia="仿宋_GB2312"/>
          <w:spacing w:val="-2"/>
          <w:sz w:val="32"/>
          <w:szCs w:val="32"/>
        </w:rPr>
        <w:t>2020年总支出</w:t>
      </w:r>
      <w:r>
        <w:rPr>
          <w:rFonts w:hint="eastAsia" w:ascii="仿宋_GB2312" w:eastAsia="仿宋_GB2312" w:cs="Arial"/>
          <w:kern w:val="0"/>
          <w:sz w:val="32"/>
          <w:szCs w:val="32"/>
        </w:rPr>
        <w:t>6500.65</w:t>
      </w:r>
      <w:r>
        <w:rPr>
          <w:rFonts w:hint="eastAsia" w:ascii="仿宋_GB2312" w:eastAsia="仿宋_GB2312"/>
          <w:spacing w:val="-2"/>
          <w:sz w:val="32"/>
          <w:szCs w:val="32"/>
        </w:rPr>
        <w:t>万元，较上年支出减少1113.96万元，减少14.63%。主要原因一是2019年支出包含了上年结转项目；二是2020年部分项目资金结转到下一年。</w:t>
      </w:r>
    </w:p>
    <w:p>
      <w:pPr>
        <w:pStyle w:val="2"/>
        <w:ind w:left="840" w:hanging="420"/>
      </w:pPr>
      <w:r>
        <w:drawing>
          <wp:inline distT="0" distB="0" distL="114300" distR="114300">
            <wp:extent cx="4591050" cy="2410460"/>
            <wp:effectExtent l="0" t="0" r="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360" w:lineRule="auto"/>
        <w:outlineLvl w:val="1"/>
      </w:pPr>
      <w:bookmarkStart w:id="28" w:name="_Toc15377206"/>
      <w:bookmarkStart w:id="29" w:name="_Toc28353"/>
      <w:r>
        <w:rPr>
          <w:rFonts w:hint="eastAsia" w:ascii="黑体" w:eastAsia="黑体"/>
          <w:color w:val="000000"/>
          <w:sz w:val="32"/>
          <w:szCs w:val="32"/>
        </w:rPr>
        <w:t>二、收入决</w:t>
      </w:r>
      <w:r>
        <w:rPr>
          <w:rStyle w:val="19"/>
          <w:rFonts w:hint="eastAsia" w:ascii="黑体" w:eastAsia="黑体"/>
          <w:b w:val="0"/>
        </w:rPr>
        <w:t>算情况说明</w:t>
      </w:r>
      <w:bookmarkEnd w:id="28"/>
      <w:bookmarkEnd w:id="29"/>
    </w:p>
    <w:p>
      <w:pPr>
        <w:spacing w:line="360" w:lineRule="auto"/>
        <w:ind w:firstLine="640" w:firstLineChars="20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20年总收入</w:t>
      </w:r>
      <w:r>
        <w:rPr>
          <w:rFonts w:hint="eastAsia" w:ascii="仿宋_GB2312" w:eastAsia="仿宋_GB2312" w:cs="Arial"/>
          <w:kern w:val="0"/>
          <w:sz w:val="32"/>
          <w:szCs w:val="32"/>
        </w:rPr>
        <w:t>8100.59</w:t>
      </w:r>
      <w:r>
        <w:rPr>
          <w:rFonts w:hint="eastAsia" w:ascii="仿宋" w:eastAsia="仿宋"/>
          <w:color w:val="000000"/>
          <w:sz w:val="32"/>
          <w:szCs w:val="32"/>
        </w:rPr>
        <w:t>万元，其中：</w:t>
      </w:r>
      <w:r>
        <w:rPr>
          <w:rFonts w:hint="eastAsia" w:ascii="仿宋_GB2312" w:eastAsia="仿宋_GB2312"/>
          <w:sz w:val="32"/>
          <w:szCs w:val="32"/>
        </w:rPr>
        <w:t>一般公共预算财政拨款收入8030.59万元，占总收入的99.14%，政府性基金预算财政拨款收入70万元，占总收入的0.86%</w:t>
      </w:r>
      <w:r>
        <w:rPr>
          <w:rFonts w:hint="eastAsia" w:ascii="仿宋" w:eastAsia="仿宋"/>
          <w:color w:val="000000"/>
          <w:sz w:val="32"/>
          <w:szCs w:val="32"/>
        </w:rPr>
        <w:t>；</w:t>
      </w:r>
    </w:p>
    <w:p>
      <w:pPr>
        <w:spacing w:line="600" w:lineRule="exact"/>
        <w:ind w:firstLine="640" w:firstLineChars="200"/>
        <w:outlineLvl w:val="1"/>
        <w:rPr>
          <w:rStyle w:val="19"/>
          <w:rFonts w:ascii="黑体" w:eastAsia="黑体"/>
          <w:b w:val="0"/>
        </w:rPr>
      </w:pPr>
      <w:bookmarkStart w:id="30" w:name="_Toc31394"/>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177165</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31" w:name="_Toc15377207"/>
      <w:r>
        <w:rPr>
          <w:rFonts w:hint="eastAsia" w:ascii="黑体" w:eastAsia="黑体"/>
          <w:color w:val="000000"/>
          <w:sz w:val="32"/>
          <w:szCs w:val="32"/>
        </w:rPr>
        <w:t>三、支出决</w:t>
      </w:r>
      <w:r>
        <w:rPr>
          <w:rStyle w:val="19"/>
          <w:rFonts w:hint="eastAsia" w:ascii="黑体" w:eastAsia="黑体"/>
          <w:b w:val="0"/>
        </w:rPr>
        <w:t>算情况说明</w:t>
      </w:r>
      <w:bookmarkEnd w:id="30"/>
      <w:bookmarkEnd w:id="31"/>
    </w:p>
    <w:p>
      <w:pPr>
        <w:spacing w:line="560" w:lineRule="exact"/>
        <w:ind w:firstLine="640" w:firstLineChars="200"/>
        <w:contextualSpacing/>
        <w:rPr>
          <w:rFonts w:ascii="仿宋" w:eastAsia="仿宋"/>
          <w:color w:val="000000"/>
          <w:sz w:val="32"/>
          <w:szCs w:val="32"/>
          <w:shd w:val="pct10" w:color="auto" w:fill="FFFFFF"/>
        </w:rPr>
      </w:pPr>
      <w:r>
        <w:rPr>
          <w:rFonts w:hint="eastAsia" w:ascii="仿宋" w:eastAsia="仿宋"/>
          <w:color w:val="000000"/>
          <w:sz w:val="32"/>
          <w:szCs w:val="32"/>
        </w:rPr>
        <w:t>2020年本年总支出</w:t>
      </w:r>
      <w:r>
        <w:rPr>
          <w:rFonts w:hint="eastAsia" w:ascii="仿宋_GB2312" w:eastAsia="仿宋_GB2312" w:cs="Arial"/>
          <w:kern w:val="0"/>
          <w:sz w:val="32"/>
          <w:szCs w:val="32"/>
        </w:rPr>
        <w:t>6500.65</w:t>
      </w:r>
      <w:r>
        <w:rPr>
          <w:rFonts w:hint="eastAsia" w:ascii="仿宋" w:eastAsia="仿宋"/>
          <w:color w:val="000000"/>
          <w:sz w:val="32"/>
          <w:szCs w:val="32"/>
        </w:rPr>
        <w:t>万元，其中：</w:t>
      </w:r>
      <w:r>
        <w:rPr>
          <w:rFonts w:hint="eastAsia" w:ascii="仿宋_GB2312" w:eastAsia="仿宋_GB2312" w:cs="Arial"/>
          <w:kern w:val="0"/>
          <w:sz w:val="32"/>
          <w:szCs w:val="32"/>
          <w:lang w:val="zh-CN"/>
        </w:rPr>
        <w:t>其中，基本支出</w:t>
      </w:r>
      <w:r>
        <w:rPr>
          <w:rFonts w:hint="eastAsia" w:ascii="仿宋_GB2312" w:eastAsia="仿宋_GB2312" w:cs="Arial"/>
          <w:kern w:val="0"/>
          <w:sz w:val="32"/>
          <w:szCs w:val="32"/>
        </w:rPr>
        <w:t>451.69万</w:t>
      </w:r>
      <w:r>
        <w:rPr>
          <w:rFonts w:hint="eastAsia" w:ascii="仿宋_GB2312" w:eastAsia="仿宋_GB2312" w:cs="Arial"/>
          <w:kern w:val="0"/>
          <w:sz w:val="32"/>
          <w:szCs w:val="32"/>
          <w:lang w:val="zh-CN"/>
        </w:rPr>
        <w:t>元，占总支出的</w:t>
      </w:r>
      <w:r>
        <w:rPr>
          <w:rFonts w:hint="eastAsia" w:ascii="仿宋_GB2312" w:eastAsia="仿宋_GB2312" w:cs="Arial"/>
          <w:kern w:val="0"/>
          <w:sz w:val="32"/>
          <w:szCs w:val="32"/>
        </w:rPr>
        <w:t>6.95</w:t>
      </w:r>
      <w:r>
        <w:rPr>
          <w:rFonts w:hint="eastAsia" w:ascii="仿宋_GB2312" w:eastAsia="仿宋_GB2312" w:cs="Arial"/>
          <w:kern w:val="0"/>
          <w:sz w:val="32"/>
          <w:szCs w:val="32"/>
          <w:lang w:val="zh-CN"/>
        </w:rPr>
        <w:t>%；项目支出</w:t>
      </w:r>
      <w:r>
        <w:rPr>
          <w:rFonts w:hint="eastAsia" w:ascii="仿宋_GB2312" w:eastAsia="仿宋_GB2312" w:cs="Arial"/>
          <w:kern w:val="0"/>
          <w:sz w:val="32"/>
          <w:szCs w:val="32"/>
        </w:rPr>
        <w:t>6048.96万元</w:t>
      </w:r>
      <w:r>
        <w:rPr>
          <w:rFonts w:hint="eastAsia" w:ascii="仿宋_GB2312" w:eastAsia="仿宋_GB2312" w:cs="Arial"/>
          <w:kern w:val="0"/>
          <w:sz w:val="32"/>
          <w:szCs w:val="32"/>
          <w:lang w:val="zh-CN"/>
        </w:rPr>
        <w:t>（包括政府性基金</w:t>
      </w:r>
      <w:r>
        <w:rPr>
          <w:rFonts w:hint="eastAsia" w:ascii="仿宋_GB2312" w:eastAsia="仿宋_GB2312" w:cs="Arial"/>
          <w:kern w:val="0"/>
          <w:sz w:val="32"/>
          <w:szCs w:val="32"/>
        </w:rPr>
        <w:t>658000.00元</w:t>
      </w:r>
      <w:r>
        <w:rPr>
          <w:rFonts w:hint="eastAsia" w:ascii="仿宋_GB2312" w:eastAsia="仿宋_GB2312" w:cs="Arial"/>
          <w:kern w:val="0"/>
          <w:sz w:val="32"/>
          <w:szCs w:val="32"/>
          <w:lang w:val="zh-CN"/>
        </w:rPr>
        <w:t>），占总支出的9</w:t>
      </w:r>
      <w:r>
        <w:rPr>
          <w:rFonts w:hint="eastAsia" w:ascii="仿宋_GB2312" w:eastAsia="仿宋_GB2312" w:cs="Arial"/>
          <w:kern w:val="0"/>
          <w:sz w:val="32"/>
          <w:szCs w:val="32"/>
        </w:rPr>
        <w:t>3.05</w:t>
      </w:r>
      <w:r>
        <w:rPr>
          <w:rFonts w:hint="eastAsia" w:ascii="仿宋_GB2312" w:eastAsia="仿宋_GB2312" w:cs="Arial"/>
          <w:kern w:val="0"/>
          <w:sz w:val="32"/>
          <w:szCs w:val="32"/>
          <w:lang w:val="zh-CN"/>
        </w:rPr>
        <w:t>%，上缴上级支出0万元，占0%；经营支出0万元，占0%；对附属单位补助支出0万元，占0%。</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59264" behindDoc="0" locked="0" layoutInCell="1" allowOverlap="1">
            <wp:simplePos x="0" y="0"/>
            <wp:positionH relativeFrom="column">
              <wp:posOffset>130810</wp:posOffset>
            </wp:positionH>
            <wp:positionV relativeFrom="paragraph">
              <wp:posOffset>84455</wp:posOffset>
            </wp:positionV>
            <wp:extent cx="4957445" cy="1851660"/>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9"/>
          <w:rFonts w:ascii="黑体" w:eastAsia="黑体"/>
          <w:b w:val="0"/>
        </w:rPr>
      </w:pPr>
      <w:bookmarkStart w:id="32" w:name="_Toc17825"/>
      <w:bookmarkStart w:id="33" w:name="_Toc15377208"/>
      <w:r>
        <w:rPr>
          <w:rFonts w:hint="eastAsia" w:ascii="黑体" w:eastAsia="黑体"/>
          <w:color w:val="000000"/>
          <w:sz w:val="32"/>
          <w:szCs w:val="32"/>
        </w:rPr>
        <w:t>四、财</w:t>
      </w:r>
      <w:r>
        <w:rPr>
          <w:rStyle w:val="19"/>
          <w:rFonts w:hint="eastAsia" w:ascii="黑体" w:eastAsia="黑体"/>
          <w:b w:val="0"/>
        </w:rPr>
        <w:t>政拨款收入支出决算总体情况说明</w:t>
      </w:r>
      <w:bookmarkEnd w:id="32"/>
      <w:bookmarkEnd w:id="33"/>
    </w:p>
    <w:p>
      <w:pPr>
        <w:snapToGrid w:val="0"/>
        <w:spacing w:line="360" w:lineRule="auto"/>
        <w:ind w:firstLine="640" w:firstLineChars="200"/>
        <w:rPr>
          <w:rFonts w:ascii="仿宋_GB2312" w:eastAsia="仿宋_GB2312"/>
          <w:spacing w:val="-2"/>
          <w:sz w:val="32"/>
          <w:szCs w:val="32"/>
        </w:rPr>
      </w:pPr>
      <w:r>
        <w:rPr>
          <w:rFonts w:hint="eastAsia" w:ascii="仿宋" w:eastAsia="仿宋"/>
          <w:color w:val="000000"/>
          <w:sz w:val="32"/>
          <w:szCs w:val="32"/>
        </w:rPr>
        <w:t>2020年财政拨款收入</w:t>
      </w:r>
      <w:r>
        <w:rPr>
          <w:rFonts w:hint="eastAsia" w:ascii="仿宋_GB2312" w:eastAsia="仿宋_GB2312" w:cs="Arial"/>
          <w:kern w:val="0"/>
          <w:sz w:val="32"/>
          <w:szCs w:val="32"/>
        </w:rPr>
        <w:t>8100.59</w:t>
      </w:r>
      <w:r>
        <w:rPr>
          <w:rFonts w:hint="eastAsia" w:ascii="仿宋" w:eastAsia="仿宋"/>
          <w:color w:val="000000"/>
          <w:sz w:val="32"/>
          <w:szCs w:val="32"/>
        </w:rPr>
        <w:t>万元。与2019年相比，一般公共预算财政拨款收入较上年增加966.71万元，</w:t>
      </w:r>
      <w:r>
        <w:rPr>
          <w:rFonts w:hint="eastAsia" w:ascii="仿宋_GB2312" w:eastAsia="仿宋_GB2312"/>
          <w:color w:val="000000"/>
          <w:spacing w:val="-2"/>
          <w:sz w:val="32"/>
          <w:szCs w:val="32"/>
        </w:rPr>
        <w:t>增加13.55%。增加的主要原因是2020年规范财务核算，项目资金增加</w:t>
      </w:r>
      <w:r>
        <w:rPr>
          <w:rFonts w:hint="eastAsia" w:ascii="仿宋" w:eastAsia="仿宋"/>
          <w:color w:val="000000"/>
          <w:sz w:val="32"/>
          <w:szCs w:val="32"/>
        </w:rPr>
        <w:t>。2020年财政拨款支出</w:t>
      </w:r>
      <w:r>
        <w:rPr>
          <w:rFonts w:hint="eastAsia" w:ascii="仿宋_GB2312" w:eastAsia="仿宋_GB2312" w:cs="Arial"/>
          <w:kern w:val="0"/>
          <w:sz w:val="32"/>
          <w:szCs w:val="32"/>
        </w:rPr>
        <w:t>6500.65</w:t>
      </w:r>
      <w:r>
        <w:rPr>
          <w:rFonts w:hint="eastAsia" w:ascii="仿宋_GB2312" w:eastAsia="仿宋_GB2312"/>
          <w:spacing w:val="-2"/>
          <w:sz w:val="32"/>
          <w:szCs w:val="32"/>
        </w:rPr>
        <w:t>万元，较上年支出减少1113.96万元，减少14.63%。主要原因一是2019年支出包含了上年结转项目；二是2020年部分项目资金结转到下一年。</w:t>
      </w:r>
    </w:p>
    <w:p>
      <w:pPr>
        <w:snapToGrid w:val="0"/>
        <w:spacing w:line="520" w:lineRule="exact"/>
        <w:ind w:firstLine="420" w:firstLineChars="200"/>
        <w:rPr>
          <w:rFonts w:ascii="仿宋" w:eastAsia="仿宋"/>
          <w:color w:val="FF0000"/>
          <w:sz w:val="32"/>
          <w:szCs w:val="32"/>
        </w:rPr>
      </w:pPr>
      <w:r>
        <w:drawing>
          <wp:anchor distT="0" distB="0" distL="114300" distR="114300" simplePos="0" relativeHeight="251659264" behindDoc="0" locked="0" layoutInCell="1" allowOverlap="1">
            <wp:simplePos x="0" y="0"/>
            <wp:positionH relativeFrom="column">
              <wp:posOffset>300355</wp:posOffset>
            </wp:positionH>
            <wp:positionV relativeFrom="paragraph">
              <wp:posOffset>20320</wp:posOffset>
            </wp:positionV>
            <wp:extent cx="4591050" cy="2410460"/>
            <wp:effectExtent l="0" t="0" r="0" b="0"/>
            <wp:wrapSquare wrapText="bothSides"/>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ascii="黑体" w:eastAsia="黑体"/>
          <w:color w:val="000000"/>
          <w:sz w:val="32"/>
          <w:szCs w:val="32"/>
        </w:rPr>
      </w:pPr>
      <w:bookmarkStart w:id="34" w:name="_Toc15377209"/>
    </w:p>
    <w:p>
      <w:pPr>
        <w:spacing w:line="600" w:lineRule="exact"/>
        <w:ind w:firstLine="640" w:firstLineChars="200"/>
        <w:rPr>
          <w:rFonts w:ascii="黑体" w:eastAsia="黑体"/>
          <w:color w:val="000000"/>
          <w:sz w:val="32"/>
          <w:szCs w:val="32"/>
        </w:rPr>
      </w:pPr>
    </w:p>
    <w:p>
      <w:pPr>
        <w:spacing w:line="600" w:lineRule="exact"/>
        <w:ind w:firstLine="640" w:firstLineChars="200"/>
        <w:rPr>
          <w:rFonts w:ascii="黑体" w:eastAsia="黑体"/>
          <w:color w:val="000000"/>
          <w:sz w:val="32"/>
          <w:szCs w:val="32"/>
        </w:rPr>
      </w:pPr>
    </w:p>
    <w:p>
      <w:pPr>
        <w:spacing w:line="600" w:lineRule="exact"/>
        <w:ind w:firstLine="640" w:firstLineChars="200"/>
        <w:rPr>
          <w:rFonts w:ascii="黑体" w:eastAsia="黑体"/>
          <w:color w:val="000000"/>
          <w:sz w:val="32"/>
          <w:szCs w:val="32"/>
        </w:rPr>
      </w:pPr>
    </w:p>
    <w:p>
      <w:pPr>
        <w:spacing w:line="600" w:lineRule="exact"/>
        <w:ind w:firstLine="640" w:firstLineChars="200"/>
        <w:rPr>
          <w:rFonts w:ascii="黑体" w:eastAsia="黑体"/>
          <w:color w:val="000000"/>
          <w:sz w:val="32"/>
          <w:szCs w:val="32"/>
        </w:rPr>
      </w:pPr>
    </w:p>
    <w:p>
      <w:pPr>
        <w:spacing w:line="600" w:lineRule="exact"/>
        <w:ind w:firstLine="640" w:firstLineChars="200"/>
        <w:rPr>
          <w:rFonts w:ascii="黑体" w:eastAsia="黑体"/>
          <w:color w:val="000000"/>
          <w:sz w:val="32"/>
          <w:szCs w:val="32"/>
        </w:rPr>
      </w:pPr>
    </w:p>
    <w:p>
      <w:pPr>
        <w:spacing w:line="600" w:lineRule="exact"/>
        <w:ind w:firstLine="640" w:firstLineChars="200"/>
        <w:outlineLvl w:val="1"/>
        <w:rPr>
          <w:rStyle w:val="19"/>
          <w:rFonts w:ascii="黑体" w:eastAsia="黑体"/>
          <w:b w:val="0"/>
        </w:rPr>
      </w:pPr>
      <w:bookmarkStart w:id="35" w:name="_Toc5682"/>
      <w:r>
        <w:rPr>
          <w:rFonts w:hint="eastAsia" w:ascii="黑体" w:eastAsia="黑体"/>
          <w:color w:val="000000"/>
          <w:sz w:val="32"/>
          <w:szCs w:val="32"/>
        </w:rPr>
        <w:t>五、</w:t>
      </w:r>
      <w:r>
        <w:rPr>
          <w:rFonts w:hint="eastAsia" w:ascii="黑体" w:eastAsia="黑体"/>
          <w:b/>
          <w:color w:val="000000"/>
          <w:sz w:val="32"/>
          <w:szCs w:val="32"/>
        </w:rPr>
        <w:t>一</w:t>
      </w:r>
      <w:r>
        <w:rPr>
          <w:rStyle w:val="19"/>
          <w:rFonts w:hint="eastAsia" w:ascii="黑体" w:eastAsia="黑体"/>
          <w:b w:val="0"/>
        </w:rPr>
        <w:t>般公共预算财政拨款支出决算情况说明</w:t>
      </w:r>
      <w:bookmarkEnd w:id="34"/>
      <w:bookmarkEnd w:id="35"/>
    </w:p>
    <w:p>
      <w:pPr>
        <w:spacing w:line="600" w:lineRule="exact"/>
        <w:ind w:firstLine="643" w:firstLineChars="200"/>
        <w:outlineLvl w:val="2"/>
        <w:rPr>
          <w:rFonts w:ascii="仿宋" w:eastAsia="仿宋"/>
          <w:b/>
          <w:color w:val="000000"/>
          <w:sz w:val="32"/>
          <w:szCs w:val="32"/>
        </w:rPr>
      </w:pPr>
      <w:bookmarkStart w:id="36" w:name="_Toc15377210"/>
      <w:r>
        <w:rPr>
          <w:rFonts w:hint="eastAsia" w:ascii="仿宋" w:eastAsia="仿宋"/>
          <w:b/>
          <w:color w:val="000000"/>
          <w:sz w:val="32"/>
          <w:szCs w:val="32"/>
        </w:rPr>
        <w:t>（一）一般公共预算财政拨款支出决算总体情况</w:t>
      </w:r>
      <w:bookmarkEnd w:id="36"/>
    </w:p>
    <w:p>
      <w:pPr>
        <w:snapToGrid w:val="0"/>
        <w:spacing w:line="360" w:lineRule="auto"/>
        <w:ind w:firstLine="640" w:firstLineChars="200"/>
        <w:rPr>
          <w:rFonts w:ascii="仿宋_GB2312" w:eastAsia="仿宋_GB2312"/>
          <w:spacing w:val="-2"/>
          <w:sz w:val="32"/>
          <w:szCs w:val="32"/>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一般公共预算财政拨款支出6500.65万元，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9年相比，一般公共预算财政拨款</w:t>
      </w:r>
      <w:r>
        <w:rPr>
          <w:rFonts w:hint="eastAsia" w:ascii="仿宋_GB2312" w:eastAsia="仿宋_GB2312"/>
          <w:spacing w:val="-2"/>
          <w:sz w:val="32"/>
          <w:szCs w:val="32"/>
        </w:rPr>
        <w:t>支出减少1113.96万元，减少14.63%。主要原因一是2019年支出包含了上年结转项目；二是2020年部分项目资金结转到下一年。</w:t>
      </w:r>
    </w:p>
    <w:p>
      <w:pPr>
        <w:snapToGrid w:val="0"/>
        <w:spacing w:line="520" w:lineRule="exact"/>
        <w:ind w:firstLine="420" w:firstLineChars="200"/>
        <w:outlineLvl w:val="2"/>
        <w:rPr>
          <w:rFonts w:ascii="仿宋" w:eastAsia="仿宋"/>
          <w:b/>
          <w:color w:val="000000"/>
          <w:sz w:val="32"/>
          <w:szCs w:val="32"/>
        </w:rPr>
      </w:pPr>
      <w:bookmarkStart w:id="37" w:name="_Toc15377211"/>
      <w:r>
        <w:drawing>
          <wp:anchor distT="0" distB="0" distL="114300" distR="114300" simplePos="0" relativeHeight="251659264" behindDoc="0" locked="0" layoutInCell="1" allowOverlap="1">
            <wp:simplePos x="0" y="0"/>
            <wp:positionH relativeFrom="column">
              <wp:posOffset>813435</wp:posOffset>
            </wp:positionH>
            <wp:positionV relativeFrom="paragraph">
              <wp:posOffset>-5988050</wp:posOffset>
            </wp:positionV>
            <wp:extent cx="4353560" cy="2571750"/>
            <wp:effectExtent l="0" t="0" r="0" b="0"/>
            <wp:wrapTopAndBottom/>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eastAsia="仿宋"/>
          <w:b/>
          <w:color w:val="000000"/>
          <w:sz w:val="32"/>
          <w:szCs w:val="32"/>
        </w:rPr>
        <w:t>（二）一般公共预算财政拨款支出决算结构情况</w:t>
      </w:r>
      <w:bookmarkEnd w:id="37"/>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20年一般公共预算财政拨款支出6500.65万元，主要用于以下方面</w:t>
      </w:r>
      <w:r>
        <w:rPr>
          <w:rFonts w:ascii="仿宋" w:eastAsia="仿宋"/>
          <w:color w:val="000000"/>
          <w:sz w:val="32"/>
          <w:szCs w:val="32"/>
        </w:rPr>
        <w:t>:</w:t>
      </w:r>
      <w:r>
        <w:rPr>
          <w:rFonts w:hint="eastAsia" w:ascii="仿宋" w:eastAsia="仿宋"/>
          <w:b/>
          <w:bCs/>
          <w:color w:val="000000"/>
          <w:sz w:val="32"/>
          <w:szCs w:val="32"/>
        </w:rPr>
        <w:t>社会保障和就业（类）</w:t>
      </w:r>
      <w:r>
        <w:rPr>
          <w:rFonts w:hint="eastAsia" w:ascii="仿宋" w:eastAsia="仿宋"/>
          <w:color w:val="000000"/>
          <w:sz w:val="32"/>
          <w:szCs w:val="32"/>
        </w:rPr>
        <w:t>支出55.43万元，占0.85%；</w:t>
      </w:r>
      <w:r>
        <w:rPr>
          <w:rFonts w:hint="eastAsia" w:ascii="仿宋" w:eastAsia="仿宋"/>
          <w:b/>
          <w:bCs/>
          <w:color w:val="000000"/>
          <w:sz w:val="32"/>
          <w:szCs w:val="32"/>
        </w:rPr>
        <w:t>卫生健康（类）</w:t>
      </w:r>
      <w:r>
        <w:rPr>
          <w:rFonts w:hint="eastAsia" w:ascii="仿宋" w:eastAsia="仿宋"/>
          <w:color w:val="000000"/>
          <w:sz w:val="32"/>
          <w:szCs w:val="32"/>
        </w:rPr>
        <w:t>支出24.77万元，占0.38%；</w:t>
      </w:r>
      <w:r>
        <w:rPr>
          <w:rFonts w:hint="eastAsia" w:ascii="仿宋" w:eastAsia="仿宋"/>
          <w:b/>
          <w:bCs/>
          <w:color w:val="000000"/>
          <w:sz w:val="32"/>
          <w:szCs w:val="32"/>
        </w:rPr>
        <w:t>节能环保（类）</w:t>
      </w:r>
      <w:r>
        <w:rPr>
          <w:rFonts w:hint="eastAsia" w:ascii="仿宋" w:eastAsia="仿宋"/>
          <w:color w:val="000000"/>
          <w:sz w:val="32"/>
          <w:szCs w:val="32"/>
        </w:rPr>
        <w:t>支出309.93万元占4.77%；</w:t>
      </w:r>
      <w:r>
        <w:rPr>
          <w:rFonts w:hint="eastAsia" w:ascii="仿宋" w:eastAsia="仿宋"/>
          <w:b/>
          <w:bCs/>
          <w:color w:val="000000"/>
          <w:sz w:val="32"/>
          <w:szCs w:val="32"/>
        </w:rPr>
        <w:t>农林水（类）</w:t>
      </w:r>
      <w:r>
        <w:rPr>
          <w:rFonts w:hint="eastAsia" w:ascii="仿宋" w:eastAsia="仿宋"/>
          <w:color w:val="000000"/>
          <w:sz w:val="32"/>
          <w:szCs w:val="32"/>
        </w:rPr>
        <w:t>支出6006.60万元，占92.4%；</w:t>
      </w:r>
      <w:r>
        <w:rPr>
          <w:rFonts w:hint="eastAsia" w:ascii="仿宋" w:eastAsia="仿宋"/>
          <w:b/>
          <w:bCs/>
          <w:color w:val="000000"/>
          <w:sz w:val="32"/>
          <w:szCs w:val="32"/>
        </w:rPr>
        <w:t>住房保障（类）</w:t>
      </w:r>
      <w:r>
        <w:rPr>
          <w:rFonts w:hint="eastAsia" w:ascii="仿宋" w:eastAsia="仿宋"/>
          <w:color w:val="000000"/>
          <w:sz w:val="32"/>
          <w:szCs w:val="32"/>
        </w:rPr>
        <w:t>支出37.24万元0.57%；</w:t>
      </w:r>
      <w:r>
        <w:rPr>
          <w:rFonts w:hint="eastAsia" w:ascii="仿宋" w:eastAsia="仿宋"/>
          <w:b/>
          <w:bCs/>
          <w:color w:val="000000"/>
          <w:sz w:val="32"/>
          <w:szCs w:val="32"/>
        </w:rPr>
        <w:t>其他（类）</w:t>
      </w:r>
      <w:r>
        <w:rPr>
          <w:rFonts w:hint="eastAsia" w:ascii="仿宋" w:eastAsia="仿宋"/>
          <w:color w:val="000000"/>
          <w:sz w:val="32"/>
          <w:szCs w:val="32"/>
        </w:rPr>
        <w:t>支出66.69万元，占1.03%。</w:t>
      </w:r>
    </w:p>
    <w:p>
      <w:pPr>
        <w:pStyle w:val="2"/>
        <w:ind w:left="840" w:hanging="420"/>
        <w:rPr>
          <w:rFonts w:ascii="仿宋" w:eastAsia="仿宋"/>
          <w:b/>
          <w:color w:val="000000"/>
          <w:sz w:val="32"/>
          <w:szCs w:val="32"/>
        </w:rPr>
      </w:pPr>
      <w:r>
        <w:drawing>
          <wp:inline distT="0" distB="0" distL="114300" distR="114300">
            <wp:extent cx="4572000" cy="2743200"/>
            <wp:effectExtent l="0" t="0" r="0" b="0"/>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Start w:id="38" w:name="_Toc15377444"/>
      <w:bookmarkStart w:id="39" w:name="_Toc15378460"/>
      <w:bookmarkStart w:id="40" w:name="_Toc15377213"/>
    </w:p>
    <w:p>
      <w:pPr>
        <w:spacing w:line="600" w:lineRule="exact"/>
        <w:ind w:firstLine="643" w:firstLineChars="200"/>
        <w:outlineLvl w:val="2"/>
        <w:rPr>
          <w:rFonts w:ascii="仿宋" w:eastAsia="仿宋"/>
          <w:b/>
          <w:color w:val="000000"/>
          <w:sz w:val="32"/>
          <w:szCs w:val="32"/>
        </w:rPr>
      </w:pPr>
      <w:bookmarkStart w:id="41" w:name="_Toc15377212"/>
      <w:r>
        <w:rPr>
          <w:rFonts w:hint="eastAsia" w:ascii="仿宋" w:eastAsia="仿宋"/>
          <w:b/>
          <w:color w:val="000000"/>
          <w:sz w:val="32"/>
          <w:szCs w:val="32"/>
        </w:rPr>
        <w:t>（三）一般公共预算财政拨款支出决算具体情况</w:t>
      </w:r>
      <w:bookmarkEnd w:id="41"/>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2020年一般公共预算数为8950.95万元，支出决算数为6500.65万元，完</w:t>
      </w:r>
      <w:r>
        <w:rPr>
          <w:rStyle w:val="16"/>
          <w:rFonts w:hint="eastAsia" w:ascii="仿宋" w:eastAsia="仿宋"/>
          <w:b w:val="0"/>
          <w:bCs/>
          <w:color w:val="000000"/>
          <w:sz w:val="32"/>
          <w:szCs w:val="32"/>
        </w:rPr>
        <w:t>成预算72.63</w:t>
      </w:r>
      <w:r>
        <w:rPr>
          <w:rStyle w:val="16"/>
          <w:rFonts w:ascii="仿宋" w:eastAsia="仿宋"/>
          <w:b w:val="0"/>
          <w:bCs/>
          <w:color w:val="000000"/>
          <w:sz w:val="32"/>
          <w:szCs w:val="32"/>
        </w:rPr>
        <w:t>%</w:t>
      </w:r>
      <w:r>
        <w:rPr>
          <w:rStyle w:val="16"/>
          <w:rFonts w:hint="eastAsia" w:ascii="仿宋" w:eastAsia="仿宋"/>
          <w:b w:val="0"/>
          <w:bCs/>
          <w:color w:val="000000"/>
          <w:sz w:val="32"/>
          <w:szCs w:val="32"/>
        </w:rPr>
        <w:t>。结转下年2450.3万元。其中：</w:t>
      </w:r>
      <w:bookmarkEnd w:id="38"/>
      <w:bookmarkEnd w:id="39"/>
      <w:bookmarkEnd w:id="40"/>
    </w:p>
    <w:p>
      <w:pPr>
        <w:spacing w:line="600" w:lineRule="exact"/>
        <w:ind w:firstLine="640" w:firstLineChars="200"/>
        <w:rPr>
          <w:rFonts w:ascii="仿宋_GB2312" w:eastAsia="仿宋_GB2312"/>
          <w:color w:val="000000"/>
          <w:sz w:val="32"/>
          <w:szCs w:val="32"/>
        </w:rPr>
      </w:pPr>
      <w:bookmarkStart w:id="42" w:name="_Toc15377214"/>
      <w:r>
        <w:rPr>
          <w:rFonts w:hint="eastAsia" w:ascii="仿宋_GB2312" w:eastAsia="仿宋_GB2312"/>
          <w:color w:val="000000"/>
          <w:sz w:val="32"/>
          <w:szCs w:val="32"/>
        </w:rPr>
        <w:t>1、</w:t>
      </w:r>
      <w:r>
        <w:rPr>
          <w:rFonts w:hint="eastAsia" w:ascii="仿宋_GB2312" w:eastAsia="仿宋_GB2312"/>
          <w:sz w:val="32"/>
          <w:szCs w:val="32"/>
        </w:rPr>
        <w:t>社会保障和就业支出</w:t>
      </w:r>
      <w:r>
        <w:rPr>
          <w:rStyle w:val="16"/>
          <w:rFonts w:hint="eastAsia" w:ascii="仿宋_GB2312" w:eastAsia="仿宋_GB2312"/>
          <w:sz w:val="32"/>
          <w:szCs w:val="32"/>
        </w:rPr>
        <w:t>:</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社会保障和就业支出208（类）行政事业单位离退休05（款）机关事业单位基本养老保险缴费05（项）</w:t>
      </w:r>
      <w:r>
        <w:rPr>
          <w:rFonts w:hint="eastAsia" w:ascii="仿宋_GB2312" w:eastAsia="仿宋_GB2312"/>
          <w:sz w:val="32"/>
          <w:szCs w:val="32"/>
        </w:rPr>
        <w:t>：2020年支出数为369,525.12元；</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社会保障和就业支出208（类）行政事业单位离退休05（款）机关事业单位职业年金缴费06（项）</w:t>
      </w:r>
      <w:r>
        <w:rPr>
          <w:rFonts w:hint="eastAsia" w:ascii="仿宋_GB2312" w:eastAsia="仿宋_GB2312"/>
          <w:sz w:val="32"/>
          <w:szCs w:val="32"/>
        </w:rPr>
        <w:t>：2020年支出数为184,757.56元；</w:t>
      </w:r>
    </w:p>
    <w:p>
      <w:pPr>
        <w:numPr>
          <w:ilvl w:val="0"/>
          <w:numId w:val="2"/>
        </w:numPr>
        <w:ind w:firstLine="640" w:firstLineChars="200"/>
        <w:rPr>
          <w:rFonts w:ascii="仿宋_GB2312" w:eastAsia="仿宋_GB2312"/>
          <w:color w:val="000000"/>
          <w:sz w:val="32"/>
          <w:szCs w:val="32"/>
        </w:rPr>
      </w:pPr>
      <w:r>
        <w:rPr>
          <w:rFonts w:hint="eastAsia" w:ascii="仿宋_GB2312" w:eastAsia="仿宋_GB2312"/>
          <w:sz w:val="32"/>
          <w:szCs w:val="32"/>
        </w:rPr>
        <w:t>卫生健康支出：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卫生健康支出210（类）行政事业单位医疗11（款）行政单位医疗01（项）：2020年支出41008.31元；</w:t>
      </w:r>
    </w:p>
    <w:p>
      <w:pPr>
        <w:ind w:firstLine="640" w:firstLineChars="200"/>
      </w:pPr>
      <w:r>
        <w:rPr>
          <w:rFonts w:hint="eastAsia" w:ascii="仿宋_GB2312" w:eastAsia="仿宋_GB2312"/>
          <w:color w:val="000000"/>
          <w:sz w:val="32"/>
          <w:szCs w:val="32"/>
        </w:rPr>
        <w:t>卫生健康支出210（类）公共卫生04（款）突发公共卫生事件应急处理10（项）：2020年支出5,900.00元；</w:t>
      </w:r>
    </w:p>
    <w:p>
      <w:pPr>
        <w:pStyle w:val="2"/>
        <w:ind w:left="0" w:leftChars="0" w:firstLine="640" w:firstLineChars="200"/>
        <w:rPr>
          <w:rFonts w:ascii="仿宋_GB2312" w:eastAsia="仿宋_GB2312"/>
          <w:color w:val="000000"/>
          <w:sz w:val="32"/>
          <w:szCs w:val="32"/>
        </w:rPr>
      </w:pPr>
      <w:r>
        <w:rPr>
          <w:rFonts w:hint="eastAsia" w:ascii="仿宋_GB2312" w:eastAsia="仿宋_GB2312"/>
          <w:color w:val="000000"/>
          <w:sz w:val="32"/>
          <w:szCs w:val="32"/>
        </w:rPr>
        <w:t>卫生健康支出210（类）行政事业单位医疗11（款）公务员医疗补助03（项）：2020年支出19429.41元；</w:t>
      </w:r>
    </w:p>
    <w:p>
      <w:pPr>
        <w:pStyle w:val="2"/>
        <w:ind w:left="0" w:leftChars="0" w:firstLine="640" w:firstLineChars="200"/>
        <w:rPr>
          <w:rFonts w:ascii="仿宋_GB2312" w:eastAsia="仿宋_GB2312"/>
          <w:color w:val="000000"/>
          <w:sz w:val="32"/>
          <w:szCs w:val="32"/>
        </w:rPr>
      </w:pPr>
      <w:r>
        <w:rPr>
          <w:rFonts w:hint="eastAsia" w:ascii="仿宋_GB2312" w:eastAsia="仿宋_GB2312"/>
          <w:color w:val="000000"/>
          <w:sz w:val="32"/>
          <w:szCs w:val="32"/>
        </w:rPr>
        <w:t>卫生健康支出210（类）行政事业单位医疗11（款）行政单位医疗01（项）：2020年支出41,008.31元；</w:t>
      </w:r>
    </w:p>
    <w:p>
      <w:pPr>
        <w:pStyle w:val="2"/>
        <w:ind w:left="0" w:leftChars="0" w:firstLine="640" w:firstLineChars="200"/>
        <w:rPr>
          <w:rFonts w:ascii="仿宋_GB2312" w:eastAsia="仿宋_GB2312"/>
          <w:color w:val="000000"/>
          <w:sz w:val="32"/>
          <w:szCs w:val="32"/>
        </w:rPr>
      </w:pPr>
      <w:r>
        <w:rPr>
          <w:rFonts w:hint="eastAsia" w:ascii="仿宋_GB2312" w:eastAsia="仿宋_GB2312"/>
          <w:color w:val="000000"/>
          <w:sz w:val="32"/>
          <w:szCs w:val="32"/>
        </w:rPr>
        <w:t>卫生健康支出210（类）行政事业单位医疗11（款）事业单位医疗02（项）：2020年支出123,024.93元；</w:t>
      </w:r>
    </w:p>
    <w:p>
      <w:pPr>
        <w:pStyle w:val="2"/>
        <w:ind w:left="0" w:leftChars="0" w:firstLine="640" w:firstLineChars="200"/>
      </w:pPr>
      <w:r>
        <w:rPr>
          <w:rFonts w:hint="eastAsia" w:ascii="仿宋_GB2312" w:eastAsia="仿宋_GB2312"/>
          <w:color w:val="000000"/>
          <w:sz w:val="32"/>
          <w:szCs w:val="32"/>
        </w:rPr>
        <w:t>卫生健康支出210（类）行政事业单位医疗11（款）其他行政事业单位医疗支出99（项）：2020年支出58,288.23元；</w:t>
      </w:r>
    </w:p>
    <w:p>
      <w:pPr>
        <w:numPr>
          <w:ilvl w:val="0"/>
          <w:numId w:val="2"/>
        </w:numPr>
        <w:ind w:firstLine="640" w:firstLineChars="200"/>
        <w:rPr>
          <w:rFonts w:ascii="仿宋_GB2312" w:eastAsia="仿宋_GB2312"/>
          <w:color w:val="000000"/>
          <w:sz w:val="32"/>
          <w:szCs w:val="32"/>
        </w:rPr>
      </w:pPr>
      <w:r>
        <w:rPr>
          <w:rFonts w:hint="eastAsia" w:ascii="仿宋_GB2312" w:eastAsia="仿宋_GB2312"/>
          <w:color w:val="000000"/>
          <w:sz w:val="32"/>
          <w:szCs w:val="32"/>
        </w:rPr>
        <w:t>农林水支出:</w:t>
      </w:r>
    </w:p>
    <w:p>
      <w:pPr>
        <w:pStyle w:val="2"/>
        <w:ind w:left="0" w:leftChars="0" w:firstLine="640" w:firstLineChars="200"/>
        <w:rPr>
          <w:rFonts w:ascii="仿宋_GB2312" w:eastAsia="仿宋_GB2312"/>
          <w:color w:val="000000"/>
          <w:sz w:val="32"/>
          <w:szCs w:val="32"/>
        </w:rPr>
      </w:pPr>
      <w:r>
        <w:rPr>
          <w:rFonts w:hint="eastAsia" w:ascii="仿宋_GB2312" w:eastAsia="仿宋_GB2312"/>
          <w:color w:val="000000"/>
          <w:sz w:val="32"/>
          <w:szCs w:val="32"/>
        </w:rPr>
        <w:t>农林水支出213(类)水利03（款）行政运行01（项）：2020年支出702883.43元；</w:t>
      </w:r>
    </w:p>
    <w:p>
      <w:pPr>
        <w:pStyle w:val="2"/>
        <w:ind w:left="0" w:leftChars="0" w:firstLine="640" w:firstLineChars="200"/>
        <w:rPr>
          <w:rFonts w:ascii="仿宋_GB2312" w:eastAsia="仿宋_GB2312"/>
          <w:color w:val="000000"/>
          <w:sz w:val="32"/>
          <w:szCs w:val="32"/>
        </w:rPr>
      </w:pPr>
      <w:r>
        <w:rPr>
          <w:rFonts w:hint="eastAsia" w:ascii="仿宋_GB2312" w:eastAsia="仿宋_GB2312"/>
          <w:color w:val="000000"/>
          <w:sz w:val="32"/>
          <w:szCs w:val="32"/>
        </w:rPr>
        <w:t>农林水支出213(类)农业农村01（款）其他农业农村支出99（项）：2020年支出455,598.00元；</w:t>
      </w:r>
    </w:p>
    <w:p>
      <w:pPr>
        <w:pStyle w:val="2"/>
        <w:ind w:left="0" w:leftChars="0" w:firstLine="640" w:firstLineChars="200"/>
      </w:pPr>
      <w:r>
        <w:rPr>
          <w:rFonts w:hint="eastAsia" w:ascii="仿宋_GB2312" w:eastAsia="仿宋_GB2312"/>
          <w:color w:val="000000"/>
          <w:sz w:val="32"/>
          <w:szCs w:val="32"/>
        </w:rPr>
        <w:t>农林水支出213(类)水利03（款）机关服务03（项）：2020年支出2,645,593.46元；</w:t>
      </w:r>
    </w:p>
    <w:p>
      <w:pPr>
        <w:pStyle w:val="2"/>
        <w:ind w:left="0" w:leftChars="0" w:firstLine="640" w:firstLineChars="200"/>
        <w:rPr>
          <w:rFonts w:ascii="仿宋_GB2312" w:eastAsia="仿宋_GB2312"/>
          <w:color w:val="000000"/>
          <w:sz w:val="32"/>
          <w:szCs w:val="32"/>
        </w:rPr>
      </w:pPr>
      <w:r>
        <w:rPr>
          <w:rFonts w:hint="eastAsia" w:ascii="仿宋_GB2312" w:eastAsia="仿宋_GB2312"/>
          <w:color w:val="000000"/>
          <w:sz w:val="32"/>
          <w:szCs w:val="32"/>
        </w:rPr>
        <w:t>农林水支出213(类)水利03（款）水利工程建设05（项）：2020年支出3,753,715.38元；</w:t>
      </w:r>
    </w:p>
    <w:p>
      <w:pPr>
        <w:pStyle w:val="2"/>
        <w:ind w:left="0" w:leftChars="0" w:firstLine="640" w:firstLineChars="200"/>
        <w:rPr>
          <w:rFonts w:ascii="仿宋_GB2312" w:eastAsia="仿宋_GB2312"/>
          <w:color w:val="000000"/>
          <w:sz w:val="32"/>
          <w:szCs w:val="32"/>
        </w:rPr>
      </w:pPr>
      <w:r>
        <w:rPr>
          <w:rFonts w:hint="eastAsia" w:ascii="仿宋_GB2312" w:eastAsia="仿宋_GB2312"/>
          <w:color w:val="000000"/>
          <w:sz w:val="32"/>
          <w:szCs w:val="32"/>
        </w:rPr>
        <w:t>农林水支出213(类)水利03（款）防汛14（项）：2020年支出986,069.81元；</w:t>
      </w:r>
    </w:p>
    <w:p>
      <w:pPr>
        <w:pStyle w:val="2"/>
        <w:ind w:left="0" w:leftChars="0" w:firstLine="640" w:firstLineChars="200"/>
      </w:pPr>
      <w:r>
        <w:rPr>
          <w:rFonts w:hint="eastAsia" w:ascii="仿宋_GB2312" w:eastAsia="仿宋_GB2312"/>
          <w:color w:val="000000"/>
          <w:sz w:val="32"/>
          <w:szCs w:val="32"/>
        </w:rPr>
        <w:t>农林水支出213(类)水利03（款）农村人畜饮水35（项）：2020年支出577,706.00元；</w:t>
      </w:r>
    </w:p>
    <w:p>
      <w:pPr>
        <w:pStyle w:val="2"/>
        <w:ind w:left="0" w:leftChars="0" w:firstLine="640" w:firstLineChars="200"/>
      </w:pPr>
      <w:r>
        <w:rPr>
          <w:rFonts w:hint="eastAsia" w:ascii="仿宋_GB2312" w:eastAsia="仿宋_GB2312"/>
          <w:color w:val="000000"/>
          <w:sz w:val="32"/>
          <w:szCs w:val="32"/>
        </w:rPr>
        <w:t>农林水支出213(类)水利03（款）其他水利支出99（项）：2020年支出1,914,081.79元；</w:t>
      </w:r>
    </w:p>
    <w:p>
      <w:pPr>
        <w:pStyle w:val="2"/>
        <w:ind w:left="0" w:leftChars="0" w:firstLine="640" w:firstLineChars="200"/>
      </w:pPr>
      <w:r>
        <w:rPr>
          <w:rFonts w:hint="eastAsia" w:ascii="仿宋_GB2312" w:eastAsia="仿宋_GB2312"/>
          <w:color w:val="000000"/>
          <w:sz w:val="32"/>
          <w:szCs w:val="32"/>
        </w:rPr>
        <w:t>农林水支出213(类)扶贫05（款）农村基础设施建设04（项）：2020年支出49,030,275.73元；</w:t>
      </w:r>
    </w:p>
    <w:p>
      <w:pPr>
        <w:numPr>
          <w:ilvl w:val="0"/>
          <w:numId w:val="2"/>
        </w:numPr>
        <w:ind w:firstLine="640" w:firstLineChars="200"/>
        <w:rPr>
          <w:rFonts w:ascii="仿宋_GB2312" w:eastAsia="仿宋_GB2312" w:cs="仿宋_GB2312"/>
          <w:sz w:val="32"/>
          <w:szCs w:val="32"/>
        </w:rPr>
      </w:pPr>
      <w:r>
        <w:rPr>
          <w:rFonts w:hint="eastAsia" w:ascii="仿宋_GB2312" w:eastAsia="仿宋_GB2312" w:cs="仿宋_GB2312"/>
          <w:sz w:val="32"/>
          <w:szCs w:val="32"/>
        </w:rPr>
        <w:t>住房保障支出：</w:t>
      </w:r>
    </w:p>
    <w:p>
      <w:pPr>
        <w:pStyle w:val="2"/>
        <w:ind w:left="0" w:leftChars="0" w:firstLine="640" w:firstLineChars="200"/>
        <w:rPr>
          <w:rFonts w:ascii="仿宋_GB2312" w:eastAsia="仿宋_GB2312" w:cs="仿宋_GB2312"/>
          <w:sz w:val="32"/>
          <w:szCs w:val="32"/>
        </w:rPr>
      </w:pPr>
      <w:r>
        <w:rPr>
          <w:rFonts w:hint="eastAsia" w:ascii="仿宋_GB2312" w:eastAsia="仿宋_GB2312" w:cs="仿宋_GB2312"/>
          <w:sz w:val="32"/>
          <w:szCs w:val="32"/>
        </w:rPr>
        <w:t>住房保障支出221（类）住房改革支出102（款）住房公积金01（项）：2020年支出360,093.00元；</w:t>
      </w:r>
    </w:p>
    <w:p>
      <w:pPr>
        <w:pStyle w:val="2"/>
        <w:ind w:left="0" w:leftChars="0" w:firstLine="640" w:firstLineChars="200"/>
      </w:pPr>
      <w:r>
        <w:rPr>
          <w:rFonts w:hint="eastAsia" w:ascii="仿宋_GB2312" w:eastAsia="仿宋_GB2312" w:cs="仿宋_GB2312"/>
          <w:sz w:val="32"/>
          <w:szCs w:val="32"/>
        </w:rPr>
        <w:t>住房保障支出221（类）住房改革支出102（款）购房补贴03（项）：2020年支出12,300.00元；</w:t>
      </w:r>
    </w:p>
    <w:p>
      <w:pPr>
        <w:numPr>
          <w:ilvl w:val="0"/>
          <w:numId w:val="2"/>
        </w:numPr>
        <w:ind w:firstLine="640" w:firstLineChars="200"/>
        <w:rPr>
          <w:rFonts w:ascii="仿宋_GB2312" w:eastAsia="仿宋_GB2312" w:cs="仿宋_GB2312"/>
          <w:sz w:val="32"/>
          <w:szCs w:val="32"/>
        </w:rPr>
      </w:pPr>
      <w:r>
        <w:rPr>
          <w:rFonts w:hint="eastAsia" w:ascii="仿宋_GB2312" w:eastAsia="仿宋_GB2312" w:cs="仿宋_GB2312"/>
          <w:sz w:val="32"/>
          <w:szCs w:val="32"/>
        </w:rPr>
        <w:t>节能环保支出：</w:t>
      </w:r>
    </w:p>
    <w:p>
      <w:pPr>
        <w:pStyle w:val="2"/>
        <w:ind w:left="0" w:leftChars="0" w:firstLine="640" w:firstLineChars="200"/>
        <w:rPr>
          <w:rFonts w:ascii="仿宋_GB2312" w:eastAsia="仿宋_GB2312" w:cs="仿宋_GB2312"/>
          <w:sz w:val="32"/>
          <w:szCs w:val="32"/>
        </w:rPr>
      </w:pPr>
      <w:r>
        <w:rPr>
          <w:rFonts w:hint="eastAsia" w:ascii="仿宋_GB2312" w:eastAsia="仿宋_GB2312" w:cs="仿宋_GB2312"/>
          <w:sz w:val="32"/>
          <w:szCs w:val="32"/>
        </w:rPr>
        <w:t>节能环保支出211（类）自然生态保护04（款）生态保护01（项）：2020年支出3,099,348.00元；</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6：其他支出</w:t>
      </w:r>
    </w:p>
    <w:p>
      <w:pPr>
        <w:pStyle w:val="2"/>
        <w:ind w:left="0" w:leftChars="0" w:firstLine="640" w:firstLineChars="200"/>
        <w:jc w:val="left"/>
        <w:rPr>
          <w:rFonts w:ascii="仿宋_GB2312" w:eastAsia="仿宋_GB2312"/>
          <w:color w:val="000000"/>
          <w:sz w:val="32"/>
          <w:szCs w:val="32"/>
        </w:rPr>
      </w:pPr>
      <w:r>
        <w:rPr>
          <w:rFonts w:hint="eastAsia" w:ascii="仿宋_GB2312" w:eastAsia="仿宋_GB2312" w:cs="仿宋_GB2312"/>
          <w:sz w:val="32"/>
          <w:szCs w:val="32"/>
        </w:rPr>
        <w:t>其他支出229（类）彩票公益金安排的支出60（款）用于扶贫的彩票公益金支出11（项）：2020年支出658000.00元。</w:t>
      </w:r>
    </w:p>
    <w:p>
      <w:pPr>
        <w:pStyle w:val="2"/>
        <w:ind w:left="840" w:hanging="420"/>
      </w:pPr>
    </w:p>
    <w:p>
      <w:pPr>
        <w:pStyle w:val="2"/>
        <w:ind w:left="0" w:leftChars="0" w:firstLine="640" w:firstLineChars="200"/>
        <w:jc w:val="left"/>
        <w:rPr>
          <w:rFonts w:ascii="仿宋_GB2312" w:eastAsia="仿宋_GB2312"/>
          <w:color w:val="000000"/>
          <w:sz w:val="32"/>
          <w:szCs w:val="32"/>
        </w:rPr>
      </w:pPr>
      <w:r>
        <w:rPr>
          <w:rFonts w:hint="eastAsia" w:ascii="仿宋_GB2312" w:eastAsia="仿宋_GB2312" w:cs="仿宋_GB2312"/>
          <w:sz w:val="32"/>
          <w:szCs w:val="32"/>
        </w:rPr>
        <w:t>其他支出229（类）其他支出99（款）其他支出0（项）8,880.00元。</w:t>
      </w:r>
    </w:p>
    <w:p>
      <w:pPr>
        <w:spacing w:line="600" w:lineRule="exact"/>
        <w:ind w:firstLine="640"/>
        <w:outlineLvl w:val="1"/>
        <w:rPr>
          <w:rStyle w:val="19"/>
        </w:rPr>
      </w:pPr>
      <w:bookmarkStart w:id="43" w:name="_Toc22403"/>
      <w:r>
        <w:rPr>
          <w:rFonts w:hint="eastAsia" w:ascii="黑体" w:eastAsia="黑体"/>
          <w:color w:val="000000"/>
          <w:sz w:val="32"/>
          <w:szCs w:val="32"/>
        </w:rPr>
        <w:t>六</w:t>
      </w:r>
      <w:r>
        <w:rPr>
          <w:rFonts w:hint="eastAsia" w:ascii="黑体" w:eastAsia="黑体"/>
          <w:b/>
          <w:color w:val="000000"/>
          <w:sz w:val="32"/>
          <w:szCs w:val="32"/>
        </w:rPr>
        <w:t>、一</w:t>
      </w:r>
      <w:r>
        <w:rPr>
          <w:rStyle w:val="19"/>
          <w:rFonts w:hint="eastAsia" w:ascii="黑体" w:eastAsia="黑体"/>
          <w:b w:val="0"/>
        </w:rPr>
        <w:t>般公共预算财政拨款基本支出决算情况说明</w:t>
      </w:r>
      <w:bookmarkEnd w:id="42"/>
      <w:bookmarkEnd w:id="43"/>
      <w:r>
        <w:rPr>
          <w:rStyle w:val="19"/>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20年一般公共预算财政拨款基本支出451.69万元，其中：</w:t>
      </w:r>
    </w:p>
    <w:p>
      <w:pPr>
        <w:pStyle w:val="2"/>
        <w:ind w:left="0" w:leftChars="0" w:firstLine="640" w:firstLineChars="200"/>
        <w:rPr>
          <w:rFonts w:ascii="仿宋_GB2312" w:eastAsia="仿宋_GB2312"/>
          <w:color w:val="000000"/>
          <w:sz w:val="32"/>
          <w:szCs w:val="32"/>
        </w:rPr>
      </w:pPr>
      <w:r>
        <w:rPr>
          <w:rFonts w:hint="eastAsia" w:ascii="仿宋_GB2312" w:eastAsia="仿宋_GB2312"/>
          <w:color w:val="000000"/>
          <w:sz w:val="32"/>
          <w:szCs w:val="32"/>
        </w:rPr>
        <w:t>其中人员经费431.59万元，其中包括基本工资1,018,843.00元，津贴补贴651,064.50元，奖金88,141.00元，绩效，机关事业单位基本养老保险缴费369,525.12元，职工资651,069.00员业年金缴费184,757.56元，职工基本医疗保险缴费164,033.241元，公务员医疗补助缴费19,429.41元，其他社会保障缴费37,867.72元，住房公积金360,093.00元，生活补助54,398.00元，医疗补助58,288.23元，奖励金658,415.50元。</w:t>
      </w:r>
    </w:p>
    <w:p>
      <w:pPr>
        <w:ind w:firstLine="640" w:firstLineChars="200"/>
        <w:rPr>
          <w:rFonts w:ascii="仿宋" w:eastAsia="仿宋"/>
          <w:color w:val="000000"/>
          <w:sz w:val="32"/>
          <w:szCs w:val="32"/>
        </w:rPr>
      </w:pPr>
      <w:r>
        <w:rPr>
          <w:rFonts w:hint="eastAsia" w:ascii="仿宋_GB2312" w:eastAsia="仿宋_GB2312"/>
          <w:color w:val="000000"/>
          <w:sz w:val="32"/>
          <w:szCs w:val="32"/>
        </w:rPr>
        <w:t>公用经费20.1万元，其中包括办公费15,837.69元，电费10,000.00元，邮电费4,000.00元，差旅费86,903.00元，维修（护）费2,000.00元，劳务费38,085.92元，福利费1,291.50元，公务用车运行维护费9,860.06元，其他交通费用33,000.00元。</w:t>
      </w:r>
    </w:p>
    <w:p>
      <w:pPr>
        <w:spacing w:line="600" w:lineRule="exact"/>
        <w:ind w:firstLine="640" w:firstLineChars="200"/>
        <w:outlineLvl w:val="1"/>
        <w:rPr>
          <w:rStyle w:val="19"/>
          <w:rFonts w:ascii="黑体" w:eastAsia="黑体"/>
          <w:b w:val="0"/>
        </w:rPr>
      </w:pPr>
      <w:bookmarkStart w:id="44" w:name="_Toc15377215"/>
      <w:bookmarkStart w:id="45" w:name="_Toc25457"/>
      <w:r>
        <w:rPr>
          <w:rFonts w:hint="eastAsia" w:ascii="黑体" w:eastAsia="黑体"/>
          <w:color w:val="000000"/>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44"/>
      <w:bookmarkEnd w:id="45"/>
    </w:p>
    <w:p>
      <w:pPr>
        <w:spacing w:line="600" w:lineRule="exact"/>
        <w:ind w:firstLine="640"/>
        <w:outlineLvl w:val="2"/>
        <w:rPr>
          <w:rFonts w:ascii="仿宋" w:eastAsia="仿宋"/>
          <w:b/>
          <w:color w:val="000000"/>
          <w:sz w:val="32"/>
          <w:szCs w:val="32"/>
        </w:rPr>
      </w:pPr>
      <w:bookmarkStart w:id="46" w:name="_Toc15377216"/>
      <w:r>
        <w:rPr>
          <w:rFonts w:hint="eastAsia" w:ascii="仿宋" w:eastAsia="仿宋"/>
          <w:b/>
          <w:color w:val="000000"/>
          <w:sz w:val="32"/>
          <w:szCs w:val="32"/>
        </w:rPr>
        <w:t>（一）“三公”经费财政拨款支出决算总体情况说明</w:t>
      </w:r>
      <w:bookmarkEnd w:id="46"/>
    </w:p>
    <w:p>
      <w:pPr>
        <w:spacing w:line="600" w:lineRule="exact"/>
        <w:ind w:firstLine="645"/>
        <w:rPr>
          <w:rFonts w:ascii="仿宋_GB2312" w:eastAsia="仿宋_GB2312"/>
          <w:color w:val="000000"/>
          <w:sz w:val="32"/>
          <w:szCs w:val="32"/>
        </w:rPr>
      </w:pPr>
      <w:bookmarkStart w:id="47" w:name="_Toc15377217"/>
      <w:r>
        <w:rPr>
          <w:rFonts w:hint="eastAsia" w:ascii="仿宋_GB2312" w:eastAsia="仿宋_GB2312"/>
          <w:color w:val="333333"/>
          <w:sz w:val="32"/>
          <w:szCs w:val="32"/>
        </w:rPr>
        <w:t>2020年度“三公”经费财政拨款支出决算为0.99万元，其中：无因公出国（境）费支出；</w:t>
      </w:r>
      <w:r>
        <w:rPr>
          <w:rFonts w:hint="eastAsia" w:ascii="仿宋_GB2312" w:eastAsia="仿宋_GB2312"/>
          <w:color w:val="000000"/>
          <w:sz w:val="32"/>
          <w:szCs w:val="32"/>
        </w:rPr>
        <w:t>公务接待</w:t>
      </w:r>
      <w:r>
        <w:rPr>
          <w:rFonts w:hint="eastAsia" w:ascii="仿宋_GB2312" w:eastAsia="仿宋_GB2312"/>
          <w:sz w:val="32"/>
          <w:szCs w:val="32"/>
        </w:rPr>
        <w:t>费0.00元、公务用</w:t>
      </w:r>
      <w:r>
        <w:rPr>
          <w:rFonts w:hint="eastAsia" w:ascii="仿宋_GB2312" w:eastAsia="仿宋_GB2312"/>
          <w:color w:val="000000"/>
          <w:sz w:val="32"/>
          <w:szCs w:val="32"/>
        </w:rPr>
        <w:t>车运行维护0.99万元。</w:t>
      </w:r>
    </w:p>
    <w:p>
      <w:pPr>
        <w:spacing w:line="600" w:lineRule="exact"/>
        <w:ind w:firstLine="640"/>
        <w:outlineLvl w:val="2"/>
        <w:rPr>
          <w:rFonts w:ascii="仿宋" w:eastAsia="仿宋"/>
          <w:b/>
          <w:color w:val="000000"/>
          <w:sz w:val="32"/>
          <w:szCs w:val="32"/>
        </w:rPr>
      </w:pPr>
      <w:r>
        <w:rPr>
          <w:rFonts w:hint="eastAsia" w:ascii="仿宋" w:eastAsia="仿宋"/>
          <w:b/>
          <w:color w:val="000000"/>
          <w:sz w:val="32"/>
          <w:szCs w:val="32"/>
        </w:rPr>
        <w:t>（二）“三公”经费财政拨款支出决算具体情况说明</w:t>
      </w:r>
      <w:bookmarkEnd w:id="47"/>
    </w:p>
    <w:p>
      <w:pPr>
        <w:spacing w:line="600" w:lineRule="exact"/>
        <w:ind w:firstLine="64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9年“三公”经费财政拨款支出</w:t>
      </w:r>
      <w:r>
        <w:rPr>
          <w:rFonts w:hint="eastAsia" w:ascii="仿宋" w:eastAsia="仿宋"/>
          <w:sz w:val="32"/>
          <w:szCs w:val="32"/>
        </w:rPr>
        <w:t>决算0.99万元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；公务用车购置及运行维护费支出决算0.99万元，占100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3" w:firstLineChars="200"/>
        <w:rPr>
          <w:rStyle w:val="16"/>
          <w:rFonts w:ascii="仿宋" w:eastAsia="仿宋"/>
          <w:b w:val="0"/>
          <w:bCs/>
          <w:color w:val="000000"/>
          <w:sz w:val="32"/>
          <w:szCs w:val="32"/>
        </w:rPr>
      </w:pPr>
      <w:r>
        <w:rPr>
          <w:rFonts w:hint="eastAsia" w:ascii="仿宋_GB2312" w:eastAsia="仿宋_GB2312"/>
          <w:b/>
          <w:color w:val="000000"/>
          <w:sz w:val="32"/>
          <w:szCs w:val="32"/>
        </w:rPr>
        <w:t>1、因公出国（境）经费</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333333"/>
          <w:sz w:val="32"/>
          <w:szCs w:val="32"/>
        </w:rPr>
        <w:t>2020年无因公出国（境）费。</w:t>
      </w:r>
    </w:p>
    <w:p>
      <w:pPr>
        <w:spacing w:line="600" w:lineRule="exact"/>
        <w:ind w:firstLine="645"/>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 w:eastAsia="仿宋"/>
          <w:sz w:val="32"/>
          <w:szCs w:val="32"/>
        </w:rPr>
        <w:t>0.99万元</w:t>
      </w:r>
      <w:r>
        <w:rPr>
          <w:rFonts w:hint="eastAsia" w:ascii="仿宋_GB2312" w:eastAsia="仿宋_GB2312"/>
          <w:color w:val="000000"/>
          <w:sz w:val="32"/>
          <w:szCs w:val="32"/>
        </w:rPr>
        <w:t>,</w:t>
      </w:r>
      <w:r>
        <w:rPr>
          <w:rFonts w:hint="eastAsia" w:ascii="仿宋_GB2312" w:eastAsia="仿宋_GB2312"/>
          <w:color w:val="333333"/>
          <w:sz w:val="32"/>
          <w:szCs w:val="32"/>
        </w:rPr>
        <w:t>主要用于开展各项财政工作所需的公务用车燃料费、维修费、过路过桥费、保险费等支出。</w:t>
      </w:r>
    </w:p>
    <w:p>
      <w:pPr>
        <w:spacing w:line="600" w:lineRule="exact"/>
        <w:ind w:firstLine="645"/>
        <w:rPr>
          <w:rFonts w:ascii="仿宋_GB2312" w:eastAsia="仿宋_GB2312"/>
          <w:color w:val="333333"/>
          <w:sz w:val="32"/>
          <w:szCs w:val="32"/>
        </w:rPr>
      </w:pPr>
      <w:r>
        <w:rPr>
          <w:rFonts w:hint="eastAsia" w:ascii="仿宋_GB2312" w:eastAsia="仿宋_GB2312"/>
          <w:color w:val="333333"/>
          <w:sz w:val="32"/>
          <w:szCs w:val="32"/>
        </w:rPr>
        <w:t>2020年我单位无无公务用车购置支出。</w:t>
      </w:r>
    </w:p>
    <w:p>
      <w:pPr>
        <w:spacing w:line="600" w:lineRule="exact"/>
        <w:ind w:left="640"/>
        <w:rPr>
          <w:rFonts w:ascii="仿宋_GB2312" w:eastAsia="仿宋_GB2312" w:cs="仿宋"/>
          <w:color w:val="000000"/>
          <w:sz w:val="32"/>
          <w:szCs w:val="32"/>
        </w:rPr>
      </w:pPr>
      <w:r>
        <w:rPr>
          <w:rFonts w:hint="eastAsia" w:ascii="仿宋_GB2312" w:eastAsia="仿宋_GB2312"/>
          <w:b/>
          <w:color w:val="000000"/>
          <w:sz w:val="32"/>
          <w:szCs w:val="32"/>
        </w:rPr>
        <w:t>3、公务接待费</w:t>
      </w:r>
    </w:p>
    <w:p>
      <w:pPr>
        <w:pStyle w:val="2"/>
        <w:ind w:left="0" w:leftChars="0" w:firstLine="640" w:firstLineChars="200"/>
        <w:rPr>
          <w:rFonts w:ascii="仿宋_GB2312" w:eastAsia="仿宋_GB2312"/>
          <w:color w:val="333333"/>
          <w:sz w:val="32"/>
          <w:szCs w:val="32"/>
        </w:rPr>
      </w:pPr>
      <w:r>
        <w:rPr>
          <w:rFonts w:hint="eastAsia" w:ascii="仿宋_GB2312" w:eastAsia="仿宋_GB2312"/>
          <w:color w:val="333333"/>
          <w:sz w:val="32"/>
          <w:szCs w:val="32"/>
        </w:rPr>
        <w:t>2020年我单位无公务接待费支出。</w:t>
      </w:r>
    </w:p>
    <w:p>
      <w:pPr>
        <w:spacing w:line="600" w:lineRule="exact"/>
        <w:ind w:firstLine="640"/>
        <w:outlineLvl w:val="1"/>
        <w:rPr>
          <w:rStyle w:val="19"/>
          <w:rFonts w:ascii="黑体" w:eastAsia="黑体"/>
        </w:rPr>
      </w:pPr>
      <w:bookmarkStart w:id="48" w:name="_Toc21816"/>
      <w:bookmarkStart w:id="49" w:name="_Toc15377218"/>
      <w:r>
        <w:rPr>
          <w:rFonts w:hint="eastAsia" w:ascii="黑体" w:eastAsia="黑体"/>
          <w:color w:val="000000"/>
          <w:sz w:val="32"/>
          <w:szCs w:val="32"/>
        </w:rPr>
        <w:t>八、</w:t>
      </w:r>
      <w:r>
        <w:rPr>
          <w:rStyle w:val="19"/>
          <w:rFonts w:hint="eastAsia" w:ascii="黑体" w:eastAsia="黑体"/>
          <w:b w:val="0"/>
        </w:rPr>
        <w:t>政府性基金预算支出决算情况说明</w:t>
      </w:r>
      <w:bookmarkEnd w:id="48"/>
      <w:bookmarkEnd w:id="49"/>
    </w:p>
    <w:p>
      <w:pPr>
        <w:spacing w:line="600" w:lineRule="exact"/>
        <w:ind w:firstLine="640"/>
        <w:rPr>
          <w:rFonts w:ascii="仿宋_GB2312" w:eastAsia="仿宋_GB2312"/>
          <w:color w:val="000000"/>
          <w:sz w:val="32"/>
          <w:szCs w:val="32"/>
        </w:rPr>
      </w:pPr>
      <w:bookmarkStart w:id="50" w:name="_Toc15377219"/>
      <w:r>
        <w:rPr>
          <w:rFonts w:hint="eastAsia" w:ascii="仿宋_GB2312" w:eastAsia="仿宋_GB2312"/>
          <w:color w:val="000000"/>
          <w:sz w:val="32"/>
          <w:szCs w:val="32"/>
        </w:rPr>
        <w:t>2020年我单位政府性基金预算财政拨款支出65.8万元。主要用于支持贫困革命老区脱贫攻坚基础设施建设。</w:t>
      </w:r>
    </w:p>
    <w:p>
      <w:pPr>
        <w:numPr>
          <w:ilvl w:val="0"/>
          <w:numId w:val="3"/>
        </w:numPr>
        <w:spacing w:line="600" w:lineRule="exact"/>
        <w:ind w:firstLine="640"/>
        <w:outlineLvl w:val="1"/>
        <w:rPr>
          <w:rStyle w:val="19"/>
          <w:rFonts w:ascii="黑体" w:eastAsia="黑体"/>
          <w:b w:val="0"/>
        </w:rPr>
      </w:pPr>
      <w:bookmarkStart w:id="51" w:name="_Toc28575"/>
      <w:r>
        <w:rPr>
          <w:rStyle w:val="19"/>
          <w:rFonts w:hint="eastAsia" w:ascii="黑体" w:eastAsia="黑体"/>
          <w:b w:val="0"/>
        </w:rPr>
        <w:t>国有资本经营预算支出决算情况说明</w:t>
      </w:r>
      <w:bookmarkEnd w:id="50"/>
      <w:bookmarkEnd w:id="5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4"/>
        <w:numPr>
          <w:ilvl w:val="0"/>
          <w:numId w:val="4"/>
        </w:numPr>
        <w:spacing w:line="580" w:lineRule="exact"/>
        <w:ind w:firstLineChars="0"/>
        <w:outlineLvl w:val="1"/>
        <w:rPr>
          <w:rStyle w:val="19"/>
          <w:rFonts w:ascii="黑体" w:eastAsia="黑体"/>
          <w:b w:val="0"/>
        </w:rPr>
      </w:pPr>
      <w:bookmarkStart w:id="52" w:name="_Toc32743"/>
      <w:r>
        <w:rPr>
          <w:rStyle w:val="19"/>
          <w:rFonts w:hint="eastAsia" w:ascii="黑体" w:eastAsia="黑体"/>
          <w:b w:val="0"/>
        </w:rPr>
        <w:t>预算绩效情况说明</w:t>
      </w:r>
      <w:bookmarkEnd w:id="52"/>
    </w:p>
    <w:p>
      <w:pPr>
        <w:numPr>
          <w:ilvl w:val="0"/>
          <w:numId w:val="5"/>
        </w:numPr>
        <w:spacing w:line="580" w:lineRule="exact"/>
        <w:ind w:firstLine="643" w:firstLineChars="200"/>
        <w:outlineLvl w:val="2"/>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1个项目编制了绩效目标，预算执行过程中，对该项目开展绩效监控，年终执行完毕后，对该项目开展了绩效目标完成情况梳理填报。</w:t>
      </w:r>
    </w:p>
    <w:p>
      <w:pPr>
        <w:spacing w:line="60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本部门按要求对2020年部门整体支出开展绩效自评，</w:t>
      </w:r>
      <w:r>
        <w:rPr>
          <w:rFonts w:hint="eastAsia" w:ascii="仿宋_GB2312" w:eastAsia="仿宋_GB2312"/>
          <w:sz w:val="32"/>
          <w:szCs w:val="32"/>
        </w:rPr>
        <w:t>经全面综合评价，我单位预算支出绩效自评得分95</w:t>
      </w:r>
      <w:r>
        <w:rPr>
          <w:rFonts w:hint="eastAsia" w:ascii="仿宋_GB2312" w:eastAsia="仿宋_GB2312"/>
          <w:color w:val="000000"/>
          <w:sz w:val="32"/>
          <w:szCs w:val="32"/>
        </w:rPr>
        <w:t>分</w:t>
      </w:r>
      <w:r>
        <w:rPr>
          <w:rFonts w:hint="eastAsia" w:ascii="仿宋_GB2312" w:eastAsia="仿宋_GB2312"/>
          <w:sz w:val="32"/>
          <w:szCs w:val="32"/>
        </w:rPr>
        <w:t>。</w:t>
      </w:r>
      <w:r>
        <w:rPr>
          <w:rFonts w:hint="eastAsia" w:ascii="仿宋_GB2312" w:eastAsia="仿宋_GB2312"/>
          <w:color w:val="000000"/>
          <w:sz w:val="32"/>
          <w:szCs w:val="32"/>
        </w:rPr>
        <w:t>存在的问题：一是预算动态管理、部门预算、决算上报效率有待提高，二是经费支出进度缓慢。下一步改进措施：一是预算动态管理，提高报表上报速率；二是加强会计核算和财务管理能力，督促资金拨付进度。</w:t>
      </w:r>
    </w:p>
    <w:p>
      <w:pPr>
        <w:numPr>
          <w:ilvl w:val="0"/>
          <w:numId w:val="5"/>
        </w:numPr>
        <w:spacing w:line="580" w:lineRule="exact"/>
        <w:ind w:firstLine="643" w:firstLineChars="200"/>
        <w:outlineLvl w:val="2"/>
        <w:rPr>
          <w:rFonts w:ascii="仿宋_GB2312" w:eastAsia="仿宋_GB2312" w:cs="仿宋_GB2312"/>
          <w:sz w:val="32"/>
          <w:szCs w:val="32"/>
        </w:rPr>
      </w:pPr>
      <w:r>
        <w:rPr>
          <w:rFonts w:hint="eastAsia" w:ascii="仿宋" w:eastAsia="仿宋" w:cs="楷体_GB2312"/>
          <w:b/>
          <w:bCs/>
          <w:sz w:val="32"/>
          <w:szCs w:val="32"/>
        </w:rPr>
        <w:t>项目绩效目标完成情况</w:t>
      </w:r>
    </w:p>
    <w:p>
      <w:pPr>
        <w:numPr>
          <w:ilvl w:val="0"/>
          <w:numId w:val="5"/>
        </w:numPr>
        <w:spacing w:line="580" w:lineRule="exact"/>
        <w:ind w:firstLine="640" w:firstLineChars="200"/>
        <w:outlineLvl w:val="2"/>
        <w:rPr>
          <w:rFonts w:ascii="仿宋_GB2312" w:eastAsia="仿宋_GB2312" w:cs="仿宋_GB2312"/>
          <w:sz w:val="32"/>
          <w:szCs w:val="32"/>
        </w:rPr>
      </w:pPr>
      <w:r>
        <w:rPr>
          <w:rFonts w:hint="eastAsia" w:ascii="仿宋_GB2312" w:eastAsia="仿宋_GB2312" w:cs="仿宋_GB2312"/>
          <w:sz w:val="32"/>
          <w:szCs w:val="32"/>
        </w:rPr>
        <w:t xml:space="preserve">    </w:t>
      </w:r>
      <w:r>
        <w:rPr>
          <w:rFonts w:hint="eastAsia" w:ascii="仿宋_GB2312" w:eastAsia="仿宋_GB2312"/>
          <w:sz w:val="32"/>
          <w:szCs w:val="32"/>
        </w:rPr>
        <w:t>本部门对2020年项目支出开展绩效自评，自评得分96分，存在的问题：</w:t>
      </w:r>
      <w:r>
        <w:rPr>
          <w:rFonts w:hint="eastAsia" w:ascii="仿宋_GB2312" w:eastAsia="仿宋_GB2312" w:cs="仿宋_GB2312"/>
          <w:sz w:val="32"/>
          <w:szCs w:val="32"/>
        </w:rPr>
        <w:t>一是预算经费支出进度较缓；二是项目完成不及时。下一步改进措施：一是加强与各股室沟通，加快资金拨付进度；二是加强会计核算和财务管理能力，督促业务股室项目进度。</w:t>
      </w:r>
    </w:p>
    <w:p>
      <w:pPr>
        <w:pStyle w:val="2"/>
        <w:tabs>
          <w:tab w:val="left" w:pos="0"/>
        </w:tabs>
        <w:ind w:left="840" w:hanging="420"/>
      </w:pPr>
    </w:p>
    <w:p/>
    <w:p>
      <w:pPr>
        <w:pStyle w:val="2"/>
        <w:ind w:left="840" w:hanging="420"/>
      </w:pPr>
    </w:p>
    <w:p/>
    <w:p>
      <w:pPr>
        <w:pStyle w:val="2"/>
        <w:ind w:left="840" w:hanging="420"/>
      </w:pPr>
    </w:p>
    <w:p/>
    <w:p>
      <w:pPr>
        <w:jc w:val="center"/>
        <w:rPr>
          <w:rFonts w:ascii="黑体" w:eastAsia="黑体"/>
          <w:sz w:val="32"/>
          <w:szCs w:val="32"/>
        </w:rPr>
      </w:pPr>
      <w:r>
        <w:rPr>
          <w:rFonts w:hint="eastAsia" w:ascii="黑体" w:eastAsia="黑体"/>
          <w:sz w:val="32"/>
          <w:szCs w:val="32"/>
        </w:rPr>
        <w:t>2020年项目支出绩效评价得分表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113"/>
        <w:gridCol w:w="3535"/>
        <w:gridCol w:w="1311"/>
        <w:gridCol w:w="1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618"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b/>
                <w:bCs/>
                <w:kern w:val="0"/>
                <w:sz w:val="20"/>
                <w:szCs w:val="20"/>
              </w:rPr>
            </w:pPr>
            <w:r>
              <w:rPr>
                <w:rFonts w:hint="eastAsia" w:ascii="宋体" w:cs="宋体"/>
                <w:b/>
                <w:bCs/>
                <w:kern w:val="0"/>
                <w:sz w:val="20"/>
                <w:szCs w:val="20"/>
              </w:rPr>
              <w:t>单位名称/</w:t>
            </w:r>
          </w:p>
          <w:p>
            <w:pPr>
              <w:widowControl/>
              <w:spacing w:line="260" w:lineRule="exact"/>
              <w:jc w:val="center"/>
              <w:rPr>
                <w:rFonts w:ascii="宋体" w:cs="宋体"/>
                <w:b/>
                <w:bCs/>
                <w:kern w:val="0"/>
                <w:sz w:val="20"/>
                <w:szCs w:val="20"/>
              </w:rPr>
            </w:pPr>
            <w:r>
              <w:rPr>
                <w:rFonts w:hint="eastAsia" w:ascii="宋体" w:cs="宋体"/>
                <w:b/>
                <w:bCs/>
                <w:kern w:val="0"/>
                <w:sz w:val="20"/>
                <w:szCs w:val="20"/>
              </w:rPr>
              <w:t>项目名称</w:t>
            </w:r>
          </w:p>
        </w:tc>
        <w:tc>
          <w:tcPr>
            <w:tcW w:w="8270"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618"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b/>
                <w:bCs/>
                <w:kern w:val="0"/>
                <w:sz w:val="20"/>
                <w:szCs w:val="20"/>
              </w:rPr>
            </w:pPr>
            <w:r>
              <w:rPr>
                <w:rFonts w:hint="eastAsia" w:ascii="宋体" w:cs="宋体"/>
                <w:b/>
                <w:bCs/>
                <w:kern w:val="0"/>
                <w:sz w:val="20"/>
                <w:szCs w:val="20"/>
              </w:rPr>
              <w:t>一级</w:t>
            </w:r>
          </w:p>
          <w:p>
            <w:pPr>
              <w:widowControl/>
              <w:spacing w:line="260" w:lineRule="exact"/>
              <w:jc w:val="center"/>
              <w:rPr>
                <w:rFonts w:ascii="宋体" w:cs="宋体"/>
                <w:b/>
                <w:bCs/>
                <w:kern w:val="0"/>
                <w:sz w:val="20"/>
                <w:szCs w:val="20"/>
              </w:rPr>
            </w:pPr>
            <w:r>
              <w:rPr>
                <w:rFonts w:hint="eastAsia" w:ascii="宋体" w:cs="宋体"/>
                <w:b/>
                <w:bCs/>
                <w:kern w:val="0"/>
                <w:sz w:val="20"/>
                <w:szCs w:val="20"/>
              </w:rPr>
              <w:t>指标</w:t>
            </w:r>
          </w:p>
        </w:tc>
        <w:tc>
          <w:tcPr>
            <w:tcW w:w="2113"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b/>
                <w:bCs/>
                <w:kern w:val="0"/>
                <w:sz w:val="20"/>
                <w:szCs w:val="20"/>
              </w:rPr>
            </w:pPr>
            <w:r>
              <w:rPr>
                <w:rFonts w:hint="eastAsia" w:ascii="宋体" w:cs="宋体"/>
                <w:b/>
                <w:bCs/>
                <w:kern w:val="0"/>
                <w:sz w:val="20"/>
                <w:szCs w:val="20"/>
              </w:rPr>
              <w:t>二级</w:t>
            </w:r>
          </w:p>
          <w:p>
            <w:pPr>
              <w:widowControl/>
              <w:spacing w:line="260" w:lineRule="exact"/>
              <w:jc w:val="center"/>
              <w:rPr>
                <w:rFonts w:ascii="宋体" w:cs="宋体"/>
                <w:b/>
                <w:bCs/>
                <w:kern w:val="0"/>
                <w:sz w:val="20"/>
                <w:szCs w:val="20"/>
              </w:rPr>
            </w:pPr>
            <w:r>
              <w:rPr>
                <w:rFonts w:hint="eastAsia" w:ascii="宋体" w:cs="宋体"/>
                <w:b/>
                <w:bCs/>
                <w:kern w:val="0"/>
                <w:sz w:val="20"/>
                <w:szCs w:val="20"/>
              </w:rPr>
              <w:t>指标</w:t>
            </w: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b/>
                <w:bCs/>
                <w:kern w:val="0"/>
                <w:sz w:val="20"/>
                <w:szCs w:val="20"/>
              </w:rPr>
            </w:pPr>
            <w:r>
              <w:rPr>
                <w:rFonts w:hint="eastAsia" w:ascii="宋体" w:cs="宋体"/>
                <w:b/>
                <w:bCs/>
                <w:kern w:val="0"/>
                <w:sz w:val="20"/>
                <w:szCs w:val="20"/>
              </w:rPr>
              <w:t>三级指标</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b/>
                <w:bCs/>
                <w:kern w:val="0"/>
                <w:sz w:val="20"/>
                <w:szCs w:val="20"/>
              </w:rPr>
            </w:pPr>
            <w:r>
              <w:rPr>
                <w:rFonts w:hint="eastAsia" w:ascii="宋体" w:cs="宋体"/>
                <w:b/>
                <w:bCs/>
                <w:kern w:val="0"/>
                <w:sz w:val="20"/>
                <w:szCs w:val="20"/>
              </w:rPr>
              <w:t>分值</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b/>
                <w:bCs/>
                <w:kern w:val="0"/>
                <w:sz w:val="18"/>
                <w:szCs w:val="18"/>
              </w:rPr>
            </w:pPr>
            <w:r>
              <w:rPr>
                <w:rFonts w:hint="eastAsia" w:ascii="宋体" w:cs="宋体"/>
                <w:b/>
                <w:bCs/>
                <w:kern w:val="0"/>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1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60" w:lineRule="exact"/>
              <w:jc w:val="center"/>
              <w:rPr>
                <w:rFonts w:hint="eastAsia" w:ascii="宋体" w:eastAsia="宋体" w:cs="宋体"/>
                <w:kern w:val="0"/>
                <w:sz w:val="20"/>
                <w:szCs w:val="20"/>
                <w:lang w:eastAsia="zh-CN"/>
              </w:rPr>
            </w:pPr>
            <w:r>
              <w:rPr>
                <w:rFonts w:hint="eastAsia" w:ascii="宋体" w:cs="宋体"/>
                <w:kern w:val="0"/>
                <w:sz w:val="20"/>
                <w:szCs w:val="20"/>
              </w:rPr>
              <w:t>（20分）</w:t>
            </w:r>
          </w:p>
          <w:p>
            <w:pPr>
              <w:widowControl/>
              <w:spacing w:line="260" w:lineRule="exact"/>
              <w:jc w:val="center"/>
              <w:rPr>
                <w:rFonts w:ascii="宋体" w:cs="宋体"/>
                <w:kern w:val="0"/>
                <w:sz w:val="20"/>
                <w:szCs w:val="20"/>
              </w:rPr>
            </w:pPr>
            <w:r>
              <w:rPr>
                <w:rFonts w:hint="eastAsia" w:ascii="宋体" w:cs="宋体"/>
                <w:kern w:val="0"/>
                <w:sz w:val="20"/>
                <w:szCs w:val="20"/>
              </w:rPr>
              <w:t>项目决策</w:t>
            </w:r>
          </w:p>
        </w:tc>
        <w:tc>
          <w:tcPr>
            <w:tcW w:w="2113"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60" w:lineRule="exact"/>
              <w:jc w:val="center"/>
              <w:rPr>
                <w:rFonts w:hint="eastAsia" w:ascii="宋体" w:eastAsia="宋体" w:cs="宋体"/>
                <w:kern w:val="0"/>
                <w:sz w:val="20"/>
                <w:szCs w:val="20"/>
                <w:lang w:eastAsia="zh-CN"/>
              </w:rPr>
            </w:pPr>
            <w:r>
              <w:rPr>
                <w:rFonts w:hint="eastAsia" w:ascii="宋体" w:cs="宋体"/>
                <w:kern w:val="0"/>
                <w:sz w:val="20"/>
                <w:szCs w:val="20"/>
              </w:rPr>
              <w:t>（10分）</w:t>
            </w:r>
          </w:p>
          <w:p>
            <w:pPr>
              <w:widowControl/>
              <w:spacing w:line="260" w:lineRule="exact"/>
              <w:jc w:val="center"/>
              <w:rPr>
                <w:rFonts w:ascii="宋体" w:cs="宋体"/>
                <w:kern w:val="0"/>
                <w:sz w:val="20"/>
                <w:szCs w:val="20"/>
              </w:rPr>
            </w:pPr>
            <w:r>
              <w:rPr>
                <w:rFonts w:hint="eastAsia" w:ascii="宋体" w:cs="宋体"/>
                <w:kern w:val="0"/>
                <w:sz w:val="20"/>
                <w:szCs w:val="20"/>
              </w:rPr>
              <w:t>科学决策</w:t>
            </w: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hint="eastAsia" w:ascii="宋体" w:eastAsia="宋体" w:cs="宋体"/>
                <w:kern w:val="0"/>
                <w:sz w:val="20"/>
                <w:szCs w:val="20"/>
                <w:lang w:eastAsia="zh-CN"/>
              </w:rPr>
            </w:pPr>
            <w:r>
              <w:rPr>
                <w:rFonts w:hint="eastAsia" w:ascii="宋体" w:cs="宋体"/>
                <w:kern w:val="0"/>
                <w:sz w:val="20"/>
                <w:szCs w:val="20"/>
              </w:rPr>
              <w:t>必要性</w:t>
            </w:r>
          </w:p>
          <w:p>
            <w:pPr>
              <w:widowControl/>
              <w:spacing w:line="260" w:lineRule="exact"/>
              <w:jc w:val="center"/>
              <w:rPr>
                <w:rFonts w:ascii="宋体" w:cs="宋体"/>
                <w:kern w:val="0"/>
                <w:sz w:val="20"/>
                <w:szCs w:val="20"/>
              </w:rPr>
            </w:pPr>
            <w:r>
              <w:rPr>
                <w:rFonts w:hint="eastAsia" w:ascii="宋体" w:cs="宋体"/>
                <w:kern w:val="0"/>
                <w:sz w:val="20"/>
                <w:szCs w:val="20"/>
              </w:rPr>
              <w:t>（政策依据)</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5</w:t>
            </w:r>
          </w:p>
        </w:tc>
        <w:tc>
          <w:tcPr>
            <w:tcW w:w="1311" w:type="dxa"/>
            <w:tcBorders>
              <w:top w:val="single" w:color="auto" w:sz="4" w:space="0"/>
              <w:left w:val="single" w:color="auto" w:sz="4" w:space="0"/>
              <w:bottom w:val="single" w:color="auto" w:sz="4" w:space="0"/>
              <w:right w:val="single" w:color="auto" w:sz="4" w:space="0"/>
            </w:tcBorders>
            <w:noWrap/>
          </w:tcPr>
          <w:p>
            <w:pPr>
              <w:widowControl/>
              <w:spacing w:line="260" w:lineRule="exact"/>
              <w:jc w:val="center"/>
              <w:rPr>
                <w:rFonts w:ascii="宋体" w:cs="宋体"/>
                <w:kern w:val="0"/>
                <w:sz w:val="15"/>
                <w:szCs w:val="15"/>
              </w:rPr>
            </w:pPr>
            <w:r>
              <w:rPr>
                <w:rFonts w:hint="eastAsia" w:ascii="宋体" w:cs="宋体"/>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hint="eastAsia" w:ascii="宋体" w:eastAsia="宋体" w:cs="宋体"/>
                <w:kern w:val="0"/>
                <w:sz w:val="20"/>
                <w:szCs w:val="20"/>
                <w:lang w:eastAsia="zh-CN"/>
              </w:rPr>
            </w:pPr>
            <w:r>
              <w:rPr>
                <w:rFonts w:hint="eastAsia" w:ascii="宋体" w:cs="宋体"/>
                <w:kern w:val="0"/>
                <w:sz w:val="20"/>
                <w:szCs w:val="20"/>
              </w:rPr>
              <w:t>可行性</w:t>
            </w:r>
          </w:p>
          <w:p>
            <w:pPr>
              <w:widowControl/>
              <w:spacing w:line="260" w:lineRule="exact"/>
              <w:jc w:val="center"/>
              <w:rPr>
                <w:rFonts w:ascii="宋体" w:cs="宋体"/>
                <w:kern w:val="0"/>
                <w:sz w:val="20"/>
                <w:szCs w:val="20"/>
              </w:rPr>
            </w:pPr>
            <w:r>
              <w:rPr>
                <w:rFonts w:hint="eastAsia" w:ascii="宋体" w:cs="宋体"/>
                <w:kern w:val="0"/>
                <w:sz w:val="20"/>
                <w:szCs w:val="20"/>
              </w:rPr>
              <w:t>（政策完善）</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5</w:t>
            </w:r>
          </w:p>
        </w:tc>
        <w:tc>
          <w:tcPr>
            <w:tcW w:w="1311" w:type="dxa"/>
            <w:tcBorders>
              <w:top w:val="single" w:color="auto" w:sz="4" w:space="0"/>
              <w:left w:val="single" w:color="auto" w:sz="4" w:space="0"/>
              <w:bottom w:val="single" w:color="auto" w:sz="4" w:space="0"/>
              <w:right w:val="single" w:color="auto" w:sz="4" w:space="0"/>
            </w:tcBorders>
            <w:noWrap/>
          </w:tcPr>
          <w:p>
            <w:pPr>
              <w:widowControl/>
              <w:spacing w:line="260" w:lineRule="exact"/>
              <w:jc w:val="center"/>
              <w:rPr>
                <w:rFonts w:ascii="宋体" w:cs="宋体"/>
                <w:kern w:val="0"/>
                <w:sz w:val="15"/>
                <w:szCs w:val="15"/>
              </w:rPr>
            </w:pPr>
            <w:r>
              <w:rPr>
                <w:rFonts w:hint="eastAsia" w:ascii="宋体" w:cs="宋体"/>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60" w:lineRule="exact"/>
              <w:jc w:val="center"/>
              <w:rPr>
                <w:rFonts w:hint="eastAsia" w:ascii="宋体" w:eastAsia="宋体" w:cs="宋体"/>
                <w:kern w:val="0"/>
                <w:sz w:val="20"/>
                <w:szCs w:val="20"/>
                <w:lang w:eastAsia="zh-CN"/>
              </w:rPr>
            </w:pPr>
            <w:r>
              <w:rPr>
                <w:rFonts w:hint="eastAsia" w:ascii="宋体" w:cs="宋体"/>
                <w:kern w:val="0"/>
                <w:sz w:val="20"/>
                <w:szCs w:val="20"/>
              </w:rPr>
              <w:t>（10）</w:t>
            </w:r>
          </w:p>
          <w:p>
            <w:pPr>
              <w:widowControl/>
              <w:spacing w:line="260" w:lineRule="exact"/>
              <w:jc w:val="center"/>
              <w:rPr>
                <w:rFonts w:ascii="宋体" w:cs="宋体"/>
                <w:kern w:val="0"/>
                <w:sz w:val="20"/>
                <w:szCs w:val="20"/>
              </w:rPr>
            </w:pPr>
            <w:r>
              <w:rPr>
                <w:rFonts w:hint="eastAsia" w:ascii="宋体" w:cs="宋体"/>
                <w:kern w:val="0"/>
                <w:sz w:val="20"/>
                <w:szCs w:val="20"/>
              </w:rPr>
              <w:t xml:space="preserve">绩效目标    </w:t>
            </w: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明确性</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5</w:t>
            </w:r>
          </w:p>
        </w:tc>
        <w:tc>
          <w:tcPr>
            <w:tcW w:w="1311" w:type="dxa"/>
            <w:tcBorders>
              <w:top w:val="single" w:color="auto" w:sz="4" w:space="0"/>
              <w:left w:val="single" w:color="auto" w:sz="4" w:space="0"/>
              <w:bottom w:val="single" w:color="auto" w:sz="4" w:space="0"/>
              <w:right w:val="single" w:color="auto" w:sz="4" w:space="0"/>
            </w:tcBorders>
            <w:noWrap/>
          </w:tcPr>
          <w:p>
            <w:pPr>
              <w:widowControl/>
              <w:spacing w:line="260" w:lineRule="exact"/>
              <w:jc w:val="center"/>
              <w:rPr>
                <w:rFonts w:ascii="宋体" w:cs="宋体"/>
                <w:kern w:val="0"/>
                <w:sz w:val="15"/>
                <w:szCs w:val="15"/>
              </w:rPr>
            </w:pPr>
            <w:r>
              <w:rPr>
                <w:rFonts w:hint="eastAsia" w:ascii="宋体" w:cs="宋体"/>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合理性</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5</w:t>
            </w:r>
          </w:p>
        </w:tc>
        <w:tc>
          <w:tcPr>
            <w:tcW w:w="1311" w:type="dxa"/>
            <w:tcBorders>
              <w:top w:val="single" w:color="auto" w:sz="4" w:space="0"/>
              <w:left w:val="single" w:color="auto" w:sz="4" w:space="0"/>
              <w:bottom w:val="single" w:color="auto" w:sz="4" w:space="0"/>
              <w:right w:val="single" w:color="auto" w:sz="4" w:space="0"/>
            </w:tcBorders>
            <w:noWrap/>
          </w:tcPr>
          <w:p>
            <w:pPr>
              <w:widowControl/>
              <w:spacing w:line="260" w:lineRule="exact"/>
              <w:jc w:val="center"/>
              <w:rPr>
                <w:rFonts w:ascii="宋体" w:cs="宋体"/>
                <w:kern w:val="0"/>
                <w:sz w:val="15"/>
                <w:szCs w:val="15"/>
              </w:rPr>
            </w:pPr>
            <w:r>
              <w:rPr>
                <w:rFonts w:hint="eastAsia" w:ascii="宋体" w:cs="宋体"/>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61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60" w:lineRule="exact"/>
              <w:jc w:val="center"/>
              <w:rPr>
                <w:rFonts w:hint="eastAsia" w:ascii="宋体" w:eastAsia="宋体" w:cs="宋体"/>
                <w:kern w:val="0"/>
                <w:sz w:val="20"/>
                <w:szCs w:val="20"/>
                <w:lang w:eastAsia="zh-CN"/>
              </w:rPr>
            </w:pPr>
            <w:r>
              <w:rPr>
                <w:rFonts w:hint="eastAsia" w:ascii="宋体" w:cs="宋体"/>
                <w:kern w:val="0"/>
                <w:sz w:val="20"/>
                <w:szCs w:val="20"/>
              </w:rPr>
              <w:t>（10分）</w:t>
            </w:r>
          </w:p>
          <w:p>
            <w:pPr>
              <w:widowControl/>
              <w:spacing w:line="260" w:lineRule="exact"/>
              <w:jc w:val="center"/>
              <w:rPr>
                <w:rFonts w:ascii="宋体" w:cs="宋体"/>
                <w:kern w:val="0"/>
                <w:sz w:val="20"/>
                <w:szCs w:val="20"/>
              </w:rPr>
            </w:pPr>
            <w:r>
              <w:rPr>
                <w:rFonts w:hint="eastAsia" w:ascii="宋体" w:cs="宋体"/>
                <w:kern w:val="0"/>
                <w:sz w:val="20"/>
                <w:szCs w:val="20"/>
              </w:rPr>
              <w:t>项目管理</w:t>
            </w:r>
          </w:p>
        </w:tc>
        <w:tc>
          <w:tcPr>
            <w:tcW w:w="2113"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60" w:lineRule="exact"/>
              <w:jc w:val="center"/>
              <w:rPr>
                <w:rFonts w:hint="eastAsia" w:ascii="宋体" w:eastAsia="宋体" w:cs="宋体"/>
                <w:kern w:val="0"/>
                <w:sz w:val="20"/>
                <w:szCs w:val="20"/>
                <w:lang w:eastAsia="zh-CN"/>
              </w:rPr>
            </w:pPr>
            <w:r>
              <w:rPr>
                <w:rFonts w:hint="eastAsia" w:ascii="宋体" w:cs="宋体"/>
                <w:kern w:val="0"/>
                <w:sz w:val="20"/>
                <w:szCs w:val="20"/>
              </w:rPr>
              <w:t>（7分）</w:t>
            </w:r>
          </w:p>
          <w:p>
            <w:pPr>
              <w:widowControl/>
              <w:spacing w:line="260" w:lineRule="exact"/>
              <w:jc w:val="center"/>
              <w:rPr>
                <w:rFonts w:ascii="宋体" w:cs="宋体"/>
                <w:kern w:val="0"/>
                <w:sz w:val="20"/>
                <w:szCs w:val="20"/>
              </w:rPr>
            </w:pPr>
            <w:r>
              <w:rPr>
                <w:rFonts w:hint="eastAsia" w:ascii="宋体" w:cs="宋体"/>
                <w:kern w:val="0"/>
                <w:sz w:val="20"/>
                <w:szCs w:val="20"/>
              </w:rPr>
              <w:t>资金管理</w:t>
            </w: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资金分配</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3</w:t>
            </w:r>
          </w:p>
        </w:tc>
        <w:tc>
          <w:tcPr>
            <w:tcW w:w="1311" w:type="dxa"/>
            <w:tcBorders>
              <w:top w:val="single" w:color="auto" w:sz="4" w:space="0"/>
              <w:left w:val="single" w:color="auto" w:sz="4" w:space="0"/>
              <w:bottom w:val="single" w:color="auto" w:sz="4" w:space="0"/>
              <w:right w:val="single" w:color="auto" w:sz="4" w:space="0"/>
            </w:tcBorders>
            <w:noWrap/>
          </w:tcPr>
          <w:p>
            <w:pPr>
              <w:widowControl/>
              <w:spacing w:line="260" w:lineRule="exact"/>
              <w:jc w:val="center"/>
              <w:rPr>
                <w:rFonts w:ascii="宋体" w:cs="宋体"/>
                <w:kern w:val="0"/>
                <w:sz w:val="15"/>
                <w:szCs w:val="15"/>
              </w:rPr>
            </w:pPr>
            <w:r>
              <w:rPr>
                <w:rFonts w:hint="eastAsia" w:ascii="宋体" w:cs="宋体"/>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textDirection w:val="tbRlV"/>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资金使用</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4</w:t>
            </w:r>
          </w:p>
        </w:tc>
        <w:tc>
          <w:tcPr>
            <w:tcW w:w="1311" w:type="dxa"/>
            <w:tcBorders>
              <w:top w:val="single" w:color="auto" w:sz="4" w:space="0"/>
              <w:left w:val="single" w:color="auto" w:sz="4" w:space="0"/>
              <w:bottom w:val="single" w:color="auto" w:sz="4" w:space="0"/>
              <w:right w:val="single" w:color="auto" w:sz="4" w:space="0"/>
            </w:tcBorders>
            <w:noWrap/>
          </w:tcPr>
          <w:p>
            <w:pPr>
              <w:widowControl/>
              <w:spacing w:line="260" w:lineRule="exact"/>
              <w:jc w:val="center"/>
              <w:rPr>
                <w:rFonts w:ascii="宋体" w:cs="宋体"/>
                <w:kern w:val="0"/>
                <w:sz w:val="15"/>
                <w:szCs w:val="15"/>
              </w:rPr>
            </w:pPr>
            <w:r>
              <w:rPr>
                <w:rFonts w:hint="eastAsia" w:ascii="宋体" w:cs="宋体"/>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60" w:lineRule="exact"/>
              <w:jc w:val="center"/>
              <w:rPr>
                <w:rFonts w:hint="eastAsia" w:ascii="宋体" w:eastAsia="宋体" w:cs="宋体"/>
                <w:kern w:val="0"/>
                <w:sz w:val="20"/>
                <w:szCs w:val="20"/>
                <w:lang w:eastAsia="zh-CN"/>
              </w:rPr>
            </w:pPr>
            <w:r>
              <w:rPr>
                <w:rFonts w:hint="eastAsia" w:ascii="宋体" w:cs="宋体"/>
                <w:kern w:val="0"/>
                <w:sz w:val="20"/>
                <w:szCs w:val="20"/>
              </w:rPr>
              <w:t>（3分）</w:t>
            </w:r>
          </w:p>
          <w:p>
            <w:pPr>
              <w:widowControl/>
              <w:spacing w:line="260" w:lineRule="exact"/>
              <w:jc w:val="center"/>
              <w:rPr>
                <w:rFonts w:ascii="宋体" w:cs="宋体"/>
                <w:kern w:val="0"/>
                <w:sz w:val="20"/>
                <w:szCs w:val="20"/>
              </w:rPr>
            </w:pPr>
            <w:r>
              <w:rPr>
                <w:rFonts w:hint="eastAsia" w:ascii="宋体" w:cs="宋体"/>
                <w:kern w:val="0"/>
                <w:sz w:val="20"/>
                <w:szCs w:val="20"/>
              </w:rPr>
              <w:t>项目执行</w:t>
            </w: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执行规范</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3</w:t>
            </w:r>
          </w:p>
        </w:tc>
        <w:tc>
          <w:tcPr>
            <w:tcW w:w="1311" w:type="dxa"/>
            <w:tcBorders>
              <w:top w:val="single" w:color="auto" w:sz="4" w:space="0"/>
              <w:left w:val="single" w:color="auto" w:sz="4" w:space="0"/>
              <w:bottom w:val="single" w:color="auto" w:sz="4" w:space="0"/>
              <w:right w:val="single" w:color="auto" w:sz="4" w:space="0"/>
            </w:tcBorders>
            <w:noWrap/>
          </w:tcPr>
          <w:p>
            <w:pPr>
              <w:widowControl/>
              <w:spacing w:line="260" w:lineRule="exact"/>
              <w:jc w:val="center"/>
              <w:rPr>
                <w:rFonts w:ascii="宋体" w:cs="宋体"/>
                <w:kern w:val="0"/>
                <w:sz w:val="15"/>
                <w:szCs w:val="15"/>
              </w:rPr>
            </w:pPr>
            <w:r>
              <w:rPr>
                <w:rFonts w:hint="eastAsia" w:ascii="宋体" w:cs="宋体"/>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1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60" w:lineRule="exact"/>
              <w:jc w:val="center"/>
              <w:rPr>
                <w:rFonts w:hint="eastAsia" w:ascii="宋体" w:eastAsia="宋体" w:cs="宋体"/>
                <w:kern w:val="0"/>
                <w:sz w:val="20"/>
                <w:szCs w:val="20"/>
                <w:lang w:eastAsia="zh-CN"/>
              </w:rPr>
            </w:pPr>
            <w:r>
              <w:rPr>
                <w:rFonts w:hint="eastAsia" w:ascii="宋体" w:cs="宋体"/>
                <w:kern w:val="0"/>
                <w:sz w:val="20"/>
                <w:szCs w:val="20"/>
              </w:rPr>
              <w:t>（特性指标70分）</w:t>
            </w:r>
          </w:p>
          <w:p>
            <w:pPr>
              <w:widowControl/>
              <w:spacing w:line="260" w:lineRule="exact"/>
              <w:jc w:val="center"/>
              <w:rPr>
                <w:rFonts w:ascii="宋体" w:cs="宋体"/>
                <w:kern w:val="0"/>
                <w:sz w:val="20"/>
                <w:szCs w:val="20"/>
              </w:rPr>
            </w:pPr>
            <w:r>
              <w:rPr>
                <w:rFonts w:hint="eastAsia" w:ascii="宋体" w:cs="宋体"/>
                <w:kern w:val="0"/>
                <w:sz w:val="20"/>
                <w:szCs w:val="20"/>
              </w:rPr>
              <w:t xml:space="preserve">项目绩效  </w:t>
            </w:r>
          </w:p>
        </w:tc>
        <w:tc>
          <w:tcPr>
            <w:tcW w:w="2113"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60" w:lineRule="exact"/>
              <w:jc w:val="center"/>
              <w:rPr>
                <w:rFonts w:hint="eastAsia" w:ascii="宋体" w:eastAsia="宋体" w:cs="宋体"/>
                <w:kern w:val="0"/>
                <w:sz w:val="20"/>
                <w:szCs w:val="20"/>
                <w:lang w:eastAsia="zh-CN"/>
              </w:rPr>
            </w:pPr>
            <w:r>
              <w:rPr>
                <w:rFonts w:hint="eastAsia" w:ascii="宋体" w:cs="宋体"/>
                <w:kern w:val="0"/>
                <w:sz w:val="20"/>
                <w:szCs w:val="20"/>
              </w:rPr>
              <w:t>（20）</w:t>
            </w:r>
          </w:p>
          <w:p>
            <w:pPr>
              <w:widowControl/>
              <w:spacing w:line="260" w:lineRule="exact"/>
              <w:jc w:val="center"/>
              <w:rPr>
                <w:rFonts w:ascii="宋体" w:cs="宋体"/>
                <w:kern w:val="0"/>
                <w:sz w:val="20"/>
                <w:szCs w:val="20"/>
              </w:rPr>
            </w:pPr>
            <w:r>
              <w:rPr>
                <w:rFonts w:hint="eastAsia" w:ascii="宋体" w:cs="宋体"/>
                <w:kern w:val="0"/>
                <w:sz w:val="20"/>
                <w:szCs w:val="20"/>
              </w:rPr>
              <w:t>项目完成</w:t>
            </w: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完成数量</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 xml:space="preserve">5 </w:t>
            </w:r>
          </w:p>
        </w:tc>
        <w:tc>
          <w:tcPr>
            <w:tcW w:w="1311" w:type="dxa"/>
            <w:tcBorders>
              <w:top w:val="single" w:color="auto" w:sz="4" w:space="0"/>
              <w:left w:val="single" w:color="auto" w:sz="4" w:space="0"/>
              <w:bottom w:val="single" w:color="auto" w:sz="4" w:space="0"/>
              <w:right w:val="single" w:color="auto" w:sz="4" w:space="0"/>
            </w:tcBorders>
            <w:noWrap/>
          </w:tcPr>
          <w:p>
            <w:pPr>
              <w:widowControl/>
              <w:spacing w:line="260" w:lineRule="exact"/>
              <w:jc w:val="center"/>
              <w:rPr>
                <w:rFonts w:ascii="宋体" w:cs="宋体"/>
                <w:kern w:val="0"/>
                <w:sz w:val="15"/>
                <w:szCs w:val="15"/>
              </w:rPr>
            </w:pPr>
            <w:r>
              <w:rPr>
                <w:rFonts w:hint="eastAsia" w:ascii="宋体" w:cs="宋体"/>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完成质量</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 xml:space="preserve">5 </w:t>
            </w:r>
          </w:p>
        </w:tc>
        <w:tc>
          <w:tcPr>
            <w:tcW w:w="1311" w:type="dxa"/>
            <w:tcBorders>
              <w:top w:val="single" w:color="auto" w:sz="4" w:space="0"/>
              <w:left w:val="single" w:color="auto" w:sz="4" w:space="0"/>
              <w:bottom w:val="single" w:color="auto" w:sz="4" w:space="0"/>
              <w:right w:val="single" w:color="auto" w:sz="4" w:space="0"/>
            </w:tcBorders>
            <w:noWrap/>
          </w:tcPr>
          <w:p>
            <w:pPr>
              <w:widowControl/>
              <w:spacing w:line="260" w:lineRule="exact"/>
              <w:jc w:val="center"/>
              <w:rPr>
                <w:rFonts w:ascii="宋体" w:cs="宋体"/>
                <w:kern w:val="0"/>
                <w:sz w:val="15"/>
                <w:szCs w:val="15"/>
              </w:rPr>
            </w:pPr>
            <w:r>
              <w:rPr>
                <w:rFonts w:hint="eastAsia" w:ascii="宋体" w:cs="宋体"/>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完成时效</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5</w:t>
            </w:r>
          </w:p>
        </w:tc>
        <w:tc>
          <w:tcPr>
            <w:tcW w:w="1311" w:type="dxa"/>
            <w:tcBorders>
              <w:top w:val="single" w:color="auto" w:sz="4" w:space="0"/>
              <w:left w:val="single" w:color="auto" w:sz="4" w:space="0"/>
              <w:bottom w:val="single" w:color="auto" w:sz="4" w:space="0"/>
              <w:right w:val="single" w:color="auto" w:sz="4" w:space="0"/>
            </w:tcBorders>
            <w:noWrap/>
          </w:tcPr>
          <w:p>
            <w:pPr>
              <w:widowControl/>
              <w:spacing w:line="260" w:lineRule="exact"/>
              <w:jc w:val="center"/>
              <w:rPr>
                <w:rFonts w:ascii="宋体" w:cs="宋体"/>
                <w:kern w:val="0"/>
                <w:sz w:val="15"/>
                <w:szCs w:val="15"/>
              </w:rPr>
            </w:pPr>
            <w:r>
              <w:rPr>
                <w:rFonts w:hint="eastAsia" w:ascii="宋体" w:cs="宋体"/>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完成成本</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5</w:t>
            </w:r>
          </w:p>
        </w:tc>
        <w:tc>
          <w:tcPr>
            <w:tcW w:w="1311" w:type="dxa"/>
            <w:tcBorders>
              <w:top w:val="single" w:color="auto" w:sz="4" w:space="0"/>
              <w:left w:val="single" w:color="auto" w:sz="4" w:space="0"/>
              <w:bottom w:val="single" w:color="auto" w:sz="4" w:space="0"/>
              <w:right w:val="single" w:color="auto" w:sz="4" w:space="0"/>
            </w:tcBorders>
            <w:noWrap/>
          </w:tcPr>
          <w:p>
            <w:pPr>
              <w:widowControl/>
              <w:spacing w:line="260" w:lineRule="exact"/>
              <w:jc w:val="center"/>
              <w:rPr>
                <w:rFonts w:ascii="宋体" w:cs="宋体"/>
                <w:kern w:val="0"/>
                <w:sz w:val="15"/>
                <w:szCs w:val="15"/>
              </w:rPr>
            </w:pPr>
            <w:r>
              <w:rPr>
                <w:rFonts w:hint="eastAsia" w:ascii="宋体" w:cs="宋体"/>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60" w:lineRule="exact"/>
              <w:jc w:val="center"/>
              <w:rPr>
                <w:rFonts w:hint="eastAsia" w:ascii="宋体" w:eastAsia="宋体" w:cs="宋体"/>
                <w:kern w:val="0"/>
                <w:sz w:val="20"/>
                <w:szCs w:val="20"/>
                <w:lang w:eastAsia="zh-CN"/>
              </w:rPr>
            </w:pPr>
            <w:r>
              <w:rPr>
                <w:rFonts w:hint="eastAsia" w:ascii="宋体" w:cs="宋体"/>
                <w:kern w:val="0"/>
                <w:sz w:val="20"/>
                <w:szCs w:val="20"/>
              </w:rPr>
              <w:t>（50分）</w:t>
            </w:r>
          </w:p>
          <w:p>
            <w:pPr>
              <w:widowControl/>
              <w:spacing w:line="260" w:lineRule="exact"/>
              <w:jc w:val="center"/>
              <w:rPr>
                <w:rFonts w:ascii="宋体" w:cs="宋体"/>
                <w:kern w:val="0"/>
                <w:sz w:val="20"/>
                <w:szCs w:val="20"/>
              </w:rPr>
            </w:pPr>
            <w:r>
              <w:rPr>
                <w:rFonts w:hint="eastAsia" w:ascii="宋体" w:cs="宋体"/>
                <w:kern w:val="0"/>
                <w:sz w:val="20"/>
                <w:szCs w:val="20"/>
              </w:rPr>
              <w:t>项目效益</w:t>
            </w: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经济效益（可选项）</w:t>
            </w:r>
          </w:p>
        </w:tc>
        <w:tc>
          <w:tcPr>
            <w:tcW w:w="1311"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40</w:t>
            </w:r>
          </w:p>
        </w:tc>
        <w:tc>
          <w:tcPr>
            <w:tcW w:w="1311" w:type="dxa"/>
            <w:tcBorders>
              <w:top w:val="single" w:color="auto" w:sz="4" w:space="0"/>
              <w:left w:val="single" w:color="auto" w:sz="4" w:space="0"/>
              <w:bottom w:val="single" w:color="auto" w:sz="4" w:space="0"/>
              <w:right w:val="single" w:color="auto" w:sz="4" w:space="0"/>
            </w:tcBorders>
            <w:noWrap/>
          </w:tcPr>
          <w:p>
            <w:pPr>
              <w:widowControl/>
              <w:spacing w:line="260" w:lineRule="exact"/>
              <w:jc w:val="center"/>
              <w:rPr>
                <w:rFonts w:ascii="宋体" w:cs="宋体"/>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社会效益（可选项）</w:t>
            </w:r>
          </w:p>
        </w:tc>
        <w:tc>
          <w:tcPr>
            <w:tcW w:w="1311" w:type="dxa"/>
            <w:vMerge w:val="continue"/>
            <w:tcBorders>
              <w:top w:val="single" w:color="auto" w:sz="4" w:space="0"/>
              <w:left w:val="single" w:color="auto" w:sz="4" w:space="0"/>
              <w:bottom w:val="single" w:color="auto" w:sz="4" w:space="0"/>
              <w:right w:val="single" w:color="auto" w:sz="4" w:space="0"/>
            </w:tcBorders>
            <w:noWrap/>
            <w:vAlign w:val="center"/>
          </w:tcPr>
          <w:p/>
        </w:tc>
        <w:tc>
          <w:tcPr>
            <w:tcW w:w="1311" w:type="dxa"/>
            <w:tcBorders>
              <w:top w:val="single" w:color="auto" w:sz="4" w:space="0"/>
              <w:left w:val="single" w:color="auto" w:sz="4" w:space="0"/>
              <w:bottom w:val="single" w:color="auto" w:sz="4" w:space="0"/>
              <w:right w:val="single" w:color="auto" w:sz="4" w:space="0"/>
            </w:tcBorders>
            <w:noWrap/>
          </w:tcPr>
          <w:p>
            <w:pPr>
              <w:widowControl/>
              <w:spacing w:line="260" w:lineRule="exact"/>
              <w:jc w:val="left"/>
              <w:rPr>
                <w:rFonts w:ascii="宋体" w:cs="宋体"/>
                <w:kern w:val="0"/>
                <w:sz w:val="15"/>
                <w:szCs w:val="15"/>
              </w:rPr>
            </w:pPr>
            <w:r>
              <w:rPr>
                <w:rFonts w:hint="eastAsia" w:ascii="宋体" w:cs="宋体"/>
                <w:kern w:val="0"/>
                <w:sz w:val="15"/>
                <w:szCs w:val="15"/>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生态效益（可选项）</w:t>
            </w:r>
          </w:p>
        </w:tc>
        <w:tc>
          <w:tcPr>
            <w:tcW w:w="1311" w:type="dxa"/>
            <w:vMerge w:val="continue"/>
            <w:tcBorders>
              <w:top w:val="single" w:color="auto" w:sz="4" w:space="0"/>
              <w:left w:val="single" w:color="auto" w:sz="4" w:space="0"/>
              <w:bottom w:val="single" w:color="auto" w:sz="4" w:space="0"/>
              <w:right w:val="single" w:color="auto" w:sz="4" w:space="0"/>
            </w:tcBorders>
            <w:noWrap/>
            <w:vAlign w:val="center"/>
          </w:tcPr>
          <w:p/>
        </w:tc>
        <w:tc>
          <w:tcPr>
            <w:tcW w:w="1311" w:type="dxa"/>
            <w:tcBorders>
              <w:top w:val="single" w:color="auto" w:sz="4" w:space="0"/>
              <w:left w:val="single" w:color="auto" w:sz="4" w:space="0"/>
              <w:bottom w:val="single" w:color="auto" w:sz="4" w:space="0"/>
              <w:right w:val="single" w:color="auto" w:sz="4" w:space="0"/>
            </w:tcBorders>
            <w:noWrap/>
          </w:tcPr>
          <w:p>
            <w:pPr>
              <w:widowControl/>
              <w:spacing w:line="260" w:lineRule="exact"/>
              <w:jc w:val="left"/>
              <w:rPr>
                <w:rFonts w:ascii="宋体" w:cs="宋体"/>
                <w:kern w:val="0"/>
                <w:sz w:val="15"/>
                <w:szCs w:val="15"/>
              </w:rPr>
            </w:pPr>
            <w:r>
              <w:rPr>
                <w:rFonts w:hint="eastAsia" w:ascii="宋体" w:cs="宋体"/>
                <w:kern w:val="0"/>
                <w:sz w:val="15"/>
                <w:szCs w:val="15"/>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可持续效益（可选项）</w:t>
            </w:r>
          </w:p>
        </w:tc>
        <w:tc>
          <w:tcPr>
            <w:tcW w:w="1311" w:type="dxa"/>
            <w:vMerge w:val="continue"/>
            <w:tcBorders>
              <w:top w:val="single" w:color="auto" w:sz="4" w:space="0"/>
              <w:left w:val="single" w:color="auto" w:sz="4" w:space="0"/>
              <w:bottom w:val="single" w:color="auto" w:sz="4" w:space="0"/>
              <w:right w:val="single" w:color="auto" w:sz="4" w:space="0"/>
            </w:tcBorders>
            <w:noWrap/>
            <w:vAlign w:val="center"/>
          </w:tcPr>
          <w:p/>
        </w:tc>
        <w:tc>
          <w:tcPr>
            <w:tcW w:w="1311" w:type="dxa"/>
            <w:tcBorders>
              <w:top w:val="single" w:color="auto" w:sz="4" w:space="0"/>
              <w:left w:val="single" w:color="auto" w:sz="4" w:space="0"/>
              <w:bottom w:val="single" w:color="auto" w:sz="4" w:space="0"/>
              <w:right w:val="single" w:color="auto" w:sz="4" w:space="0"/>
            </w:tcBorders>
            <w:noWrap/>
          </w:tcPr>
          <w:p>
            <w:pPr>
              <w:widowControl/>
              <w:spacing w:line="260" w:lineRule="exact"/>
              <w:jc w:val="left"/>
              <w:rPr>
                <w:rFonts w:ascii="宋体" w:cs="宋体"/>
                <w:kern w:val="0"/>
                <w:sz w:val="15"/>
                <w:szCs w:val="15"/>
              </w:rPr>
            </w:pPr>
            <w:r>
              <w:rPr>
                <w:rFonts w:hint="eastAsia" w:ascii="宋体" w:cs="宋体"/>
                <w:kern w:val="0"/>
                <w:sz w:val="15"/>
                <w:szCs w:val="15"/>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公平效率（可选项）</w:t>
            </w:r>
          </w:p>
        </w:tc>
        <w:tc>
          <w:tcPr>
            <w:tcW w:w="1311" w:type="dxa"/>
            <w:vMerge w:val="continue"/>
            <w:tcBorders>
              <w:top w:val="single" w:color="auto" w:sz="4" w:space="0"/>
              <w:left w:val="single" w:color="auto" w:sz="4" w:space="0"/>
              <w:bottom w:val="single" w:color="auto" w:sz="4" w:space="0"/>
              <w:right w:val="single" w:color="auto" w:sz="4" w:space="0"/>
            </w:tcBorders>
            <w:noWrap/>
            <w:vAlign w:val="center"/>
          </w:tcPr>
          <w:p/>
        </w:tc>
        <w:tc>
          <w:tcPr>
            <w:tcW w:w="1311" w:type="dxa"/>
            <w:tcBorders>
              <w:top w:val="single" w:color="auto" w:sz="4" w:space="0"/>
              <w:left w:val="single" w:color="auto" w:sz="4" w:space="0"/>
              <w:bottom w:val="single" w:color="auto" w:sz="4" w:space="0"/>
              <w:right w:val="single" w:color="auto" w:sz="4" w:space="0"/>
            </w:tcBorders>
            <w:noWrap/>
          </w:tcPr>
          <w:p>
            <w:pPr>
              <w:widowControl/>
              <w:spacing w:line="260" w:lineRule="exact"/>
              <w:jc w:val="left"/>
              <w:rPr>
                <w:rFonts w:ascii="宋体" w:cs="宋体"/>
                <w:kern w:val="0"/>
                <w:sz w:val="15"/>
                <w:szCs w:val="15"/>
              </w:rPr>
            </w:pPr>
            <w:r>
              <w:rPr>
                <w:rFonts w:hint="eastAsia" w:ascii="宋体" w:cs="宋体"/>
                <w:kern w:val="0"/>
                <w:sz w:val="15"/>
                <w:szCs w:val="15"/>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使用效率（可选项）</w:t>
            </w:r>
          </w:p>
        </w:tc>
        <w:tc>
          <w:tcPr>
            <w:tcW w:w="1311" w:type="dxa"/>
            <w:vMerge w:val="continue"/>
            <w:tcBorders>
              <w:top w:val="single" w:color="auto" w:sz="4" w:space="0"/>
              <w:left w:val="single" w:color="auto" w:sz="4" w:space="0"/>
              <w:bottom w:val="single" w:color="auto" w:sz="4" w:space="0"/>
              <w:right w:val="single" w:color="auto" w:sz="4" w:space="0"/>
            </w:tcBorders>
            <w:noWrap/>
            <w:vAlign w:val="center"/>
          </w:tcPr>
          <w:p/>
        </w:tc>
        <w:tc>
          <w:tcPr>
            <w:tcW w:w="1311" w:type="dxa"/>
            <w:tcBorders>
              <w:top w:val="single" w:color="auto" w:sz="4" w:space="0"/>
              <w:left w:val="single" w:color="auto" w:sz="4" w:space="0"/>
              <w:bottom w:val="single" w:color="auto" w:sz="4" w:space="0"/>
              <w:right w:val="single" w:color="auto" w:sz="4" w:space="0"/>
            </w:tcBorders>
            <w:noWrap/>
          </w:tcPr>
          <w:p>
            <w:pPr>
              <w:widowControl/>
              <w:spacing w:line="260" w:lineRule="exact"/>
              <w:jc w:val="left"/>
              <w:rPr>
                <w:rFonts w:ascii="宋体" w:cs="宋体"/>
                <w:kern w:val="0"/>
                <w:sz w:val="15"/>
                <w:szCs w:val="15"/>
              </w:rPr>
            </w:pPr>
            <w:r>
              <w:rPr>
                <w:rFonts w:hint="eastAsia" w:ascii="宋体" w:cs="宋体"/>
                <w:kern w:val="0"/>
                <w:sz w:val="15"/>
                <w:szCs w:val="15"/>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 xml:space="preserve">服务对象满意度    </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20"/>
                <w:szCs w:val="20"/>
              </w:rPr>
            </w:pPr>
            <w:r>
              <w:rPr>
                <w:rFonts w:hint="eastAsia" w:ascii="宋体" w:cs="宋体"/>
                <w:kern w:val="0"/>
                <w:sz w:val="20"/>
                <w:szCs w:val="20"/>
              </w:rPr>
              <w:t>10</w:t>
            </w:r>
          </w:p>
        </w:tc>
        <w:tc>
          <w:tcPr>
            <w:tcW w:w="1311" w:type="dxa"/>
            <w:tcBorders>
              <w:top w:val="single" w:color="auto" w:sz="4" w:space="0"/>
              <w:left w:val="single" w:color="auto" w:sz="4" w:space="0"/>
              <w:bottom w:val="single" w:color="auto" w:sz="4" w:space="0"/>
              <w:right w:val="single" w:color="auto" w:sz="4" w:space="0"/>
            </w:tcBorders>
            <w:noWrap/>
          </w:tcPr>
          <w:p>
            <w:pPr>
              <w:widowControl/>
              <w:spacing w:line="260" w:lineRule="exact"/>
              <w:jc w:val="center"/>
              <w:rPr>
                <w:rFonts w:ascii="宋体" w:cs="宋体"/>
                <w:kern w:val="0"/>
                <w:sz w:val="15"/>
                <w:szCs w:val="15"/>
              </w:rPr>
            </w:pPr>
            <w:r>
              <w:rPr>
                <w:rFonts w:hint="eastAsia" w:ascii="宋体" w:cs="宋体"/>
                <w:kern w:val="0"/>
                <w:sz w:val="15"/>
                <w:szCs w:val="15"/>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618"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ascii="宋体" w:cs="宋体"/>
                <w:kern w:val="0"/>
                <w:sz w:val="20"/>
                <w:szCs w:val="20"/>
              </w:rPr>
            </w:pPr>
            <w:r>
              <w:rPr>
                <w:rFonts w:hint="eastAsia" w:ascii="宋体" w:cs="宋体"/>
                <w:kern w:val="0"/>
                <w:sz w:val="20"/>
                <w:szCs w:val="20"/>
              </w:rPr>
              <w:t>总分</w:t>
            </w:r>
          </w:p>
        </w:tc>
        <w:tc>
          <w:tcPr>
            <w:tcW w:w="8270"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kern w:val="0"/>
                <w:sz w:val="15"/>
                <w:szCs w:val="15"/>
              </w:rPr>
            </w:pPr>
          </w:p>
        </w:tc>
      </w:tr>
    </w:tbl>
    <w:p/>
    <w:p>
      <w:pPr>
        <w:rPr>
          <w:rFonts w:ascii="Calibri" w:hAnsi="Calibri"/>
        </w:rPr>
      </w:pPr>
    </w:p>
    <w:p>
      <w:pPr>
        <w:spacing w:line="600" w:lineRule="exact"/>
        <w:ind w:firstLine="640" w:firstLineChars="200"/>
        <w:outlineLvl w:val="1"/>
        <w:rPr>
          <w:rStyle w:val="19"/>
          <w:rFonts w:ascii="黑体" w:eastAsia="黑体"/>
        </w:rPr>
      </w:pPr>
      <w:bookmarkStart w:id="53" w:name="_Toc25739"/>
      <w:bookmarkStart w:id="54" w:name="_Toc15377221"/>
      <w:r>
        <w:rPr>
          <w:rFonts w:hint="eastAsia" w:ascii="黑体" w:eastAsia="黑体"/>
          <w:color w:val="000000"/>
          <w:sz w:val="32"/>
          <w:szCs w:val="32"/>
        </w:rPr>
        <w:t>十</w:t>
      </w:r>
      <w:r>
        <w:rPr>
          <w:rStyle w:val="19"/>
          <w:rFonts w:hint="eastAsia" w:ascii="黑体" w:eastAsia="黑体"/>
        </w:rPr>
        <w:t>一、</w:t>
      </w:r>
      <w:r>
        <w:rPr>
          <w:rStyle w:val="19"/>
          <w:rFonts w:hint="eastAsia" w:ascii="黑体" w:eastAsia="黑体"/>
          <w:b w:val="0"/>
        </w:rPr>
        <w:t>其他重要事项的情况说明</w:t>
      </w:r>
      <w:bookmarkEnd w:id="53"/>
      <w:bookmarkEnd w:id="54"/>
    </w:p>
    <w:p>
      <w:pPr>
        <w:spacing w:line="600" w:lineRule="exact"/>
        <w:ind w:firstLine="643" w:firstLineChars="200"/>
        <w:outlineLvl w:val="2"/>
        <w:rPr>
          <w:rFonts w:ascii="仿宋" w:eastAsia="仿宋"/>
          <w:color w:val="000000"/>
          <w:sz w:val="32"/>
          <w:szCs w:val="32"/>
        </w:rPr>
      </w:pPr>
      <w:bookmarkStart w:id="55" w:name="_Toc15377222"/>
      <w:r>
        <w:rPr>
          <w:rFonts w:hint="eastAsia" w:ascii="仿宋" w:eastAsia="仿宋"/>
          <w:b/>
          <w:color w:val="000000"/>
          <w:sz w:val="32"/>
          <w:szCs w:val="32"/>
        </w:rPr>
        <w:t>（一）机关运行经费支出情况</w:t>
      </w:r>
      <w:bookmarkEnd w:id="55"/>
    </w:p>
    <w:p>
      <w:pPr>
        <w:spacing w:line="600" w:lineRule="exact"/>
        <w:ind w:firstLine="640" w:firstLineChars="200"/>
        <w:rPr>
          <w:rFonts w:ascii="仿宋_GB2312" w:eastAsia="仿宋_GB2312"/>
          <w:color w:val="000000"/>
          <w:sz w:val="32"/>
          <w:szCs w:val="32"/>
        </w:rPr>
      </w:pPr>
      <w:bookmarkStart w:id="56" w:name="_Toc15377223"/>
      <w:r>
        <w:rPr>
          <w:rFonts w:hint="eastAsia" w:ascii="仿宋_GB2312" w:eastAsia="仿宋_GB2312"/>
          <w:color w:val="000000"/>
          <w:sz w:val="32"/>
          <w:szCs w:val="32"/>
        </w:rPr>
        <w:t>2020年度，水务局行政运行经费支出7.88万元。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r>
        <w:rPr>
          <w:rFonts w:hint="eastAsia" w:ascii="仿宋" w:eastAsia="仿宋"/>
          <w:b/>
          <w:color w:val="000000"/>
          <w:sz w:val="32"/>
          <w:szCs w:val="32"/>
        </w:rPr>
        <w:t>（二）政府采购支出情况</w:t>
      </w:r>
      <w:bookmarkEnd w:id="56"/>
    </w:p>
    <w:p>
      <w:pPr>
        <w:spacing w:line="600" w:lineRule="exact"/>
        <w:ind w:firstLine="640" w:firstLineChars="200"/>
        <w:rPr>
          <w:rFonts w:ascii="仿宋_GB2312" w:eastAsia="仿宋_GB2312"/>
          <w:color w:val="000000"/>
          <w:sz w:val="32"/>
          <w:szCs w:val="32"/>
        </w:rPr>
      </w:pPr>
      <w:bookmarkStart w:id="57" w:name="_Toc15377224"/>
      <w:r>
        <w:rPr>
          <w:rFonts w:hint="eastAsia" w:ascii="仿宋_GB2312" w:eastAsia="仿宋_GB2312"/>
          <w:color w:val="000000"/>
          <w:sz w:val="32"/>
          <w:szCs w:val="32"/>
        </w:rPr>
        <w:t>2020年度，我局采购支出总额2544.31万元，其中：政府采购货物支出37.32万元，政府采购工程支出33.68万元，政府</w:t>
      </w:r>
      <w:r>
        <w:rPr>
          <w:rFonts w:hint="eastAsia" w:ascii="仿宋_GB2312" w:eastAsia="仿宋_GB2312"/>
          <w:color w:val="000000"/>
          <w:sz w:val="32"/>
          <w:szCs w:val="32"/>
          <w:lang w:eastAsia="zh-CN"/>
        </w:rPr>
        <w:t>采购</w:t>
      </w:r>
      <w:r>
        <w:rPr>
          <w:rFonts w:hint="eastAsia" w:ascii="仿宋_GB2312" w:eastAsia="仿宋_GB2312"/>
          <w:color w:val="000000"/>
          <w:sz w:val="32"/>
          <w:szCs w:val="32"/>
        </w:rPr>
        <w:t>服务支出2473.31万元。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r>
        <w:rPr>
          <w:rFonts w:hint="eastAsia" w:ascii="仿宋" w:eastAsia="仿宋"/>
          <w:b/>
          <w:color w:val="000000"/>
          <w:sz w:val="32"/>
          <w:szCs w:val="32"/>
        </w:rPr>
        <w:t>（三）国有资产占有使用情况</w:t>
      </w:r>
      <w:bookmarkEnd w:id="57"/>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截至2020年12月31日，我局有公有车辆2辆（其中1辆已报废），均为一般公务用车；无单价50万元以上通用设备，无单价100万元以上专用设备。</w:t>
      </w:r>
    </w:p>
    <w:p>
      <w:pPr>
        <w:widowControl/>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 xml:space="preserve">   </w:t>
      </w:r>
    </w:p>
    <w:p>
      <w:pPr>
        <w:numPr>
          <w:ilvl w:val="0"/>
          <w:numId w:val="6"/>
        </w:numPr>
        <w:spacing w:line="600" w:lineRule="exact"/>
        <w:ind w:firstLine="663" w:firstLineChars="150"/>
        <w:jc w:val="center"/>
        <w:outlineLvl w:val="0"/>
        <w:rPr>
          <w:rStyle w:val="18"/>
          <w:rFonts w:ascii="黑体" w:eastAsia="黑体"/>
          <w:b w:val="0"/>
        </w:rPr>
      </w:pPr>
      <w:bookmarkStart w:id="58" w:name="_Toc15377225"/>
      <w:bookmarkStart w:id="59" w:name="_Toc6748"/>
      <w:r>
        <w:rPr>
          <w:rFonts w:hint="eastAsia" w:ascii="黑体" w:eastAsia="黑体"/>
          <w:b/>
          <w:color w:val="000000"/>
          <w:sz w:val="44"/>
          <w:szCs w:val="44"/>
        </w:rPr>
        <w:t>名</w:t>
      </w:r>
      <w:r>
        <w:rPr>
          <w:rStyle w:val="18"/>
          <w:rFonts w:hint="eastAsia" w:ascii="黑体" w:eastAsia="黑体"/>
          <w:b w:val="0"/>
        </w:rPr>
        <w:t>词解释</w:t>
      </w:r>
      <w:bookmarkEnd w:id="58"/>
      <w:bookmarkEnd w:id="59"/>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60"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4"/>
        <w:rPr>
          <w:rStyle w:val="18"/>
          <w:rFonts w:ascii="仿宋" w:eastAsia="仿宋"/>
          <w:b w:val="0"/>
          <w:bCs w:val="0"/>
          <w:sz w:val="32"/>
          <w:szCs w:val="32"/>
        </w:rPr>
      </w:pPr>
      <w:bookmarkStart w:id="61" w:name="_Toc8478"/>
      <w:r>
        <w:rPr>
          <w:rStyle w:val="18"/>
          <w:rFonts w:hint="eastAsia" w:ascii="仿宋" w:eastAsia="仿宋"/>
          <w:b w:val="0"/>
          <w:bCs w:val="0"/>
          <w:sz w:val="32"/>
          <w:szCs w:val="32"/>
        </w:rPr>
        <w:t>附件1</w:t>
      </w:r>
      <w:bookmarkEnd w:id="61"/>
    </w:p>
    <w:p>
      <w:pPr>
        <w:numPr>
          <w:ilvl w:val="0"/>
          <w:numId w:val="6"/>
        </w:numPr>
        <w:spacing w:line="600" w:lineRule="exact"/>
        <w:ind w:firstLine="660" w:firstLineChars="150"/>
        <w:jc w:val="center"/>
        <w:outlineLvl w:val="0"/>
        <w:rPr>
          <w:rStyle w:val="18"/>
          <w:rFonts w:ascii="黑体" w:eastAsia="黑体"/>
          <w:b w:val="0"/>
        </w:rPr>
      </w:pPr>
      <w:bookmarkStart w:id="62" w:name="_Toc23016"/>
      <w:r>
        <w:rPr>
          <w:rStyle w:val="18"/>
          <w:rFonts w:hint="eastAsia" w:ascii="黑体" w:eastAsia="黑体"/>
          <w:b w:val="0"/>
        </w:rPr>
        <w:t>附件</w:t>
      </w:r>
      <w:bookmarkEnd w:id="62"/>
    </w:p>
    <w:p>
      <w:pPr>
        <w:outlineLvl w:val="0"/>
        <w:rPr>
          <w:rStyle w:val="18"/>
          <w:rFonts w:ascii="黑体" w:eastAsia="黑体"/>
          <w:b w:val="0"/>
        </w:rPr>
      </w:pPr>
    </w:p>
    <w:bookmarkEnd w:id="60"/>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金川县水务局</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2020年部门整体支出绩效评价报告</w:t>
      </w:r>
    </w:p>
    <w:p>
      <w:pPr>
        <w:ind w:firstLine="640" w:firstLineChars="200"/>
        <w:rPr>
          <w:rFonts w:ascii="黑体" w:eastAsia="黑体"/>
          <w:sz w:val="32"/>
          <w:szCs w:val="32"/>
        </w:rPr>
      </w:pPr>
      <w:r>
        <w:rPr>
          <w:rFonts w:hint="eastAsia" w:ascii="黑体" w:eastAsia="黑体"/>
          <w:sz w:val="32"/>
          <w:szCs w:val="32"/>
        </w:rPr>
        <w:t>一、部门概况</w:t>
      </w:r>
    </w:p>
    <w:p>
      <w:pPr>
        <w:ind w:firstLine="643" w:firstLineChars="200"/>
        <w:rPr>
          <w:rFonts w:ascii="楷体_GB2312" w:eastAsia="楷体_GB2312"/>
          <w:b/>
          <w:sz w:val="32"/>
          <w:szCs w:val="32"/>
        </w:rPr>
      </w:pPr>
      <w:r>
        <w:rPr>
          <w:rFonts w:hint="eastAsia" w:ascii="楷体_GB2312" w:eastAsia="楷体_GB2312"/>
          <w:b/>
          <w:sz w:val="32"/>
          <w:szCs w:val="32"/>
        </w:rPr>
        <w:t>（一）机构组成</w:t>
      </w:r>
    </w:p>
    <w:p>
      <w:pPr>
        <w:ind w:firstLine="640" w:firstLineChars="200"/>
        <w:rPr>
          <w:rFonts w:ascii="仿宋_GB2312" w:eastAsia="仿宋_GB2312"/>
          <w:sz w:val="32"/>
          <w:szCs w:val="32"/>
        </w:rPr>
      </w:pPr>
      <w:r>
        <w:rPr>
          <w:rFonts w:hint="eastAsia" w:ascii="仿宋_GB2312" w:eastAsia="仿宋_GB2312"/>
          <w:sz w:val="32"/>
          <w:szCs w:val="32"/>
        </w:rPr>
        <w:t>金川县水务局为县本级一级预算单位，独立核算机构2个，由行政单位和事业单位组成。</w:t>
      </w:r>
    </w:p>
    <w:p>
      <w:pPr>
        <w:ind w:firstLine="643" w:firstLineChars="200"/>
        <w:rPr>
          <w:rFonts w:ascii="楷体_GB2312" w:eastAsia="楷体_GB2312"/>
          <w:b/>
          <w:sz w:val="32"/>
          <w:szCs w:val="32"/>
        </w:rPr>
      </w:pPr>
      <w:r>
        <w:rPr>
          <w:rFonts w:hint="eastAsia" w:ascii="楷体_GB2312" w:eastAsia="楷体_GB2312"/>
          <w:b/>
          <w:sz w:val="32"/>
          <w:szCs w:val="32"/>
        </w:rPr>
        <w:t>（二）机构职能</w:t>
      </w:r>
    </w:p>
    <w:p>
      <w:pPr>
        <w:pStyle w:val="13"/>
        <w:spacing w:before="0" w:beforeAutospacing="0" w:after="0" w:afterAutospacing="0" w:line="400" w:lineRule="exact"/>
        <w:ind w:firstLine="560" w:firstLineChars="200"/>
        <w:rPr>
          <w:rFonts w:ascii="仿宋_GB2312" w:eastAsia="仿宋_GB2312" w:cs="Arial"/>
          <w:sz w:val="32"/>
          <w:szCs w:val="32"/>
        </w:rPr>
      </w:pPr>
      <w:r>
        <w:rPr>
          <w:rFonts w:hint="eastAsia" w:ascii="仿宋_GB2312" w:eastAsia="仿宋_GB2312"/>
          <w:color w:val="333333"/>
          <w:sz w:val="28"/>
          <w:szCs w:val="28"/>
        </w:rPr>
        <w:t xml:space="preserve"> （1）</w:t>
      </w:r>
      <w:r>
        <w:rPr>
          <w:rFonts w:hint="eastAsia" w:ascii="仿宋_GB2312" w:eastAsia="仿宋_GB2312" w:cs="Arial"/>
          <w:sz w:val="32"/>
          <w:szCs w:val="32"/>
        </w:rPr>
        <w:t>、贯彻执行国家、省、州有关水行政管理工作的方针、政策和法律、法规，研究制定配套的适合县情的实施办法和规范性文件，并监督实施；负责保障水资源的合理开发利用，组织编制全县重要江河的流域综合规划、防洪规划等重大水利规划；制定水利、水产发展目标和水利工程建设有关制度并组织实施。</w:t>
      </w:r>
    </w:p>
    <w:p>
      <w:pPr>
        <w:pStyle w:val="13"/>
        <w:spacing w:before="0" w:beforeAutospacing="0" w:after="0" w:afterAutospacing="0" w:line="400" w:lineRule="exact"/>
        <w:ind w:firstLine="640" w:firstLineChars="200"/>
        <w:rPr>
          <w:rFonts w:ascii="仿宋_GB2312" w:eastAsia="仿宋_GB2312" w:cs="Arial"/>
          <w:sz w:val="32"/>
          <w:szCs w:val="32"/>
        </w:rPr>
      </w:pPr>
      <w:r>
        <w:rPr>
          <w:rFonts w:hint="eastAsia" w:ascii="仿宋_GB2312" w:eastAsia="仿宋_GB2312" w:cs="Arial"/>
          <w:sz w:val="32"/>
          <w:szCs w:val="32"/>
        </w:rPr>
        <w:t>（2）、统一管理全县水资源，拟定节约用水政策，负责生活、生产经营和生态环境用水的统筹兼顾和保障。实施水资源的统一监督管理，拟订全县和跨县水中长期供求规划、水量分配方案、计划用水、节约用水规划，制定和贯彻用水标准，指导和推动节水型社会建设工作；组织开展水资源调查评价工作；组织实施取水许可、水资源有偿使用制度和水资源论证、防洪论证、水土保持论证制度；指导全县水文水资源监测，发布水资源公报。</w:t>
      </w:r>
    </w:p>
    <w:p>
      <w:pPr>
        <w:pStyle w:val="13"/>
        <w:spacing w:before="0" w:beforeAutospacing="0" w:after="0" w:afterAutospacing="0" w:line="400" w:lineRule="exact"/>
        <w:ind w:firstLine="640" w:firstLineChars="200"/>
        <w:rPr>
          <w:rFonts w:ascii="仿宋_GB2312" w:eastAsia="仿宋_GB2312" w:cs="Arial"/>
          <w:sz w:val="32"/>
          <w:szCs w:val="32"/>
        </w:rPr>
      </w:pPr>
      <w:r>
        <w:rPr>
          <w:rFonts w:hint="eastAsia" w:ascii="仿宋_GB2312" w:eastAsia="仿宋_GB2312" w:cs="Arial"/>
          <w:sz w:val="32"/>
          <w:szCs w:val="32"/>
        </w:rPr>
        <w:t>（3）、负责水资源保护工作。组织编制水资源保护和水源地保护规划，组织拟订重要江河的水功能区划并监督实施，核定水域纳污能力，提出限制排污总量建议。指导饮用水水源保护和建设项目排污口设置工作，指导地下水开发利用和城市规划区地下水资源保护管理工作。</w:t>
      </w:r>
    </w:p>
    <w:p>
      <w:pPr>
        <w:pStyle w:val="13"/>
        <w:spacing w:before="0" w:beforeAutospacing="0" w:after="0" w:afterAutospacing="0" w:line="400" w:lineRule="exact"/>
        <w:ind w:firstLine="640" w:firstLineChars="200"/>
        <w:rPr>
          <w:rFonts w:ascii="仿宋_GB2312" w:eastAsia="仿宋_GB2312" w:cs="Arial"/>
          <w:sz w:val="32"/>
          <w:szCs w:val="32"/>
        </w:rPr>
      </w:pPr>
      <w:r>
        <w:rPr>
          <w:rFonts w:hint="eastAsia" w:ascii="仿宋_GB2312" w:eastAsia="仿宋_GB2312" w:cs="Arial"/>
          <w:sz w:val="32"/>
          <w:szCs w:val="32"/>
        </w:rPr>
        <w:t>（4）、负责防治水旱灾害，承担县政府防汛抗旱指挥部的具体工作。组织、协调、监督、指挥全县防汛抗旱工作，编制全县防汛抗旱应急预案并组织实施，指导水利突发公共事件应急管理工作。</w:t>
      </w:r>
    </w:p>
    <w:p>
      <w:pPr>
        <w:pStyle w:val="13"/>
        <w:spacing w:before="0" w:beforeAutospacing="0" w:after="0" w:afterAutospacing="0" w:line="400" w:lineRule="exact"/>
        <w:ind w:firstLine="640" w:firstLineChars="200"/>
        <w:rPr>
          <w:rFonts w:ascii="仿宋_GB2312" w:eastAsia="仿宋_GB2312" w:cs="Arial"/>
          <w:sz w:val="32"/>
          <w:szCs w:val="32"/>
        </w:rPr>
      </w:pPr>
      <w:r>
        <w:rPr>
          <w:rFonts w:hint="eastAsia" w:ascii="仿宋_GB2312" w:eastAsia="仿宋_GB2312" w:cs="Arial"/>
          <w:sz w:val="32"/>
          <w:szCs w:val="32"/>
        </w:rPr>
        <w:t>（5）、按照管理权限，编制、审查全县水利基本建设项目建议书和可行性研究报告；初审、转报水利基本建设项目初步设计；指导水利设施、水域的管理与保护，指导全县重要江河、湖泊、水库、滩涂的治理和开发，指导水利工程建设与运行管理，组织实施具有控制性或跨县重要水利工程建设与运行管理，负责河道采砂的统一监督管理工作。</w:t>
      </w:r>
    </w:p>
    <w:p>
      <w:pPr>
        <w:pStyle w:val="13"/>
        <w:spacing w:before="0" w:beforeAutospacing="0" w:after="0" w:afterAutospacing="0" w:line="400" w:lineRule="exact"/>
        <w:ind w:firstLine="640" w:firstLineChars="200"/>
        <w:rPr>
          <w:rFonts w:ascii="仿宋_GB2312" w:eastAsia="仿宋_GB2312" w:cs="Arial"/>
          <w:sz w:val="32"/>
          <w:szCs w:val="32"/>
        </w:rPr>
      </w:pPr>
      <w:r>
        <w:rPr>
          <w:rFonts w:hint="eastAsia" w:ascii="仿宋_GB2312" w:eastAsia="仿宋_GB2312" w:cs="Arial"/>
          <w:sz w:val="32"/>
          <w:szCs w:val="32"/>
        </w:rPr>
        <w:t>（6）、负责防治水土流失。拟订水土保持规划并监督实施，组织实施全县水土流失的综合防治、监测预报，负责有关重大建设项目水土保持方案的审批、监督实施及水土保持设施的验收工作，指导重点水土保持建设项目的实施。</w:t>
      </w:r>
    </w:p>
    <w:p>
      <w:pPr>
        <w:pStyle w:val="13"/>
        <w:spacing w:before="0" w:beforeAutospacing="0" w:after="0" w:afterAutospacing="0" w:line="400" w:lineRule="exact"/>
        <w:ind w:firstLine="640" w:firstLineChars="200"/>
        <w:rPr>
          <w:rFonts w:ascii="仿宋_GB2312" w:eastAsia="仿宋_GB2312" w:cs="Arial"/>
          <w:sz w:val="32"/>
          <w:szCs w:val="32"/>
        </w:rPr>
      </w:pPr>
      <w:r>
        <w:rPr>
          <w:rFonts w:hint="eastAsia" w:ascii="仿宋_GB2312" w:eastAsia="仿宋_GB2312" w:cs="Arial"/>
          <w:sz w:val="32"/>
          <w:szCs w:val="32"/>
        </w:rPr>
        <w:t>（7）、指导农村水利工作。组织协调全县农田水利基本建设，指导农村饮水安全、节水灌溉等工程建设与管理工作，协调牧区水利工作，指导农村水利社会化服务体系建设。按规定指导农村水能资源开发工作；指导水电农村电气化、小水电代燃料和农网建设改造工作。</w:t>
      </w:r>
    </w:p>
    <w:p>
      <w:pPr>
        <w:pStyle w:val="13"/>
        <w:spacing w:before="0" w:beforeAutospacing="0" w:after="0" w:afterAutospacing="0" w:line="400" w:lineRule="exact"/>
        <w:ind w:firstLine="640" w:firstLineChars="200"/>
        <w:rPr>
          <w:rFonts w:ascii="仿宋_GB2312" w:eastAsia="仿宋_GB2312" w:cs="Arial"/>
          <w:sz w:val="32"/>
          <w:szCs w:val="32"/>
        </w:rPr>
      </w:pPr>
      <w:r>
        <w:rPr>
          <w:rFonts w:hint="eastAsia" w:ascii="仿宋_GB2312" w:eastAsia="仿宋_GB2312" w:cs="Arial"/>
          <w:sz w:val="32"/>
          <w:szCs w:val="32"/>
        </w:rPr>
        <w:t>（8）、负责重大涉水违法事件的查处，协调、仲裁跨县或部门间水事纠纷，指导水政监察和水行政执法。负责水利建设工程项目的招标投标活动的监督执法。依法负责水利行业安全生产工作，组织、指导水库大坝、水电站大坝等水利工程的安全监管，组织实施水利工程建设的监督和定额管理。承担水利统计工作。</w:t>
      </w:r>
    </w:p>
    <w:p>
      <w:pPr>
        <w:pStyle w:val="13"/>
        <w:spacing w:before="0" w:beforeAutospacing="0" w:after="0" w:afterAutospacing="0" w:line="400" w:lineRule="exact"/>
        <w:ind w:firstLine="640" w:firstLineChars="200"/>
        <w:rPr>
          <w:rFonts w:ascii="仿宋_GB2312" w:eastAsia="仿宋_GB2312" w:cs="Arial"/>
          <w:sz w:val="32"/>
          <w:szCs w:val="32"/>
        </w:rPr>
      </w:pPr>
      <w:r>
        <w:rPr>
          <w:rFonts w:hint="eastAsia" w:ascii="仿宋_GB2312" w:eastAsia="仿宋_GB2312" w:cs="Arial"/>
          <w:sz w:val="32"/>
          <w:szCs w:val="32"/>
        </w:rPr>
        <w:t>（9）、拟订水利行业经济调节措施，对全县水利资金的使用、管理进行宏观调节、监督、审计；提出水利价格、税收、信贷、财务等经济调节意见，承担县级和指导各县水利国有资产的管理。</w:t>
      </w:r>
    </w:p>
    <w:p>
      <w:pPr>
        <w:widowControl/>
        <w:spacing w:line="400" w:lineRule="exact"/>
        <w:ind w:firstLine="630" w:firstLineChars="197"/>
        <w:jc w:val="left"/>
        <w:rPr>
          <w:rFonts w:ascii="仿宋_GB2312" w:eastAsia="仿宋_GB2312" w:cs="Arial"/>
          <w:kern w:val="0"/>
          <w:sz w:val="32"/>
          <w:szCs w:val="32"/>
        </w:rPr>
      </w:pPr>
      <w:r>
        <w:rPr>
          <w:rFonts w:hint="eastAsia" w:ascii="仿宋_GB2312" w:eastAsia="仿宋_GB2312" w:cs="Arial"/>
          <w:kern w:val="0"/>
          <w:sz w:val="32"/>
          <w:szCs w:val="32"/>
        </w:rPr>
        <w:t>（10）、负责全县水利科技和合作交流工作。组织开展水利行业质量监督工作，贯彻水利行业的技术标准、规程规范，组织水利科学研究、技术推广和成果管理；指导全县水利行业队伍和服务体系建设，组织水利行业教育培训、职称评定和思想政治工作。</w:t>
      </w:r>
    </w:p>
    <w:p>
      <w:pPr>
        <w:widowControl/>
        <w:spacing w:line="400" w:lineRule="exact"/>
        <w:ind w:firstLine="630" w:firstLineChars="197"/>
        <w:jc w:val="left"/>
        <w:rPr>
          <w:rFonts w:ascii="仿宋_GB2312" w:eastAsia="仿宋_GB2312" w:cs="宋体"/>
          <w:kern w:val="0"/>
          <w:sz w:val="32"/>
          <w:szCs w:val="32"/>
        </w:rPr>
      </w:pPr>
      <w:r>
        <w:rPr>
          <w:rFonts w:hint="eastAsia" w:ascii="仿宋_GB2312" w:eastAsia="仿宋_GB2312" w:cs="Arial"/>
          <w:kern w:val="0"/>
          <w:sz w:val="32"/>
          <w:szCs w:val="32"/>
        </w:rPr>
        <w:t>（11）、</w:t>
      </w:r>
      <w:r>
        <w:rPr>
          <w:rFonts w:hint="eastAsia" w:ascii="仿宋_GB2312" w:eastAsia="仿宋_GB2312" w:cs="宋体"/>
          <w:kern w:val="0"/>
          <w:sz w:val="32"/>
          <w:szCs w:val="32"/>
        </w:rPr>
        <w:t>承担县政府公布的有关行政审批事项。</w:t>
      </w:r>
    </w:p>
    <w:p>
      <w:pPr>
        <w:widowControl/>
        <w:spacing w:line="400" w:lineRule="exact"/>
        <w:ind w:firstLine="630" w:firstLineChars="197"/>
        <w:jc w:val="left"/>
        <w:rPr>
          <w:bCs/>
          <w:sz w:val="32"/>
          <w:szCs w:val="32"/>
        </w:rPr>
      </w:pPr>
      <w:r>
        <w:rPr>
          <w:rFonts w:hint="eastAsia" w:ascii="仿宋_GB2312" w:eastAsia="仿宋_GB2312"/>
          <w:kern w:val="0"/>
          <w:sz w:val="32"/>
          <w:szCs w:val="32"/>
        </w:rPr>
        <w:t>（12）、承办县政府交办的其他事项。</w:t>
      </w:r>
    </w:p>
    <w:p>
      <w:pPr>
        <w:ind w:firstLine="643" w:firstLineChars="200"/>
        <w:rPr>
          <w:rFonts w:ascii="楷体_GB2312" w:eastAsia="楷体_GB2312"/>
          <w:b/>
          <w:sz w:val="32"/>
          <w:szCs w:val="32"/>
        </w:rPr>
      </w:pPr>
      <w:r>
        <w:rPr>
          <w:rFonts w:hint="eastAsia" w:ascii="楷体_GB2312" w:eastAsia="楷体_GB2312"/>
          <w:b/>
          <w:sz w:val="32"/>
          <w:szCs w:val="32"/>
        </w:rPr>
        <w:t>（二）2020年重点工作完成情况</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1、水利项目</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1）涉农整合资金项目。一是农田水利及安全饮水项目，安装饮水管道110.9公里，新建水池37口，恢复重建灌溉沟渠12.3公里及附属设施等，总投资1329.37万元；已完成县级验收18个，拨付资金849万元。二是防洪治理项目，建设防洪堤6.268公里，泄洪槽建设200米，河道清淤13.1公里。总投资3845.72万元，已合同验收16个，拨付资金2033.34万元。三是2020年农村饮水安全工程“明白卡”建设项目，制作发放“明白卡”17710张，受益户数17710户。</w:t>
      </w:r>
    </w:p>
    <w:p>
      <w:pPr>
        <w:tabs>
          <w:tab w:val="left" w:pos="6930"/>
        </w:tabs>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（2）大渡河金川县安宁堤防工程。项目在去年末开展前期设计招标，已完成项目可研及初设审查，正在进行施工投标程序。</w:t>
      </w:r>
    </w:p>
    <w:p>
      <w:pPr>
        <w:tabs>
          <w:tab w:val="left" w:pos="6930"/>
        </w:tabs>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3）中小河流及溪沟治理。一是曾达乡曾达沟清障疏浚工程。清淤10余公里，清障12万余立方米，在4月全面完工，资金拨付361万元。二是金川县撒瓦脚沟撒瓦脚段防洪治理工程。综合治理河道4公里，其中新建堤防2.7公里，清淤1.3公里，规划总投资1480万元，已完成主体工程建设，拨付资金657.03万元。</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（4）水土保持项目。金川县龙灯沟小流域水土流失综合治理工程，完成护岸工程基础</w:t>
      </w:r>
      <w:r>
        <w:rPr>
          <w:rFonts w:hint="eastAsia" w:ascii="仿宋_GB2312" w:eastAsia="仿宋_GB2312" w:cs="Arial"/>
          <w:kern w:val="0"/>
          <w:sz w:val="32"/>
          <w:szCs w:val="32"/>
          <w:lang w:eastAsia="zh-CN"/>
        </w:rPr>
        <w:t>混凝土</w:t>
      </w:r>
      <w:r>
        <w:rPr>
          <w:rFonts w:hint="eastAsia" w:ascii="仿宋_GB2312" w:eastAsia="仿宋_GB2312" w:cs="Arial"/>
          <w:kern w:val="0"/>
          <w:sz w:val="32"/>
          <w:szCs w:val="32"/>
        </w:rPr>
        <w:t>浇筑500米，种植黑麦草79.45公顷，河道疏浚300米，已完成工程量的95%。</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5）森林草原防灭火基础设施消防（灌溉）水池建设项目。新建100方消防水5座，水池附属管网工程7051.29米，取水口和沉沙池各5座，管网附属闸阀井15座以及减压池等。项目施工预算总投资205.31万元,目前完成工程进度30%。</w:t>
      </w:r>
    </w:p>
    <w:p>
      <w:pPr>
        <w:ind w:firstLine="640" w:firstLineChars="200"/>
        <w:rPr>
          <w:rFonts w:ascii="仿宋_GB2312" w:eastAsia="仿宋_GB2312" w:cs="Arial"/>
          <w:kern w:val="0"/>
          <w:sz w:val="32"/>
          <w:szCs w:val="32"/>
        </w:rPr>
      </w:pPr>
      <w:r>
        <w:rPr>
          <w:rFonts w:hint="eastAsia" w:ascii="仿宋_GB2312" w:eastAsia="仿宋_GB2312" w:cs="Arial"/>
          <w:kern w:val="0"/>
          <w:sz w:val="32"/>
          <w:szCs w:val="32"/>
        </w:rPr>
        <w:t>2、河（湖）长制工作推进情况。</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1）、各级河（湖）长巡河。2020年，县级河（湖）长巡河（湖）196次，乡级河（湖）长巡河（湖）1436次；河道管护员上岗履职，常态化开展巡河累计4600余人次，各级河长、河道管护员发现并解决河道环境卫生问题122个。维护更新全县河流河长公示牌41处。</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2）、河湖“清四乱”专项行动。共排查整改河湖“四乱”问题12处，全流域清理河道垃圾90余吨，美化河湖岸线300余公里。2020年水利部通过卫星遥感发现我县“四乱”疑似问题135处，目前已全部整改完成并销号。</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3）、水域岸线管理保护。河道管理范围划定有序推进，规模以上河流俄热河、革什扎河河道管理范围划定落实资金103.6万元，已完成界桩埋设；规模以下35条河流、2个湖泊的河湖管理范围划定工作正在进行，落实资金471.66万元。</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4）、河道采砂专项整治。2020年开展水务巡查56次，出动执法人员210余人次，联合执法7次，出动砂石整治人员60余人次，整顿规范砂石加工厂15家，规范堆砂场21处，平整及规范堆砂110余万方；全面清场砂石加工点、堆砂场12处，</w:t>
      </w:r>
      <w:r>
        <w:rPr>
          <w:rFonts w:hint="eastAsia" w:ascii="仿宋_GB2312" w:eastAsia="仿宋_GB2312" w:cs="Arial"/>
          <w:kern w:val="0"/>
          <w:sz w:val="32"/>
          <w:szCs w:val="32"/>
          <w:lang w:eastAsia="zh-CN"/>
        </w:rPr>
        <w:t>消除</w:t>
      </w:r>
      <w:r>
        <w:rPr>
          <w:rFonts w:hint="eastAsia" w:ascii="仿宋_GB2312" w:eastAsia="仿宋_GB2312" w:cs="Arial"/>
          <w:kern w:val="0"/>
          <w:sz w:val="32"/>
          <w:szCs w:val="32"/>
        </w:rPr>
        <w:t>砂石存量30余万方。所有堆砂场均已撤离机具并降高、打围、覆盖防尘网；有效杜绝了全县河道私挖盗采现象，切实整治了砂石资源管理乱象问题。</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3、防汛减灾工作情况。</w:t>
      </w:r>
    </w:p>
    <w:p>
      <w:pPr>
        <w:spacing w:line="560" w:lineRule="exact"/>
        <w:ind w:firstLine="640"/>
        <w:contextualSpacing/>
        <w:rPr>
          <w:rFonts w:ascii="仿宋_GB2312" w:eastAsia="仿宋_GB2312" w:cs="Arial"/>
          <w:kern w:val="0"/>
          <w:sz w:val="32"/>
          <w:szCs w:val="32"/>
        </w:rPr>
      </w:pPr>
      <w:r>
        <w:rPr>
          <w:rFonts w:hint="eastAsia" w:ascii="仿宋_GB2312" w:eastAsia="仿宋_GB2312" w:cs="Arial"/>
          <w:kern w:val="0"/>
          <w:sz w:val="32"/>
          <w:szCs w:val="32"/>
        </w:rPr>
        <w:t>为了切实做好今年的防汛工作，汛前逐级召开“部署会”，全面落实“队伍、资金、物资”三个保障，修订完善《金川县防汛抗旱抢险应急预案》，各乡镇、在建工程、重点企业相应的修订完善应急预案，并组织应急演练，全面对141处山洪灾害区开展排查。进入汛期，层层落实值班人员，做到24小时值班值守，及时通报雨情汛情。由县水务、自然资源土、气象部门紧密对接，实现信息共享，</w:t>
      </w:r>
      <w:r>
        <w:rPr>
          <w:rFonts w:hint="eastAsia" w:ascii="仿宋_GB2312" w:eastAsia="仿宋_GB2312" w:cs="Arial"/>
          <w:kern w:val="0"/>
          <w:sz w:val="32"/>
          <w:szCs w:val="32"/>
          <w:lang w:eastAsia="zh-CN"/>
        </w:rPr>
        <w:t>实时</w:t>
      </w:r>
      <w:bookmarkStart w:id="79" w:name="_GoBack"/>
      <w:bookmarkEnd w:id="79"/>
      <w:r>
        <w:rPr>
          <w:rFonts w:hint="eastAsia" w:ascii="仿宋_GB2312" w:eastAsia="仿宋_GB2312" w:cs="Arial"/>
          <w:kern w:val="0"/>
          <w:sz w:val="32"/>
          <w:szCs w:val="32"/>
        </w:rPr>
        <w:t>预测发布全县气象、雨情、水情信息。今年我县共发生成规模泥石流灾情5起，共造成6104户、22577人受灾，安全转移群众6234人，直接经济损失达2.6495亿元，其中水利工程设施直接经济损失2779.64万元。共计发放应急物资折合人民币51.417万元（其中本级仓库18.491万元，协议商处32.926万元）。</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4、脱贫攻坚及“两联一进”群众工作。</w:t>
      </w:r>
    </w:p>
    <w:p>
      <w:pPr>
        <w:spacing w:line="560" w:lineRule="exact"/>
        <w:ind w:firstLine="643"/>
        <w:contextualSpacing/>
        <w:rPr>
          <w:rFonts w:ascii="仿宋_GB2312" w:eastAsia="仿宋_GB2312" w:cs="Arial"/>
          <w:kern w:val="0"/>
          <w:sz w:val="32"/>
          <w:szCs w:val="32"/>
        </w:rPr>
      </w:pPr>
      <w:r>
        <w:rPr>
          <w:rFonts w:hint="eastAsia" w:ascii="仿宋_GB2312" w:eastAsia="仿宋_GB2312" w:cs="Arial"/>
          <w:kern w:val="0"/>
          <w:sz w:val="32"/>
          <w:szCs w:val="32"/>
        </w:rPr>
        <w:t>围绕县脱贫攻坚工作要求，继续深入开展“百千万”、“两联一进”活动，对联系对象的帮扶责任保持不变，扎实做好“回头看、回头帮”工作。完成了2020年生态扶贫中河道管护员和水利工程巡管员的聘请工作，全县共聘请149名河道管护员和93名水利工程巡管员，涉及97个村（含52个贫困村），总投资242万元。</w:t>
      </w:r>
    </w:p>
    <w:p>
      <w:pPr>
        <w:pStyle w:val="26"/>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5、水政水资源工作。</w:t>
      </w:r>
    </w:p>
    <w:p>
      <w:pPr>
        <w:pStyle w:val="26"/>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编制全县水资源公报，完成2019年最严格水资源管理制度考核验收工作。结合《金川县长江经济带小水电清理整改工作方案》完成长江经济带小水电清理整改填报系统工作，对县内40座小水电站（其中整改类19座、退出类21座）开展现场督查，对照长江经济带小水电清理整改要件目录，全面开展清理整顿。完成长江流域工程（设施）核查登记整改计划，电站类11个，农业灌溉类3个，并依照计划开展销号工作。今年“世界水日、中国水周”进行了《水法》、新《水土保持法》等涉水法律法规的宣传，共发宣传资料300余份。</w:t>
      </w:r>
    </w:p>
    <w:p>
      <w:pPr>
        <w:spacing w:line="560" w:lineRule="exact"/>
        <w:ind w:firstLine="640"/>
        <w:contextualSpacing/>
        <w:rPr>
          <w:rFonts w:ascii="仿宋_GB2312" w:eastAsia="仿宋_GB2312" w:cs="Arial"/>
          <w:kern w:val="0"/>
          <w:sz w:val="32"/>
          <w:szCs w:val="32"/>
        </w:rPr>
      </w:pPr>
      <w:r>
        <w:rPr>
          <w:rFonts w:hint="eastAsia" w:ascii="仿宋_GB2312" w:eastAsia="仿宋_GB2312" w:cs="Arial"/>
          <w:kern w:val="0"/>
          <w:sz w:val="32"/>
          <w:szCs w:val="32"/>
        </w:rPr>
        <w:t>6、农村集中供水工程水费收缴工作。</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我县千人以上农村供水工程涉及2处（沙耳乡达埂尼集中供水站和咯尔乡兴金集中供水站），千人以下集中供水工程设计全县207处。截止目前千人以上农村供水工程2处已完成定价及水费收缴工作，千人下集中</w:t>
      </w:r>
      <w:r>
        <w:rPr>
          <w:rFonts w:hint="eastAsia" w:ascii="仿宋_GB2312" w:eastAsia="仿宋_GB2312" w:cs="Arial"/>
          <w:kern w:val="0"/>
          <w:sz w:val="32"/>
          <w:szCs w:val="32"/>
          <w:lang w:eastAsia="zh-CN"/>
        </w:rPr>
        <w:t>工程</w:t>
      </w:r>
      <w:r>
        <w:rPr>
          <w:rFonts w:hint="eastAsia" w:ascii="仿宋_GB2312" w:eastAsia="仿宋_GB2312" w:cs="Arial"/>
          <w:kern w:val="0"/>
          <w:sz w:val="32"/>
          <w:szCs w:val="32"/>
        </w:rPr>
        <w:t>207处已完成定价工作，其中28处已开始收取水费。其余供水点已基本核定价格。</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7、“十三五”规划完成情况。</w:t>
      </w:r>
    </w:p>
    <w:p>
      <w:pPr>
        <w:spacing w:line="560" w:lineRule="exact"/>
        <w:ind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十三五”期间，总投资2.77亿元,治理水土流失综合治理84.07平方公里，综合治理河道长度8.72公里，新建堤防长度7.239公里，加固堤防0.37公里；整治或新建渠道499.59公里，改造或新建管道133.07公里，新建或维修蓄水池210口，恢复改善灌面3.3万余亩；解决全县19个乡镇93处（村）3.8576万人的饮水安全问题（含贫困人口0.9434万人），安装饮水管道779.38公里。</w:t>
      </w:r>
    </w:p>
    <w:p>
      <w:pPr>
        <w:pStyle w:val="2"/>
        <w:spacing w:line="560" w:lineRule="exact"/>
        <w:ind w:left="0" w:leftChars="0" w:firstLine="640" w:firstLineChars="200"/>
        <w:contextualSpacing/>
        <w:rPr>
          <w:rFonts w:ascii="仿宋_GB2312" w:eastAsia="仿宋_GB2312" w:cs="Arial"/>
          <w:kern w:val="0"/>
          <w:sz w:val="32"/>
          <w:szCs w:val="32"/>
        </w:rPr>
      </w:pPr>
      <w:r>
        <w:rPr>
          <w:rFonts w:hint="eastAsia" w:ascii="仿宋_GB2312" w:eastAsia="仿宋_GB2312" w:cs="Arial"/>
          <w:kern w:val="0"/>
          <w:sz w:val="32"/>
          <w:szCs w:val="32"/>
        </w:rPr>
        <w:t>8、“十四五”规划编制情况。</w:t>
      </w:r>
    </w:p>
    <w:p>
      <w:pPr>
        <w:spacing w:line="578" w:lineRule="exact"/>
        <w:ind w:firstLine="640" w:firstLineChars="200"/>
        <w:rPr>
          <w:bCs/>
          <w:color w:val="000000"/>
          <w:sz w:val="32"/>
          <w:szCs w:val="32"/>
        </w:rPr>
      </w:pPr>
      <w:r>
        <w:rPr>
          <w:rFonts w:hint="eastAsia" w:ascii="仿宋_GB2312" w:eastAsia="仿宋_GB2312" w:cs="Arial"/>
          <w:kern w:val="0"/>
          <w:sz w:val="32"/>
          <w:szCs w:val="32"/>
        </w:rPr>
        <w:t>科学编制和实施好水利“十四五”规划，全面推进我县水利事业健康发展。按照流域生态治理、农村供水保障、灌区水库规划、江河防洪治理等方面规划未来五年包括独卡水利中型灌区、小流域治理、安全饮水、水库建设等共计25.4033亿元的水利项目。</w:t>
      </w:r>
    </w:p>
    <w:p>
      <w:pPr>
        <w:ind w:firstLine="643" w:firstLineChars="200"/>
        <w:rPr>
          <w:rFonts w:ascii="楷体_GB2312" w:eastAsia="楷体_GB2312"/>
          <w:b/>
          <w:sz w:val="32"/>
          <w:szCs w:val="32"/>
        </w:rPr>
      </w:pPr>
      <w:r>
        <w:rPr>
          <w:rFonts w:hint="eastAsia" w:ascii="楷体_GB2312" w:eastAsia="楷体_GB2312"/>
          <w:b/>
          <w:sz w:val="32"/>
          <w:szCs w:val="32"/>
        </w:rPr>
        <w:t>（三）人员概况</w:t>
      </w:r>
    </w:p>
    <w:p>
      <w:pPr>
        <w:snapToGrid w:val="0"/>
        <w:spacing w:line="520" w:lineRule="exact"/>
        <w:ind w:firstLine="640" w:firstLineChars="200"/>
        <w:rPr>
          <w:rFonts w:ascii="仿宋_GB2312" w:eastAsia="仿宋_GB2312"/>
          <w:sz w:val="32"/>
          <w:szCs w:val="32"/>
        </w:rPr>
      </w:pPr>
      <w:r>
        <w:rPr>
          <w:rFonts w:hint="eastAsia" w:ascii="仿宋_GB2312" w:eastAsia="仿宋_GB2312" w:cs="Arial"/>
          <w:kern w:val="0"/>
          <w:sz w:val="32"/>
          <w:szCs w:val="32"/>
          <w:lang w:val="zh-CN"/>
        </w:rPr>
        <w:t>我单位在职职工</w:t>
      </w:r>
      <w:r>
        <w:rPr>
          <w:rFonts w:hint="eastAsia" w:ascii="仿宋_GB2312" w:eastAsia="仿宋_GB2312" w:cs="Arial"/>
          <w:kern w:val="0"/>
          <w:sz w:val="32"/>
          <w:szCs w:val="32"/>
        </w:rPr>
        <w:t>28人，其中</w:t>
      </w:r>
      <w:r>
        <w:rPr>
          <w:rFonts w:hint="eastAsia" w:ascii="仿宋_GB2312" w:eastAsia="仿宋_GB2312" w:cs="Arial"/>
          <w:kern w:val="0"/>
          <w:sz w:val="32"/>
          <w:szCs w:val="32"/>
          <w:lang w:val="zh-CN"/>
        </w:rPr>
        <w:t>行政人员6名，行政工勤</w:t>
      </w:r>
      <w:r>
        <w:rPr>
          <w:rFonts w:hint="eastAsia" w:ascii="仿宋_GB2312" w:eastAsia="仿宋_GB2312" w:cs="Arial"/>
          <w:kern w:val="0"/>
          <w:sz w:val="32"/>
          <w:szCs w:val="32"/>
        </w:rPr>
        <w:t>1人，</w:t>
      </w:r>
      <w:r>
        <w:rPr>
          <w:rFonts w:hint="eastAsia" w:ascii="仿宋_GB2312" w:eastAsia="仿宋_GB2312" w:cs="Arial"/>
          <w:kern w:val="0"/>
          <w:sz w:val="32"/>
          <w:szCs w:val="32"/>
          <w:lang w:val="zh-CN"/>
        </w:rPr>
        <w:t>事业人员</w:t>
      </w:r>
      <w:r>
        <w:rPr>
          <w:rFonts w:hint="eastAsia" w:ascii="仿宋_GB2312" w:eastAsia="仿宋_GB2312" w:cs="Arial"/>
          <w:kern w:val="0"/>
          <w:sz w:val="32"/>
          <w:szCs w:val="32"/>
        </w:rPr>
        <w:t>20人，事业工勤1人，</w:t>
      </w:r>
      <w:r>
        <w:rPr>
          <w:rFonts w:hint="eastAsia" w:ascii="仿宋_GB2312" w:eastAsia="仿宋_GB2312" w:cs="Arial"/>
          <w:kern w:val="0"/>
          <w:sz w:val="32"/>
          <w:szCs w:val="32"/>
          <w:lang w:val="zh-CN"/>
        </w:rPr>
        <w:t>遗属4人。在职人员较上年增加</w:t>
      </w:r>
      <w:r>
        <w:rPr>
          <w:rFonts w:hint="eastAsia" w:ascii="仿宋_GB2312" w:eastAsia="仿宋_GB2312" w:cs="Arial"/>
          <w:kern w:val="0"/>
          <w:sz w:val="32"/>
          <w:szCs w:val="32"/>
        </w:rPr>
        <w:t>3</w:t>
      </w:r>
      <w:r>
        <w:rPr>
          <w:rFonts w:hint="eastAsia" w:ascii="仿宋_GB2312" w:eastAsia="仿宋_GB2312" w:cs="Arial"/>
          <w:kern w:val="0"/>
          <w:sz w:val="32"/>
          <w:szCs w:val="32"/>
          <w:lang w:val="zh-CN"/>
        </w:rPr>
        <w:t>人，增加原因为机构改革人员调动；遗属人员无变化。</w:t>
      </w:r>
    </w:p>
    <w:p>
      <w:pPr>
        <w:ind w:firstLine="640" w:firstLineChars="200"/>
        <w:rPr>
          <w:rFonts w:ascii="黑体" w:eastAsia="黑体"/>
          <w:sz w:val="32"/>
          <w:szCs w:val="32"/>
        </w:rPr>
      </w:pPr>
      <w:r>
        <w:rPr>
          <w:rFonts w:hint="eastAsia" w:ascii="黑体" w:eastAsia="黑体"/>
          <w:sz w:val="32"/>
          <w:szCs w:val="32"/>
        </w:rPr>
        <w:t>二、2020年财政资金当年收支情况</w:t>
      </w:r>
    </w:p>
    <w:p>
      <w:pPr>
        <w:numPr>
          <w:ilvl w:val="0"/>
          <w:numId w:val="7"/>
        </w:numPr>
        <w:ind w:firstLine="643" w:firstLineChars="200"/>
        <w:rPr>
          <w:rFonts w:ascii="楷体_GB2312" w:eastAsia="楷体_GB2312"/>
          <w:b/>
          <w:sz w:val="32"/>
          <w:szCs w:val="32"/>
        </w:rPr>
      </w:pPr>
      <w:r>
        <w:rPr>
          <w:rFonts w:hint="eastAsia" w:ascii="楷体_GB2312" w:eastAsia="楷体_GB2312"/>
          <w:b/>
          <w:sz w:val="32"/>
          <w:szCs w:val="32"/>
        </w:rPr>
        <w:t>收入情况</w:t>
      </w:r>
    </w:p>
    <w:p>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color w:val="000000"/>
          <w:spacing w:val="-2"/>
          <w:sz w:val="32"/>
          <w:szCs w:val="32"/>
        </w:rPr>
        <w:t>2020年度总收入</w:t>
      </w:r>
      <w:r>
        <w:rPr>
          <w:rFonts w:hint="eastAsia" w:ascii="仿宋_GB2312" w:eastAsia="仿宋_GB2312" w:cs="Arial"/>
          <w:kern w:val="0"/>
          <w:sz w:val="32"/>
          <w:szCs w:val="32"/>
        </w:rPr>
        <w:t>8100.59</w:t>
      </w:r>
      <w:r>
        <w:rPr>
          <w:rFonts w:hint="eastAsia" w:ascii="仿宋_GB2312" w:eastAsia="仿宋_GB2312"/>
          <w:color w:val="000000"/>
          <w:spacing w:val="-2"/>
          <w:sz w:val="32"/>
          <w:szCs w:val="32"/>
        </w:rPr>
        <w:t>万元，较上年收入增加966.71万元，增加13.55%。增加的主要原因是2020年规范财务核算，项目资金增加。</w:t>
      </w:r>
    </w:p>
    <w:p>
      <w:pPr>
        <w:ind w:firstLine="643" w:firstLineChars="200"/>
        <w:rPr>
          <w:rFonts w:ascii="楷体_GB2312" w:eastAsia="楷体_GB2312"/>
          <w:b/>
          <w:sz w:val="32"/>
          <w:szCs w:val="32"/>
        </w:rPr>
      </w:pPr>
      <w:r>
        <w:rPr>
          <w:rFonts w:hint="eastAsia" w:ascii="楷体_GB2312" w:eastAsia="楷体_GB2312"/>
          <w:b/>
          <w:sz w:val="32"/>
          <w:szCs w:val="32"/>
        </w:rPr>
        <w:t>（二）支出情况</w:t>
      </w:r>
    </w:p>
    <w:p>
      <w:pPr>
        <w:ind w:firstLine="632" w:firstLineChars="200"/>
        <w:rPr>
          <w:rFonts w:ascii="仿宋_GB2312" w:eastAsia="仿宋_GB2312"/>
          <w:sz w:val="32"/>
          <w:szCs w:val="32"/>
        </w:rPr>
      </w:pPr>
      <w:r>
        <w:rPr>
          <w:rFonts w:hint="eastAsia" w:ascii="仿宋_GB2312" w:eastAsia="仿宋_GB2312"/>
          <w:spacing w:val="-2"/>
          <w:sz w:val="32"/>
          <w:szCs w:val="32"/>
        </w:rPr>
        <w:t>2020年总支出</w:t>
      </w:r>
      <w:r>
        <w:rPr>
          <w:rFonts w:hint="eastAsia" w:ascii="仿宋_GB2312" w:eastAsia="仿宋_GB2312" w:cs="Arial"/>
          <w:kern w:val="0"/>
          <w:sz w:val="32"/>
          <w:szCs w:val="32"/>
        </w:rPr>
        <w:t>6500.65</w:t>
      </w:r>
      <w:r>
        <w:rPr>
          <w:rFonts w:hint="eastAsia" w:ascii="仿宋_GB2312" w:eastAsia="仿宋_GB2312"/>
          <w:spacing w:val="-2"/>
          <w:sz w:val="32"/>
          <w:szCs w:val="32"/>
        </w:rPr>
        <w:t>万元，较上年支出减少1113.96万元，减少14.63%。主要原因一是2019年支出包含了上年结转项目；二是2020年部分项目资金结转到下一年</w:t>
      </w:r>
      <w:r>
        <w:rPr>
          <w:rFonts w:hint="eastAsia" w:ascii="仿宋_GB2312" w:eastAsia="仿宋_GB2312"/>
          <w:sz w:val="32"/>
          <w:szCs w:val="32"/>
        </w:rPr>
        <w:t>。</w:t>
      </w:r>
    </w:p>
    <w:p>
      <w:pPr>
        <w:numPr>
          <w:ilvl w:val="0"/>
          <w:numId w:val="8"/>
        </w:numPr>
        <w:ind w:firstLine="640" w:firstLineChars="200"/>
        <w:rPr>
          <w:rFonts w:ascii="黑体" w:eastAsia="黑体"/>
          <w:sz w:val="32"/>
          <w:szCs w:val="32"/>
        </w:rPr>
      </w:pPr>
      <w:r>
        <w:rPr>
          <w:rFonts w:hint="eastAsia" w:ascii="黑体" w:eastAsia="黑体"/>
          <w:sz w:val="32"/>
          <w:szCs w:val="32"/>
        </w:rPr>
        <w:t>2020年财政支出管理情况</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（一）预算编制情况</w:t>
      </w:r>
    </w:p>
    <w:p>
      <w:pPr>
        <w:ind w:firstLine="604"/>
        <w:rPr>
          <w:rFonts w:ascii="仿宋" w:eastAsia="仿宋" w:cs="仿宋"/>
          <w:sz w:val="32"/>
          <w:szCs w:val="32"/>
        </w:rPr>
      </w:pPr>
      <w:r>
        <w:rPr>
          <w:rFonts w:hint="eastAsia" w:ascii="仿宋" w:eastAsia="仿宋" w:cs="仿宋"/>
          <w:sz w:val="32"/>
          <w:szCs w:val="32"/>
        </w:rPr>
        <w:t>我办严格按照州级部门预算编制通知和有关要求，按时完成基础库、项目库报送工作，按时完成2020年预算编制工作，并及时提交部门预算草案。按规定编制政府采购预算，预算编制全面、科学。</w:t>
      </w:r>
    </w:p>
    <w:p>
      <w:pPr>
        <w:rPr>
          <w:rFonts w:ascii="楷体_GB2312" w:eastAsia="楷体_GB2312"/>
          <w:b/>
          <w:sz w:val="32"/>
          <w:szCs w:val="32"/>
          <w:lang w:val="zh-CN"/>
        </w:rPr>
      </w:pPr>
      <w:r>
        <w:rPr>
          <w:rFonts w:hint="eastAsia" w:ascii="楷体_GB2312" w:eastAsia="楷体_GB2312"/>
          <w:b/>
          <w:sz w:val="32"/>
          <w:szCs w:val="32"/>
        </w:rPr>
        <w:t xml:space="preserve">    </w:t>
      </w:r>
      <w:r>
        <w:rPr>
          <w:rFonts w:hint="eastAsia" w:ascii="楷体_GB2312" w:eastAsia="楷体_GB2312"/>
          <w:b/>
          <w:sz w:val="32"/>
          <w:szCs w:val="32"/>
          <w:lang w:val="zh-CN"/>
        </w:rPr>
        <w:t>（二）执行管理情况</w:t>
      </w:r>
    </w:p>
    <w:p>
      <w:pPr>
        <w:ind w:firstLine="640" w:firstLineChars="200"/>
        <w:rPr>
          <w:rFonts w:ascii="仿宋" w:eastAsia="仿宋" w:cs="仿宋"/>
          <w:sz w:val="32"/>
          <w:szCs w:val="32"/>
        </w:rPr>
      </w:pPr>
      <w:r>
        <w:rPr>
          <w:rFonts w:hint="eastAsia" w:ascii="仿宋_GB2312" w:eastAsia="仿宋_GB2312" w:cs="仿宋"/>
          <w:sz w:val="32"/>
          <w:szCs w:val="32"/>
        </w:rPr>
        <w:t>2020年“三公”经费支出决算数为0.</w:t>
      </w:r>
      <w:r>
        <w:rPr>
          <w:rFonts w:hint="eastAsia" w:ascii="仿宋_GB2312" w:eastAsia="仿宋_GB2312"/>
          <w:color w:val="333333"/>
          <w:sz w:val="32"/>
          <w:szCs w:val="32"/>
        </w:rPr>
        <w:t>99</w:t>
      </w:r>
      <w:r>
        <w:rPr>
          <w:rFonts w:hint="eastAsia" w:ascii="仿宋_GB2312" w:eastAsia="仿宋_GB2312" w:cs="仿宋"/>
          <w:sz w:val="32"/>
          <w:szCs w:val="32"/>
        </w:rPr>
        <w:t>万元，较上年减少支出1.43万元，降低59.1%。减少的主要原因为2020年公务车辆在进行报废流程，减少了公务车辆使用，以及保险费用。</w:t>
      </w:r>
    </w:p>
    <w:p>
      <w:pPr>
        <w:ind w:firstLine="607"/>
        <w:rPr>
          <w:rFonts w:ascii="楷体_GB2312" w:eastAsia="楷体_GB2312"/>
          <w:b/>
          <w:sz w:val="32"/>
          <w:szCs w:val="32"/>
          <w:lang w:val="zh-CN"/>
        </w:rPr>
      </w:pPr>
      <w:r>
        <w:rPr>
          <w:rFonts w:hint="eastAsia" w:ascii="楷体_GB2312" w:eastAsia="楷体_GB2312"/>
          <w:b/>
          <w:sz w:val="32"/>
          <w:szCs w:val="32"/>
          <w:lang w:val="zh-CN"/>
        </w:rPr>
        <w:t>（三）综合管理情况</w:t>
      </w:r>
    </w:p>
    <w:p>
      <w:pPr>
        <w:rPr>
          <w:rFonts w:ascii="楷体_GB2312" w:eastAsia="楷体_GB2312"/>
          <w:b/>
          <w:sz w:val="32"/>
          <w:szCs w:val="32"/>
          <w:lang w:val="zh-CN"/>
        </w:rPr>
      </w:pPr>
      <w:r>
        <w:rPr>
          <w:rFonts w:hint="eastAsia" w:ascii="仿宋" w:eastAsia="仿宋" w:cs="仿宋"/>
          <w:sz w:val="32"/>
          <w:szCs w:val="32"/>
        </w:rPr>
        <w:t xml:space="preserve">    我单位厉行节约，严格控制会议费、车辆购置及运行费用和公务接待经费。</w:t>
      </w:r>
    </w:p>
    <w:p>
      <w:pPr>
        <w:ind w:firstLine="604"/>
        <w:rPr>
          <w:rFonts w:ascii="仿宋_GB2312" w:eastAsia="仿宋_GB2312"/>
          <w:sz w:val="32"/>
          <w:szCs w:val="32"/>
        </w:rPr>
      </w:pPr>
      <w:r>
        <w:rPr>
          <w:rFonts w:hint="eastAsia" w:ascii="仿宋_GB2312" w:eastAsia="仿宋_GB2312"/>
          <w:sz w:val="32"/>
          <w:szCs w:val="32"/>
        </w:rPr>
        <w:t>我单位财务管理制度健全，执行制度严格合规，会计核算符合相关规定，资金专款专用，资金支付依据和开支标准合法合规，严格执行政府采购，并依法接受财政监督。</w:t>
      </w:r>
    </w:p>
    <w:p>
      <w:pPr>
        <w:ind w:firstLine="604"/>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四</w:t>
      </w:r>
      <w:r>
        <w:rPr>
          <w:rFonts w:hint="eastAsia" w:ascii="楷体_GB2312" w:eastAsia="楷体_GB2312"/>
          <w:b/>
          <w:sz w:val="32"/>
          <w:szCs w:val="32"/>
          <w:lang w:val="zh-CN"/>
        </w:rPr>
        <w:t>）整体绩效</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我单位深入贯彻落实“全面实施绩效管理”的要求，努力提升本单位绩效预算管理业务水平。主动公开绩效结果，加大资金使用效率，提升政府管理水平。及时告知相关股室预算及项目支出进度。</w:t>
      </w:r>
    </w:p>
    <w:p>
      <w:pPr>
        <w:numPr>
          <w:ilvl w:val="0"/>
          <w:numId w:val="8"/>
        </w:numPr>
        <w:ind w:firstLine="640" w:firstLineChars="200"/>
        <w:rPr>
          <w:rFonts w:ascii="黑体" w:eastAsia="黑体"/>
          <w:sz w:val="32"/>
          <w:szCs w:val="32"/>
        </w:rPr>
      </w:pPr>
      <w:r>
        <w:rPr>
          <w:rFonts w:hint="eastAsia" w:ascii="黑体" w:eastAsia="黑体"/>
          <w:sz w:val="32"/>
          <w:szCs w:val="32"/>
        </w:rPr>
        <w:t>评价结论及建议</w:t>
      </w:r>
    </w:p>
    <w:p>
      <w:pPr>
        <w:numPr>
          <w:ilvl w:val="0"/>
          <w:numId w:val="9"/>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评价结论</w:t>
      </w:r>
    </w:p>
    <w:p>
      <w:pPr>
        <w:ind w:firstLine="640" w:firstLineChars="200"/>
        <w:rPr>
          <w:rFonts w:ascii="仿宋" w:eastAsia="仿宋" w:cs="仿宋"/>
          <w:sz w:val="32"/>
          <w:szCs w:val="32"/>
          <w:lang w:val="zh-CN"/>
        </w:rPr>
      </w:pPr>
      <w:r>
        <w:rPr>
          <w:rFonts w:hint="eastAsia" w:ascii="仿宋" w:eastAsia="仿宋" w:cs="仿宋"/>
          <w:sz w:val="32"/>
          <w:szCs w:val="32"/>
          <w:lang w:val="zh-CN"/>
        </w:rPr>
        <w:t>综上所述，</w:t>
      </w:r>
      <w:r>
        <w:rPr>
          <w:rFonts w:hint="eastAsia" w:ascii="仿宋_GB2312" w:eastAsia="仿宋_GB2312"/>
          <w:color w:val="000000"/>
          <w:sz w:val="32"/>
          <w:szCs w:val="32"/>
        </w:rPr>
        <w:t>本部门对2020年整体支出开展绩效自评，自评得分95分</w:t>
      </w:r>
      <w:r>
        <w:rPr>
          <w:rFonts w:hint="eastAsia" w:ascii="仿宋" w:eastAsia="仿宋" w:cs="仿宋"/>
          <w:sz w:val="32"/>
          <w:szCs w:val="32"/>
        </w:rPr>
        <w:t>。</w:t>
      </w:r>
    </w:p>
    <w:p>
      <w:pPr>
        <w:numPr>
          <w:ilvl w:val="0"/>
          <w:numId w:val="9"/>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存在的问题</w:t>
      </w:r>
    </w:p>
    <w:p>
      <w:pPr>
        <w:ind w:firstLine="640" w:firstLineChars="200"/>
        <w:rPr>
          <w:rFonts w:ascii="仿宋_GB2312" w:eastAsia="仿宋_GB2312"/>
          <w:sz w:val="32"/>
          <w:szCs w:val="32"/>
        </w:rPr>
      </w:pPr>
      <w:r>
        <w:rPr>
          <w:rFonts w:hint="eastAsia" w:ascii="仿宋_GB2312" w:eastAsia="仿宋_GB2312"/>
          <w:color w:val="000000"/>
          <w:sz w:val="32"/>
          <w:szCs w:val="32"/>
        </w:rPr>
        <w:t>存在的问题：一是预算动态管理、部门预算、决算上报效率有待提高，二是经费支出进度缓慢。</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（三）改进建议</w:t>
      </w:r>
    </w:p>
    <w:p>
      <w:pPr>
        <w:ind w:firstLine="640" w:firstLineChars="200"/>
        <w:rPr>
          <w:rFonts w:ascii="仿宋_GB2312" w:eastAsia="仿宋_GB2312"/>
          <w:sz w:val="32"/>
          <w:szCs w:val="32"/>
        </w:rPr>
      </w:pPr>
      <w:r>
        <w:rPr>
          <w:rFonts w:hint="eastAsia" w:ascii="仿宋_GB2312" w:eastAsia="仿宋_GB2312"/>
          <w:color w:val="000000"/>
          <w:sz w:val="32"/>
          <w:szCs w:val="32"/>
        </w:rPr>
        <w:t>下一步改进措施：一是预算动态管理，提高报表上报速率；二是加强会计核算和财务管理能力，督促资金拨付进度</w:t>
      </w:r>
      <w:r>
        <w:rPr>
          <w:rFonts w:hint="eastAsia" w:ascii="仿宋_GB2312" w:eastAsia="仿宋_GB2312"/>
          <w:sz w:val="32"/>
          <w:szCs w:val="32"/>
        </w:rPr>
        <w:t>。</w:t>
      </w:r>
    </w:p>
    <w:p>
      <w:pPr>
        <w:spacing w:line="600" w:lineRule="exact"/>
        <w:jc w:val="center"/>
        <w:outlineLvl w:val="0"/>
        <w:rPr>
          <w:rFonts w:ascii="仿宋" w:eastAsia="仿宋"/>
          <w:b/>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Style w:val="18"/>
          <w:rFonts w:ascii="黑体" w:eastAsia="黑体"/>
          <w:b w:val="0"/>
        </w:rPr>
      </w:pPr>
      <w:bookmarkStart w:id="63" w:name="_Toc14157"/>
      <w:r>
        <w:rPr>
          <w:rFonts w:hint="eastAsia" w:ascii="黑体" w:eastAsia="黑体"/>
          <w:color w:val="000000"/>
          <w:sz w:val="44"/>
          <w:szCs w:val="44"/>
        </w:rPr>
        <w:t>第</w:t>
      </w:r>
      <w:r>
        <w:rPr>
          <w:rStyle w:val="18"/>
          <w:rFonts w:hint="eastAsia" w:ascii="黑体" w:eastAsia="黑体"/>
          <w:b w:val="0"/>
        </w:rPr>
        <w:t>五部分 附表</w:t>
      </w:r>
      <w:bookmarkEnd w:id="63"/>
    </w:p>
    <w:p>
      <w:pPr>
        <w:pStyle w:val="4"/>
        <w:rPr>
          <w:rFonts w:ascii="仿宋" w:eastAsia="仿宋"/>
          <w:color w:val="000000"/>
        </w:rPr>
      </w:pPr>
      <w:bookmarkStart w:id="64" w:name="_Toc31493"/>
      <w:r>
        <w:rPr>
          <w:rFonts w:hint="eastAsia" w:ascii="仿宋" w:eastAsia="仿宋"/>
          <w:b w:val="0"/>
          <w:color w:val="000000"/>
        </w:rPr>
        <w:t>一、收</w:t>
      </w:r>
      <w:r>
        <w:rPr>
          <w:rStyle w:val="19"/>
          <w:rFonts w:hint="eastAsia" w:ascii="仿宋" w:eastAsia="仿宋"/>
          <w:b w:val="0"/>
          <w:bCs w:val="0"/>
        </w:rPr>
        <w:t>入支出决算总表</w:t>
      </w:r>
      <w:bookmarkEnd w:id="64"/>
    </w:p>
    <w:p>
      <w:pPr>
        <w:pStyle w:val="4"/>
        <w:rPr>
          <w:rFonts w:ascii="仿宋" w:eastAsia="仿宋"/>
          <w:color w:val="000000"/>
        </w:rPr>
      </w:pPr>
      <w:bookmarkStart w:id="65" w:name="_Toc662"/>
      <w:r>
        <w:rPr>
          <w:rFonts w:hint="eastAsia" w:ascii="仿宋" w:eastAsia="仿宋"/>
          <w:b w:val="0"/>
          <w:color w:val="000000"/>
        </w:rPr>
        <w:t>二、收</w:t>
      </w:r>
      <w:r>
        <w:rPr>
          <w:rStyle w:val="19"/>
          <w:rFonts w:hint="eastAsia" w:ascii="仿宋" w:eastAsia="仿宋"/>
          <w:b w:val="0"/>
          <w:bCs w:val="0"/>
        </w:rPr>
        <w:t>入总表</w:t>
      </w:r>
      <w:bookmarkEnd w:id="65"/>
    </w:p>
    <w:p>
      <w:pPr>
        <w:pStyle w:val="4"/>
        <w:rPr>
          <w:rFonts w:ascii="仿宋" w:eastAsia="仿宋"/>
          <w:color w:val="000000"/>
        </w:rPr>
      </w:pPr>
      <w:bookmarkStart w:id="66" w:name="_Toc97"/>
      <w:r>
        <w:rPr>
          <w:rStyle w:val="19"/>
          <w:rFonts w:hint="eastAsia" w:ascii="仿宋" w:eastAsia="仿宋"/>
          <w:b w:val="0"/>
          <w:bCs w:val="0"/>
        </w:rPr>
        <w:t>三、</w:t>
      </w:r>
      <w:r>
        <w:rPr>
          <w:rFonts w:hint="eastAsia" w:ascii="仿宋" w:eastAsia="仿宋"/>
          <w:b w:val="0"/>
          <w:color w:val="000000"/>
        </w:rPr>
        <w:t>支</w:t>
      </w:r>
      <w:r>
        <w:rPr>
          <w:rStyle w:val="19"/>
          <w:rFonts w:hint="eastAsia" w:ascii="仿宋" w:eastAsia="仿宋"/>
          <w:b w:val="0"/>
          <w:bCs w:val="0"/>
        </w:rPr>
        <w:t>出总表</w:t>
      </w:r>
      <w:bookmarkEnd w:id="66"/>
    </w:p>
    <w:p>
      <w:pPr>
        <w:pStyle w:val="4"/>
        <w:rPr>
          <w:rFonts w:ascii="仿宋" w:eastAsia="仿宋"/>
          <w:b w:val="0"/>
          <w:color w:val="000000"/>
        </w:rPr>
      </w:pPr>
      <w:bookmarkStart w:id="67" w:name="_Toc25465"/>
      <w:r>
        <w:rPr>
          <w:rStyle w:val="19"/>
          <w:rFonts w:hint="eastAsia" w:ascii="仿宋" w:eastAsia="仿宋"/>
          <w:b w:val="0"/>
          <w:bCs w:val="0"/>
        </w:rPr>
        <w:t>四、</w:t>
      </w:r>
      <w:r>
        <w:rPr>
          <w:rFonts w:hint="eastAsia" w:ascii="仿宋" w:eastAsia="仿宋"/>
          <w:b w:val="0"/>
          <w:color w:val="000000"/>
        </w:rPr>
        <w:t>财</w:t>
      </w:r>
      <w:r>
        <w:rPr>
          <w:rStyle w:val="19"/>
          <w:rFonts w:hint="eastAsia" w:ascii="仿宋" w:eastAsia="仿宋"/>
          <w:b w:val="0"/>
          <w:bCs w:val="0"/>
        </w:rPr>
        <w:t>政拨款收入支出决算总表</w:t>
      </w:r>
      <w:bookmarkEnd w:id="67"/>
    </w:p>
    <w:p>
      <w:pPr>
        <w:pStyle w:val="4"/>
        <w:rPr>
          <w:rFonts w:ascii="仿宋" w:eastAsia="仿宋"/>
          <w:color w:val="000000"/>
        </w:rPr>
      </w:pPr>
      <w:bookmarkStart w:id="68" w:name="_Toc5884"/>
      <w:r>
        <w:rPr>
          <w:rStyle w:val="19"/>
          <w:rFonts w:hint="eastAsia" w:ascii="仿宋" w:eastAsia="仿宋"/>
          <w:b w:val="0"/>
          <w:bCs w:val="0"/>
        </w:rPr>
        <w:t>五、</w:t>
      </w:r>
      <w:r>
        <w:rPr>
          <w:rFonts w:hint="eastAsia" w:ascii="仿宋" w:eastAsia="仿宋"/>
          <w:b w:val="0"/>
          <w:color w:val="000000"/>
        </w:rPr>
        <w:t>财</w:t>
      </w:r>
      <w:r>
        <w:rPr>
          <w:rStyle w:val="19"/>
          <w:rFonts w:hint="eastAsia" w:ascii="仿宋" w:eastAsia="仿宋"/>
          <w:b w:val="0"/>
          <w:bCs w:val="0"/>
        </w:rPr>
        <w:t>政拨款支出决算明细表（政府经济分类科目）</w:t>
      </w:r>
      <w:bookmarkEnd w:id="68"/>
    </w:p>
    <w:p>
      <w:pPr>
        <w:pStyle w:val="4"/>
        <w:rPr>
          <w:rFonts w:ascii="仿宋" w:eastAsia="仿宋"/>
          <w:color w:val="000000"/>
        </w:rPr>
      </w:pPr>
      <w:bookmarkStart w:id="69" w:name="_Toc20352"/>
      <w:r>
        <w:rPr>
          <w:rStyle w:val="19"/>
          <w:rFonts w:hint="eastAsia" w:ascii="仿宋" w:eastAsia="仿宋"/>
          <w:b w:val="0"/>
          <w:bCs w:val="0"/>
        </w:rPr>
        <w:t>六、</w:t>
      </w:r>
      <w:r>
        <w:rPr>
          <w:rFonts w:hint="eastAsia" w:ascii="仿宋" w:eastAsia="仿宋"/>
          <w:b w:val="0"/>
          <w:color w:val="000000"/>
        </w:rPr>
        <w:t>一</w:t>
      </w:r>
      <w:r>
        <w:rPr>
          <w:rStyle w:val="19"/>
          <w:rFonts w:hint="eastAsia" w:ascii="仿宋" w:eastAsia="仿宋"/>
          <w:b w:val="0"/>
          <w:bCs w:val="0"/>
        </w:rPr>
        <w:t>般公共预算财政拨款支出决算表</w:t>
      </w:r>
      <w:bookmarkEnd w:id="69"/>
    </w:p>
    <w:p>
      <w:pPr>
        <w:pStyle w:val="4"/>
        <w:rPr>
          <w:rFonts w:ascii="仿宋" w:eastAsia="仿宋"/>
          <w:color w:val="000000"/>
        </w:rPr>
      </w:pPr>
      <w:bookmarkStart w:id="70" w:name="_Toc12413"/>
      <w:r>
        <w:rPr>
          <w:rStyle w:val="19"/>
          <w:rFonts w:hint="eastAsia" w:ascii="仿宋" w:eastAsia="仿宋"/>
          <w:b w:val="0"/>
          <w:bCs w:val="0"/>
        </w:rPr>
        <w:t>七、</w:t>
      </w:r>
      <w:r>
        <w:rPr>
          <w:rFonts w:hint="eastAsia" w:ascii="仿宋" w:eastAsia="仿宋"/>
          <w:b w:val="0"/>
          <w:color w:val="000000"/>
        </w:rPr>
        <w:t>一</w:t>
      </w:r>
      <w:r>
        <w:rPr>
          <w:rStyle w:val="19"/>
          <w:rFonts w:hint="eastAsia" w:ascii="仿宋" w:eastAsia="仿宋"/>
          <w:b w:val="0"/>
          <w:bCs w:val="0"/>
        </w:rPr>
        <w:t>般公共预算财政拨款支出决算明细表</w:t>
      </w:r>
      <w:bookmarkEnd w:id="70"/>
    </w:p>
    <w:p>
      <w:pPr>
        <w:pStyle w:val="4"/>
        <w:rPr>
          <w:rFonts w:ascii="仿宋" w:eastAsia="仿宋"/>
          <w:color w:val="000000"/>
        </w:rPr>
      </w:pPr>
      <w:bookmarkStart w:id="71" w:name="_Toc8923"/>
      <w:r>
        <w:rPr>
          <w:rStyle w:val="19"/>
          <w:rFonts w:hint="eastAsia" w:ascii="仿宋" w:eastAsia="仿宋"/>
          <w:b w:val="0"/>
          <w:bCs w:val="0"/>
        </w:rPr>
        <w:t>八、</w:t>
      </w:r>
      <w:r>
        <w:rPr>
          <w:rFonts w:hint="eastAsia" w:ascii="仿宋" w:eastAsia="仿宋"/>
          <w:b w:val="0"/>
          <w:color w:val="000000"/>
        </w:rPr>
        <w:t>一</w:t>
      </w:r>
      <w:r>
        <w:rPr>
          <w:rStyle w:val="19"/>
          <w:rFonts w:hint="eastAsia" w:ascii="仿宋" w:eastAsia="仿宋"/>
          <w:b w:val="0"/>
          <w:bCs w:val="0"/>
        </w:rPr>
        <w:t>般公共预算财政拨款基本支出决算表</w:t>
      </w:r>
      <w:bookmarkEnd w:id="71"/>
    </w:p>
    <w:p>
      <w:pPr>
        <w:pStyle w:val="4"/>
        <w:rPr>
          <w:rFonts w:ascii="仿宋" w:eastAsia="仿宋"/>
          <w:color w:val="000000"/>
        </w:rPr>
      </w:pPr>
      <w:bookmarkStart w:id="72" w:name="_Toc11501"/>
      <w:r>
        <w:rPr>
          <w:rStyle w:val="19"/>
          <w:rFonts w:hint="eastAsia" w:ascii="仿宋" w:eastAsia="仿宋"/>
          <w:b w:val="0"/>
          <w:bCs w:val="0"/>
        </w:rPr>
        <w:t>九、</w:t>
      </w:r>
      <w:r>
        <w:rPr>
          <w:rFonts w:hint="eastAsia" w:ascii="仿宋" w:eastAsia="仿宋"/>
          <w:b w:val="0"/>
          <w:color w:val="000000"/>
        </w:rPr>
        <w:t>一</w:t>
      </w:r>
      <w:r>
        <w:rPr>
          <w:rStyle w:val="19"/>
          <w:rFonts w:hint="eastAsia" w:ascii="仿宋" w:eastAsia="仿宋"/>
          <w:b w:val="0"/>
          <w:bCs w:val="0"/>
        </w:rPr>
        <w:t>般公共预算财政拨款项目支出决算表</w:t>
      </w:r>
      <w:bookmarkEnd w:id="72"/>
    </w:p>
    <w:p>
      <w:pPr>
        <w:pStyle w:val="4"/>
        <w:rPr>
          <w:rFonts w:ascii="仿宋" w:eastAsia="仿宋"/>
          <w:color w:val="000000"/>
        </w:rPr>
      </w:pPr>
      <w:bookmarkStart w:id="73" w:name="_Toc18339"/>
      <w:r>
        <w:rPr>
          <w:rStyle w:val="19"/>
          <w:rFonts w:hint="eastAsia" w:ascii="仿宋" w:eastAsia="仿宋"/>
          <w:b w:val="0"/>
          <w:bCs w:val="0"/>
        </w:rPr>
        <w:t>十、</w:t>
      </w:r>
      <w:r>
        <w:rPr>
          <w:rFonts w:hint="eastAsia" w:ascii="仿宋" w:eastAsia="仿宋"/>
          <w:b w:val="0"/>
          <w:color w:val="000000"/>
        </w:rPr>
        <w:t>一</w:t>
      </w:r>
      <w:r>
        <w:rPr>
          <w:rStyle w:val="19"/>
          <w:rFonts w:hint="eastAsia" w:ascii="仿宋" w:eastAsia="仿宋"/>
          <w:b w:val="0"/>
          <w:bCs w:val="0"/>
        </w:rPr>
        <w:t>般公共预算财政拨款“三公”经费支出决算表</w:t>
      </w:r>
      <w:bookmarkEnd w:id="73"/>
    </w:p>
    <w:p>
      <w:pPr>
        <w:pStyle w:val="4"/>
        <w:rPr>
          <w:rFonts w:ascii="仿宋" w:eastAsia="仿宋"/>
          <w:color w:val="000000"/>
        </w:rPr>
      </w:pPr>
      <w:bookmarkStart w:id="74" w:name="_Toc30575"/>
      <w:r>
        <w:rPr>
          <w:rStyle w:val="19"/>
          <w:rFonts w:hint="eastAsia" w:ascii="仿宋" w:eastAsia="仿宋"/>
          <w:b w:val="0"/>
          <w:bCs w:val="0"/>
        </w:rPr>
        <w:t>十一、</w:t>
      </w:r>
      <w:r>
        <w:rPr>
          <w:rFonts w:hint="eastAsia" w:ascii="仿宋" w:eastAsia="仿宋"/>
          <w:b w:val="0"/>
          <w:color w:val="000000"/>
        </w:rPr>
        <w:t>政</w:t>
      </w:r>
      <w:r>
        <w:rPr>
          <w:rStyle w:val="19"/>
          <w:rFonts w:hint="eastAsia" w:ascii="仿宋" w:eastAsia="仿宋"/>
          <w:b w:val="0"/>
          <w:bCs w:val="0"/>
        </w:rPr>
        <w:t>府性基金预算财政拨款收入支出决算表</w:t>
      </w:r>
      <w:bookmarkEnd w:id="74"/>
    </w:p>
    <w:p>
      <w:pPr>
        <w:pStyle w:val="4"/>
        <w:rPr>
          <w:rFonts w:ascii="仿宋" w:eastAsia="仿宋"/>
          <w:color w:val="000000"/>
        </w:rPr>
      </w:pPr>
      <w:bookmarkStart w:id="75" w:name="_Toc15396630"/>
      <w:bookmarkStart w:id="76" w:name="_Toc10285"/>
      <w:r>
        <w:rPr>
          <w:rStyle w:val="19"/>
          <w:rFonts w:hint="eastAsia" w:ascii="仿宋" w:eastAsia="仿宋"/>
          <w:b w:val="0"/>
          <w:bCs w:val="0"/>
        </w:rPr>
        <w:t>十二、</w:t>
      </w:r>
      <w:r>
        <w:rPr>
          <w:rFonts w:hint="eastAsia" w:ascii="仿宋" w:eastAsia="仿宋"/>
          <w:b w:val="0"/>
          <w:color w:val="000000"/>
        </w:rPr>
        <w:t>政</w:t>
      </w:r>
      <w:r>
        <w:rPr>
          <w:rStyle w:val="19"/>
          <w:rFonts w:hint="eastAsia" w:ascii="仿宋" w:eastAsia="仿宋"/>
          <w:b w:val="0"/>
          <w:bCs w:val="0"/>
        </w:rPr>
        <w:t>府性基金预算财政拨款“三公”经费支出决算表</w:t>
      </w:r>
      <w:bookmarkEnd w:id="75"/>
      <w:bookmarkEnd w:id="76"/>
    </w:p>
    <w:p>
      <w:pPr>
        <w:pStyle w:val="4"/>
        <w:rPr>
          <w:rFonts w:ascii="仿宋" w:eastAsia="仿宋"/>
          <w:color w:val="000000"/>
        </w:rPr>
      </w:pPr>
      <w:bookmarkStart w:id="77" w:name="_Toc21949"/>
      <w:bookmarkStart w:id="78" w:name="_Toc15396631"/>
      <w:r>
        <w:rPr>
          <w:rStyle w:val="19"/>
          <w:rFonts w:hint="eastAsia" w:ascii="仿宋" w:eastAsia="仿宋"/>
          <w:b w:val="0"/>
          <w:bCs w:val="0"/>
        </w:rPr>
        <w:t>十三、</w:t>
      </w:r>
      <w:r>
        <w:rPr>
          <w:rFonts w:hint="eastAsia" w:ascii="仿宋" w:eastAsia="仿宋"/>
          <w:b w:val="0"/>
          <w:color w:val="000000"/>
        </w:rPr>
        <w:t>国</w:t>
      </w:r>
      <w:r>
        <w:rPr>
          <w:rStyle w:val="19"/>
          <w:rFonts w:hint="eastAsia" w:ascii="仿宋" w:eastAsia="仿宋"/>
          <w:b w:val="0"/>
          <w:bCs w:val="0"/>
        </w:rPr>
        <w:t>有资本经营预算支出决算表</w:t>
      </w:r>
      <w:bookmarkEnd w:id="77"/>
      <w:bookmarkEnd w:id="78"/>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69349466"/>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19</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4963CC"/>
    <w:multiLevelType w:val="singleLevel"/>
    <w:tmpl w:val="854963CC"/>
    <w:lvl w:ilvl="0" w:tentative="0">
      <w:start w:val="2"/>
      <w:numFmt w:val="decimal"/>
      <w:suff w:val="nothing"/>
      <w:lvlText w:val="%1、"/>
      <w:lvlJc w:val="left"/>
      <w:pPr>
        <w:tabs>
          <w:tab w:val="left" w:pos="0"/>
        </w:tabs>
        <w:ind w:left="0" w:firstLine="0"/>
      </w:pPr>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4">
    <w:nsid w:val="01FD797A"/>
    <w:multiLevelType w:val="singleLevel"/>
    <w:tmpl w:val="01FD797A"/>
    <w:lvl w:ilvl="0" w:tentative="0">
      <w:start w:val="1"/>
      <w:numFmt w:val="chineseCounting"/>
      <w:suff w:val="nothing"/>
      <w:lvlText w:val="（%1）"/>
      <w:lvlJc w:val="left"/>
      <w:pPr>
        <w:tabs>
          <w:tab w:val="left" w:pos="0"/>
        </w:tabs>
        <w:ind w:left="0" w:firstLine="0"/>
      </w:pPr>
      <w:rPr>
        <w:rFonts w:hint="eastAsia"/>
      </w:rPr>
    </w:lvl>
  </w:abstractNum>
  <w:abstractNum w:abstractNumId="5">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6">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7">
    <w:nsid w:val="5930D3C7"/>
    <w:multiLevelType w:val="singleLevel"/>
    <w:tmpl w:val="5930D3C7"/>
    <w:lvl w:ilvl="0" w:tentative="0">
      <w:start w:val="3"/>
      <w:numFmt w:val="chineseCounting"/>
      <w:suff w:val="nothing"/>
      <w:lvlText w:val="%1、"/>
      <w:lvlJc w:val="left"/>
      <w:pPr>
        <w:tabs>
          <w:tab w:val="left" w:pos="0"/>
        </w:tabs>
        <w:ind w:left="0" w:firstLine="0"/>
      </w:pPr>
    </w:lvl>
  </w:abstractNum>
  <w:abstractNum w:abstractNumId="8">
    <w:nsid w:val="63E78AEE"/>
    <w:multiLevelType w:val="singleLevel"/>
    <w:tmpl w:val="63E78AEE"/>
    <w:lvl w:ilvl="0" w:tentative="0">
      <w:start w:val="1"/>
      <w:numFmt w:val="chineseCounting"/>
      <w:suff w:val="nothing"/>
      <w:lvlText w:val="（%1）"/>
      <w:lvlJc w:val="left"/>
      <w:pPr>
        <w:tabs>
          <w:tab w:val="left" w:pos="0"/>
        </w:tabs>
        <w:ind w:left="0" w:firstLine="0"/>
      </w:pPr>
      <w:rPr>
        <w:rFonts w:hint="eastAsia"/>
      </w:rPr>
    </w:lvl>
  </w:abstractNum>
  <w:num w:numId="1">
    <w:abstractNumId w:val="5"/>
  </w:num>
  <w:num w:numId="2">
    <w:abstractNumId w:val="0"/>
  </w:num>
  <w:num w:numId="3">
    <w:abstractNumId w:val="1"/>
  </w:num>
  <w:num w:numId="4">
    <w:abstractNumId w:val="6"/>
  </w:num>
  <w:num w:numId="5">
    <w:abstractNumId w:val="3"/>
  </w:num>
  <w:num w:numId="6">
    <w:abstractNumId w:val="2"/>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C40BB7"/>
    <w:rsid w:val="005A779B"/>
    <w:rsid w:val="00BE2E39"/>
    <w:rsid w:val="00C40BB7"/>
    <w:rsid w:val="402658C5"/>
    <w:rsid w:val="6F5764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9"/>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iPriority w:val="0"/>
    <w:pPr>
      <w:ind w:left="400"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uiPriority w:val="0"/>
    <w:pPr>
      <w:tabs>
        <w:tab w:val="right" w:leader="dot" w:pos="8296"/>
      </w:tabs>
      <w:ind w:left="200" w:leftChars="200"/>
    </w:pPr>
  </w:style>
  <w:style w:type="paragraph" w:styleId="13">
    <w:name w:val="Normal (Web)"/>
    <w:basedOn w:val="1"/>
    <w:qFormat/>
    <w:uiPriority w:val="0"/>
    <w:pPr>
      <w:widowControl/>
      <w:spacing w:before="100" w:beforeAutospacing="1" w:after="100" w:afterAutospacing="1"/>
      <w:jc w:val="left"/>
    </w:pPr>
    <w:rPr>
      <w:rFonts w:ascii="宋体" w:cs="宋体"/>
      <w:kern w:val="0"/>
      <w:sz w:val="24"/>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标题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19">
    <w:name w:val="标题 2 Char"/>
    <w:basedOn w:val="15"/>
    <w:link w:val="4"/>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qFormat/>
    <w:uiPriority w:val="0"/>
    <w:rPr>
      <w:rFonts w:ascii="Times New Roman" w:hAnsi="Times New Roman"/>
      <w:sz w:val="18"/>
      <w:szCs w:val="18"/>
    </w:rPr>
  </w:style>
  <w:style w:type="character" w:customStyle="1" w:styleId="22">
    <w:name w:val="Body Text Char"/>
    <w:basedOn w:val="15"/>
    <w:qFormat/>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qFormat/>
    <w:uiPriority w:val="0"/>
    <w:pPr>
      <w:ind w:firstLine="200" w:firstLineChars="200"/>
    </w:pPr>
  </w:style>
  <w:style w:type="paragraph" w:customStyle="1" w:styleId="25">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6">
    <w:name w:val="p0"/>
    <w:basedOn w:val="1"/>
    <w:qFormat/>
    <w:uiPriority w:val="0"/>
    <w:pPr>
      <w:widowControl/>
    </w:pPr>
    <w:rPr>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2019年 </c:f>
              <c:strCache>
                <c:ptCount val="1"/>
                <c:pt idx="0">
                  <c:v>2019年 </c:v>
                </c:pt>
              </c:strCache>
            </c:strRef>
          </c:tx>
          <c:spPr>
            <a:solidFill>
              <a:srgbClr val="4F81BD"/>
            </a:solidFill>
            <a:ln>
              <a:noFill/>
            </a:ln>
          </c:spPr>
          <c:invertIfNegative val="0"/>
          <c:dLbls>
            <c:delete val="1"/>
          </c:dLbls>
          <c:cat>
            <c:strRef>
              <c:f>{"总收入","总支出"}</c:f>
              <c:strCache>
                <c:ptCount val="2"/>
                <c:pt idx="0">
                  <c:v>总收入</c:v>
                </c:pt>
                <c:pt idx="1">
                  <c:v>总支出</c:v>
                </c:pt>
              </c:strCache>
            </c:strRef>
          </c:cat>
          <c:val>
            <c:numRef>
              <c:f>{7133.88,7614.61}</c:f>
              <c:numCache>
                <c:formatCode>General</c:formatCode>
                <c:ptCount val="2"/>
                <c:pt idx="0">
                  <c:v>7133.88</c:v>
                </c:pt>
                <c:pt idx="1">
                  <c:v>7614.61</c:v>
                </c:pt>
              </c:numCache>
            </c:numRef>
          </c:val>
        </c:ser>
        <c:ser>
          <c:idx val="1"/>
          <c:order val="1"/>
          <c:tx>
            <c:strRef>
              <c:f>2020年</c:f>
              <c:strCache>
                <c:ptCount val="1"/>
                <c:pt idx="0">
                  <c:v>2020年</c:v>
                </c:pt>
              </c:strCache>
            </c:strRef>
          </c:tx>
          <c:spPr>
            <a:solidFill>
              <a:srgbClr val="C0504D"/>
            </a:solidFill>
            <a:ln>
              <a:noFill/>
            </a:ln>
          </c:spPr>
          <c:invertIfNegative val="0"/>
          <c:dLbls>
            <c:delete val="1"/>
          </c:dLbls>
          <c:cat>
            <c:strRef>
              <c:f>{"总收入","总支出"}</c:f>
              <c:strCache>
                <c:ptCount val="2"/>
                <c:pt idx="0">
                  <c:v>总收入</c:v>
                </c:pt>
                <c:pt idx="1">
                  <c:v>总支出</c:v>
                </c:pt>
              </c:strCache>
            </c:strRef>
          </c:cat>
          <c:val>
            <c:numRef>
              <c:f>{8100.59,6500.65}</c:f>
              <c:numCache>
                <c:formatCode>General</c:formatCode>
                <c:ptCount val="2"/>
                <c:pt idx="0">
                  <c:v>8100.59</c:v>
                </c:pt>
                <c:pt idx="1">
                  <c:v>6500.65</c:v>
                </c:pt>
              </c:numCache>
            </c:numRef>
          </c:val>
        </c:ser>
        <c:dLbls>
          <c:showLegendKey val="0"/>
          <c:showVal val="0"/>
          <c:showCatName val="0"/>
          <c:showSerName val="0"/>
          <c:showPercent val="0"/>
          <c:showBubbleSize val="0"/>
        </c:dLbls>
        <c:gapWidth val="219"/>
        <c:overlap val="-27"/>
        <c:axId val="45929216"/>
        <c:axId val="45930752"/>
      </c:barChart>
      <c:catAx>
        <c:axId val="45929216"/>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45930752"/>
        <c:crosses val="autoZero"/>
        <c:auto val="1"/>
        <c:lblAlgn val="ctr"/>
        <c:lblOffset val="100"/>
        <c:noMultiLvlLbl val="0"/>
      </c:catAx>
      <c:valAx>
        <c:axId val="45930752"/>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45929216"/>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政府性基金预算财政拨款收入</c:v>
                </c:pt>
              </c:strCache>
            </c:strRef>
          </c:cat>
          <c:val>
            <c:numRef>
              <c:f>'Sheet1 (2)'!$B$2:$B$3</c:f>
              <c:numCache>
                <c:formatCode>General</c:formatCode>
                <c:ptCount val="2"/>
                <c:pt idx="0">
                  <c:v>8030.59</c:v>
                </c:pt>
                <c:pt idx="1">
                  <c:v>70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451.69</c:v>
                </c:pt>
                <c:pt idx="1">
                  <c:v>6048.96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2019年 </c:f>
              <c:strCache>
                <c:ptCount val="1"/>
                <c:pt idx="0">
                  <c:v>2019年 </c:v>
                </c:pt>
              </c:strCache>
            </c:strRef>
          </c:tx>
          <c:spPr>
            <a:solidFill>
              <a:srgbClr val="4F81BD"/>
            </a:solidFill>
            <a:ln>
              <a:noFill/>
            </a:ln>
          </c:spPr>
          <c:invertIfNegative val="0"/>
          <c:dLbls>
            <c:delete val="1"/>
          </c:dLbls>
          <c:cat>
            <c:strRef>
              <c:f>{"总收入","总支出"}</c:f>
              <c:strCache>
                <c:ptCount val="2"/>
                <c:pt idx="0">
                  <c:v>总收入</c:v>
                </c:pt>
                <c:pt idx="1">
                  <c:v>总支出</c:v>
                </c:pt>
              </c:strCache>
            </c:strRef>
          </c:cat>
          <c:val>
            <c:numRef>
              <c:f>{7133.88,7614.61}</c:f>
              <c:numCache>
                <c:formatCode>General</c:formatCode>
                <c:ptCount val="2"/>
                <c:pt idx="0">
                  <c:v>7133.88</c:v>
                </c:pt>
                <c:pt idx="1">
                  <c:v>7614.61</c:v>
                </c:pt>
              </c:numCache>
            </c:numRef>
          </c:val>
        </c:ser>
        <c:ser>
          <c:idx val="1"/>
          <c:order val="1"/>
          <c:tx>
            <c:strRef>
              <c:f>2020年</c:f>
              <c:strCache>
                <c:ptCount val="1"/>
                <c:pt idx="0">
                  <c:v>2020年</c:v>
                </c:pt>
              </c:strCache>
            </c:strRef>
          </c:tx>
          <c:spPr>
            <a:solidFill>
              <a:srgbClr val="C0504D"/>
            </a:solidFill>
            <a:ln>
              <a:noFill/>
            </a:ln>
          </c:spPr>
          <c:invertIfNegative val="0"/>
          <c:dLbls>
            <c:delete val="1"/>
          </c:dLbls>
          <c:cat>
            <c:strRef>
              <c:f>{"总收入","总支出"}</c:f>
              <c:strCache>
                <c:ptCount val="2"/>
                <c:pt idx="0">
                  <c:v>总收入</c:v>
                </c:pt>
                <c:pt idx="1">
                  <c:v>总支出</c:v>
                </c:pt>
              </c:strCache>
            </c:strRef>
          </c:cat>
          <c:val>
            <c:numRef>
              <c:f>{8100.59,6500.65}</c:f>
              <c:numCache>
                <c:formatCode>General</c:formatCode>
                <c:ptCount val="2"/>
                <c:pt idx="0">
                  <c:v>8100.59</c:v>
                </c:pt>
                <c:pt idx="1">
                  <c:v>6500.65</c:v>
                </c:pt>
              </c:numCache>
            </c:numRef>
          </c:val>
        </c:ser>
        <c:dLbls>
          <c:showLegendKey val="0"/>
          <c:showVal val="0"/>
          <c:showCatName val="0"/>
          <c:showSerName val="0"/>
          <c:showPercent val="0"/>
          <c:showBubbleSize val="0"/>
        </c:dLbls>
        <c:gapWidth val="219"/>
        <c:overlap val="-27"/>
        <c:axId val="46236800"/>
        <c:axId val="46238336"/>
      </c:barChart>
      <c:catAx>
        <c:axId val="4623680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46238336"/>
        <c:crosses val="autoZero"/>
        <c:auto val="1"/>
        <c:lblAlgn val="ctr"/>
        <c:lblOffset val="100"/>
        <c:noMultiLvlLbl val="0"/>
      </c:catAx>
      <c:valAx>
        <c:axId val="46238336"/>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4623680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barChart>
        <c:barDir val="col"/>
        <c:grouping val="clustered"/>
        <c:varyColors val="0"/>
        <c:ser>
          <c:idx val="0"/>
          <c:order val="0"/>
          <c:tx>
            <c:strRef>
              <c:f>一般公共预算财政拨款支出决算变动情况</c:f>
              <c:strCache>
                <c:ptCount val="1"/>
                <c:pt idx="0">
                  <c:v>一般公共预算财政拨款支出决算变动情况</c:v>
                </c:pt>
              </c:strCache>
            </c:strRef>
          </c:tx>
          <c:spPr>
            <a:solidFill>
              <a:srgbClr val="4F81BD"/>
            </a:solidFill>
            <a:ln>
              <a:noFill/>
            </a:ln>
          </c:spPr>
          <c:invertIfNegative val="0"/>
          <c:dLbls>
            <c:delete val="1"/>
          </c:dLbls>
          <c:cat>
            <c:strRef>
              <c:f>{"2020年","2019年"}</c:f>
              <c:strCache>
                <c:ptCount val="2"/>
                <c:pt idx="0">
                  <c:v>2020年</c:v>
                </c:pt>
                <c:pt idx="1">
                  <c:v>2019年</c:v>
                </c:pt>
              </c:strCache>
            </c:strRef>
          </c:cat>
          <c:val>
            <c:numRef>
              <c:f>{6500.65,7614.61}</c:f>
              <c:numCache>
                <c:formatCode>General</c:formatCode>
                <c:ptCount val="2"/>
                <c:pt idx="0">
                  <c:v>6500.65</c:v>
                </c:pt>
                <c:pt idx="1">
                  <c:v>7614.61</c:v>
                </c:pt>
              </c:numCache>
            </c:numRef>
          </c:val>
        </c:ser>
        <c:dLbls>
          <c:showLegendKey val="0"/>
          <c:showVal val="0"/>
          <c:showCatName val="0"/>
          <c:showSerName val="0"/>
          <c:showPercent val="0"/>
          <c:showBubbleSize val="0"/>
        </c:dLbls>
        <c:gapWidth val="219"/>
        <c:overlap val="-27"/>
        <c:axId val="46114688"/>
        <c:axId val="46116224"/>
      </c:barChart>
      <c:catAx>
        <c:axId val="46114688"/>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46116224"/>
        <c:crosses val="autoZero"/>
        <c:auto val="1"/>
        <c:lblAlgn val="ctr"/>
        <c:lblOffset val="100"/>
        <c:noMultiLvlLbl val="0"/>
      </c:catAx>
      <c:valAx>
        <c:axId val="46116224"/>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46114688"/>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一般公共预算财政拨款支出决算结构</c:f>
              <c:strCache>
                <c:ptCount val="1"/>
                <c:pt idx="0">
                  <c:v>一般公共预算财政拨款支出决算结构</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F79646"/>
              </a:solidFill>
              <a:ln w="19050">
                <a:solidFill>
                  <a:srgbClr val="FFFFFF"/>
                </a:solidFill>
                <a:prstDash val="solid"/>
              </a:ln>
            </c:spPr>
          </c:dPt>
          <c:dLbls>
            <c:delete val="1"/>
          </c:dLbls>
          <c:cat>
            <c:strRef>
              <c:f>{"社会保障和就业","卫生健康","节能环保","农林水","住房保障","其他"}</c:f>
              <c:strCache>
                <c:ptCount val="6"/>
                <c:pt idx="0">
                  <c:v>社会保障和就业</c:v>
                </c:pt>
                <c:pt idx="1">
                  <c:v>卫生健康</c:v>
                </c:pt>
                <c:pt idx="2">
                  <c:v>节能环保</c:v>
                </c:pt>
                <c:pt idx="3">
                  <c:v>农林水</c:v>
                </c:pt>
                <c:pt idx="4">
                  <c:v>住房保障</c:v>
                </c:pt>
                <c:pt idx="5">
                  <c:v>其他</c:v>
                </c:pt>
              </c:strCache>
            </c:strRef>
          </c:cat>
          <c:val>
            <c:numRef>
              <c:f>{55.43,24.77,309.93,6006.6,37.24,66.69}</c:f>
              <c:numCache>
                <c:formatCode>General</c:formatCode>
                <c:ptCount val="6"/>
                <c:pt idx="0">
                  <c:v>55.43</c:v>
                </c:pt>
                <c:pt idx="1">
                  <c:v>24.77</c:v>
                </c:pt>
                <c:pt idx="2">
                  <c:v>309.93</c:v>
                </c:pt>
                <c:pt idx="3">
                  <c:v>6006.6</c:v>
                </c:pt>
                <c:pt idx="4">
                  <c:v>37.24</c:v>
                </c:pt>
                <c:pt idx="5">
                  <c:v>66.69</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32</Pages>
  <Words>2512</Words>
  <Characters>14324</Characters>
  <Lines>119</Lines>
  <Paragraphs>33</Paragraphs>
  <TotalTime>29</TotalTime>
  <ScaleCrop>false</ScaleCrop>
  <LinksUpToDate>false</LinksUpToDate>
  <CharactersWithSpaces>16803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平淡无奇</cp:lastModifiedBy>
  <cp:lastPrinted>2020-09-29T10:36:00Z</cp:lastPrinted>
  <dcterms:modified xsi:type="dcterms:W3CDTF">2021-09-30T03:51:36Z</dcterms:modified>
  <dc:title>四川省***</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7446358C982B43FBBF5486ACE152A102</vt:lpwstr>
  </property>
</Properties>
</file>