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2026年市场监督管理局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部门预算绩效目标情况说明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2026年，我单位部门预算655.34万元 ，均严格按绩效管理要求实现项目绩效目标管理，其中重点项目预算0个，现将情况说明如下：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单位预算绩效管理工作开展情况。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200" w:firstLine="640"/>
        <w:textAlignment w:val="auto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完成了2026年本级部门预算整体绩效目标申报和0个项目预算绩效目标申报，并编报0个项目预算事前绩效评估报告。</w:t>
      </w:r>
    </w:p>
    <w:p>
      <w:pPr>
        <w:numPr>
          <w:ilvl w:val="0"/>
          <w:numId w:val="2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以习近平新时代中国特色社会主义思想为指导，深入贯彻落实党的精神，按照州市场监督管理局和县委县政府决策部署，全面加强食品、药品、特种设备、产品质量监管。一是突出党建引领，持续深化从严治党。二是担当作为，全力服务乡村振兴。三是坚持底线思维，切实化解安全风险。四是强基固本，持续提升市场主体监管能力。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left="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 xml:space="preserve">    无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C563560"/>
    <w:multiLevelType w:val="singleLevel"/>
    <w:tmpl w:val="0C563560"/>
    <w:lvl w:ilvl="0">
      <w:start w:val="1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abstractNum w:abstractNumId="1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WRjZDY2ZjQ2NWQyZjRhNDA3MDA4MDFmMzEzY2Y2Z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</TotalTime>
  <Application>Yozo_Office27021597764231179</Application>
  <Pages>1</Pages>
  <Words>317</Words>
  <Characters>331</Characters>
  <Lines>20</Lines>
  <Paragraphs>9</Paragraphs>
  <CharactersWithSpaces>336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2026-03-19T02:45:55Z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2A6B7724019A4C60BF0F3EF0EA37CDB1_12</vt:lpwstr>
  </property>
  <property fmtid="{D5CDD505-2E9C-101B-9397-08002B2CF9AE}" pid="4" name="KSOTemplateDocerSaveRecord">
    <vt:lpwstr>eyJoZGlkIjoiYWRjZDY2ZjQ2NWQyZjRhNDA3MDA4MDFmMzEzY2Y2ZTciLCJ1c2VySWQiOiI0MDU3NDI5NTMifQ==</vt:lpwstr>
  </property>
</Properties>
</file>