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ascii="黑体" w:hAnsi="黑体" w:eastAsia="黑体" w:cs="黑体"/>
          <w:sz w:val="44"/>
          <w:szCs w:val="44"/>
        </w:rPr>
      </w:pPr>
    </w:p>
    <w:p>
      <w:pPr>
        <w:snapToGrid w:val="0"/>
        <w:jc w:val="center"/>
        <w:rPr>
          <w:rFonts w:ascii="黑体" w:hAnsi="黑体" w:eastAsia="黑体" w:cs="黑体"/>
          <w:sz w:val="44"/>
          <w:szCs w:val="44"/>
        </w:rPr>
      </w:pPr>
    </w:p>
    <w:p>
      <w:pPr>
        <w:snapToGrid w:val="0"/>
        <w:jc w:val="center"/>
        <w:rPr>
          <w:rFonts w:ascii="黑体" w:hAnsi="黑体" w:eastAsia="黑体" w:cs="黑体"/>
          <w:sz w:val="44"/>
          <w:szCs w:val="44"/>
        </w:rPr>
      </w:pPr>
    </w:p>
    <w:p>
      <w:pPr>
        <w:adjustRightInd w:val="0"/>
        <w:snapToGrid w:val="0"/>
        <w:spacing w:line="360" w:lineRule="auto"/>
        <w:jc w:val="center"/>
        <w:rPr>
          <w:rFonts w:ascii="黑体" w:hAnsi="黑体" w:eastAsia="黑体"/>
          <w:color w:val="000000"/>
          <w:sz w:val="72"/>
          <w:szCs w:val="72"/>
        </w:rPr>
      </w:pPr>
      <w:bookmarkStart w:id="0" w:name="_Toc15378441"/>
      <w:bookmarkStart w:id="1" w:name="_Toc15377193"/>
      <w:bookmarkStart w:id="2" w:name="_Toc15377425"/>
      <w:bookmarkStart w:id="3" w:name="_Toc15396597"/>
      <w:bookmarkStart w:id="4" w:name="_Toc15396475"/>
    </w:p>
    <w:p>
      <w:pPr>
        <w:adjustRightInd w:val="0"/>
        <w:snapToGrid w:val="0"/>
        <w:spacing w:line="360" w:lineRule="auto"/>
        <w:jc w:val="center"/>
        <w:rPr>
          <w:rFonts w:ascii="黑体" w:hAnsi="黑体" w:eastAsia="黑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5" w:name="_Toc32124"/>
      <w:bookmarkStart w:id="6" w:name="_Toc1811"/>
      <w:bookmarkStart w:id="7" w:name="_Toc15538"/>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0"/>
      <w:bookmarkEnd w:id="1"/>
      <w:bookmarkEnd w:id="2"/>
      <w:bookmarkEnd w:id="3"/>
      <w:bookmarkEnd w:id="4"/>
      <w:bookmarkEnd w:id="5"/>
      <w:bookmarkEnd w:id="6"/>
      <w:bookmarkEnd w:id="7"/>
      <w:bookmarkStart w:id="8" w:name="_Toc15378442"/>
      <w:bookmarkStart w:id="9" w:name="_Toc15396476"/>
      <w:bookmarkStart w:id="10" w:name="_Toc15377426"/>
      <w:bookmarkStart w:id="11" w:name="_Toc15377194"/>
      <w:bookmarkStart w:id="12" w:name="_Toc15306268"/>
      <w:bookmarkStart w:id="13" w:name="_Toc15396598"/>
    </w:p>
    <w:p>
      <w:pPr>
        <w:adjustRightInd w:val="0"/>
        <w:snapToGrid w:val="0"/>
        <w:spacing w:line="360" w:lineRule="auto"/>
        <w:jc w:val="center"/>
        <w:outlineLvl w:val="0"/>
        <w:rPr>
          <w:rFonts w:ascii="方正小标宋简体" w:hAnsi="宋体" w:eastAsia="方正小标宋简体"/>
          <w:color w:val="000000"/>
          <w:sz w:val="72"/>
          <w:szCs w:val="72"/>
        </w:rPr>
      </w:pPr>
      <w:bookmarkStart w:id="14" w:name="_Toc20266"/>
      <w:bookmarkStart w:id="15" w:name="_Toc28892"/>
      <w:bookmarkStart w:id="16" w:name="_Toc15964"/>
      <w:r>
        <w:rPr>
          <w:rFonts w:hint="eastAsia" w:ascii="方正小标宋简体" w:hAnsi="宋体" w:eastAsia="方正小标宋简体"/>
          <w:color w:val="000000"/>
          <w:sz w:val="72"/>
          <w:szCs w:val="72"/>
        </w:rPr>
        <w:t>金川县</w:t>
      </w:r>
      <w:bookmarkEnd w:id="14"/>
      <w:bookmarkEnd w:id="15"/>
      <w:bookmarkStart w:id="17" w:name="_Toc32513"/>
      <w:bookmarkStart w:id="18" w:name="_Toc16040"/>
      <w:r>
        <w:rPr>
          <w:rFonts w:hint="eastAsia" w:ascii="方正小标宋简体" w:hAnsi="宋体" w:eastAsia="方正小标宋简体"/>
          <w:color w:val="000000"/>
          <w:sz w:val="72"/>
          <w:szCs w:val="72"/>
        </w:rPr>
        <w:t>市场监督管理局</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6"/>
      <w:bookmarkEnd w:id="17"/>
      <w:bookmarkEnd w:id="18"/>
    </w:p>
    <w:p/>
    <w:p>
      <w:pPr>
        <w:pStyle w:val="7"/>
        <w:tabs>
          <w:tab w:val="right" w:leader="middleDot" w:pos="8306"/>
          <w:tab w:val="clear" w:pos="8296"/>
        </w:tabs>
        <w:jc w:val="both"/>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7"/>
      </w:pPr>
      <w:r>
        <w:rPr>
          <w:rFonts w:hint="eastAsia"/>
        </w:rPr>
        <w:fldChar w:fldCharType="begin"/>
      </w:r>
      <w:r>
        <w:rPr>
          <w:rFonts w:hint="eastAsia"/>
        </w:rPr>
        <w:instrText xml:space="preserve">TOC \o "1-3" \h \u </w:instrText>
      </w:r>
      <w:r>
        <w:rPr>
          <w:rFonts w:hint="eastAsia"/>
        </w:rPr>
        <w:fldChar w:fldCharType="separate"/>
      </w:r>
    </w:p>
    <w:p>
      <w:pPr>
        <w:pStyle w:val="7"/>
      </w:pPr>
      <w:r>
        <w:fldChar w:fldCharType="begin"/>
      </w:r>
      <w:r>
        <w:instrText xml:space="preserve"> HYPERLINK \l "_Toc23088" </w:instrText>
      </w:r>
      <w:r>
        <w:fldChar w:fldCharType="separate"/>
      </w:r>
      <w:r>
        <w:rPr>
          <w:rFonts w:hint="eastAsia"/>
        </w:rPr>
        <w:t>2019年决算公开</w:t>
      </w:r>
      <w:r>
        <w:rPr>
          <w:rFonts w:hint="eastAsia"/>
        </w:rPr>
        <w:tab/>
      </w:r>
      <w:r>
        <w:rPr>
          <w:rFonts w:hint="eastAsia"/>
        </w:rPr>
        <w:fldChar w:fldCharType="end"/>
      </w:r>
    </w:p>
    <w:p>
      <w:pPr>
        <w:pStyle w:val="7"/>
      </w:pPr>
      <w:r>
        <w:fldChar w:fldCharType="begin"/>
      </w:r>
      <w:r>
        <w:instrText xml:space="preserve"> HYPERLINK \l "_Toc11455" </w:instrText>
      </w:r>
      <w:r>
        <w:fldChar w:fldCharType="separate"/>
      </w:r>
      <w:r>
        <w:rPr>
          <w:rFonts w:hint="eastAsia"/>
        </w:rPr>
        <w:t>一、 单位基本情况</w:t>
      </w:r>
      <w:r>
        <w:rPr>
          <w:rFonts w:hint="eastAsia"/>
        </w:rPr>
        <w:tab/>
      </w:r>
      <w:r>
        <w:rPr>
          <w:rFonts w:hint="eastAsia"/>
        </w:rPr>
        <w:t>4</w:t>
      </w:r>
      <w:r>
        <w:rPr>
          <w:rFonts w:hint="eastAsia"/>
        </w:rPr>
        <w:fldChar w:fldCharType="end"/>
      </w:r>
    </w:p>
    <w:p>
      <w:pPr>
        <w:pStyle w:val="7"/>
      </w:pPr>
      <w:r>
        <w:fldChar w:fldCharType="begin"/>
      </w:r>
      <w:r>
        <w:instrText xml:space="preserve"> HYPERLINK \l "_Toc26556" </w:instrText>
      </w:r>
      <w:r>
        <w:fldChar w:fldCharType="separate"/>
      </w:r>
      <w:r>
        <w:rPr>
          <w:rFonts w:hint="eastAsia"/>
        </w:rPr>
        <w:t>（一）主要职能</w:t>
      </w:r>
      <w:r>
        <w:rPr>
          <w:rFonts w:hint="eastAsia"/>
        </w:rPr>
        <w:tab/>
      </w:r>
      <w:r>
        <w:rPr>
          <w:rFonts w:hint="eastAsia"/>
        </w:rPr>
        <w:t>5</w:t>
      </w:r>
      <w:r>
        <w:rPr>
          <w:rFonts w:hint="eastAsia"/>
        </w:rPr>
        <w:fldChar w:fldCharType="end"/>
      </w:r>
    </w:p>
    <w:p>
      <w:pPr>
        <w:pStyle w:val="7"/>
      </w:pPr>
      <w:r>
        <w:fldChar w:fldCharType="begin"/>
      </w:r>
      <w:r>
        <w:instrText xml:space="preserve"> HYPERLINK \l "_Toc1399" </w:instrText>
      </w:r>
      <w:r>
        <w:fldChar w:fldCharType="separate"/>
      </w:r>
      <w:r>
        <w:rPr>
          <w:rFonts w:hint="eastAsia"/>
        </w:rPr>
        <w:t>（二）机构和人员情况</w:t>
      </w:r>
      <w:r>
        <w:rPr>
          <w:rFonts w:hint="eastAsia"/>
        </w:rPr>
        <w:tab/>
      </w:r>
      <w:r>
        <w:rPr>
          <w:rFonts w:hint="eastAsia"/>
        </w:rPr>
        <w:t>8</w:t>
      </w:r>
      <w:r>
        <w:rPr>
          <w:rFonts w:hint="eastAsia"/>
        </w:rPr>
        <w:fldChar w:fldCharType="end"/>
      </w:r>
    </w:p>
    <w:p>
      <w:pPr>
        <w:pStyle w:val="7"/>
      </w:pPr>
      <w:r>
        <w:fldChar w:fldCharType="begin"/>
      </w:r>
      <w:r>
        <w:instrText xml:space="preserve"> HYPERLINK \l "_Toc19488" </w:instrText>
      </w:r>
      <w:r>
        <w:fldChar w:fldCharType="separate"/>
      </w:r>
      <w:r>
        <w:rPr>
          <w:rFonts w:hint="eastAsia"/>
        </w:rPr>
        <w:t>（三）当年取得的主要成效：</w:t>
      </w:r>
      <w:r>
        <w:rPr>
          <w:rFonts w:hint="eastAsia"/>
        </w:rPr>
        <w:tab/>
      </w:r>
      <w:r>
        <w:rPr>
          <w:rFonts w:hint="eastAsia"/>
        </w:rPr>
        <w:t>9</w:t>
      </w:r>
      <w:r>
        <w:rPr>
          <w:rFonts w:hint="eastAsia"/>
        </w:rPr>
        <w:fldChar w:fldCharType="end"/>
      </w:r>
    </w:p>
    <w:p>
      <w:pPr>
        <w:pStyle w:val="7"/>
      </w:pPr>
      <w:r>
        <w:fldChar w:fldCharType="begin"/>
      </w:r>
      <w:r>
        <w:instrText xml:space="preserve"> HYPERLINK \l "_Toc13512" </w:instrText>
      </w:r>
      <w:r>
        <w:fldChar w:fldCharType="separate"/>
      </w:r>
      <w:r>
        <w:rPr>
          <w:rFonts w:hint="eastAsia"/>
        </w:rPr>
        <w:t>三、一般公共预算财政拨款收入支出决算情况</w:t>
      </w:r>
      <w:r>
        <w:rPr>
          <w:rFonts w:hint="eastAsia"/>
        </w:rPr>
        <w:tab/>
      </w:r>
      <w:r>
        <w:rPr>
          <w:rFonts w:hint="eastAsia"/>
        </w:rPr>
        <w:t>9</w:t>
      </w:r>
      <w:r>
        <w:rPr>
          <w:rFonts w:hint="eastAsia"/>
        </w:rPr>
        <w:fldChar w:fldCharType="end"/>
      </w:r>
    </w:p>
    <w:p>
      <w:pPr>
        <w:pStyle w:val="7"/>
      </w:pPr>
      <w:r>
        <w:fldChar w:fldCharType="begin"/>
      </w:r>
      <w:r>
        <w:instrText xml:space="preserve"> HYPERLINK \l "_Toc12371" </w:instrText>
      </w:r>
      <w:r>
        <w:fldChar w:fldCharType="separate"/>
      </w:r>
      <w:r>
        <w:rPr>
          <w:rFonts w:hint="eastAsia"/>
        </w:rPr>
        <w:t>四、“三公”经费财政拨款支出决算情况</w:t>
      </w:r>
      <w:r>
        <w:rPr>
          <w:rFonts w:hint="eastAsia"/>
        </w:rPr>
        <w:tab/>
      </w:r>
      <w:r>
        <w:rPr>
          <w:rFonts w:hint="eastAsia"/>
        </w:rPr>
        <w:t>10</w:t>
      </w:r>
      <w:r>
        <w:rPr>
          <w:rFonts w:hint="eastAsia"/>
        </w:rPr>
        <w:fldChar w:fldCharType="end"/>
      </w:r>
    </w:p>
    <w:p>
      <w:pPr>
        <w:pStyle w:val="7"/>
      </w:pPr>
      <w:r>
        <w:fldChar w:fldCharType="begin"/>
      </w:r>
      <w:r>
        <w:instrText xml:space="preserve"> HYPERLINK \l "_Toc6872" </w:instrText>
      </w:r>
      <w:r>
        <w:fldChar w:fldCharType="separate"/>
      </w:r>
      <w:r>
        <w:rPr>
          <w:rFonts w:hint="eastAsia"/>
        </w:rPr>
        <w:t>（一）“三公”经费财政拨款支出决算总体情况说明</w:t>
      </w:r>
      <w:r>
        <w:rPr>
          <w:rFonts w:hint="eastAsia"/>
        </w:rPr>
        <w:tab/>
      </w:r>
      <w:r>
        <w:rPr>
          <w:rFonts w:hint="eastAsia"/>
        </w:rPr>
        <w:t>10</w:t>
      </w:r>
      <w:r>
        <w:rPr>
          <w:rFonts w:hint="eastAsia"/>
        </w:rPr>
        <w:fldChar w:fldCharType="end"/>
      </w:r>
    </w:p>
    <w:p>
      <w:pPr>
        <w:pStyle w:val="7"/>
      </w:pPr>
      <w:r>
        <w:fldChar w:fldCharType="begin"/>
      </w:r>
      <w:r>
        <w:instrText xml:space="preserve"> HYPERLINK \l "_Toc2762" </w:instrText>
      </w:r>
      <w:r>
        <w:fldChar w:fldCharType="separate"/>
      </w:r>
      <w:r>
        <w:rPr>
          <w:rFonts w:hint="eastAsia"/>
        </w:rPr>
        <w:t>（二）“三公”经费财政拨款支出决算具体情况说明</w:t>
      </w:r>
      <w:r>
        <w:rPr>
          <w:rFonts w:hint="eastAsia"/>
        </w:rPr>
        <w:tab/>
      </w:r>
      <w:r>
        <w:rPr>
          <w:rFonts w:hint="eastAsia"/>
        </w:rPr>
        <w:t>10</w:t>
      </w:r>
      <w:r>
        <w:rPr>
          <w:rFonts w:hint="eastAsia"/>
        </w:rPr>
        <w:fldChar w:fldCharType="end"/>
      </w:r>
    </w:p>
    <w:p>
      <w:pPr>
        <w:pStyle w:val="7"/>
      </w:pPr>
      <w:r>
        <w:fldChar w:fldCharType="begin"/>
      </w:r>
      <w:r>
        <w:instrText xml:space="preserve"> HYPERLINK \l "_Toc6049" </w:instrText>
      </w:r>
      <w:r>
        <w:fldChar w:fldCharType="separate"/>
      </w:r>
      <w:r>
        <w:rPr>
          <w:rFonts w:hint="eastAsia"/>
        </w:rPr>
        <w:t>1.因公出国（境）经费</w:t>
      </w:r>
      <w:r>
        <w:rPr>
          <w:rFonts w:hint="eastAsia"/>
        </w:rPr>
        <w:tab/>
      </w:r>
      <w:r>
        <w:rPr>
          <w:rFonts w:hint="eastAsia"/>
        </w:rPr>
        <w:t>10</w:t>
      </w:r>
      <w:r>
        <w:rPr>
          <w:rFonts w:hint="eastAsia"/>
        </w:rPr>
        <w:fldChar w:fldCharType="end"/>
      </w:r>
    </w:p>
    <w:p>
      <w:pPr>
        <w:pStyle w:val="7"/>
      </w:pPr>
      <w:r>
        <w:fldChar w:fldCharType="begin"/>
      </w:r>
      <w:r>
        <w:instrText xml:space="preserve"> HYPERLINK \l "_Toc22919" </w:instrText>
      </w:r>
      <w:r>
        <w:fldChar w:fldCharType="separate"/>
      </w:r>
      <w:r>
        <w:rPr>
          <w:rFonts w:hint="eastAsia"/>
        </w:rPr>
        <w:t>2.公务用车购置及运行维护费</w:t>
      </w:r>
      <w:r>
        <w:rPr>
          <w:rFonts w:hint="eastAsia"/>
        </w:rPr>
        <w:tab/>
      </w:r>
      <w:r>
        <w:rPr>
          <w:rFonts w:hint="eastAsia"/>
        </w:rPr>
        <w:t>10</w:t>
      </w:r>
      <w:r>
        <w:rPr>
          <w:rFonts w:hint="eastAsia"/>
        </w:rPr>
        <w:fldChar w:fldCharType="end"/>
      </w:r>
    </w:p>
    <w:p>
      <w:pPr>
        <w:pStyle w:val="7"/>
      </w:pPr>
      <w:r>
        <w:fldChar w:fldCharType="begin"/>
      </w:r>
      <w:r>
        <w:instrText xml:space="preserve"> HYPERLINK \l "_Toc8007" </w:instrText>
      </w:r>
      <w:r>
        <w:fldChar w:fldCharType="separate"/>
      </w:r>
      <w:r>
        <w:rPr>
          <w:rFonts w:hint="eastAsia"/>
        </w:rPr>
        <w:t>3.公务接待费</w:t>
      </w:r>
      <w:r>
        <w:rPr>
          <w:rFonts w:hint="eastAsia"/>
        </w:rPr>
        <w:tab/>
      </w:r>
      <w:r>
        <w:rPr>
          <w:rFonts w:hint="eastAsia"/>
        </w:rPr>
        <w:t>10</w:t>
      </w:r>
      <w:r>
        <w:rPr>
          <w:rFonts w:hint="eastAsia"/>
        </w:rPr>
        <w:fldChar w:fldCharType="end"/>
      </w:r>
    </w:p>
    <w:p>
      <w:pPr>
        <w:pStyle w:val="7"/>
      </w:pPr>
      <w:r>
        <w:fldChar w:fldCharType="begin"/>
      </w:r>
      <w:r>
        <w:instrText xml:space="preserve"> HYPERLINK \l "_Toc7579" </w:instrText>
      </w:r>
      <w:r>
        <w:fldChar w:fldCharType="separate"/>
      </w:r>
      <w:r>
        <w:rPr>
          <w:rFonts w:hint="eastAsia"/>
        </w:rPr>
        <w:t>五、资产负债情况分析</w:t>
      </w:r>
      <w:r>
        <w:rPr>
          <w:rFonts w:hint="eastAsia"/>
        </w:rPr>
        <w:tab/>
      </w:r>
      <w:r>
        <w:rPr>
          <w:rFonts w:hint="eastAsia"/>
        </w:rPr>
        <w:t>11</w:t>
      </w:r>
      <w:r>
        <w:rPr>
          <w:rFonts w:hint="eastAsia"/>
        </w:rPr>
        <w:fldChar w:fldCharType="end"/>
      </w:r>
    </w:p>
    <w:p>
      <w:pPr>
        <w:pStyle w:val="7"/>
      </w:pPr>
      <w:r>
        <w:fldChar w:fldCharType="begin"/>
      </w:r>
      <w:r>
        <w:instrText xml:space="preserve"> HYPERLINK \l "_Toc7698" </w:instrText>
      </w:r>
      <w:r>
        <w:fldChar w:fldCharType="separate"/>
      </w:r>
      <w:r>
        <w:rPr>
          <w:rFonts w:hint="eastAsia"/>
        </w:rPr>
        <w:t>六、政府性基金预算财政拨款支出决算情况</w:t>
      </w:r>
      <w:r>
        <w:rPr>
          <w:rFonts w:hint="eastAsia"/>
        </w:rPr>
        <w:tab/>
      </w:r>
      <w:r>
        <w:rPr>
          <w:rFonts w:hint="eastAsia"/>
        </w:rPr>
        <w:t>12</w:t>
      </w:r>
      <w:r>
        <w:rPr>
          <w:rFonts w:hint="eastAsia"/>
        </w:rPr>
        <w:fldChar w:fldCharType="end"/>
      </w:r>
    </w:p>
    <w:p>
      <w:pPr>
        <w:pStyle w:val="7"/>
      </w:pPr>
      <w:r>
        <w:fldChar w:fldCharType="begin"/>
      </w:r>
      <w:r>
        <w:instrText xml:space="preserve"> HYPERLINK \l "_Toc11209" </w:instrText>
      </w:r>
      <w:r>
        <w:fldChar w:fldCharType="separate"/>
      </w:r>
      <w:r>
        <w:rPr>
          <w:rFonts w:hint="eastAsia"/>
        </w:rPr>
        <w:t>七、其他重要事项的情况说明</w:t>
      </w:r>
      <w:r>
        <w:rPr>
          <w:rFonts w:hint="eastAsia"/>
        </w:rPr>
        <w:tab/>
      </w:r>
      <w:r>
        <w:rPr>
          <w:rFonts w:hint="eastAsia"/>
        </w:rPr>
        <w:t>12</w:t>
      </w:r>
      <w:r>
        <w:rPr>
          <w:rFonts w:hint="eastAsia"/>
        </w:rPr>
        <w:fldChar w:fldCharType="end"/>
      </w:r>
    </w:p>
    <w:p>
      <w:pPr>
        <w:pStyle w:val="7"/>
      </w:pPr>
      <w:r>
        <w:fldChar w:fldCharType="begin"/>
      </w:r>
      <w:r>
        <w:instrText xml:space="preserve"> HYPERLINK \l "_Toc4355" </w:instrText>
      </w:r>
      <w:r>
        <w:fldChar w:fldCharType="separate"/>
      </w:r>
      <w:r>
        <w:rPr>
          <w:rFonts w:hint="eastAsia"/>
        </w:rPr>
        <w:t>（一）机关运行经费支出情况</w:t>
      </w:r>
      <w:r>
        <w:rPr>
          <w:rFonts w:hint="eastAsia"/>
        </w:rPr>
        <w:tab/>
      </w:r>
      <w:r>
        <w:rPr>
          <w:rFonts w:hint="eastAsia"/>
        </w:rPr>
        <w:t>12</w:t>
      </w:r>
      <w:r>
        <w:rPr>
          <w:rFonts w:hint="eastAsia"/>
        </w:rPr>
        <w:fldChar w:fldCharType="end"/>
      </w:r>
    </w:p>
    <w:p>
      <w:pPr>
        <w:pStyle w:val="7"/>
      </w:pPr>
      <w:r>
        <w:fldChar w:fldCharType="begin"/>
      </w:r>
      <w:r>
        <w:instrText xml:space="preserve"> HYPERLINK \l "_Toc17192" </w:instrText>
      </w:r>
      <w:r>
        <w:fldChar w:fldCharType="separate"/>
      </w:r>
      <w:r>
        <w:rPr>
          <w:rFonts w:hint="eastAsia"/>
        </w:rPr>
        <w:t>（二）政府采购支出情况</w:t>
      </w:r>
      <w:r>
        <w:rPr>
          <w:rFonts w:hint="eastAsia"/>
        </w:rPr>
        <w:tab/>
      </w:r>
      <w:r>
        <w:rPr>
          <w:rFonts w:hint="eastAsia"/>
        </w:rPr>
        <w:t>12</w:t>
      </w:r>
      <w:r>
        <w:rPr>
          <w:rFonts w:hint="eastAsia"/>
        </w:rPr>
        <w:fldChar w:fldCharType="end"/>
      </w:r>
    </w:p>
    <w:p>
      <w:pPr>
        <w:pStyle w:val="7"/>
      </w:pPr>
      <w:r>
        <w:fldChar w:fldCharType="begin"/>
      </w:r>
      <w:r>
        <w:instrText xml:space="preserve"> HYPERLINK \l "_Toc8299" </w:instrText>
      </w:r>
      <w:r>
        <w:fldChar w:fldCharType="separate"/>
      </w:r>
      <w:r>
        <w:rPr>
          <w:rFonts w:hint="eastAsia"/>
        </w:rPr>
        <w:t>（三）国有资产占有使用情况</w:t>
      </w:r>
      <w:r>
        <w:rPr>
          <w:rFonts w:hint="eastAsia"/>
        </w:rPr>
        <w:tab/>
      </w:r>
      <w:r>
        <w:rPr>
          <w:rFonts w:hint="eastAsia"/>
        </w:rPr>
        <w:t>12</w:t>
      </w:r>
      <w:r>
        <w:rPr>
          <w:rFonts w:hint="eastAsia"/>
        </w:rPr>
        <w:fldChar w:fldCharType="end"/>
      </w:r>
    </w:p>
    <w:p>
      <w:pPr>
        <w:pStyle w:val="7"/>
      </w:pPr>
      <w:r>
        <w:fldChar w:fldCharType="begin"/>
      </w:r>
      <w:r>
        <w:instrText xml:space="preserve"> HYPERLINK \l "_Toc8700" </w:instrText>
      </w:r>
      <w:r>
        <w:fldChar w:fldCharType="separate"/>
      </w:r>
      <w:r>
        <w:rPr>
          <w:rFonts w:hint="eastAsia"/>
        </w:rPr>
        <w:t>（四）预算绩效情况</w:t>
      </w:r>
      <w:r>
        <w:rPr>
          <w:rFonts w:hint="eastAsia"/>
        </w:rPr>
        <w:tab/>
      </w:r>
      <w:r>
        <w:rPr>
          <w:rFonts w:hint="eastAsia"/>
        </w:rPr>
        <w:t>12</w:t>
      </w:r>
      <w:r>
        <w:rPr>
          <w:rFonts w:hint="eastAsia"/>
        </w:rPr>
        <w:fldChar w:fldCharType="end"/>
      </w:r>
    </w:p>
    <w:p>
      <w:pPr>
        <w:pStyle w:val="7"/>
      </w:pPr>
      <w:r>
        <w:fldChar w:fldCharType="begin"/>
      </w:r>
      <w:r>
        <w:instrText xml:space="preserve"> HYPERLINK \l "_Toc13295" </w:instrText>
      </w:r>
      <w:r>
        <w:fldChar w:fldCharType="separate"/>
      </w:r>
      <w:r>
        <w:rPr>
          <w:rFonts w:hint="eastAsia"/>
        </w:rPr>
        <w:t>1、评价结论</w:t>
      </w:r>
      <w:r>
        <w:rPr>
          <w:rFonts w:hint="eastAsia"/>
        </w:rPr>
        <w:tab/>
      </w:r>
      <w:r>
        <w:rPr>
          <w:rFonts w:hint="eastAsia"/>
        </w:rPr>
        <w:t>13</w:t>
      </w:r>
      <w:r>
        <w:rPr>
          <w:rFonts w:hint="eastAsia"/>
        </w:rPr>
        <w:fldChar w:fldCharType="end"/>
      </w:r>
    </w:p>
    <w:p>
      <w:pPr>
        <w:pStyle w:val="7"/>
      </w:pPr>
      <w:r>
        <w:fldChar w:fldCharType="begin"/>
      </w:r>
      <w:r>
        <w:instrText xml:space="preserve"> HYPERLINK \l "_Toc21013" </w:instrText>
      </w:r>
      <w:r>
        <w:fldChar w:fldCharType="separate"/>
      </w:r>
      <w:r>
        <w:rPr>
          <w:rFonts w:hint="eastAsia"/>
        </w:rPr>
        <w:t>2、存在问题</w:t>
      </w:r>
      <w:r>
        <w:rPr>
          <w:rFonts w:hint="eastAsia"/>
        </w:rPr>
        <w:tab/>
      </w:r>
      <w:r>
        <w:rPr>
          <w:rFonts w:hint="eastAsia"/>
        </w:rPr>
        <w:t>13</w:t>
      </w:r>
      <w:r>
        <w:rPr>
          <w:rFonts w:hint="eastAsia"/>
        </w:rPr>
        <w:fldChar w:fldCharType="end"/>
      </w:r>
    </w:p>
    <w:p>
      <w:pPr>
        <w:pStyle w:val="7"/>
      </w:pPr>
      <w:r>
        <w:fldChar w:fldCharType="begin"/>
      </w:r>
      <w:r>
        <w:instrText xml:space="preserve"> HYPERLINK \l "_Toc29651" </w:instrText>
      </w:r>
      <w:r>
        <w:fldChar w:fldCharType="separate"/>
      </w:r>
      <w:r>
        <w:rPr>
          <w:rFonts w:hint="eastAsia"/>
        </w:rPr>
        <w:t>3、改进建议</w:t>
      </w:r>
      <w:r>
        <w:rPr>
          <w:rFonts w:hint="eastAsia"/>
        </w:rPr>
        <w:tab/>
      </w:r>
      <w:r>
        <w:rPr>
          <w:rFonts w:hint="eastAsia"/>
        </w:rPr>
        <w:t>13</w:t>
      </w:r>
      <w:r>
        <w:rPr>
          <w:rFonts w:hint="eastAsia"/>
        </w:rPr>
        <w:fldChar w:fldCharType="end"/>
      </w:r>
    </w:p>
    <w:p>
      <w:pPr>
        <w:pStyle w:val="7"/>
      </w:pPr>
      <w:r>
        <w:fldChar w:fldCharType="begin"/>
      </w:r>
      <w:r>
        <w:instrText xml:space="preserve"> HYPERLINK \l "_Toc29051" </w:instrText>
      </w:r>
      <w:r>
        <w:fldChar w:fldCharType="separate"/>
      </w:r>
      <w:r>
        <w:fldChar w:fldCharType="end"/>
      </w:r>
    </w:p>
    <w:p>
      <w:pPr>
        <w:pStyle w:val="7"/>
      </w:pPr>
      <w:r>
        <w:rPr>
          <w:rFonts w:hint="eastAsia"/>
        </w:rPr>
        <w:fldChar w:fldCharType="end"/>
      </w:r>
    </w:p>
    <w:p>
      <w:pPr>
        <w:pStyle w:val="7"/>
      </w:pPr>
      <w:r>
        <w:rPr>
          <w:rFonts w:hint="eastAsia"/>
        </w:rPr>
        <w:fldChar w:fldCharType="begin"/>
      </w:r>
      <w:r>
        <w:rPr>
          <w:rFonts w:hint="eastAsia"/>
        </w:rPr>
        <w:instrText xml:space="preserve">TOC \o "1-1" \h \u </w:instrText>
      </w:r>
      <w:r>
        <w:rPr>
          <w:rFonts w:hint="eastAsia"/>
        </w:rPr>
        <w:fldChar w:fldCharType="separate"/>
      </w:r>
    </w:p>
    <w:p>
      <w:pPr>
        <w:pStyle w:val="7"/>
      </w:pPr>
      <w:r>
        <w:rPr>
          <w:rFonts w:hint="eastAsia"/>
        </w:rPr>
        <w:fldChar w:fldCharType="end"/>
      </w:r>
    </w:p>
    <w:p/>
    <w:p/>
    <w:p/>
    <w:p/>
    <w:p/>
    <w:p/>
    <w:p/>
    <w:p/>
    <w:p/>
    <w:p/>
    <w:p>
      <w:pPr>
        <w:pStyle w:val="7"/>
      </w:pPr>
    </w:p>
    <w:p>
      <w:pPr>
        <w:pStyle w:val="7"/>
      </w:pPr>
      <w:bookmarkStart w:id="19" w:name="_Toc9300"/>
    </w:p>
    <w:p/>
    <w:p/>
    <w:p/>
    <w:p/>
    <w:p/>
    <w:p>
      <w:pPr>
        <w:snapToGrid w:val="0"/>
        <w:rPr>
          <w:rFonts w:ascii="黑体" w:hAnsi="黑体" w:eastAsia="黑体" w:cs="黑体"/>
          <w:sz w:val="44"/>
          <w:szCs w:val="44"/>
        </w:rPr>
      </w:pPr>
    </w:p>
    <w:p>
      <w:pPr>
        <w:snapToGrid w:val="0"/>
        <w:rPr>
          <w:rFonts w:ascii="黑体" w:hAnsi="黑体" w:eastAsia="黑体" w:cs="黑体"/>
          <w:sz w:val="44"/>
          <w:szCs w:val="44"/>
        </w:rPr>
      </w:pPr>
    </w:p>
    <w:bookmarkEnd w:id="19"/>
    <w:p>
      <w:pPr>
        <w:numPr>
          <w:ilvl w:val="0"/>
          <w:numId w:val="1"/>
        </w:numPr>
        <w:snapToGrid w:val="0"/>
        <w:spacing w:line="360" w:lineRule="auto"/>
        <w:ind w:firstLine="643" w:firstLineChars="200"/>
        <w:outlineLvl w:val="0"/>
        <w:rPr>
          <w:rFonts w:ascii="黑体" w:hAnsi="黑体" w:eastAsia="黑体" w:cs="黑体"/>
          <w:b/>
          <w:bCs/>
          <w:sz w:val="32"/>
        </w:rPr>
      </w:pPr>
      <w:bookmarkStart w:id="20" w:name="_Toc14023"/>
      <w:bookmarkStart w:id="21" w:name="_Toc11455"/>
      <w:r>
        <w:rPr>
          <w:rFonts w:hint="eastAsia" w:ascii="黑体" w:hAnsi="黑体" w:eastAsia="黑体" w:cs="黑体"/>
          <w:b/>
          <w:bCs/>
          <w:sz w:val="32"/>
        </w:rPr>
        <w:t>单位基本情况</w:t>
      </w:r>
      <w:bookmarkEnd w:id="20"/>
      <w:bookmarkEnd w:id="21"/>
    </w:p>
    <w:p>
      <w:pPr>
        <w:snapToGrid w:val="0"/>
        <w:spacing w:line="360" w:lineRule="auto"/>
        <w:outlineLvl w:val="1"/>
        <w:rPr>
          <w:rFonts w:ascii="仿宋_GB2312" w:eastAsia="仿宋_GB2312"/>
          <w:bCs/>
          <w:sz w:val="30"/>
          <w:szCs w:val="30"/>
        </w:rPr>
      </w:pPr>
      <w:r>
        <w:rPr>
          <w:rFonts w:hint="eastAsia" w:ascii="仿宋_GB2312" w:eastAsia="仿宋_GB2312"/>
          <w:bCs/>
          <w:sz w:val="32"/>
          <w:szCs w:val="32"/>
        </w:rPr>
        <w:t xml:space="preserve"> </w:t>
      </w:r>
      <w:r>
        <w:rPr>
          <w:rFonts w:hint="eastAsia" w:ascii="楷体" w:hAnsi="楷体" w:eastAsia="楷体" w:cs="楷体"/>
          <w:b/>
          <w:sz w:val="32"/>
          <w:szCs w:val="32"/>
        </w:rPr>
        <w:t xml:space="preserve">    </w:t>
      </w:r>
      <w:bookmarkStart w:id="22" w:name="_Toc26556"/>
      <w:r>
        <w:rPr>
          <w:rFonts w:hint="eastAsia" w:ascii="楷体" w:hAnsi="楷体" w:eastAsia="楷体" w:cs="楷体"/>
          <w:b/>
          <w:sz w:val="32"/>
          <w:szCs w:val="32"/>
        </w:rPr>
        <w:t>（一）主要职能</w:t>
      </w:r>
      <w:bookmarkEnd w:id="22"/>
    </w:p>
    <w:p>
      <w:pPr>
        <w:spacing w:line="540" w:lineRule="exact"/>
        <w:ind w:firstLine="600" w:firstLineChars="200"/>
        <w:rPr>
          <w:rFonts w:ascii="仿宋_GB2312" w:hAnsi="仿宋_GB2312" w:eastAsia="仿宋_GB2312" w:cs="仿宋_GB2312"/>
          <w:kern w:val="0"/>
          <w:sz w:val="32"/>
          <w:szCs w:val="32"/>
        </w:rPr>
      </w:pPr>
      <w:r>
        <w:rPr>
          <w:rFonts w:hint="eastAsia" w:ascii="仿宋_GB2312" w:eastAsia="仿宋_GB2312"/>
          <w:bCs/>
          <w:sz w:val="30"/>
          <w:szCs w:val="30"/>
        </w:rPr>
        <w:t xml:space="preserve">    </w:t>
      </w:r>
      <w:r>
        <w:rPr>
          <w:rFonts w:hint="eastAsia" w:ascii="仿宋_GB2312" w:hAnsi="仿宋_GB2312" w:eastAsia="仿宋_GB2312" w:cs="仿宋_GB2312"/>
          <w:kern w:val="0"/>
          <w:sz w:val="32"/>
          <w:szCs w:val="32"/>
        </w:rPr>
        <w:t>（一）履行政治领导责任，做好理论武装和思想政治工作，负责学习、宣传、贯彻执行党的理论和路线方针政策，贯彻落实党中央、省委、州委、县委和上级党组织的决策部署，发挥好把方向、管大局、保落实的重要作用。</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 xml:space="preserve">    （二）讨论和决定本单位下列重大问题。党的路线方针政策、国家法律法规和上级党组织重要会议、重要文件、重大决策部署的贯彻落实事项；需要向上级党组织请示报告的重要事项；内部机构设置、职责、人员编制等事项；重大决策、重要人事任免、重大项目安排、大额资金使用等事项；基层党组织和党员队伍建设方面的重要事项；意识形态工作、思想政治工作和精神文明建设方面的重要事项；党风廉政建设和反腐败工作方面的重要事项；其他应当由党委讨论和决定的重大问题。</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 xml:space="preserve">    （三）贯彻党管干部原则，加强干部队伍建设，完善干部培养选拔机制，加强干部教育管理监督；贯彻党管人才原则，加强人才队伍建设；加强对本单位统战工作和工会、共青团、妇联等群团工作的领导。</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 xml:space="preserve">    （四）履行党要管党、从严治党主体责任，加强对本单位党的建设的领导，落实党建工作责任制。认真履行党风廉政建设主体责任，支持纪检监察机构履行监督责任。</w:t>
      </w:r>
    </w:p>
    <w:p>
      <w:pPr>
        <w:spacing w:line="540" w:lineRule="exact"/>
        <w:ind w:right="23" w:rightChars="11" w:firstLine="640" w:firstLineChars="200"/>
        <w:rPr>
          <w:rFonts w:ascii="仿宋_GB2312" w:hAnsi="仿宋_GB2312" w:eastAsia="仿宋_GB2312" w:cs="仿宋_GB2312"/>
          <w:sz w:val="32"/>
          <w:szCs w:val="32"/>
        </w:rPr>
      </w:pPr>
      <w:r>
        <w:rPr>
          <w:rFonts w:hint="eastAsia" w:ascii="黑体" w:hAnsi="黑体" w:eastAsia="黑体" w:cs="仿宋_GB2312"/>
          <w:sz w:val="32"/>
          <w:szCs w:val="32"/>
        </w:rPr>
        <w:t>第四条</w:t>
      </w:r>
      <w:r>
        <w:rPr>
          <w:rFonts w:hint="eastAsia" w:ascii="仿宋_GB2312" w:hAnsi="仿宋_GB2312" w:eastAsia="仿宋_GB2312" w:cs="仿宋_GB2312"/>
          <w:sz w:val="32"/>
          <w:szCs w:val="32"/>
        </w:rPr>
        <w:t xml:space="preserve">  县市场监管局贯彻落实党中央关于市场监督管理工作的方针政策和省委、州委、县委的决策部署，在履行职责过程中坚持和加强党对市场监督管理工作的集中统一领导。主要职责是：</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楷体" w:eastAsia="仿宋_GB2312" w:cs="仿宋_GB2312"/>
          <w:sz w:val="32"/>
          <w:szCs w:val="32"/>
        </w:rPr>
        <w:t>（一）负责全县市场综合监督管理工作。</w:t>
      </w:r>
      <w:r>
        <w:rPr>
          <w:rFonts w:hint="eastAsia" w:ascii="仿宋_GB2312" w:hAnsi="仿宋_GB2312" w:eastAsia="仿宋_GB2312" w:cs="仿宋_GB2312"/>
          <w:sz w:val="32"/>
          <w:szCs w:val="32"/>
        </w:rPr>
        <w:t>起草市场监督管理有关规范性文件。</w:t>
      </w:r>
      <w:r>
        <w:rPr>
          <w:rFonts w:hint="eastAsia" w:ascii="仿宋_GB2312" w:hAnsi="仿宋_GB2312" w:eastAsia="仿宋_GB2312" w:cs="仿宋_GB2312"/>
          <w:color w:val="000000"/>
          <w:sz w:val="32"/>
          <w:szCs w:val="32"/>
        </w:rPr>
        <w:t>组织实施质量强县、食品安全、标准化和知识产权战略，</w:t>
      </w:r>
      <w:r>
        <w:rPr>
          <w:rFonts w:hint="eastAsia" w:ascii="仿宋_GB2312" w:hAnsi="仿宋_GB2312" w:eastAsia="仿宋_GB2312" w:cs="仿宋_GB2312"/>
          <w:sz w:val="32"/>
          <w:szCs w:val="32"/>
        </w:rPr>
        <w:t>拟订并组织实施全县食品安全等规划，规范和维护市场秩序，营造诚实守信、公平竞争的市场环境。</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楷体" w:eastAsia="仿宋_GB2312" w:cs="仿宋_GB2312"/>
          <w:sz w:val="32"/>
          <w:szCs w:val="32"/>
        </w:rPr>
        <w:t>（二）负责全县市场主体统一登记注册。</w:t>
      </w:r>
      <w:r>
        <w:rPr>
          <w:rFonts w:hint="eastAsia" w:ascii="仿宋_GB2312" w:hAnsi="仿宋_GB2312" w:eastAsia="仿宋_GB2312" w:cs="仿宋_GB2312"/>
          <w:sz w:val="32"/>
          <w:szCs w:val="32"/>
        </w:rPr>
        <w:t>负责全县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（三）负责组织和指导全县市场监督管理综合执法工作。指导全县市场监管综合执法队伍建设，推动实行统一的市场监管。组织查处和督办大案要案、疑难案件、跨区域案件。规范市场监督管理行政执法行为。</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（四）负责全县反垄断统一执法</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统筹推进竞争政策实施，</w:t>
      </w:r>
      <w:r>
        <w:rPr>
          <w:rFonts w:hint="eastAsia" w:ascii="仿宋_GB2312" w:hAnsi="仿宋_GB2312" w:eastAsia="仿宋_GB2312" w:cs="仿宋_GB2312"/>
          <w:color w:val="000000"/>
          <w:sz w:val="32"/>
          <w:szCs w:val="32"/>
        </w:rPr>
        <w:t>按照权限指导实施公平竞争审查制度。</w:t>
      </w:r>
      <w:r>
        <w:rPr>
          <w:rFonts w:hint="eastAsia" w:ascii="仿宋_GB2312" w:hAnsi="仿宋_GB2312" w:eastAsia="仿宋_GB2312" w:cs="仿宋_GB2312"/>
          <w:sz w:val="32"/>
          <w:szCs w:val="32"/>
        </w:rPr>
        <w:t>依法依授权对经营者集中行为进行反垄断审查，负责垄断协议、滥用市场支配地位和滥用行政权力排除、限制竞争等反垄断执法工作。指导在县企业在国外的反垄断应诉工作。</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负责监督管理全县市场秩序。依法监督管理市场交易、网络商品交易及有关服务的行为。组织指导查处价格收费违法违规、不正当竞争、违法直销、传销、侵犯商标专利知识产权和制售假冒伪劣行为。指导广告业发展，监督管理广告活动。依法查处无照生产经营和相关无证生产经营行为。依法开展消费者权益保护工作。指导县保护消费者权益委员会开展工作。</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（六）负责全县宏观质量管理。组织实施</w:t>
      </w:r>
      <w:r>
        <w:rPr>
          <w:rFonts w:hint="eastAsia" w:ascii="仿宋_GB2312" w:hAnsi="仿宋_GB2312" w:eastAsia="仿宋_GB2312" w:cs="仿宋_GB2312"/>
          <w:sz w:val="32"/>
          <w:szCs w:val="32"/>
          <w:lang w:eastAsia="zh-CN"/>
        </w:rPr>
        <w:t>高</w:t>
      </w:r>
      <w:r>
        <w:rPr>
          <w:rFonts w:hint="eastAsia" w:ascii="仿宋_GB2312" w:hAnsi="仿宋_GB2312" w:eastAsia="仿宋_GB2312" w:cs="仿宋_GB2312"/>
          <w:sz w:val="32"/>
          <w:szCs w:val="32"/>
        </w:rPr>
        <w:t>质量发展的制度措施。组织产品质量事故调查，贯彻实施缺陷产品召回制度，监督管理产品防伪工作。</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（七）负责全县产品质量安全监督管理。负责产品质量监督抽查和风险监控工作，组织实施质量分级制度、质量安全追溯制度。负责工业产品生产许可管理。负责纤维质量监督工作。</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（八）负责全县特种设备安全监督管理。综合管理特种设备安全监察、监督工作，监督检查高耗能特种设备节能标准和锅炉产品环境保护标准的执行情况。</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负责全县食品安全监督管理综合协调。统筹指导全县食品安全工作。负责食品安全应急体系建设，组织指导食品安全事件应急处置和调查处理工作。建立健全食品安全重要信息直报制度。承担县食品安全委员会日常工作。</w:t>
      </w:r>
    </w:p>
    <w:p>
      <w:pPr>
        <w:spacing w:line="540" w:lineRule="exact"/>
        <w:ind w:right="23" w:rightChars="11"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sz w:val="32"/>
          <w:szCs w:val="32"/>
        </w:rPr>
        <w:t>（十）负责全县食品安全监督管理。建立覆盖食品生产、流通、消费全过程的监督检查制度和隐患排查治理机制并组织实施，防范区域性、系统性食品安全风险。推动建立食品生产经营者落实主体责任机制，健全食品安全追溯体系。指导督促食品生产经营企业的安全生产工作，组织开展食品安全监督抽检、风险监测、核查处置和风险预警、风险交流工作。组织实施特殊食品生产、流通、使用的监督管理。</w:t>
      </w:r>
    </w:p>
    <w:p>
      <w:pPr>
        <w:spacing w:line="540" w:lineRule="exact"/>
        <w:ind w:right="23" w:rightChars="11" w:firstLine="640" w:firstLineChars="200"/>
        <w:rPr>
          <w:rFonts w:ascii="仿宋_GB2312" w:hAnsi="仿宋_GB2312" w:eastAsia="仿宋_GB2312" w:cs="仿宋_GB2312"/>
          <w:color w:val="0000FF"/>
          <w:sz w:val="32"/>
          <w:szCs w:val="32"/>
        </w:rPr>
      </w:pPr>
      <w:r>
        <w:rPr>
          <w:rFonts w:hint="eastAsia" w:ascii="仿宋_GB2312" w:hAnsi="仿宋_GB2312" w:eastAsia="仿宋_GB2312" w:cs="仿宋_GB2312"/>
          <w:sz w:val="32"/>
          <w:szCs w:val="32"/>
        </w:rPr>
        <w:t>（十一）负责全县药品（含中药、民族药，下同）、医疗器械和化妆品安全监督管理。贯彻执行国家有关药品、医疗器械和化妆品监督管理的方针政策和法律法规。贯彻落实国家鼓励药品、医疗器械和化妆品新技术新产品的管理与服务政策。</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（十二）负责监督全县药品、医疗器械和化妆品标准执行和分类管理。组织拟订并监督实施中药材（含民族药材）地方标准，监督实施中药饮片（含民族药饮片）地方炮制规范。配合实施国家基本药物制度。</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（十三）负责全县药品、医疗器械和化妆品质量管理。依法依授权监督实施药品、医疗器械生产、经营、使用质量管理规范，依法依授权监督实施化妆品生产卫生标准和技术规范。</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四）负责全县药品、医疗器械和化妆品监督检查与处罚工作。负责药品、医疗器械、化妆品日常监督检查。依法依授权查处药品、医疗器械和化妆品生产、销售、使用的违法行为。指导乡（镇）药品、医疗器械和化妆品监督管理工作。指导各乡（镇）药品、医疗器械和化妆品监督管理工作。</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五）负责全县药品、医疗器械和化妆品风险管理。组织开展药品不良反应、医疗器械不良事件和化妆品不良反应的监测、评价和处置工作。依法承担药品、医疗器械和化妆品安全应急管理和投诉举报处置工作。</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（十六）负责统一管理全县计量工作。推行法定计量单位，执行国家计量制度，管理计量器具及量值传递和比对工作。规范、监督商品量和计量行为。</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（十七）负责管理全县标准化工作。依法承担地方标准立项、编号和发布等工作，协调指导地方标准、团体标准制定工作，依法对标准制定和实施情况开展监督。</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（十八）负责管理全县检验检测工作。规范检验检测市场，</w:t>
      </w:r>
      <w:r>
        <w:rPr>
          <w:rFonts w:hint="eastAsia" w:ascii="仿宋_GB2312" w:hAnsi="仿宋_GB2312" w:eastAsia="仿宋_GB2312" w:cs="仿宋_GB2312"/>
          <w:color w:val="000000"/>
          <w:sz w:val="32"/>
          <w:szCs w:val="32"/>
        </w:rPr>
        <w:t>完善检验检测体系</w:t>
      </w:r>
      <w:r>
        <w:rPr>
          <w:rFonts w:hint="eastAsia" w:ascii="仿宋_GB2312" w:hAnsi="仿宋_GB2312" w:eastAsia="仿宋_GB2312" w:cs="仿宋_GB2312"/>
          <w:sz w:val="32"/>
          <w:szCs w:val="32"/>
        </w:rPr>
        <w:t>，指导协调检验检测行业发展。</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（十九）负责管理全县认证认可工作。监督管理认证认可和合格评定工作。</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（二十）负责市场监督管理科技和信息化建设、新闻宣传。</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（二十一）负责全县知识产权监督管理。贯彻落实国家、省知识产权战略、法规，制定全县知识产权规划。负责知识产权的保护，指导实施商标、专利执法工作。</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十二）负责促进全县民营经济发展。负责全县民营经济发展工作的任务制定、调查研究、统筹协调、督促落实及民营企业合法权益维护。在县委组织部指导下，指导全县市场监督管理部门配合党委组织部门开展小微企业、个体工商户、专业市场的党建工作。</w:t>
      </w:r>
    </w:p>
    <w:p>
      <w:pPr>
        <w:spacing w:line="540" w:lineRule="exact"/>
        <w:ind w:right="23" w:rightChars="11"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（二十三）负责职责范围内的安全生产和职业健康、生态环境保护、应急联动、审批服务便民化等工作。</w:t>
      </w:r>
    </w:p>
    <w:p>
      <w:pPr>
        <w:spacing w:line="540" w:lineRule="exact"/>
        <w:ind w:right="23" w:rightChars="11" w:firstLine="640" w:firstLineChars="200"/>
        <w:rPr>
          <w:rFonts w:ascii="仿宋_GB2312" w:eastAsia="仿宋_GB2312"/>
          <w:bCs/>
          <w:sz w:val="30"/>
          <w:szCs w:val="30"/>
        </w:rPr>
      </w:pPr>
      <w:r>
        <w:rPr>
          <w:rFonts w:hint="eastAsia" w:ascii="仿宋_GB2312" w:hAnsi="仿宋_GB2312" w:eastAsia="仿宋_GB2312" w:cs="仿宋_GB2312"/>
          <w:sz w:val="32"/>
          <w:szCs w:val="32"/>
        </w:rPr>
        <w:t>（二十四）完成县委、县政府、交办的其他任务。</w:t>
      </w:r>
    </w:p>
    <w:p>
      <w:pPr>
        <w:snapToGrid w:val="0"/>
        <w:spacing w:line="360" w:lineRule="auto"/>
        <w:outlineLvl w:val="1"/>
        <w:rPr>
          <w:rFonts w:ascii="仿宋_GB2312" w:eastAsia="仿宋_GB2312"/>
          <w:sz w:val="30"/>
          <w:szCs w:val="30"/>
        </w:rPr>
      </w:pPr>
      <w:r>
        <w:rPr>
          <w:rFonts w:hint="eastAsia" w:ascii="仿宋_GB2312" w:eastAsia="仿宋_GB2312"/>
          <w:sz w:val="30"/>
          <w:szCs w:val="30"/>
        </w:rPr>
        <w:t>　</w:t>
      </w:r>
      <w:bookmarkStart w:id="23" w:name="_Toc1399"/>
      <w:r>
        <w:rPr>
          <w:rFonts w:hint="eastAsia" w:ascii="楷体" w:hAnsi="楷体" w:eastAsia="楷体" w:cs="楷体"/>
          <w:b/>
          <w:bCs/>
          <w:sz w:val="32"/>
          <w:szCs w:val="32"/>
        </w:rPr>
        <w:t>（二）机构和人员情况</w:t>
      </w:r>
      <w:bookmarkEnd w:id="23"/>
    </w:p>
    <w:p>
      <w:pPr>
        <w:snapToGrid w:val="0"/>
        <w:spacing w:line="360" w:lineRule="auto"/>
        <w:ind w:firstLine="600" w:firstLineChars="200"/>
        <w:outlineLvl w:val="1"/>
        <w:rPr>
          <w:rFonts w:ascii="仿宋_GB2312" w:eastAsia="仿宋_GB2312"/>
          <w:sz w:val="30"/>
          <w:szCs w:val="30"/>
        </w:rPr>
      </w:pPr>
      <w:r>
        <w:rPr>
          <w:rFonts w:hint="eastAsia" w:ascii="仿宋_GB2312" w:eastAsia="仿宋_GB2312"/>
          <w:sz w:val="30"/>
          <w:szCs w:val="30"/>
        </w:rPr>
        <w:t xml:space="preserve"> 1、机构情况：</w:t>
      </w:r>
      <w:r>
        <w:rPr>
          <w:rFonts w:hint="eastAsia" w:ascii="仿宋_GB2312" w:eastAsia="仿宋_GB2312"/>
          <w:sz w:val="32"/>
          <w:szCs w:val="32"/>
        </w:rPr>
        <w:t>根据《中共金川县委 金川县人民政府关于印发&lt;金川县机构改革方案&gt;的通知》（金委发〔2019〕4 号）文件要求，由原金川县工商质量技术和食品药品监督管理局为主整合县科学技术和知识产权局的知识产权职能、县物价局价格监督职能和县发改经信局反垄断职能组建</w:t>
      </w:r>
      <w:r>
        <w:rPr>
          <w:rFonts w:hint="eastAsia" w:ascii="仿宋" w:hAnsi="仿宋" w:eastAsia="仿宋"/>
          <w:sz w:val="32"/>
          <w:szCs w:val="32"/>
        </w:rPr>
        <w:t>为独立核算，一级预算行政单位</w:t>
      </w:r>
      <w:r>
        <w:rPr>
          <w:rFonts w:hint="eastAsia" w:ascii="仿宋_GB2312" w:eastAsia="仿宋_GB2312"/>
          <w:sz w:val="32"/>
          <w:szCs w:val="32"/>
        </w:rPr>
        <w:t>金川县市场监督管理局。</w:t>
      </w:r>
    </w:p>
    <w:p>
      <w:pPr>
        <w:snapToGrid w:val="0"/>
        <w:spacing w:line="520" w:lineRule="exact"/>
        <w:ind w:firstLine="600" w:firstLineChars="200"/>
        <w:rPr>
          <w:rFonts w:ascii="仿宋_GB2312" w:hAnsi="仿宋" w:eastAsia="仿宋_GB2312"/>
          <w:sz w:val="32"/>
          <w:szCs w:val="32"/>
        </w:rPr>
      </w:pPr>
      <w:r>
        <w:rPr>
          <w:rFonts w:hint="eastAsia" w:ascii="仿宋_GB2312" w:eastAsia="仿宋_GB2312"/>
          <w:sz w:val="30"/>
          <w:szCs w:val="30"/>
        </w:rPr>
        <w:t>2.人员情况：</w:t>
      </w:r>
      <w:r>
        <w:rPr>
          <w:rFonts w:hint="eastAsia" w:ascii="仿宋_GB2312" w:eastAsia="仿宋_GB2312"/>
          <w:sz w:val="32"/>
          <w:szCs w:val="32"/>
        </w:rPr>
        <w:t>根据《中共金川</w:t>
      </w:r>
      <w:bookmarkStart w:id="50" w:name="_GoBack"/>
      <w:bookmarkEnd w:id="50"/>
      <w:r>
        <w:rPr>
          <w:rFonts w:hint="eastAsia" w:ascii="仿宋_GB2312" w:eastAsia="仿宋_GB2312"/>
          <w:sz w:val="32"/>
          <w:szCs w:val="32"/>
        </w:rPr>
        <w:t>县委 金川县人民政府关于印发&lt;金川县机构改革方案&gt;的通知》（金委发〔2019〕4 号）文件组建金川县市场监督管理局现有公务员35人，机关工勤2人，参公人员13人，事业人员1人，退休人员23人，遗属10人。</w:t>
      </w:r>
    </w:p>
    <w:p>
      <w:pPr>
        <w:snapToGrid w:val="0"/>
        <w:spacing w:line="360" w:lineRule="auto"/>
        <w:rPr>
          <w:rFonts w:ascii="楷体" w:hAnsi="楷体" w:eastAsia="楷体" w:cs="楷体"/>
          <w:b/>
          <w:bCs/>
          <w:sz w:val="30"/>
          <w:szCs w:val="30"/>
        </w:rPr>
      </w:pPr>
      <w:r>
        <w:rPr>
          <w:rFonts w:hint="eastAsia" w:ascii="楷体" w:hAnsi="楷体" w:eastAsia="楷体" w:cs="楷体"/>
          <w:b/>
          <w:bCs/>
          <w:sz w:val="30"/>
          <w:szCs w:val="30"/>
        </w:rPr>
        <w:t xml:space="preserve">   </w:t>
      </w:r>
      <w:bookmarkStart w:id="24" w:name="_Toc19488"/>
      <w:r>
        <w:rPr>
          <w:rFonts w:hint="eastAsia" w:ascii="楷体" w:hAnsi="楷体" w:eastAsia="楷体" w:cs="楷体"/>
          <w:b/>
          <w:bCs/>
          <w:sz w:val="30"/>
          <w:szCs w:val="30"/>
        </w:rPr>
        <w:t>（三）当年取得的主要成效：</w:t>
      </w:r>
      <w:bookmarkEnd w:id="24"/>
    </w:p>
    <w:p>
      <w:pPr>
        <w:snapToGrid w:val="0"/>
        <w:spacing w:line="520" w:lineRule="exact"/>
        <w:ind w:firstLine="640" w:firstLineChars="200"/>
        <w:rPr>
          <w:rFonts w:ascii="仿宋_GB2312" w:eastAsia="仿宋_GB2312"/>
          <w:sz w:val="32"/>
          <w:szCs w:val="32"/>
        </w:rPr>
      </w:pPr>
      <w:bookmarkStart w:id="25" w:name="_Toc13512"/>
      <w:bookmarkStart w:id="26" w:name="_Toc3164"/>
      <w:r>
        <w:rPr>
          <w:rFonts w:hint="eastAsia" w:ascii="仿宋_GB2312" w:eastAsia="仿宋_GB2312"/>
          <w:sz w:val="32"/>
          <w:szCs w:val="32"/>
        </w:rPr>
        <w:t>1、</w:t>
      </w:r>
      <w:r>
        <w:rPr>
          <w:rFonts w:ascii="仿宋_GB2312" w:eastAsia="仿宋_GB2312"/>
          <w:sz w:val="32"/>
          <w:szCs w:val="32"/>
        </w:rPr>
        <w:t>推动民营经济健康发展。召开民营经济座谈会和全县民营经济健康发展大会，聚焦企业难题，广泛听取民营企业代表意见建议，查找短板、研究措施、解决问题</w:t>
      </w:r>
      <w:r>
        <w:rPr>
          <w:rFonts w:hint="eastAsia" w:ascii="仿宋_GB2312" w:eastAsia="仿宋_GB2312"/>
          <w:sz w:val="32"/>
          <w:szCs w:val="32"/>
        </w:rPr>
        <w:t>。2、</w:t>
      </w:r>
      <w:r>
        <w:rPr>
          <w:rFonts w:ascii="仿宋_GB2312" w:eastAsia="仿宋_GB2312"/>
          <w:sz w:val="32"/>
          <w:szCs w:val="32"/>
        </w:rPr>
        <w:t>深化商事制度改革。推行“多证合一”473户</w:t>
      </w:r>
      <w:r>
        <w:rPr>
          <w:rFonts w:hint="eastAsia" w:ascii="仿宋_GB2312" w:eastAsia="仿宋_GB2312"/>
          <w:sz w:val="32"/>
          <w:szCs w:val="32"/>
        </w:rPr>
        <w:t>，颁发新版营业执照 827户，</w:t>
      </w:r>
      <w:r>
        <w:rPr>
          <w:rFonts w:ascii="仿宋_GB2312" w:eastAsia="仿宋_GB2312"/>
          <w:sz w:val="32"/>
          <w:szCs w:val="32"/>
        </w:rPr>
        <w:t>颁发“政银合作”营业执照</w:t>
      </w:r>
      <w:r>
        <w:rPr>
          <w:rFonts w:hint="eastAsia" w:ascii="仿宋_GB2312" w:eastAsia="仿宋_GB2312"/>
          <w:sz w:val="32"/>
          <w:szCs w:val="32"/>
        </w:rPr>
        <w:t>18</w:t>
      </w:r>
      <w:r>
        <w:rPr>
          <w:rFonts w:ascii="仿宋_GB2312" w:eastAsia="仿宋_GB2312"/>
          <w:sz w:val="32"/>
          <w:szCs w:val="32"/>
        </w:rPr>
        <w:t>张</w:t>
      </w:r>
      <w:r>
        <w:rPr>
          <w:rFonts w:hint="eastAsia" w:ascii="仿宋_GB2312" w:eastAsia="仿宋_GB2312"/>
          <w:sz w:val="32"/>
          <w:szCs w:val="32"/>
        </w:rPr>
        <w:t>，</w:t>
      </w:r>
      <w:r>
        <w:rPr>
          <w:rFonts w:ascii="仿宋_GB2312" w:eastAsia="仿宋_GB2312"/>
          <w:sz w:val="32"/>
          <w:szCs w:val="32"/>
        </w:rPr>
        <w:t>办理网店营业执照</w:t>
      </w:r>
      <w:r>
        <w:rPr>
          <w:rFonts w:hint="eastAsia" w:ascii="仿宋_GB2312" w:eastAsia="仿宋_GB2312"/>
          <w:sz w:val="32"/>
          <w:szCs w:val="32"/>
        </w:rPr>
        <w:t>4</w:t>
      </w:r>
      <w:r>
        <w:rPr>
          <w:rFonts w:ascii="仿宋_GB2312" w:eastAsia="仿宋_GB2312"/>
          <w:sz w:val="32"/>
          <w:szCs w:val="32"/>
        </w:rPr>
        <w:t>户</w:t>
      </w:r>
      <w:r>
        <w:rPr>
          <w:rFonts w:hint="eastAsia" w:ascii="仿宋_GB2312" w:eastAsia="仿宋_GB2312"/>
          <w:sz w:val="32"/>
          <w:szCs w:val="32"/>
        </w:rPr>
        <w:t>，全程电子化设立登记15件</w:t>
      </w:r>
      <w:r>
        <w:rPr>
          <w:rFonts w:ascii="仿宋_GB2312" w:eastAsia="仿宋_GB2312"/>
          <w:sz w:val="32"/>
          <w:szCs w:val="32"/>
        </w:rPr>
        <w:t>。</w:t>
      </w:r>
      <w:r>
        <w:rPr>
          <w:rFonts w:hint="eastAsia" w:ascii="仿宋_GB2312" w:eastAsia="仿宋_GB2312"/>
          <w:sz w:val="32"/>
          <w:szCs w:val="32"/>
        </w:rPr>
        <w:t>3、狠抓执法办案</w:t>
      </w:r>
      <w:r>
        <w:rPr>
          <w:rFonts w:ascii="仿宋_GB2312" w:eastAsia="仿宋_GB2312"/>
          <w:sz w:val="32"/>
          <w:szCs w:val="32"/>
        </w:rPr>
        <w:t>。截至目前共查办案件87件，罚没金额24.</w:t>
      </w:r>
      <w:r>
        <w:rPr>
          <w:rFonts w:hint="eastAsia" w:ascii="仿宋_GB2312" w:eastAsia="仿宋_GB2312"/>
          <w:sz w:val="32"/>
          <w:szCs w:val="32"/>
        </w:rPr>
        <w:t>81</w:t>
      </w:r>
      <w:r>
        <w:rPr>
          <w:rFonts w:ascii="仿宋_GB2312" w:eastAsia="仿宋_GB2312"/>
          <w:sz w:val="32"/>
          <w:szCs w:val="32"/>
        </w:rPr>
        <w:t>万元，均比去年有较大增长，我局已连续</w:t>
      </w:r>
      <w:r>
        <w:rPr>
          <w:rFonts w:hint="eastAsia" w:ascii="仿宋_GB2312" w:eastAsia="仿宋_GB2312"/>
          <w:sz w:val="32"/>
          <w:szCs w:val="32"/>
        </w:rPr>
        <w:t>三</w:t>
      </w:r>
      <w:r>
        <w:rPr>
          <w:rFonts w:ascii="仿宋_GB2312" w:eastAsia="仿宋_GB2312"/>
          <w:sz w:val="32"/>
          <w:szCs w:val="32"/>
        </w:rPr>
        <w:t>年被省局评为“春雷行动先进集体”。</w:t>
      </w:r>
    </w:p>
    <w:p>
      <w:pPr>
        <w:snapToGrid w:val="0"/>
        <w:spacing w:line="360" w:lineRule="auto"/>
        <w:rPr>
          <w:rFonts w:ascii="黑体" w:eastAsia="黑体"/>
          <w:b/>
          <w:bCs/>
          <w:color w:val="000000"/>
          <w:sz w:val="32"/>
          <w:szCs w:val="32"/>
        </w:rPr>
      </w:pPr>
    </w:p>
    <w:p>
      <w:pPr>
        <w:snapToGrid w:val="0"/>
        <w:spacing w:line="360" w:lineRule="auto"/>
        <w:rPr>
          <w:rFonts w:ascii="黑体" w:eastAsia="黑体"/>
          <w:b/>
          <w:bCs/>
          <w:color w:val="000000"/>
          <w:sz w:val="32"/>
          <w:szCs w:val="32"/>
        </w:rPr>
      </w:pPr>
      <w:r>
        <w:rPr>
          <w:rFonts w:hint="eastAsia" w:ascii="黑体" w:eastAsia="黑体"/>
          <w:b/>
          <w:bCs/>
          <w:color w:val="000000"/>
          <w:sz w:val="32"/>
          <w:szCs w:val="32"/>
        </w:rPr>
        <w:t>三、一般公共预算财政拨款收入支出决算情况</w:t>
      </w:r>
      <w:bookmarkEnd w:id="25"/>
      <w:bookmarkEnd w:id="26"/>
    </w:p>
    <w:p>
      <w:pPr>
        <w:spacing w:line="500" w:lineRule="exact"/>
        <w:ind w:firstLine="640" w:firstLineChars="200"/>
        <w:rPr>
          <w:rFonts w:ascii="仿宋_GB2312" w:eastAsia="仿宋_GB2312"/>
          <w:sz w:val="32"/>
          <w:szCs w:val="32"/>
        </w:rPr>
      </w:pPr>
      <w:r>
        <w:rPr>
          <w:rFonts w:hint="eastAsia" w:ascii="仿宋_GB2312" w:eastAsia="仿宋_GB2312"/>
          <w:sz w:val="32"/>
          <w:szCs w:val="32"/>
        </w:rPr>
        <w:t>金川县市场监督管理局2019年财政拨款收入872.52万元，其中：行政运行收入545.83万元，市场监督管理专项收入35.47万元，市场监管执法37万元，药品监管收入15.96万元，其他市场监督管理事务19.98万元，机关养老保险收入75.10万元，职业年金收入34.56万元，行政单位医疗保险收入30.87万元，公务员医疗补助收入10.62万元，住房公积金收入66.10万元，退休人员购房补贴收入1.03万元。</w:t>
      </w:r>
    </w:p>
    <w:p>
      <w:pPr>
        <w:spacing w:line="500" w:lineRule="exact"/>
        <w:ind w:firstLine="640" w:firstLineChars="200"/>
        <w:rPr>
          <w:rFonts w:ascii="仿宋_GB2312" w:eastAsia="仿宋_GB2312"/>
          <w:sz w:val="32"/>
          <w:szCs w:val="32"/>
        </w:rPr>
      </w:pPr>
      <w:r>
        <w:rPr>
          <w:rFonts w:hint="eastAsia" w:ascii="仿宋_GB2312" w:eastAsia="仿宋_GB2312"/>
          <w:sz w:val="32"/>
          <w:szCs w:val="32"/>
        </w:rPr>
        <w:t>金川县市场监督管理局2019年一般公共预算财政拨款基本支出</w:t>
      </w:r>
      <w:r>
        <w:rPr>
          <w:rFonts w:ascii="仿宋_GB2312" w:eastAsia="仿宋_GB2312"/>
          <w:sz w:val="32"/>
          <w:szCs w:val="32"/>
        </w:rPr>
        <w:t>914.86</w:t>
      </w:r>
      <w:r>
        <w:rPr>
          <w:rFonts w:hint="eastAsia" w:ascii="仿宋_GB2312" w:eastAsia="仿宋_GB2312"/>
          <w:sz w:val="32"/>
          <w:szCs w:val="32"/>
        </w:rPr>
        <w:t>万元，其中：人员经费</w:t>
      </w:r>
      <w:r>
        <w:rPr>
          <w:rFonts w:ascii="仿宋_GB2312" w:eastAsia="仿宋_GB2312"/>
          <w:sz w:val="32"/>
          <w:szCs w:val="32"/>
        </w:rPr>
        <w:t>866.35</w:t>
      </w:r>
      <w:r>
        <w:rPr>
          <w:rFonts w:hint="eastAsia" w:ascii="仿宋_GB2312" w:eastAsia="仿宋_GB2312"/>
          <w:sz w:val="32"/>
          <w:szCs w:val="32"/>
        </w:rPr>
        <w:t>万元，主要包括：行政基本工资</w:t>
      </w:r>
      <w:r>
        <w:rPr>
          <w:rFonts w:ascii="仿宋_GB2312" w:eastAsia="仿宋_GB2312"/>
          <w:sz w:val="32"/>
          <w:szCs w:val="32"/>
        </w:rPr>
        <w:t>191.92</w:t>
      </w:r>
      <w:r>
        <w:rPr>
          <w:rFonts w:hint="eastAsia" w:ascii="仿宋_GB2312" w:eastAsia="仿宋_GB2312"/>
          <w:sz w:val="32"/>
          <w:szCs w:val="32"/>
        </w:rPr>
        <w:t>万元、津贴补贴</w:t>
      </w:r>
      <w:r>
        <w:rPr>
          <w:rFonts w:ascii="仿宋_GB2312" w:eastAsia="仿宋_GB2312"/>
          <w:sz w:val="32"/>
          <w:szCs w:val="32"/>
        </w:rPr>
        <w:t>257.35</w:t>
      </w:r>
      <w:r>
        <w:rPr>
          <w:rFonts w:hint="eastAsia" w:ascii="仿宋_GB2312" w:eastAsia="仿宋_GB2312"/>
          <w:sz w:val="32"/>
          <w:szCs w:val="32"/>
        </w:rPr>
        <w:t>万元、年终一次性奖金</w:t>
      </w:r>
      <w:r>
        <w:rPr>
          <w:rFonts w:ascii="仿宋_GB2312" w:eastAsia="仿宋_GB2312"/>
          <w:sz w:val="32"/>
          <w:szCs w:val="32"/>
        </w:rPr>
        <w:t>16.58</w:t>
      </w:r>
      <w:r>
        <w:rPr>
          <w:rFonts w:hint="eastAsia" w:ascii="仿宋_GB2312" w:eastAsia="仿宋_GB2312"/>
          <w:sz w:val="32"/>
          <w:szCs w:val="32"/>
        </w:rPr>
        <w:t>万元，其他社会保障缴费</w:t>
      </w:r>
      <w:r>
        <w:rPr>
          <w:rFonts w:ascii="仿宋_GB2312" w:eastAsia="仿宋_GB2312"/>
          <w:sz w:val="32"/>
          <w:szCs w:val="32"/>
        </w:rPr>
        <w:t>10.01</w:t>
      </w:r>
      <w:r>
        <w:rPr>
          <w:rFonts w:hint="eastAsia" w:ascii="仿宋_GB2312" w:eastAsia="仿宋_GB2312"/>
          <w:sz w:val="32"/>
          <w:szCs w:val="32"/>
        </w:rPr>
        <w:t>万元，机关事业单位基本养老保险费</w:t>
      </w:r>
      <w:r>
        <w:rPr>
          <w:rFonts w:ascii="仿宋_GB2312" w:eastAsia="仿宋_GB2312"/>
          <w:sz w:val="32"/>
          <w:szCs w:val="32"/>
        </w:rPr>
        <w:t>75.10</w:t>
      </w:r>
      <w:r>
        <w:rPr>
          <w:rFonts w:hint="eastAsia" w:ascii="仿宋_GB2312" w:eastAsia="仿宋_GB2312"/>
          <w:sz w:val="32"/>
          <w:szCs w:val="32"/>
        </w:rPr>
        <w:t>万元，机关事业单位职业年金</w:t>
      </w:r>
      <w:r>
        <w:rPr>
          <w:rFonts w:ascii="仿宋_GB2312" w:eastAsia="仿宋_GB2312"/>
          <w:sz w:val="32"/>
          <w:szCs w:val="32"/>
        </w:rPr>
        <w:t>34.56</w:t>
      </w:r>
      <w:r>
        <w:rPr>
          <w:rFonts w:hint="eastAsia" w:ascii="仿宋_GB2312" w:eastAsia="仿宋_GB2312"/>
          <w:sz w:val="32"/>
          <w:szCs w:val="32"/>
        </w:rPr>
        <w:t>万元，生活补助</w:t>
      </w:r>
      <w:r>
        <w:rPr>
          <w:rFonts w:ascii="仿宋_GB2312" w:eastAsia="仿宋_GB2312"/>
          <w:sz w:val="32"/>
          <w:szCs w:val="32"/>
        </w:rPr>
        <w:t>27.00</w:t>
      </w:r>
      <w:r>
        <w:rPr>
          <w:rFonts w:hint="eastAsia" w:ascii="仿宋_GB2312" w:eastAsia="仿宋_GB2312"/>
          <w:sz w:val="32"/>
          <w:szCs w:val="32"/>
        </w:rPr>
        <w:t>万元，奖励金</w:t>
      </w:r>
      <w:r>
        <w:rPr>
          <w:rFonts w:ascii="仿宋_GB2312" w:eastAsia="仿宋_GB2312"/>
          <w:sz w:val="32"/>
          <w:szCs w:val="32"/>
        </w:rPr>
        <w:t>146.23</w:t>
      </w:r>
      <w:r>
        <w:rPr>
          <w:rFonts w:hint="eastAsia" w:ascii="仿宋_GB2312" w:eastAsia="仿宋_GB2312"/>
          <w:sz w:val="32"/>
          <w:szCs w:val="32"/>
        </w:rPr>
        <w:t>万元，住房保障66.10万元，行政单位医疗</w:t>
      </w:r>
      <w:r>
        <w:rPr>
          <w:rFonts w:ascii="仿宋_GB2312" w:eastAsia="仿宋_GB2312"/>
          <w:sz w:val="32"/>
          <w:szCs w:val="32"/>
        </w:rPr>
        <w:t>30.87</w:t>
      </w:r>
      <w:r>
        <w:rPr>
          <w:rFonts w:hint="eastAsia" w:ascii="仿宋_GB2312" w:eastAsia="仿宋_GB2312"/>
          <w:sz w:val="32"/>
          <w:szCs w:val="32"/>
        </w:rPr>
        <w:t>万元，公务员医疗补助</w:t>
      </w:r>
      <w:r>
        <w:rPr>
          <w:rFonts w:ascii="仿宋_GB2312" w:eastAsia="仿宋_GB2312"/>
          <w:sz w:val="32"/>
          <w:szCs w:val="32"/>
        </w:rPr>
        <w:t>10.62</w:t>
      </w:r>
      <w:r>
        <w:rPr>
          <w:rFonts w:hint="eastAsia" w:ascii="仿宋_GB2312" w:eastAsia="仿宋_GB2312"/>
          <w:sz w:val="32"/>
          <w:szCs w:val="32"/>
        </w:rPr>
        <w:t>万元。</w:t>
      </w:r>
    </w:p>
    <w:p>
      <w:pPr>
        <w:spacing w:line="500" w:lineRule="exact"/>
        <w:ind w:firstLine="645"/>
        <w:rPr>
          <w:rFonts w:ascii="仿宋_GB2312" w:eastAsia="仿宋_GB2312"/>
          <w:sz w:val="32"/>
          <w:szCs w:val="32"/>
        </w:rPr>
      </w:pPr>
      <w:r>
        <w:rPr>
          <w:rFonts w:hint="eastAsia" w:ascii="仿宋_GB2312" w:eastAsia="仿宋_GB2312"/>
          <w:sz w:val="32"/>
          <w:szCs w:val="32"/>
        </w:rPr>
        <w:t>公用经费</w:t>
      </w:r>
      <w:r>
        <w:rPr>
          <w:rFonts w:ascii="仿宋_GB2312" w:eastAsia="仿宋_GB2312"/>
          <w:sz w:val="32"/>
          <w:szCs w:val="32"/>
        </w:rPr>
        <w:t>48.51</w:t>
      </w:r>
      <w:r>
        <w:rPr>
          <w:rFonts w:hint="eastAsia" w:ascii="仿宋_GB2312" w:eastAsia="仿宋_GB2312"/>
          <w:sz w:val="32"/>
          <w:szCs w:val="32"/>
        </w:rPr>
        <w:t>万元，其中办公费</w:t>
      </w:r>
      <w:r>
        <w:rPr>
          <w:rFonts w:ascii="仿宋_GB2312" w:eastAsia="仿宋_GB2312"/>
          <w:sz w:val="32"/>
          <w:szCs w:val="32"/>
        </w:rPr>
        <w:t>12.53</w:t>
      </w:r>
      <w:r>
        <w:rPr>
          <w:rFonts w:hint="eastAsia" w:ascii="仿宋_GB2312" w:eastAsia="仿宋_GB2312"/>
          <w:sz w:val="32"/>
          <w:szCs w:val="32"/>
        </w:rPr>
        <w:t>万元、水费</w:t>
      </w:r>
      <w:r>
        <w:rPr>
          <w:rFonts w:ascii="仿宋_GB2312" w:eastAsia="仿宋_GB2312"/>
          <w:sz w:val="32"/>
          <w:szCs w:val="32"/>
        </w:rPr>
        <w:t>0.70</w:t>
      </w:r>
      <w:r>
        <w:rPr>
          <w:rFonts w:hint="eastAsia" w:ascii="仿宋_GB2312" w:eastAsia="仿宋_GB2312"/>
          <w:sz w:val="32"/>
          <w:szCs w:val="32"/>
        </w:rPr>
        <w:t>万元，电费</w:t>
      </w:r>
      <w:r>
        <w:rPr>
          <w:rFonts w:ascii="仿宋_GB2312" w:eastAsia="仿宋_GB2312"/>
          <w:sz w:val="32"/>
          <w:szCs w:val="32"/>
        </w:rPr>
        <w:t>4.00</w:t>
      </w:r>
      <w:r>
        <w:rPr>
          <w:rFonts w:hint="eastAsia" w:ascii="仿宋_GB2312" w:eastAsia="仿宋_GB2312"/>
          <w:sz w:val="32"/>
          <w:szCs w:val="32"/>
        </w:rPr>
        <w:t>万元、邮电费</w:t>
      </w:r>
      <w:r>
        <w:rPr>
          <w:rFonts w:ascii="仿宋_GB2312" w:eastAsia="仿宋_GB2312"/>
          <w:sz w:val="32"/>
          <w:szCs w:val="32"/>
        </w:rPr>
        <w:t>2.40</w:t>
      </w:r>
      <w:r>
        <w:rPr>
          <w:rFonts w:hint="eastAsia" w:ascii="仿宋_GB2312" w:eastAsia="仿宋_GB2312"/>
          <w:sz w:val="32"/>
          <w:szCs w:val="32"/>
        </w:rPr>
        <w:t>万元、物业管理费</w:t>
      </w:r>
      <w:r>
        <w:rPr>
          <w:rFonts w:ascii="仿宋_GB2312" w:eastAsia="仿宋_GB2312"/>
          <w:sz w:val="32"/>
          <w:szCs w:val="32"/>
        </w:rPr>
        <w:t>1.92</w:t>
      </w:r>
      <w:r>
        <w:rPr>
          <w:rFonts w:hint="eastAsia" w:ascii="仿宋_GB2312" w:eastAsia="仿宋_GB2312"/>
          <w:sz w:val="32"/>
          <w:szCs w:val="32"/>
        </w:rPr>
        <w:t>万元、差旅费</w:t>
      </w:r>
      <w:r>
        <w:rPr>
          <w:rFonts w:ascii="仿宋_GB2312" w:eastAsia="仿宋_GB2312"/>
          <w:sz w:val="32"/>
          <w:szCs w:val="32"/>
        </w:rPr>
        <w:t>9.00</w:t>
      </w:r>
      <w:r>
        <w:rPr>
          <w:rFonts w:hint="eastAsia" w:ascii="仿宋_GB2312" w:eastAsia="仿宋_GB2312"/>
          <w:sz w:val="32"/>
          <w:szCs w:val="32"/>
        </w:rPr>
        <w:t>万元、会议费</w:t>
      </w:r>
      <w:r>
        <w:rPr>
          <w:rFonts w:ascii="仿宋_GB2312" w:eastAsia="仿宋_GB2312"/>
          <w:sz w:val="32"/>
          <w:szCs w:val="32"/>
        </w:rPr>
        <w:t>7.71</w:t>
      </w:r>
      <w:r>
        <w:rPr>
          <w:rFonts w:hint="eastAsia" w:ascii="仿宋_GB2312" w:eastAsia="仿宋_GB2312"/>
          <w:sz w:val="32"/>
          <w:szCs w:val="32"/>
        </w:rPr>
        <w:t>万元、公务接待费</w:t>
      </w:r>
      <w:r>
        <w:rPr>
          <w:rFonts w:ascii="仿宋_GB2312" w:eastAsia="仿宋_GB2312"/>
          <w:sz w:val="32"/>
          <w:szCs w:val="32"/>
        </w:rPr>
        <w:t>0.54</w:t>
      </w:r>
      <w:r>
        <w:rPr>
          <w:rFonts w:hint="eastAsia" w:ascii="仿宋_GB2312" w:eastAsia="仿宋_GB2312"/>
          <w:sz w:val="32"/>
          <w:szCs w:val="32"/>
        </w:rPr>
        <w:t>万元、劳务费</w:t>
      </w:r>
      <w:r>
        <w:rPr>
          <w:rFonts w:ascii="仿宋_GB2312" w:eastAsia="仿宋_GB2312"/>
          <w:sz w:val="32"/>
          <w:szCs w:val="32"/>
        </w:rPr>
        <w:t>5.00</w:t>
      </w:r>
      <w:r>
        <w:rPr>
          <w:rFonts w:hint="eastAsia" w:ascii="仿宋_GB2312" w:eastAsia="仿宋_GB2312"/>
          <w:sz w:val="32"/>
          <w:szCs w:val="32"/>
        </w:rPr>
        <w:t>万元、公务用车运行维护费</w:t>
      </w:r>
      <w:r>
        <w:rPr>
          <w:rFonts w:ascii="仿宋_GB2312" w:eastAsia="仿宋_GB2312"/>
          <w:sz w:val="32"/>
          <w:szCs w:val="32"/>
        </w:rPr>
        <w:t>4.00</w:t>
      </w:r>
      <w:r>
        <w:rPr>
          <w:rFonts w:hint="eastAsia" w:ascii="仿宋_GB2312" w:eastAsia="仿宋_GB2312"/>
          <w:sz w:val="32"/>
          <w:szCs w:val="32"/>
        </w:rPr>
        <w:t>万元，其他交通费用0.72万元。</w:t>
      </w:r>
    </w:p>
    <w:p>
      <w:pPr>
        <w:spacing w:line="600" w:lineRule="exact"/>
        <w:ind w:firstLine="640"/>
        <w:rPr>
          <w:rFonts w:ascii="仿宋_GB2312" w:eastAsia="仿宋_GB2312"/>
          <w:sz w:val="32"/>
          <w:szCs w:val="32"/>
        </w:rPr>
      </w:pPr>
      <w:r>
        <w:rPr>
          <w:rFonts w:hint="eastAsia" w:ascii="仿宋_GB2312" w:eastAsia="仿宋_GB2312"/>
          <w:sz w:val="32"/>
          <w:szCs w:val="32"/>
        </w:rPr>
        <w:t>项目支出</w:t>
      </w:r>
      <w:r>
        <w:rPr>
          <w:rFonts w:ascii="仿宋_GB2312" w:eastAsia="仿宋_GB2312"/>
          <w:sz w:val="32"/>
          <w:szCs w:val="32"/>
        </w:rPr>
        <w:t>55.68</w:t>
      </w:r>
      <w:r>
        <w:rPr>
          <w:rFonts w:hint="eastAsia" w:ascii="仿宋_GB2312" w:eastAsia="仿宋_GB2312"/>
          <w:sz w:val="32"/>
          <w:szCs w:val="32"/>
        </w:rPr>
        <w:t>万元。</w:t>
      </w:r>
    </w:p>
    <w:p>
      <w:pPr>
        <w:spacing w:line="600" w:lineRule="exact"/>
        <w:ind w:firstLine="640"/>
        <w:outlineLvl w:val="0"/>
        <w:rPr>
          <w:rFonts w:ascii="黑体" w:eastAsia="黑体"/>
          <w:b/>
          <w:bCs/>
          <w:color w:val="000000"/>
          <w:sz w:val="32"/>
          <w:szCs w:val="32"/>
        </w:rPr>
      </w:pPr>
      <w:bookmarkStart w:id="27" w:name="_Toc12371"/>
      <w:bookmarkStart w:id="28" w:name="_Toc25434"/>
      <w:r>
        <w:rPr>
          <w:rFonts w:hint="eastAsia" w:ascii="黑体" w:eastAsia="黑体"/>
          <w:b/>
          <w:bCs/>
          <w:color w:val="000000"/>
          <w:sz w:val="32"/>
          <w:szCs w:val="32"/>
        </w:rPr>
        <w:t>四、“三公”经费财政拨款支出决算情况</w:t>
      </w:r>
      <w:bookmarkEnd w:id="27"/>
      <w:bookmarkEnd w:id="28"/>
    </w:p>
    <w:p>
      <w:pPr>
        <w:spacing w:line="600" w:lineRule="exact"/>
        <w:ind w:firstLine="640"/>
        <w:outlineLvl w:val="1"/>
        <w:rPr>
          <w:rFonts w:ascii="楷体" w:hAnsi="楷体" w:eastAsia="楷体" w:cs="楷体"/>
          <w:b/>
          <w:color w:val="000000"/>
          <w:sz w:val="30"/>
          <w:szCs w:val="30"/>
        </w:rPr>
      </w:pPr>
      <w:bookmarkStart w:id="29" w:name="_Toc6872"/>
      <w:r>
        <w:rPr>
          <w:rFonts w:hint="eastAsia" w:ascii="楷体" w:hAnsi="楷体" w:eastAsia="楷体" w:cs="楷体"/>
          <w:b/>
          <w:color w:val="000000"/>
          <w:sz w:val="30"/>
          <w:szCs w:val="30"/>
        </w:rPr>
        <w:t>（一）“三公”经费财政拨款支出决算总体情况说明</w:t>
      </w:r>
      <w:bookmarkEnd w:id="29"/>
    </w:p>
    <w:p>
      <w:pPr>
        <w:spacing w:line="600" w:lineRule="exact"/>
        <w:ind w:firstLine="640"/>
        <w:rPr>
          <w:rFonts w:ascii="仿宋_GB2312" w:eastAsia="仿宋_GB2312"/>
          <w:sz w:val="32"/>
          <w:szCs w:val="32"/>
        </w:rPr>
      </w:pPr>
      <w:r>
        <w:rPr>
          <w:rFonts w:hint="eastAsia" w:ascii="仿宋_GB2312" w:eastAsia="仿宋_GB2312"/>
          <w:sz w:val="32"/>
          <w:szCs w:val="32"/>
        </w:rPr>
        <w:t>金川县市场监督管理局2019年度“三公”经费财政拨款支出决算为</w:t>
      </w:r>
      <w:r>
        <w:rPr>
          <w:rFonts w:ascii="仿宋_GB2312" w:eastAsia="仿宋_GB2312"/>
          <w:sz w:val="32"/>
          <w:szCs w:val="32"/>
        </w:rPr>
        <w:t>11.69</w:t>
      </w:r>
      <w:r>
        <w:rPr>
          <w:rFonts w:hint="eastAsia" w:ascii="仿宋_GB2312" w:eastAsia="仿宋_GB2312"/>
          <w:sz w:val="32"/>
          <w:szCs w:val="32"/>
        </w:rPr>
        <w:t>万元，完成预算100%，其中：因公出国（境）费支出0万元；公务用车购置及运行维护费支出决算为</w:t>
      </w:r>
      <w:r>
        <w:rPr>
          <w:rFonts w:ascii="仿宋_GB2312" w:eastAsia="仿宋_GB2312"/>
          <w:sz w:val="32"/>
          <w:szCs w:val="32"/>
        </w:rPr>
        <w:t>11.15</w:t>
      </w:r>
      <w:r>
        <w:rPr>
          <w:rFonts w:hint="eastAsia" w:ascii="仿宋_GB2312" w:eastAsia="仿宋_GB2312"/>
          <w:sz w:val="32"/>
          <w:szCs w:val="32"/>
        </w:rPr>
        <w:t>万元，完成预算100%；公务接待费支出决算为</w:t>
      </w:r>
      <w:r>
        <w:rPr>
          <w:rFonts w:ascii="仿宋_GB2312" w:eastAsia="仿宋_GB2312"/>
          <w:sz w:val="32"/>
          <w:szCs w:val="32"/>
        </w:rPr>
        <w:t>0.54</w:t>
      </w:r>
      <w:r>
        <w:rPr>
          <w:rFonts w:hint="eastAsia" w:ascii="仿宋_GB2312" w:eastAsia="仿宋_GB2312"/>
          <w:sz w:val="32"/>
          <w:szCs w:val="32"/>
        </w:rPr>
        <w:t>万元，完成预算100%。</w:t>
      </w:r>
    </w:p>
    <w:p>
      <w:pPr>
        <w:spacing w:line="460" w:lineRule="exact"/>
        <w:ind w:firstLine="640" w:firstLineChars="200"/>
        <w:rPr>
          <w:rFonts w:ascii="仿宋_GB2312" w:eastAsia="仿宋_GB2312"/>
          <w:sz w:val="32"/>
          <w:szCs w:val="32"/>
        </w:rPr>
      </w:pPr>
      <w:r>
        <w:rPr>
          <w:rFonts w:hint="eastAsia" w:ascii="仿宋_GB2312" w:eastAsia="仿宋_GB2312"/>
          <w:sz w:val="32"/>
          <w:szCs w:val="32"/>
        </w:rPr>
        <w:t>2019年度“三公”经费财政拨款支出决算数与2018年持平。</w:t>
      </w:r>
    </w:p>
    <w:p>
      <w:pPr>
        <w:spacing w:line="600" w:lineRule="exact"/>
        <w:ind w:firstLine="602" w:firstLineChars="200"/>
        <w:outlineLvl w:val="1"/>
        <w:rPr>
          <w:rFonts w:ascii="楷体" w:hAnsi="楷体" w:eastAsia="楷体" w:cs="楷体"/>
          <w:b/>
          <w:color w:val="333333"/>
          <w:sz w:val="30"/>
          <w:szCs w:val="30"/>
        </w:rPr>
      </w:pPr>
      <w:bookmarkStart w:id="30" w:name="_Toc2762"/>
      <w:r>
        <w:rPr>
          <w:rFonts w:hint="eastAsia" w:ascii="楷体" w:hAnsi="楷体" w:eastAsia="楷体" w:cs="楷体"/>
          <w:b/>
          <w:color w:val="333333"/>
          <w:sz w:val="30"/>
          <w:szCs w:val="30"/>
        </w:rPr>
        <w:t>（二）“三公”经费财政拨款支出决算具体情况说明</w:t>
      </w:r>
      <w:bookmarkEnd w:id="30"/>
    </w:p>
    <w:p>
      <w:pPr>
        <w:spacing w:line="600" w:lineRule="exact"/>
        <w:ind w:firstLine="640"/>
        <w:rPr>
          <w:rFonts w:ascii="仿宋_GB2312" w:eastAsia="仿宋_GB2312"/>
          <w:sz w:val="32"/>
          <w:szCs w:val="32"/>
        </w:rPr>
      </w:pPr>
      <w:r>
        <w:rPr>
          <w:rFonts w:hint="eastAsia" w:ascii="仿宋_GB2312" w:eastAsia="仿宋_GB2312"/>
          <w:sz w:val="32"/>
          <w:szCs w:val="32"/>
        </w:rPr>
        <w:t>2019年度“三公”经费财政拨款支出决算中，公务用车购置及运行维护费支出决算11.15万元，占99.32%；公务接待费支出决算0.54万元，占0.68%。具体情况如下：</w:t>
      </w:r>
    </w:p>
    <w:p>
      <w:pPr>
        <w:spacing w:line="600" w:lineRule="exact"/>
        <w:ind w:firstLine="640"/>
        <w:rPr>
          <w:rFonts w:ascii="仿宋_GB2312" w:eastAsia="仿宋_GB2312"/>
          <w:color w:val="000000"/>
          <w:sz w:val="30"/>
          <w:szCs w:val="30"/>
        </w:rPr>
      </w:pPr>
      <w:r>
        <w:rPr>
          <w:rFonts w:ascii="仿宋_GB2312" w:eastAsia="仿宋_GB2312"/>
          <w:color w:val="000000"/>
          <w:sz w:val="30"/>
          <w:szCs w:val="30"/>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74310" cy="3076575"/>
            <wp:effectExtent l="19050" t="0" r="21590" b="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b/>
          <w:color w:val="000000"/>
          <w:sz w:val="32"/>
          <w:szCs w:val="32"/>
        </w:rPr>
      </w:pPr>
    </w:p>
    <w:p>
      <w:pPr>
        <w:spacing w:line="600" w:lineRule="exact"/>
        <w:rPr>
          <w:rFonts w:ascii="仿宋_GB2312" w:eastAsia="仿宋_GB2312"/>
          <w:bCs/>
          <w:color w:val="000000"/>
          <w:sz w:val="30"/>
          <w:szCs w:val="30"/>
        </w:rPr>
      </w:pPr>
    </w:p>
    <w:p>
      <w:pPr>
        <w:spacing w:line="600" w:lineRule="exact"/>
        <w:jc w:val="center"/>
        <w:rPr>
          <w:rFonts w:ascii="仿宋_GB2312" w:eastAsia="仿宋_GB2312"/>
          <w:bCs/>
          <w:color w:val="000000"/>
          <w:sz w:val="30"/>
          <w:szCs w:val="30"/>
        </w:rPr>
      </w:pPr>
    </w:p>
    <w:p>
      <w:pPr>
        <w:spacing w:line="600" w:lineRule="exact"/>
        <w:ind w:firstLine="640"/>
        <w:outlineLvl w:val="2"/>
        <w:rPr>
          <w:rFonts w:ascii="楷体" w:hAnsi="楷体" w:eastAsia="楷体" w:cs="楷体"/>
          <w:b/>
          <w:color w:val="000000"/>
          <w:sz w:val="30"/>
          <w:szCs w:val="30"/>
        </w:rPr>
      </w:pPr>
      <w:bookmarkStart w:id="31" w:name="_Toc6049"/>
      <w:r>
        <w:rPr>
          <w:rFonts w:hint="eastAsia" w:ascii="楷体" w:hAnsi="楷体" w:eastAsia="楷体" w:cs="楷体"/>
          <w:b/>
          <w:color w:val="000000"/>
          <w:sz w:val="30"/>
          <w:szCs w:val="30"/>
        </w:rPr>
        <w:t>1.因公出国（境）经费</w:t>
      </w:r>
      <w:bookmarkEnd w:id="31"/>
    </w:p>
    <w:p>
      <w:pPr>
        <w:spacing w:line="600" w:lineRule="exact"/>
        <w:ind w:firstLine="640"/>
        <w:rPr>
          <w:rFonts w:ascii="仿宋_GB2312" w:eastAsia="仿宋_GB2312"/>
          <w:color w:val="000000"/>
          <w:sz w:val="30"/>
          <w:szCs w:val="30"/>
        </w:rPr>
      </w:pPr>
      <w:r>
        <w:rPr>
          <w:rFonts w:ascii="仿宋_GB2312" w:eastAsia="仿宋_GB2312"/>
          <w:color w:val="000000"/>
          <w:sz w:val="30"/>
          <w:szCs w:val="30"/>
        </w:rPr>
        <w:t>201</w:t>
      </w:r>
      <w:r>
        <w:rPr>
          <w:rFonts w:hint="eastAsia" w:ascii="仿宋_GB2312" w:eastAsia="仿宋_GB2312"/>
          <w:color w:val="000000"/>
          <w:sz w:val="30"/>
          <w:szCs w:val="30"/>
        </w:rPr>
        <w:t>9年因公出国（境）费0万元。</w:t>
      </w:r>
    </w:p>
    <w:p>
      <w:pPr>
        <w:spacing w:line="600" w:lineRule="exact"/>
        <w:ind w:firstLine="602" w:firstLineChars="200"/>
        <w:outlineLvl w:val="2"/>
        <w:rPr>
          <w:rFonts w:ascii="楷体" w:hAnsi="楷体" w:eastAsia="楷体" w:cs="楷体"/>
          <w:b/>
          <w:color w:val="000000"/>
          <w:sz w:val="30"/>
          <w:szCs w:val="30"/>
        </w:rPr>
      </w:pPr>
      <w:bookmarkStart w:id="32" w:name="_Toc22919"/>
      <w:r>
        <w:rPr>
          <w:rFonts w:hint="eastAsia" w:ascii="楷体" w:hAnsi="楷体" w:eastAsia="楷体" w:cs="楷体"/>
          <w:b/>
          <w:color w:val="000000"/>
          <w:sz w:val="30"/>
          <w:szCs w:val="30"/>
        </w:rPr>
        <w:t>2.公务用车购置及运行维护费</w:t>
      </w:r>
      <w:bookmarkEnd w:id="32"/>
    </w:p>
    <w:p>
      <w:pPr>
        <w:spacing w:line="600" w:lineRule="exact"/>
        <w:ind w:firstLine="640"/>
        <w:rPr>
          <w:rFonts w:ascii="仿宋_GB2312" w:eastAsia="仿宋_GB2312"/>
          <w:color w:val="000000"/>
          <w:sz w:val="30"/>
          <w:szCs w:val="30"/>
        </w:rPr>
      </w:pPr>
      <w:r>
        <w:rPr>
          <w:rFonts w:ascii="仿宋_GB2312" w:eastAsia="仿宋_GB2312"/>
          <w:bCs/>
          <w:color w:val="000000"/>
          <w:sz w:val="30"/>
          <w:szCs w:val="30"/>
        </w:rPr>
        <w:t>201</w:t>
      </w:r>
      <w:r>
        <w:rPr>
          <w:rFonts w:hint="eastAsia" w:ascii="仿宋_GB2312" w:eastAsia="仿宋_GB2312"/>
          <w:bCs/>
          <w:color w:val="000000"/>
          <w:sz w:val="30"/>
          <w:szCs w:val="30"/>
        </w:rPr>
        <w:t>9年公务用车购置及运行维护费11.15</w:t>
      </w:r>
      <w:r>
        <w:rPr>
          <w:rFonts w:hint="eastAsia" w:ascii="仿宋_GB2312" w:eastAsia="仿宋_GB2312"/>
          <w:color w:val="000000"/>
          <w:sz w:val="30"/>
          <w:szCs w:val="30"/>
        </w:rPr>
        <w:t>万元,其中：</w:t>
      </w:r>
    </w:p>
    <w:p>
      <w:pPr>
        <w:spacing w:line="600" w:lineRule="exact"/>
        <w:ind w:firstLine="640"/>
        <w:rPr>
          <w:rFonts w:ascii="仿宋_GB2312" w:eastAsia="仿宋_GB2312"/>
          <w:color w:val="000000"/>
          <w:sz w:val="30"/>
          <w:szCs w:val="30"/>
        </w:rPr>
      </w:pPr>
      <w:r>
        <w:rPr>
          <w:rFonts w:hint="eastAsia" w:ascii="仿宋_GB2312" w:eastAsia="仿宋_GB2312"/>
          <w:color w:val="000000"/>
          <w:sz w:val="30"/>
          <w:szCs w:val="30"/>
        </w:rPr>
        <w:t>无公务用车购置支出。</w:t>
      </w:r>
    </w:p>
    <w:p>
      <w:pPr>
        <w:spacing w:line="600" w:lineRule="exact"/>
        <w:ind w:firstLine="640"/>
        <w:rPr>
          <w:rFonts w:ascii="仿宋_GB2312" w:eastAsia="仿宋_GB2312"/>
          <w:color w:val="000000"/>
          <w:sz w:val="30"/>
          <w:szCs w:val="30"/>
        </w:rPr>
      </w:pPr>
      <w:r>
        <w:rPr>
          <w:rFonts w:hint="eastAsia" w:ascii="仿宋_GB2312" w:eastAsia="仿宋_GB2312"/>
          <w:color w:val="000000"/>
          <w:sz w:val="30"/>
          <w:szCs w:val="30"/>
        </w:rPr>
        <w:t>公务用车运行维护费支出</w:t>
      </w:r>
      <w:r>
        <w:rPr>
          <w:rFonts w:hint="eastAsia" w:ascii="仿宋_GB2312" w:eastAsia="仿宋_GB2312"/>
          <w:bCs/>
          <w:color w:val="000000"/>
          <w:sz w:val="30"/>
          <w:szCs w:val="30"/>
        </w:rPr>
        <w:t>11.15</w:t>
      </w:r>
      <w:r>
        <w:rPr>
          <w:rFonts w:hint="eastAsia" w:ascii="仿宋_GB2312" w:eastAsia="仿宋_GB2312"/>
          <w:color w:val="000000"/>
          <w:sz w:val="30"/>
          <w:szCs w:val="30"/>
        </w:rPr>
        <w:t>万元。主要用于开展各项市场监管工作所需的公务用车燃料费、车辆维修费、过路过桥费、车辆保险费等支出。</w:t>
      </w:r>
    </w:p>
    <w:p>
      <w:pPr>
        <w:spacing w:line="600" w:lineRule="exact"/>
        <w:ind w:firstLine="640"/>
        <w:outlineLvl w:val="2"/>
        <w:rPr>
          <w:rFonts w:ascii="楷体" w:hAnsi="楷体" w:eastAsia="楷体" w:cs="楷体"/>
          <w:b/>
          <w:color w:val="000000"/>
          <w:sz w:val="30"/>
          <w:szCs w:val="30"/>
        </w:rPr>
      </w:pPr>
      <w:bookmarkStart w:id="33" w:name="_Toc8007"/>
      <w:r>
        <w:rPr>
          <w:rFonts w:hint="eastAsia" w:ascii="楷体" w:hAnsi="楷体" w:eastAsia="楷体" w:cs="楷体"/>
          <w:b/>
          <w:color w:val="000000"/>
          <w:sz w:val="30"/>
          <w:szCs w:val="30"/>
        </w:rPr>
        <w:t>3.公务接待费</w:t>
      </w:r>
      <w:bookmarkEnd w:id="33"/>
    </w:p>
    <w:p>
      <w:pPr>
        <w:spacing w:line="600" w:lineRule="exact"/>
        <w:ind w:firstLine="640"/>
        <w:rPr>
          <w:rFonts w:ascii="仿宋_GB2312" w:eastAsia="仿宋_GB2312"/>
          <w:color w:val="000000"/>
          <w:sz w:val="30"/>
          <w:szCs w:val="30"/>
        </w:rPr>
      </w:pPr>
      <w:r>
        <w:rPr>
          <w:rFonts w:ascii="仿宋_GB2312" w:eastAsia="仿宋_GB2312"/>
          <w:color w:val="000000"/>
          <w:sz w:val="30"/>
          <w:szCs w:val="30"/>
        </w:rPr>
        <w:t>201</w:t>
      </w:r>
      <w:r>
        <w:rPr>
          <w:rFonts w:hint="eastAsia" w:ascii="仿宋_GB2312" w:eastAsia="仿宋_GB2312"/>
          <w:color w:val="000000"/>
          <w:sz w:val="30"/>
          <w:szCs w:val="30"/>
        </w:rPr>
        <w:t>9年公务接待费0.54万元。主要用于执行公务、开展业务活动开支的住宿费、用餐费等。国内公务接待6批次，32人，共计支出0.54万元。主要用于执行公务、开展业务活动所开支的餐饮费等。</w:t>
      </w:r>
    </w:p>
    <w:p>
      <w:pPr>
        <w:snapToGrid w:val="0"/>
        <w:spacing w:line="520" w:lineRule="exact"/>
        <w:ind w:firstLine="640" w:firstLineChars="200"/>
        <w:outlineLvl w:val="0"/>
        <w:rPr>
          <w:rFonts w:ascii="黑体" w:hAnsi="黑体" w:eastAsia="黑体"/>
          <w:sz w:val="32"/>
          <w:szCs w:val="32"/>
        </w:rPr>
      </w:pPr>
      <w:bookmarkStart w:id="34" w:name="_Toc31036"/>
      <w:bookmarkStart w:id="35" w:name="_Toc7579"/>
      <w:bookmarkStart w:id="36" w:name="YS060103"/>
      <w:r>
        <w:rPr>
          <w:rFonts w:hint="eastAsia" w:ascii="黑体" w:hAnsi="黑体" w:eastAsia="黑体"/>
          <w:sz w:val="32"/>
          <w:szCs w:val="32"/>
        </w:rPr>
        <w:t>五、资产负债情况分析</w:t>
      </w:r>
      <w:bookmarkEnd w:id="34"/>
      <w:bookmarkEnd w:id="35"/>
    </w:p>
    <w:bookmarkEnd w:id="36"/>
    <w:p>
      <w:pPr>
        <w:snapToGrid w:val="0"/>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2019年年末固定资产总数</w:t>
      </w:r>
      <w:r>
        <w:rPr>
          <w:rFonts w:ascii="仿宋_GB2312" w:hAnsi="仿宋" w:eastAsia="仿宋_GB2312"/>
          <w:sz w:val="32"/>
          <w:szCs w:val="32"/>
        </w:rPr>
        <w:t>737.48</w:t>
      </w:r>
      <w:r>
        <w:rPr>
          <w:rFonts w:hint="eastAsia" w:ascii="仿宋_GB2312" w:hAnsi="仿宋" w:eastAsia="仿宋_GB2312"/>
          <w:sz w:val="32"/>
          <w:szCs w:val="32"/>
        </w:rPr>
        <w:t>万元较2018年</w:t>
      </w:r>
      <w:r>
        <w:rPr>
          <w:rFonts w:ascii="仿宋_GB2312" w:hAnsi="仿宋" w:eastAsia="仿宋_GB2312"/>
          <w:sz w:val="32"/>
          <w:szCs w:val="32"/>
        </w:rPr>
        <w:t>765.05</w:t>
      </w:r>
      <w:r>
        <w:rPr>
          <w:rFonts w:hint="eastAsia" w:ascii="仿宋_GB2312" w:hAnsi="仿宋" w:eastAsia="仿宋_GB2312"/>
          <w:sz w:val="32"/>
          <w:szCs w:val="32"/>
        </w:rPr>
        <w:t>万元减少35.57万元，原因是报废一辆执法执勤用车。负债基本情况：2019年负债减少，</w:t>
      </w:r>
      <w:r>
        <w:rPr>
          <w:rFonts w:hint="eastAsia" w:ascii="仿宋_GB2312" w:hAnsi="楷体_GB2312" w:eastAsia="仿宋_GB2312" w:cs="楷体_GB2312"/>
          <w:sz w:val="32"/>
          <w:szCs w:val="32"/>
        </w:rPr>
        <w:t>原因银行存款应付未付经费中在2019年已全部支付</w:t>
      </w:r>
      <w:r>
        <w:rPr>
          <w:rFonts w:hint="eastAsia" w:ascii="仿宋_GB2312" w:hAnsi="仿宋" w:eastAsia="仿宋_GB2312"/>
          <w:sz w:val="32"/>
          <w:szCs w:val="32"/>
        </w:rPr>
        <w:t>银行存款减少。</w:t>
      </w:r>
    </w:p>
    <w:p>
      <w:pPr>
        <w:snapToGrid w:val="0"/>
        <w:spacing w:line="520" w:lineRule="exact"/>
        <w:ind w:firstLine="640" w:firstLineChars="200"/>
        <w:rPr>
          <w:rFonts w:ascii="仿宋_GB2312" w:hAnsi="仿宋" w:eastAsia="仿宋_GB2312"/>
          <w:sz w:val="32"/>
          <w:szCs w:val="32"/>
        </w:rPr>
      </w:pPr>
      <w:r>
        <w:rPr>
          <w:rFonts w:ascii="仿宋_GB2312" w:hAnsi="仿宋" w:eastAsia="仿宋_GB2312"/>
          <w:sz w:val="32"/>
          <w:szCs w:val="32"/>
        </w:rPr>
        <w:drawing>
          <wp:anchor distT="0" distB="0" distL="114300" distR="114300" simplePos="0" relativeHeight="251660288" behindDoc="0" locked="0" layoutInCell="1" allowOverlap="1">
            <wp:simplePos x="0" y="0"/>
            <wp:positionH relativeFrom="column">
              <wp:align>center</wp:align>
            </wp:positionH>
            <wp:positionV relativeFrom="paragraph">
              <wp:posOffset>5715</wp:posOffset>
            </wp:positionV>
            <wp:extent cx="4570730" cy="2745105"/>
            <wp:effectExtent l="12192" t="6096" r="6731" b="0"/>
            <wp:wrapNone/>
            <wp:docPr id="13"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pacing w:line="600" w:lineRule="exact"/>
        <w:ind w:firstLine="640" w:firstLineChars="200"/>
        <w:rPr>
          <w:rFonts w:ascii="仿宋_GB2312" w:eastAsia="仿宋_GB2312"/>
          <w:color w:val="000000"/>
          <w:sz w:val="32"/>
          <w:szCs w:val="32"/>
        </w:rPr>
      </w:pPr>
    </w:p>
    <w:p>
      <w:pPr>
        <w:snapToGrid w:val="0"/>
        <w:spacing w:line="520" w:lineRule="exact"/>
        <w:rPr>
          <w:rFonts w:ascii="仿宋_GB2312" w:hAnsi="仿宋" w:eastAsia="仿宋_GB2312"/>
          <w:sz w:val="32"/>
          <w:szCs w:val="32"/>
        </w:rPr>
      </w:pPr>
    </w:p>
    <w:p>
      <w:pPr>
        <w:spacing w:line="600" w:lineRule="exact"/>
        <w:ind w:firstLine="640"/>
        <w:outlineLvl w:val="0"/>
        <w:rPr>
          <w:rFonts w:ascii="黑体" w:hAnsi="黑体" w:eastAsia="黑体" w:cs="黑体"/>
          <w:b/>
          <w:bCs/>
          <w:color w:val="000000"/>
          <w:sz w:val="32"/>
          <w:szCs w:val="32"/>
        </w:rPr>
      </w:pPr>
      <w:bookmarkStart w:id="37" w:name="_Toc6898"/>
      <w:bookmarkStart w:id="38" w:name="_Toc7698"/>
      <w:r>
        <w:rPr>
          <w:rFonts w:hint="eastAsia" w:ascii="黑体" w:hAnsi="黑体" w:eastAsia="黑体" w:cs="黑体"/>
          <w:b/>
          <w:bCs/>
          <w:color w:val="000000"/>
          <w:sz w:val="32"/>
          <w:szCs w:val="32"/>
        </w:rPr>
        <w:t>六、政府性基金预算财政拨款支出决算情况</w:t>
      </w:r>
      <w:bookmarkEnd w:id="37"/>
      <w:bookmarkEnd w:id="38"/>
    </w:p>
    <w:p>
      <w:pPr>
        <w:spacing w:line="600" w:lineRule="exact"/>
        <w:ind w:firstLine="963" w:firstLineChars="321"/>
        <w:rPr>
          <w:rFonts w:ascii="仿宋_GB2312" w:eastAsia="仿宋_GB2312"/>
          <w:color w:val="000000"/>
          <w:w w:val="90"/>
          <w:sz w:val="30"/>
          <w:szCs w:val="30"/>
        </w:rPr>
      </w:pPr>
      <w:r>
        <w:rPr>
          <w:rFonts w:hint="eastAsia" w:ascii="仿宋_GB2312" w:eastAsia="仿宋_GB2312"/>
          <w:color w:val="000000"/>
          <w:sz w:val="30"/>
          <w:szCs w:val="30"/>
        </w:rPr>
        <w:t>金川县市场监督管理局</w:t>
      </w:r>
      <w:r>
        <w:rPr>
          <w:rFonts w:hint="eastAsia" w:ascii="仿宋_GB2312" w:eastAsia="仿宋_GB2312"/>
          <w:color w:val="000000"/>
          <w:w w:val="90"/>
          <w:sz w:val="30"/>
          <w:szCs w:val="30"/>
        </w:rPr>
        <w:t>2019年无政府性基金预算财政拨款支出。</w:t>
      </w:r>
    </w:p>
    <w:p>
      <w:pPr>
        <w:spacing w:line="600" w:lineRule="exact"/>
        <w:ind w:firstLine="643" w:firstLineChars="200"/>
        <w:outlineLvl w:val="0"/>
        <w:rPr>
          <w:rFonts w:ascii="黑体" w:eastAsia="黑体"/>
          <w:b/>
          <w:bCs/>
          <w:color w:val="000000"/>
          <w:sz w:val="32"/>
          <w:szCs w:val="32"/>
        </w:rPr>
      </w:pPr>
      <w:bookmarkStart w:id="39" w:name="_Toc12269"/>
      <w:bookmarkStart w:id="40" w:name="_Toc11209"/>
      <w:r>
        <w:rPr>
          <w:rFonts w:hint="eastAsia" w:ascii="黑体" w:eastAsia="黑体"/>
          <w:b/>
          <w:bCs/>
          <w:color w:val="000000"/>
          <w:sz w:val="32"/>
          <w:szCs w:val="32"/>
        </w:rPr>
        <w:t>七、其他重要事项的情况说明</w:t>
      </w:r>
      <w:bookmarkEnd w:id="39"/>
      <w:bookmarkEnd w:id="40"/>
    </w:p>
    <w:p>
      <w:pPr>
        <w:spacing w:line="600" w:lineRule="exact"/>
        <w:ind w:firstLine="602" w:firstLineChars="200"/>
        <w:outlineLvl w:val="1"/>
        <w:rPr>
          <w:rFonts w:ascii="楷体" w:hAnsi="楷体" w:eastAsia="楷体" w:cs="楷体"/>
          <w:b/>
          <w:color w:val="000000"/>
          <w:sz w:val="30"/>
          <w:szCs w:val="30"/>
        </w:rPr>
      </w:pPr>
      <w:bookmarkStart w:id="41" w:name="_Toc4355"/>
      <w:r>
        <w:rPr>
          <w:rFonts w:hint="eastAsia" w:ascii="楷体" w:hAnsi="楷体" w:eastAsia="楷体" w:cs="楷体"/>
          <w:b/>
          <w:color w:val="000000"/>
          <w:sz w:val="30"/>
          <w:szCs w:val="30"/>
        </w:rPr>
        <w:t>（一）机关运行经费支出情况</w:t>
      </w:r>
      <w:bookmarkEnd w:id="41"/>
    </w:p>
    <w:p>
      <w:pPr>
        <w:spacing w:line="600" w:lineRule="exact"/>
        <w:ind w:firstLine="750" w:firstLineChars="250"/>
        <w:rPr>
          <w:rFonts w:ascii="仿宋_GB2312" w:eastAsia="仿宋_GB2312"/>
          <w:color w:val="000000"/>
          <w:sz w:val="30"/>
          <w:szCs w:val="30"/>
        </w:rPr>
      </w:pPr>
      <w:r>
        <w:rPr>
          <w:rFonts w:hint="eastAsia" w:ascii="仿宋_GB2312" w:eastAsia="仿宋_GB2312"/>
          <w:color w:val="000000"/>
          <w:sz w:val="30"/>
          <w:szCs w:val="30"/>
        </w:rPr>
        <w:t>2019年度，金川县市场监督管理局机关运行经费</w:t>
      </w:r>
      <w:r>
        <w:rPr>
          <w:rFonts w:ascii="仿宋_GB2312" w:eastAsia="仿宋_GB2312"/>
          <w:sz w:val="30"/>
          <w:szCs w:val="30"/>
        </w:rPr>
        <w:t>48.51</w:t>
      </w:r>
      <w:r>
        <w:rPr>
          <w:rFonts w:hint="eastAsia" w:ascii="仿宋_GB2312" w:eastAsia="仿宋_GB2312"/>
          <w:color w:val="000000"/>
          <w:sz w:val="30"/>
          <w:szCs w:val="30"/>
        </w:rPr>
        <w:t>万元。</w:t>
      </w:r>
    </w:p>
    <w:p>
      <w:pPr>
        <w:autoSpaceDE w:val="0"/>
        <w:autoSpaceDN w:val="0"/>
        <w:adjustRightInd w:val="0"/>
        <w:spacing w:line="600" w:lineRule="exact"/>
        <w:ind w:firstLine="602" w:firstLineChars="200"/>
        <w:jc w:val="left"/>
        <w:outlineLvl w:val="1"/>
        <w:rPr>
          <w:rFonts w:ascii="楷体" w:hAnsi="楷体" w:eastAsia="楷体" w:cs="楷体"/>
          <w:b/>
          <w:color w:val="000000"/>
          <w:sz w:val="30"/>
          <w:szCs w:val="30"/>
        </w:rPr>
      </w:pPr>
      <w:bookmarkStart w:id="42" w:name="_Toc17192"/>
      <w:r>
        <w:rPr>
          <w:rFonts w:hint="eastAsia" w:ascii="楷体" w:hAnsi="楷体" w:eastAsia="楷体" w:cs="楷体"/>
          <w:b/>
          <w:color w:val="000000"/>
          <w:sz w:val="30"/>
          <w:szCs w:val="30"/>
        </w:rPr>
        <w:t>（二）政府采购支出情况</w:t>
      </w:r>
      <w:bookmarkEnd w:id="42"/>
    </w:p>
    <w:p>
      <w:pPr>
        <w:spacing w:line="600" w:lineRule="exact"/>
        <w:ind w:firstLine="750" w:firstLineChars="250"/>
        <w:rPr>
          <w:rFonts w:ascii="仿宋_GB2312" w:eastAsia="仿宋_GB2312"/>
          <w:color w:val="000000"/>
          <w:sz w:val="30"/>
          <w:szCs w:val="30"/>
        </w:rPr>
      </w:pPr>
      <w:r>
        <w:rPr>
          <w:rFonts w:hint="eastAsia" w:ascii="仿宋_GB2312" w:eastAsia="仿宋_GB2312"/>
          <w:color w:val="000000"/>
          <w:sz w:val="30"/>
          <w:szCs w:val="30"/>
        </w:rPr>
        <w:t>金川县市场监督管理局2019年采购支出为9.97万元，项目为县级使用农产品抽检项目。</w:t>
      </w:r>
    </w:p>
    <w:p>
      <w:pPr>
        <w:autoSpaceDE w:val="0"/>
        <w:autoSpaceDN w:val="0"/>
        <w:adjustRightInd w:val="0"/>
        <w:spacing w:line="600" w:lineRule="exact"/>
        <w:ind w:firstLine="602" w:firstLineChars="200"/>
        <w:jc w:val="left"/>
        <w:outlineLvl w:val="1"/>
        <w:rPr>
          <w:rFonts w:ascii="楷体" w:hAnsi="楷体" w:eastAsia="楷体" w:cs="楷体"/>
          <w:b/>
          <w:color w:val="000000"/>
          <w:sz w:val="30"/>
          <w:szCs w:val="30"/>
        </w:rPr>
      </w:pPr>
      <w:bookmarkStart w:id="43" w:name="_Toc8299"/>
      <w:r>
        <w:rPr>
          <w:rFonts w:hint="eastAsia" w:ascii="楷体" w:hAnsi="楷体" w:eastAsia="楷体" w:cs="楷体"/>
          <w:b/>
          <w:color w:val="000000"/>
          <w:sz w:val="30"/>
          <w:szCs w:val="30"/>
        </w:rPr>
        <w:t>（三）国有资产占有使用情况</w:t>
      </w:r>
      <w:bookmarkEnd w:id="43"/>
    </w:p>
    <w:p>
      <w:pPr>
        <w:autoSpaceDE w:val="0"/>
        <w:autoSpaceDN w:val="0"/>
        <w:adjustRightInd w:val="0"/>
        <w:spacing w:line="600" w:lineRule="exact"/>
        <w:ind w:firstLine="600" w:firstLineChars="200"/>
        <w:jc w:val="left"/>
        <w:rPr>
          <w:rFonts w:ascii="仿宋_GB2312" w:eastAsia="仿宋_GB2312"/>
          <w:color w:val="000000"/>
          <w:sz w:val="30"/>
          <w:szCs w:val="30"/>
        </w:rPr>
      </w:pPr>
      <w:r>
        <w:rPr>
          <w:rFonts w:hint="eastAsia" w:ascii="仿宋_GB2312" w:eastAsia="仿宋_GB2312"/>
          <w:color w:val="000000"/>
          <w:sz w:val="30"/>
          <w:szCs w:val="30"/>
        </w:rPr>
        <w:t>截至2019年12月31日，我局有公务用车辆4辆，均为执法执勤用车；无单价50万元以上通用设备，无单价100万元以上专用设备。</w:t>
      </w:r>
    </w:p>
    <w:p>
      <w:pPr>
        <w:autoSpaceDE w:val="0"/>
        <w:autoSpaceDN w:val="0"/>
        <w:adjustRightInd w:val="0"/>
        <w:spacing w:line="600" w:lineRule="exact"/>
        <w:ind w:firstLine="643" w:firstLineChars="200"/>
        <w:jc w:val="left"/>
        <w:outlineLvl w:val="1"/>
        <w:rPr>
          <w:rFonts w:ascii="楷体" w:hAnsi="楷体" w:eastAsia="楷体" w:cs="楷体"/>
          <w:b/>
          <w:color w:val="000000"/>
          <w:sz w:val="32"/>
          <w:szCs w:val="32"/>
        </w:rPr>
      </w:pPr>
      <w:bookmarkStart w:id="44" w:name="_Toc8700"/>
      <w:r>
        <w:rPr>
          <w:rFonts w:hint="eastAsia" w:ascii="楷体" w:hAnsi="楷体" w:eastAsia="楷体" w:cs="楷体"/>
          <w:b/>
          <w:color w:val="000000"/>
          <w:sz w:val="32"/>
          <w:szCs w:val="32"/>
        </w:rPr>
        <w:t>（四）预算绩效情况</w:t>
      </w:r>
      <w:bookmarkEnd w:id="44"/>
    </w:p>
    <w:p>
      <w:pPr>
        <w:spacing w:line="600" w:lineRule="atLeast"/>
        <w:ind w:firstLine="600" w:firstLineChars="200"/>
        <w:rPr>
          <w:rFonts w:ascii="仿宋_GB2312" w:eastAsia="仿宋_GB2312"/>
          <w:sz w:val="30"/>
          <w:szCs w:val="30"/>
        </w:rPr>
      </w:pPr>
      <w:r>
        <w:rPr>
          <w:rFonts w:hint="eastAsia" w:ascii="仿宋_GB2312" w:eastAsia="仿宋_GB2312"/>
          <w:sz w:val="30"/>
          <w:szCs w:val="30"/>
        </w:rPr>
        <w:t>按照预算绩效管理要求，本部门对2019年一般公共预算项目支出开展了绩效目标管理，编制绩效目标，涉及财政资金</w:t>
      </w:r>
      <w:r>
        <w:rPr>
          <w:rFonts w:ascii="仿宋_GB2312" w:eastAsia="仿宋_GB2312"/>
          <w:sz w:val="30"/>
          <w:szCs w:val="30"/>
        </w:rPr>
        <w:t>970.54</w:t>
      </w:r>
      <w:r>
        <w:rPr>
          <w:rFonts w:hint="eastAsia" w:ascii="仿宋_GB2312" w:eastAsia="仿宋_GB2312"/>
          <w:sz w:val="30"/>
          <w:szCs w:val="30"/>
        </w:rPr>
        <w:t>万元，覆盖率达到100%。我局积极开展项目绩效自评，自评得分92分。</w:t>
      </w:r>
    </w:p>
    <w:p>
      <w:pPr>
        <w:spacing w:line="600" w:lineRule="atLeast"/>
        <w:ind w:firstLine="602" w:firstLineChars="200"/>
        <w:outlineLvl w:val="2"/>
        <w:rPr>
          <w:rFonts w:ascii="楷体" w:hAnsi="楷体" w:eastAsia="楷体" w:cs="楷体"/>
          <w:b/>
          <w:bCs/>
          <w:sz w:val="30"/>
          <w:szCs w:val="30"/>
        </w:rPr>
      </w:pPr>
      <w:bookmarkStart w:id="45" w:name="_Toc13295"/>
      <w:r>
        <w:rPr>
          <w:rFonts w:hint="eastAsia" w:ascii="楷体" w:hAnsi="楷体" w:eastAsia="楷体" w:cs="楷体"/>
          <w:b/>
          <w:bCs/>
          <w:sz w:val="30"/>
          <w:szCs w:val="30"/>
        </w:rPr>
        <w:t>1、评价结论</w:t>
      </w:r>
      <w:bookmarkEnd w:id="45"/>
    </w:p>
    <w:p>
      <w:pPr>
        <w:spacing w:line="600" w:lineRule="atLeast"/>
        <w:ind w:firstLine="600" w:firstLineChars="200"/>
        <w:rPr>
          <w:rFonts w:ascii="仿宋_GB2312" w:eastAsia="仿宋_GB2312"/>
          <w:sz w:val="30"/>
          <w:szCs w:val="30"/>
        </w:rPr>
      </w:pPr>
      <w:r>
        <w:rPr>
          <w:rFonts w:hint="eastAsia" w:ascii="仿宋_GB2312" w:eastAsia="仿宋_GB2312"/>
          <w:sz w:val="30"/>
          <w:szCs w:val="30"/>
        </w:rPr>
        <w:t>部门预算执行情况良好，无不良记录及违规违纪行为，预算支出和决算支出基本情况相符。</w:t>
      </w:r>
    </w:p>
    <w:p>
      <w:pPr>
        <w:spacing w:line="600" w:lineRule="atLeast"/>
        <w:ind w:firstLine="602" w:firstLineChars="200"/>
        <w:outlineLvl w:val="2"/>
        <w:rPr>
          <w:rFonts w:ascii="楷体" w:hAnsi="楷体" w:eastAsia="楷体" w:cs="楷体"/>
          <w:b/>
          <w:bCs/>
          <w:sz w:val="30"/>
          <w:szCs w:val="30"/>
        </w:rPr>
      </w:pPr>
      <w:bookmarkStart w:id="46" w:name="_Toc21013"/>
      <w:r>
        <w:rPr>
          <w:rFonts w:hint="eastAsia" w:ascii="楷体" w:hAnsi="楷体" w:eastAsia="楷体" w:cs="楷体"/>
          <w:b/>
          <w:bCs/>
          <w:sz w:val="30"/>
          <w:szCs w:val="30"/>
        </w:rPr>
        <w:t>2、存在问题</w:t>
      </w:r>
      <w:bookmarkEnd w:id="46"/>
    </w:p>
    <w:p>
      <w:pPr>
        <w:spacing w:line="600" w:lineRule="atLeast"/>
        <w:ind w:firstLine="600" w:firstLineChars="200"/>
        <w:rPr>
          <w:rFonts w:ascii="仿宋_GB2312" w:eastAsia="仿宋_GB2312"/>
          <w:sz w:val="30"/>
          <w:szCs w:val="30"/>
        </w:rPr>
      </w:pPr>
      <w:r>
        <w:rPr>
          <w:rFonts w:hint="eastAsia" w:ascii="仿宋_GB2312" w:eastAsia="仿宋_GB2312"/>
          <w:sz w:val="30"/>
          <w:szCs w:val="30"/>
        </w:rPr>
        <w:t>一是预算经费支出进度较快；二是部门决算上报处理效率还需继续提升。</w:t>
      </w:r>
    </w:p>
    <w:p>
      <w:pPr>
        <w:spacing w:line="600" w:lineRule="atLeast"/>
        <w:ind w:firstLine="602" w:firstLineChars="200"/>
        <w:outlineLvl w:val="2"/>
        <w:rPr>
          <w:rFonts w:ascii="楷体" w:hAnsi="楷体" w:eastAsia="楷体" w:cs="楷体"/>
          <w:b/>
          <w:bCs/>
          <w:sz w:val="30"/>
          <w:szCs w:val="30"/>
        </w:rPr>
      </w:pPr>
      <w:bookmarkStart w:id="47" w:name="_Toc29651"/>
      <w:r>
        <w:rPr>
          <w:rFonts w:hint="eastAsia" w:ascii="楷体" w:hAnsi="楷体" w:eastAsia="楷体" w:cs="楷体"/>
          <w:b/>
          <w:bCs/>
          <w:sz w:val="30"/>
          <w:szCs w:val="30"/>
        </w:rPr>
        <w:t>3、改进建议</w:t>
      </w:r>
      <w:bookmarkEnd w:id="47"/>
    </w:p>
    <w:p>
      <w:pPr>
        <w:spacing w:line="600" w:lineRule="atLeast"/>
        <w:ind w:firstLine="600" w:firstLineChars="200"/>
        <w:rPr>
          <w:rFonts w:ascii="仿宋_GB2312" w:eastAsia="仿宋_GB2312"/>
          <w:sz w:val="30"/>
          <w:szCs w:val="30"/>
        </w:rPr>
      </w:pPr>
      <w:r>
        <w:rPr>
          <w:rFonts w:hint="eastAsia" w:ascii="仿宋_GB2312" w:eastAsia="仿宋_GB2312"/>
          <w:sz w:val="30"/>
          <w:szCs w:val="30"/>
        </w:rPr>
        <w:t>加快完成机关财务管理规章制度建设、加强会计核算和财务管理能力，及时与财政局相关科室对接工作，提升工作效率。</w:t>
      </w:r>
    </w:p>
    <w:p>
      <w:pPr>
        <w:autoSpaceDE w:val="0"/>
        <w:autoSpaceDN w:val="0"/>
        <w:adjustRightInd w:val="0"/>
        <w:spacing w:line="600" w:lineRule="exact"/>
        <w:ind w:firstLine="643" w:firstLineChars="200"/>
        <w:jc w:val="left"/>
        <w:outlineLvl w:val="0"/>
        <w:rPr>
          <w:rFonts w:ascii="黑体" w:eastAsia="黑体"/>
          <w:b/>
          <w:bCs/>
          <w:color w:val="000000"/>
          <w:sz w:val="32"/>
          <w:szCs w:val="32"/>
        </w:rPr>
      </w:pPr>
      <w:bookmarkStart w:id="48" w:name="_Toc22034"/>
      <w:bookmarkStart w:id="49" w:name="_Toc29051"/>
      <w:r>
        <w:rPr>
          <w:rFonts w:hint="eastAsia" w:ascii="黑体" w:eastAsia="黑体"/>
          <w:b/>
          <w:bCs/>
          <w:color w:val="000000"/>
          <w:sz w:val="32"/>
          <w:szCs w:val="32"/>
        </w:rPr>
        <w:t>八、名词解释</w:t>
      </w:r>
      <w:bookmarkEnd w:id="48"/>
      <w:bookmarkEnd w:id="49"/>
    </w:p>
    <w:p>
      <w:pPr>
        <w:pStyle w:val="16"/>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1.财政拨款收入：指县级财政当年拨付的资金。 </w:t>
      </w:r>
    </w:p>
    <w:p>
      <w:pPr>
        <w:pStyle w:val="16"/>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2.年初结转和结余：指以前年度尚未完成、结转到本年按有关规定继续使用的资金。 </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3. 一般公共服务201（类）市场监督管理38（款）行政运行01（项）：指反映行政人员的基本支出。</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4.社会保障和就业208行政事业单位离退休05机关事业单位基本养老保险缴费支出05：指机关事业单位实施养老保险制度由单位缴纳的基本养老保险费支出。</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5.社会保障和就业208行政事业单位离退休05机关事业单位职业年金缴费支出06：指机关事业单位实施养老保险制度由单位缴纳的职业年金支出。</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6.医疗卫生与计划生育支出210医疗保障05行政单位医疗01：指行政单位基本医疗保险缴费。</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7.住房保障支出221住房改革支出02住房公积金01：指反映行政事业单位按人力资源和社会保障部、财政部规定的基本工资和津贴补贴以及规定比例为职工缴纳的住房公积金。</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8.其他支出229其他支出99其他支出01：指其他不能划分到具体功能科目中的支出项目。</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9.年末结转和结余：指本年度或以前年度预算安排、因客观条件发生变化无法按原计划实施，需延迟到以后年度按有关规定继续使用的资金。</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10.基本支出：指为保障机构正常运转、完成日常工作任务而发生的人员支出和公用支出。</w:t>
      </w:r>
    </w:p>
    <w:p>
      <w:pPr>
        <w:ind w:firstLine="600" w:firstLineChars="200"/>
        <w:rPr>
          <w:rFonts w:ascii="仿宋_GB2312" w:eastAsia="仿宋_GB2312"/>
          <w:color w:val="000000"/>
          <w:sz w:val="30"/>
          <w:szCs w:val="30"/>
        </w:rPr>
      </w:pPr>
      <w:r>
        <w:rPr>
          <w:rFonts w:hint="eastAsia" w:ascii="仿宋_GB2312" w:eastAsia="仿宋_GB2312"/>
          <w:color w:val="000000"/>
          <w:sz w:val="30"/>
          <w:szCs w:val="30"/>
        </w:rPr>
        <w:t xml:space="preserve">11.项目支出：指在基本支出之外为完成特定行政任务和事业发展目标所发生的支出。 </w:t>
      </w:r>
    </w:p>
    <w:p>
      <w:pPr>
        <w:pStyle w:val="16"/>
        <w:spacing w:line="560" w:lineRule="exact"/>
        <w:ind w:firstLine="600" w:firstLineChars="200"/>
        <w:rPr>
          <w:rFonts w:ascii="仿宋_GB2312" w:eastAsia="仿宋_GB2312"/>
          <w:sz w:val="30"/>
          <w:szCs w:val="30"/>
        </w:rPr>
      </w:pPr>
      <w:r>
        <w:rPr>
          <w:rFonts w:hint="eastAsia" w:ascii="仿宋_GB2312" w:eastAsia="仿宋_GB2312"/>
          <w:sz w:val="30"/>
          <w:szCs w:val="30"/>
        </w:rPr>
        <w:t>12.“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16"/>
        <w:spacing w:line="560" w:lineRule="exact"/>
        <w:ind w:firstLine="600" w:firstLineChars="200"/>
        <w:rPr>
          <w:rFonts w:ascii="仿宋_GB2312" w:eastAsia="仿宋_GB2312"/>
          <w:sz w:val="30"/>
          <w:szCs w:val="30"/>
        </w:rPr>
      </w:pPr>
      <w:r>
        <w:rPr>
          <w:rFonts w:hint="eastAsia" w:ascii="仿宋_GB2312" w:eastAsia="仿宋_GB2312"/>
          <w:sz w:val="30"/>
          <w:szCs w:val="30"/>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6"/>
        <w:spacing w:line="560" w:lineRule="exact"/>
        <w:ind w:firstLine="600" w:firstLineChars="200"/>
        <w:rPr>
          <w:rFonts w:ascii="仿宋_GB2312" w:eastAsia="仿宋_GB2312" w:cs="黑体"/>
          <w:sz w:val="30"/>
          <w:szCs w:val="30"/>
        </w:rPr>
      </w:pPr>
    </w:p>
    <w:p>
      <w:pPr>
        <w:spacing w:line="460" w:lineRule="exact"/>
        <w:rPr>
          <w:rFonts w:ascii="仿宋_GB2312" w:eastAsia="仿宋_GB2312" w:cs="仿宋"/>
          <w:color w:val="000000"/>
          <w:kern w:val="0"/>
          <w:sz w:val="30"/>
          <w:szCs w:val="30"/>
        </w:rPr>
      </w:pPr>
      <w:r>
        <w:rPr>
          <w:rFonts w:hint="eastAsia" w:ascii="仿宋_GB2312" w:hAnsi="仿宋_GB2312" w:eastAsia="仿宋_GB2312" w:cs="仿宋_GB2312"/>
          <w:b/>
          <w:sz w:val="30"/>
          <w:szCs w:val="30"/>
        </w:rPr>
        <w:t xml:space="preserve">                        </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83897A"/>
    <w:multiLevelType w:val="singleLevel"/>
    <w:tmpl w:val="5683897A"/>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VjZjE1OTBmZTc4M2ZlNjdmNWM1MmQ5OThkMGU1NjEifQ=="/>
  </w:docVars>
  <w:rsids>
    <w:rsidRoot w:val="00163589"/>
    <w:rsid w:val="000972A2"/>
    <w:rsid w:val="000D71F5"/>
    <w:rsid w:val="000F1930"/>
    <w:rsid w:val="00122259"/>
    <w:rsid w:val="001434C5"/>
    <w:rsid w:val="00146E56"/>
    <w:rsid w:val="00152FA2"/>
    <w:rsid w:val="00163589"/>
    <w:rsid w:val="001915CC"/>
    <w:rsid w:val="00255FCC"/>
    <w:rsid w:val="00265DA9"/>
    <w:rsid w:val="00272FB1"/>
    <w:rsid w:val="00280FCE"/>
    <w:rsid w:val="00285B2D"/>
    <w:rsid w:val="002901CB"/>
    <w:rsid w:val="002D796B"/>
    <w:rsid w:val="002E1794"/>
    <w:rsid w:val="002E76F5"/>
    <w:rsid w:val="00332934"/>
    <w:rsid w:val="0035050A"/>
    <w:rsid w:val="003637F0"/>
    <w:rsid w:val="0037710F"/>
    <w:rsid w:val="003854B6"/>
    <w:rsid w:val="003A4488"/>
    <w:rsid w:val="003A69E8"/>
    <w:rsid w:val="003C709C"/>
    <w:rsid w:val="003E39EA"/>
    <w:rsid w:val="00403383"/>
    <w:rsid w:val="004038D1"/>
    <w:rsid w:val="00403FD4"/>
    <w:rsid w:val="004122C8"/>
    <w:rsid w:val="00416FE5"/>
    <w:rsid w:val="00424674"/>
    <w:rsid w:val="00430A29"/>
    <w:rsid w:val="00430AAE"/>
    <w:rsid w:val="00435842"/>
    <w:rsid w:val="00445951"/>
    <w:rsid w:val="00467309"/>
    <w:rsid w:val="00480EE2"/>
    <w:rsid w:val="0048552B"/>
    <w:rsid w:val="004F6272"/>
    <w:rsid w:val="00500EF6"/>
    <w:rsid w:val="00524D6B"/>
    <w:rsid w:val="005771F0"/>
    <w:rsid w:val="0059335A"/>
    <w:rsid w:val="005E7023"/>
    <w:rsid w:val="005F741C"/>
    <w:rsid w:val="00605D62"/>
    <w:rsid w:val="006642A3"/>
    <w:rsid w:val="00664526"/>
    <w:rsid w:val="006B1E7D"/>
    <w:rsid w:val="006C3E9C"/>
    <w:rsid w:val="006D4EE5"/>
    <w:rsid w:val="006E2BB8"/>
    <w:rsid w:val="00715752"/>
    <w:rsid w:val="00746D78"/>
    <w:rsid w:val="00784AFB"/>
    <w:rsid w:val="00787989"/>
    <w:rsid w:val="007D794F"/>
    <w:rsid w:val="007F575D"/>
    <w:rsid w:val="00855D37"/>
    <w:rsid w:val="0085767E"/>
    <w:rsid w:val="00861D81"/>
    <w:rsid w:val="00861E49"/>
    <w:rsid w:val="00877FF2"/>
    <w:rsid w:val="00891A7B"/>
    <w:rsid w:val="008B5C69"/>
    <w:rsid w:val="008D6DCC"/>
    <w:rsid w:val="008F518F"/>
    <w:rsid w:val="0091073E"/>
    <w:rsid w:val="00912A77"/>
    <w:rsid w:val="00940B7B"/>
    <w:rsid w:val="00943C89"/>
    <w:rsid w:val="00970EF2"/>
    <w:rsid w:val="00991108"/>
    <w:rsid w:val="009942E4"/>
    <w:rsid w:val="009B494C"/>
    <w:rsid w:val="009F3BBA"/>
    <w:rsid w:val="00A03332"/>
    <w:rsid w:val="00A073CA"/>
    <w:rsid w:val="00A3329D"/>
    <w:rsid w:val="00A342FB"/>
    <w:rsid w:val="00A37929"/>
    <w:rsid w:val="00A50E25"/>
    <w:rsid w:val="00A60176"/>
    <w:rsid w:val="00A81F09"/>
    <w:rsid w:val="00AA6F0E"/>
    <w:rsid w:val="00AC2A46"/>
    <w:rsid w:val="00AF3F34"/>
    <w:rsid w:val="00B200C5"/>
    <w:rsid w:val="00B20E1F"/>
    <w:rsid w:val="00B2481F"/>
    <w:rsid w:val="00B37F32"/>
    <w:rsid w:val="00B60792"/>
    <w:rsid w:val="00B9164A"/>
    <w:rsid w:val="00BA22F4"/>
    <w:rsid w:val="00BA6019"/>
    <w:rsid w:val="00BA61A2"/>
    <w:rsid w:val="00C03A0D"/>
    <w:rsid w:val="00C84608"/>
    <w:rsid w:val="00C8574B"/>
    <w:rsid w:val="00C94911"/>
    <w:rsid w:val="00CC49F7"/>
    <w:rsid w:val="00CC7CB7"/>
    <w:rsid w:val="00CF7032"/>
    <w:rsid w:val="00D053CB"/>
    <w:rsid w:val="00D40069"/>
    <w:rsid w:val="00D44F08"/>
    <w:rsid w:val="00D5189C"/>
    <w:rsid w:val="00D54353"/>
    <w:rsid w:val="00D72DAB"/>
    <w:rsid w:val="00DA42E7"/>
    <w:rsid w:val="00DC28CF"/>
    <w:rsid w:val="00DF37B1"/>
    <w:rsid w:val="00DF62FE"/>
    <w:rsid w:val="00E44A26"/>
    <w:rsid w:val="00E67FF0"/>
    <w:rsid w:val="00EC6EA0"/>
    <w:rsid w:val="00F03B8D"/>
    <w:rsid w:val="00F25336"/>
    <w:rsid w:val="00F33B88"/>
    <w:rsid w:val="00F46819"/>
    <w:rsid w:val="00F71953"/>
    <w:rsid w:val="00F953F5"/>
    <w:rsid w:val="00FD7D6D"/>
    <w:rsid w:val="00FE3FD2"/>
    <w:rsid w:val="026833D1"/>
    <w:rsid w:val="03040E26"/>
    <w:rsid w:val="033B5BA5"/>
    <w:rsid w:val="047240D9"/>
    <w:rsid w:val="04A44485"/>
    <w:rsid w:val="052D57A8"/>
    <w:rsid w:val="065A7CAA"/>
    <w:rsid w:val="090734D2"/>
    <w:rsid w:val="091224AB"/>
    <w:rsid w:val="0A5C6020"/>
    <w:rsid w:val="0A841027"/>
    <w:rsid w:val="0B744599"/>
    <w:rsid w:val="0B8930FB"/>
    <w:rsid w:val="0D2B3D18"/>
    <w:rsid w:val="0D304CFE"/>
    <w:rsid w:val="0F164D4D"/>
    <w:rsid w:val="108206AF"/>
    <w:rsid w:val="124449CF"/>
    <w:rsid w:val="13227C2E"/>
    <w:rsid w:val="14986111"/>
    <w:rsid w:val="14D37918"/>
    <w:rsid w:val="15CB3812"/>
    <w:rsid w:val="176E3416"/>
    <w:rsid w:val="177915B2"/>
    <w:rsid w:val="18EA1B23"/>
    <w:rsid w:val="19AC21F3"/>
    <w:rsid w:val="1E322825"/>
    <w:rsid w:val="1F9E6E9D"/>
    <w:rsid w:val="20062B0C"/>
    <w:rsid w:val="208268DD"/>
    <w:rsid w:val="20B76493"/>
    <w:rsid w:val="22E62B9E"/>
    <w:rsid w:val="23A969AA"/>
    <w:rsid w:val="264F2E77"/>
    <w:rsid w:val="27B1262E"/>
    <w:rsid w:val="27EE60E3"/>
    <w:rsid w:val="2817542B"/>
    <w:rsid w:val="28231DC7"/>
    <w:rsid w:val="286768D9"/>
    <w:rsid w:val="289912A7"/>
    <w:rsid w:val="2BF33C69"/>
    <w:rsid w:val="2C2A6EB5"/>
    <w:rsid w:val="2CD317A2"/>
    <w:rsid w:val="2D817536"/>
    <w:rsid w:val="2DAD387D"/>
    <w:rsid w:val="2DC90DCD"/>
    <w:rsid w:val="2E73022C"/>
    <w:rsid w:val="2E9E2D5F"/>
    <w:rsid w:val="2F946E5A"/>
    <w:rsid w:val="30103067"/>
    <w:rsid w:val="31C222D4"/>
    <w:rsid w:val="3206544E"/>
    <w:rsid w:val="324458E0"/>
    <w:rsid w:val="33371307"/>
    <w:rsid w:val="33C85CA6"/>
    <w:rsid w:val="33D90E9F"/>
    <w:rsid w:val="34CA0F87"/>
    <w:rsid w:val="36F31909"/>
    <w:rsid w:val="37A67587"/>
    <w:rsid w:val="37C06D74"/>
    <w:rsid w:val="382C40B4"/>
    <w:rsid w:val="38647D77"/>
    <w:rsid w:val="38BE17AD"/>
    <w:rsid w:val="39582B5F"/>
    <w:rsid w:val="3BFB6EA5"/>
    <w:rsid w:val="3D0B54B4"/>
    <w:rsid w:val="3D11195F"/>
    <w:rsid w:val="3D2C2E10"/>
    <w:rsid w:val="3D5B73FF"/>
    <w:rsid w:val="3EE00078"/>
    <w:rsid w:val="3F6A469A"/>
    <w:rsid w:val="3F704C8B"/>
    <w:rsid w:val="3F9F0CF0"/>
    <w:rsid w:val="408C6F79"/>
    <w:rsid w:val="40F412DC"/>
    <w:rsid w:val="419C74AE"/>
    <w:rsid w:val="41CF4524"/>
    <w:rsid w:val="42231859"/>
    <w:rsid w:val="42531AE6"/>
    <w:rsid w:val="432069AA"/>
    <w:rsid w:val="43792DAA"/>
    <w:rsid w:val="4410713A"/>
    <w:rsid w:val="44993254"/>
    <w:rsid w:val="451A3F70"/>
    <w:rsid w:val="45996CBC"/>
    <w:rsid w:val="465B64D7"/>
    <w:rsid w:val="47165B34"/>
    <w:rsid w:val="481A7536"/>
    <w:rsid w:val="4AE04035"/>
    <w:rsid w:val="4AE77EE2"/>
    <w:rsid w:val="4BFA7FAC"/>
    <w:rsid w:val="4EB06A1F"/>
    <w:rsid w:val="500C7160"/>
    <w:rsid w:val="527728DF"/>
    <w:rsid w:val="54721B32"/>
    <w:rsid w:val="549E5AA0"/>
    <w:rsid w:val="55533C1F"/>
    <w:rsid w:val="557E1851"/>
    <w:rsid w:val="56FA2F3D"/>
    <w:rsid w:val="57AF41E6"/>
    <w:rsid w:val="587D473C"/>
    <w:rsid w:val="58AE3E32"/>
    <w:rsid w:val="5A302BEF"/>
    <w:rsid w:val="5A3F7C21"/>
    <w:rsid w:val="5B74479A"/>
    <w:rsid w:val="5DA8042B"/>
    <w:rsid w:val="5DEE5750"/>
    <w:rsid w:val="5E5238CE"/>
    <w:rsid w:val="600415DE"/>
    <w:rsid w:val="63E66F27"/>
    <w:rsid w:val="64B73926"/>
    <w:rsid w:val="661D1895"/>
    <w:rsid w:val="677B492E"/>
    <w:rsid w:val="695077E2"/>
    <w:rsid w:val="695A5F07"/>
    <w:rsid w:val="69DD055C"/>
    <w:rsid w:val="6A612F1B"/>
    <w:rsid w:val="6A8218F1"/>
    <w:rsid w:val="6BAE6CB9"/>
    <w:rsid w:val="6C6B03AA"/>
    <w:rsid w:val="6CF724D3"/>
    <w:rsid w:val="6D826FCA"/>
    <w:rsid w:val="6DC469AF"/>
    <w:rsid w:val="6E9C1944"/>
    <w:rsid w:val="6EC85C8B"/>
    <w:rsid w:val="6ED41E55"/>
    <w:rsid w:val="6FE95FAF"/>
    <w:rsid w:val="70546264"/>
    <w:rsid w:val="71B66766"/>
    <w:rsid w:val="720719C0"/>
    <w:rsid w:val="727E783D"/>
    <w:rsid w:val="72902B04"/>
    <w:rsid w:val="73870C7C"/>
    <w:rsid w:val="74371F10"/>
    <w:rsid w:val="750902EA"/>
    <w:rsid w:val="7646165E"/>
    <w:rsid w:val="765D1540"/>
    <w:rsid w:val="76CA6EA4"/>
    <w:rsid w:val="76E518FB"/>
    <w:rsid w:val="78085C9C"/>
    <w:rsid w:val="781634D7"/>
    <w:rsid w:val="788E2F70"/>
    <w:rsid w:val="78B51424"/>
    <w:rsid w:val="79ED2C31"/>
    <w:rsid w:val="7A1E44B9"/>
    <w:rsid w:val="7B604C90"/>
    <w:rsid w:val="7D7A0669"/>
    <w:rsid w:val="7E1178E2"/>
    <w:rsid w:val="7F65214E"/>
    <w:rsid w:val="7FA16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5"/>
    <w:uiPriority w:val="0"/>
    <w:pPr>
      <w:spacing w:beforeLines="30"/>
    </w:pPr>
    <w:rPr>
      <w:rFonts w:ascii="仿宋_GB2312" w:eastAsia="仿宋_GB2312"/>
      <w:kern w:val="0"/>
      <w:sz w:val="30"/>
    </w:rPr>
  </w:style>
  <w:style w:type="paragraph" w:styleId="4">
    <w:name w:val="Balloon Text"/>
    <w:basedOn w:val="1"/>
    <w:link w:val="20"/>
    <w:uiPriority w:val="0"/>
    <w:rPr>
      <w:sz w:val="18"/>
      <w:szCs w:val="18"/>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8">
    <w:name w:val="toc 2"/>
    <w:basedOn w:val="1"/>
    <w:next w:val="1"/>
    <w:unhideWhenUsed/>
    <w:qFormat/>
    <w:uiPriority w:val="39"/>
    <w:pPr>
      <w:tabs>
        <w:tab w:val="right" w:leader="dot" w:pos="8296"/>
      </w:tabs>
      <w:ind w:left="420" w:leftChars="200"/>
    </w:pPr>
  </w:style>
  <w:style w:type="table" w:styleId="10">
    <w:name w:val="Table Grid"/>
    <w:basedOn w:val="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qFormat/>
    <w:uiPriority w:val="0"/>
    <w:rPr>
      <w:b/>
      <w:bCs/>
    </w:rPr>
  </w:style>
  <w:style w:type="character" w:styleId="13">
    <w:name w:val="Hyperlink"/>
    <w:basedOn w:val="11"/>
    <w:unhideWhenUsed/>
    <w:qFormat/>
    <w:uiPriority w:val="99"/>
    <w:rPr>
      <w:color w:val="0000FF"/>
      <w:u w:val="single"/>
    </w:rPr>
  </w:style>
  <w:style w:type="character" w:customStyle="1" w:styleId="14">
    <w:name w:val="样式 (中文) 仿宋_GB2312 三号"/>
    <w:basedOn w:val="11"/>
    <w:uiPriority w:val="0"/>
    <w:rPr>
      <w:rFonts w:eastAsia="仿宋_GB2312"/>
      <w:sz w:val="32"/>
    </w:rPr>
  </w:style>
  <w:style w:type="character" w:customStyle="1" w:styleId="15">
    <w:name w:val="正文文本 Char"/>
    <w:link w:val="3"/>
    <w:uiPriority w:val="0"/>
    <w:rPr>
      <w:rFonts w:ascii="仿宋_GB2312" w:eastAsia="仿宋_GB2312"/>
      <w:sz w:val="30"/>
      <w:szCs w:val="24"/>
      <w:lang w:bidi="ar-SA"/>
    </w:rPr>
  </w:style>
  <w:style w:type="paragraph" w:customStyle="1" w:styleId="16">
    <w:name w:val="Defaul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7">
    <w:name w:val="WPSOffice手动目录 1"/>
    <w:uiPriority w:val="0"/>
    <w:rPr>
      <w:rFonts w:ascii="Calibri" w:hAnsi="Calibri" w:eastAsia="宋体" w:cs="Times New Roman"/>
      <w:lang w:val="en-US" w:eastAsia="zh-CN" w:bidi="ar-SA"/>
    </w:rPr>
  </w:style>
  <w:style w:type="paragraph" w:customStyle="1" w:styleId="18">
    <w:name w:val="WPSOffice手动目录 2"/>
    <w:uiPriority w:val="0"/>
    <w:pPr>
      <w:ind w:left="200" w:leftChars="200"/>
    </w:pPr>
    <w:rPr>
      <w:rFonts w:ascii="Calibri" w:hAnsi="Calibri" w:eastAsia="宋体" w:cs="Times New Roman"/>
      <w:lang w:val="en-US" w:eastAsia="zh-CN" w:bidi="ar-SA"/>
    </w:rPr>
  </w:style>
  <w:style w:type="paragraph" w:customStyle="1" w:styleId="19">
    <w:name w:val="WPSOffice手动目录 3"/>
    <w:uiPriority w:val="0"/>
    <w:pPr>
      <w:ind w:left="400" w:leftChars="400"/>
    </w:pPr>
    <w:rPr>
      <w:rFonts w:ascii="Calibri" w:hAnsi="Calibri" w:eastAsia="宋体" w:cs="Times New Roman"/>
      <w:lang w:val="en-US" w:eastAsia="zh-CN" w:bidi="ar-SA"/>
    </w:rPr>
  </w:style>
  <w:style w:type="character" w:customStyle="1" w:styleId="20">
    <w:name w:val="批注框文本 Char"/>
    <w:basedOn w:val="11"/>
    <w:link w:val="4"/>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istrator.PC-201708230926\Desktop\&#26032;&#24314;%20Excel%20200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三公经费占比</a:t>
            </a:r>
            <a:endParaRPr lang="zh-CN" altLang="en-US"/>
          </a:p>
        </c:rich>
      </c:tx>
      <c:layout/>
      <c:overlay val="0"/>
    </c:title>
    <c:autoTitleDeleted val="0"/>
    <c:plotArea>
      <c:layout/>
      <c:pieChart>
        <c:varyColors val="1"/>
        <c:ser>
          <c:idx val="0"/>
          <c:order val="0"/>
          <c:tx>
            <c:strRef>
              <c:f>Sheet1!$B$1</c:f>
              <c:strCache>
                <c:ptCount val="1"/>
                <c:pt idx="0">
                  <c:v>销售额</c:v>
                </c:pt>
              </c:strCache>
            </c:strRef>
          </c:tx>
          <c:explosion val="0"/>
          <c:dPt>
            <c:idx val="0"/>
            <c:bubble3D val="0"/>
          </c:dPt>
          <c:dPt>
            <c:idx val="1"/>
            <c:bubble3D val="0"/>
          </c:dPt>
          <c:dLbls>
            <c:delete val="1"/>
          </c:dLbls>
          <c:cat>
            <c:strRef>
              <c:f>Sheet1!$A$2:$A$3</c:f>
              <c:strCache>
                <c:ptCount val="2"/>
                <c:pt idx="0">
                  <c:v>公务用车购置及运行维护费</c:v>
                </c:pt>
                <c:pt idx="1">
                  <c:v>公务接待费</c:v>
                </c:pt>
              </c:strCache>
            </c:strRef>
          </c:cat>
          <c:val>
            <c:numRef>
              <c:f>Sheet1!$B$2:$B$3</c:f>
              <c:numCache>
                <c:formatCode>General</c:formatCode>
                <c:ptCount val="2"/>
                <c:pt idx="0">
                  <c:v>11.69</c:v>
                </c:pt>
                <c:pt idx="1">
                  <c:v>0.54</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固定资产对比（万元）</c:f>
              <c:strCache>
                <c:ptCount val="1"/>
                <c:pt idx="0">
                  <c:v>固定资产对比（万元）</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2018年固定资产原值</c:v>
                </c:pt>
                <c:pt idx="1">
                  <c:v>2019年固定资产原值</c:v>
                </c:pt>
              </c:strCache>
            </c:strRef>
          </c:cat>
          <c:val>
            <c:numRef>
              <c:f>Sheet1!$B$2:$B$3</c:f>
              <c:numCache>
                <c:formatCode>General</c:formatCode>
                <c:ptCount val="2"/>
                <c:pt idx="0">
                  <c:v>765.05</c:v>
                </c:pt>
                <c:pt idx="1">
                  <c:v>737.48</c:v>
                </c:pt>
              </c:numCache>
            </c:numRef>
          </c:val>
        </c:ser>
        <c:dLbls>
          <c:showLegendKey val="0"/>
          <c:showVal val="1"/>
          <c:showCatName val="0"/>
          <c:showSerName val="0"/>
          <c:showPercent val="0"/>
          <c:showBubbleSize val="0"/>
        </c:dLbls>
        <c:gapWidth val="150"/>
        <c:axId val="92506368"/>
        <c:axId val="92524544"/>
      </c:barChart>
      <c:catAx>
        <c:axId val="9250636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2524544"/>
        <c:crosses val="autoZero"/>
        <c:auto val="1"/>
        <c:lblAlgn val="ctr"/>
        <c:lblOffset val="100"/>
        <c:noMultiLvlLbl val="0"/>
      </c:catAx>
      <c:valAx>
        <c:axId val="9252454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250636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0F9ECDD-521C-4E33-9BF9-13C6C6D1504F}">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5789</Words>
  <Characters>6166</Characters>
  <Lines>10</Lines>
  <Paragraphs>14</Paragraphs>
  <TotalTime>238</TotalTime>
  <ScaleCrop>false</ScaleCrop>
  <LinksUpToDate>false</LinksUpToDate>
  <CharactersWithSpaces>6250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2020-09-08T03:52:00Z</dcterms:created>
  <dc:creator>ZQ</dc:creator>
  <cp:lastModifiedBy>Administrator</cp:lastModifiedBy>
  <cp:lastPrinted>2021-05-20T12:01:00Z</cp:lastPrinted>
  <dcterms:modified xsi:type="dcterms:W3CDTF">2023-07-13T08:13:52Z</dcterms:modified>
  <dc:title>中国人民政治协商会议四川省金川县委员会办公室</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66FFA5866BD94D048540162D41FF86D9</vt:lpwstr>
  </property>
</Properties>
</file>