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2026年</w:t>
      </w: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统计局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2026年，我单位部门预算</w:t>
      </w:r>
      <w:r>
        <w:rPr>
          <w:rFonts w:ascii="Lucida Sans" w:eastAsia="仿宋_GB2312" w:cs="仿宋_GB2312" w:hAnsi="仿宋_GB2312"/>
          <w:sz w:val="32"/>
          <w:szCs w:val="32"/>
          <w:lang w:val="en-US" w:eastAsia="zh-CN"/>
        </w:rPr>
        <w:t>492.17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 xml:space="preserve"> 完成了2026年本级部门预算整体绩效目标申报和3个项目预算绩效目标申报，并编报3个项目预算事前绩效评估报告。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1.确保主要经济指标任务完成。围绕全年目标任务，尤其是主要经济指标任务，加强与各相关部门的联系，确保2026年主要经济指标任务全面完成。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2.继续加强统计培训工作。继续开展从业资格上岗培训和继续教育的报名工作，通过对新《统计法》、《统计基础和实务》及统计工作相关知识的培训，达到提升基层统计人员的业务素质。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3.加强统计执法，保证数据质量。进一步加强统计执法检查，定期或不定期进行数据质量情况督查，加强统计数据质量监控，及时发现问题，限期落实整改，并对规模以上工业、住宿餐饮业、建筑房地产业等行业进行数据检查，确保数据质量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4.加强对重点项目、重点企业的统计监测。加强对投资、工业、服务业领域重点项目、重点企业的跟踪统计监测。全面、准确反映我县各行业经济发展现状，以及存在的困难和问题，并提出有针对性的解决措施和办法，为领导决策提供科学依据.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5.做好第</w:t>
      </w:r>
      <w:r>
        <w:rPr>
          <w:rFonts w:ascii="仿宋_GB2312" w:eastAsia="仿宋_GB2312" w:cs="仿宋_GB2312" w:hAnsi="仿宋_GB2312" w:hint="eastAsia"/>
          <w:sz w:val="32"/>
          <w:szCs w:val="32"/>
        </w:rPr>
        <w:t>五次</w:t>
      </w: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经济普查各项工作。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6.围绕县委、县政府中心工作，搞好统计服务。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sz w:val="32"/>
          <w:szCs w:val="32"/>
          <w:lang w:val="en-US" w:eastAsia="zh-CN"/>
        </w:rPr>
        <w:t>7.继续做好单位帮扶工作。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bCs/>
          <w:sz w:val="32"/>
          <w:szCs w:val="32"/>
          <w:lang w:bidi="ar-SA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重点项目1：</w:t>
      </w:r>
      <w:r>
        <w:rPr>
          <w:rFonts w:ascii="仿宋_GB2312" w:eastAsia="仿宋_GB2312" w:cs="仿宋_GB2312" w:hAnsi="仿宋_GB2312" w:hint="eastAsia"/>
          <w:bCs/>
          <w:sz w:val="32"/>
          <w:szCs w:val="32"/>
          <w:lang w:bidi="ar-SA"/>
        </w:rPr>
        <w:t>“四上”企业报表人员经费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项目年度绩效目标：完成“四上”企业的统计调查，准确及时掌握全县经济社会发展七大指标，为县委政府制定和调整政策提供依据。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重点项目2：城乡一体化住户调查经费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项目年度绩效目标：推进住户调查和农村贫困监测工作，有利于准确掌握全县城乡居民收入与消费、乡村振兴与城乡低保、充分就业与社会保障、住房条件与人居环境等重要民生基础数据，更好地为党委政府决策提供参谋服务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重点项目3：劳动力调查经费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项目年度绩效目标：劳动力调查是一项重要的民生调查，通过劳动力调查得到的调查失业率是宏观经济四大指标之一，对于监测宏观经济运行、就业形势变化、民生改善等方面具有重要作用。开展我县劳动力调查，旨在更加全面、准确的反映各地区就业失业状况，监测就业形势动态变化，有利于各地区做好稳就业、保民生工作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  <w:r>
        <w:rPr>
          <w:rFonts w:ascii="仿宋_GB2312" w:eastAsia="仿宋_GB2312" w:cs="仿宋_GB2312" w:hAnsi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ind w:left="0" w:firstLineChars="200" w:firstLine="640"/>
        <w:rPr>
          <w:rFonts w:ascii="仿宋_GB2312" w:eastAsia="仿宋_GB2312" w:cs="仿宋_GB2312" w:hAnsi="仿宋_GB2312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永中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方正兰亭黑_GBK"/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Yozo_Office27021597764231179</Application>
  <Pages>3</Pages>
  <Words>0</Words>
  <Characters>819</Characters>
  <Lines>0</Lines>
  <Paragraphs>25</Paragraphs>
  <CharactersWithSpaces>1093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2026-03-11T03:12:50Z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