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统计局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2023年，我单位部门预算360.85万元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1.确保主要经济指标任务完成。围绕全年目标任务，尤其是主要经济指标任务，加强与各相关部门的联系，确保2023年主要经济指标任务全面完成。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2.继续加强统计培训工作。继续开展从业资格上岗培训和继续教育的报名工作，通过对新《统计法》、《统计基础和实务》及统计工作相关知识的培训，达到提升基层统计人员的业务素质。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加强统计执法，保证数据质量。进一步加强统计执法检查，定期或不定期进行数据质量情况督查，加强统计数据质量监控，及时发现问题，限期落实整改，并对规模以上工业、住宿餐饮业、建筑房地产业等行业进行数据检查，确保数据质量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加强对重点项目、重点企业的统计监测。加强对投资、工业、服务业领域重点项目、重点企业的跟踪统计监测。全面、准确反映我县各行业经济发展现状，以及存在的困难和问题，并提出有针对性的解决措施和办法，为领导决策提供科学依据.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5.做好第六次经济普查各项工作。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6.围绕县委、县政府中心工作，搞好统计服务。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7.继续做好单位帮扶工作。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eastAsia="仿宋_GB2312" w:cs="仿宋_GB2312"/>
          <w:bCs/>
          <w:color w:val="000000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lang w:bidi="ar-SA"/>
        </w:rPr>
        <w:t>“四上”企业报表人员经费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项目年度绩效目标：完成“四上”企业的统计调查，准确及时掌握全县经济社会发展七大指标，为县委政府制定和调整政策提供依据。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重点项目2：城乡一体化住户调查经费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推进住户调查和农村贫困监测工作，有利于准确掌握全县城乡居民收入与消费、乡村振兴与城乡低保、充分就业与社会保障、住房条件与人居环境等重要民生基础数据，更好地为党委政府决策提供参谋服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NmVlNjViZmY4NTNkZWVjMDBkOTIxZWFhNmViMDcifQ=="/>
  </w:docVars>
  <w:rsids>
    <w:rsidRoot w:val="36F0070A"/>
    <w:rsid w:val="11232FC8"/>
    <w:rsid w:val="36F0070A"/>
    <w:rsid w:val="4EBE4639"/>
    <w:rsid w:val="5C0A4706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346</Characters>
  <Lines>0</Lines>
  <Paragraphs>0</Paragraphs>
  <TotalTime>15</TotalTime>
  <ScaleCrop>false</ScaleCrop>
  <LinksUpToDate>false</LinksUpToDate>
  <CharactersWithSpaces>348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attitude</cp:lastModifiedBy>
  <dcterms:modified xsi:type="dcterms:W3CDTF">2023-02-09T06:17:58Z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39807DB245A04FE0B1E7AA9C4BC7F898</vt:lpwstr>
  </property>
</Properties>
</file>