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sz w:val="72"/>
          <w:szCs w:val="72"/>
        </w:rPr>
      </w:pPr>
      <w:bookmarkStart w:id="0" w:name="_Toc15378441"/>
      <w:bookmarkStart w:id="1" w:name="_Toc15377425"/>
      <w:bookmarkStart w:id="2" w:name="_Toc15377193"/>
      <w:bookmarkStart w:id="3" w:name="_Toc15396475"/>
      <w:bookmarkStart w:id="4" w:name="_Toc15396597"/>
      <w:bookmarkStart w:id="5" w:name="_Toc15306267"/>
    </w:p>
    <w:p>
      <w:pPr>
        <w:pStyle w:val="15"/>
        <w:spacing w:beforeLines="0" w:before="93"/>
      </w:pPr>
    </w:p>
    <w:p>
      <w:pPr>
        <w:spacing w:line="600" w:lineRule="exact"/>
        <w:jc w:val="center"/>
        <w:outlineLvl w:val="0"/>
        <w:rPr>
          <w:rFonts w:ascii="方正小标宋简体" w:eastAsia="方正小标宋简体" w:hint="eastAsia"/>
          <w:sz w:val="72"/>
          <w:szCs w:val="72"/>
        </w:rPr>
      </w:pPr>
    </w:p>
    <w:p>
      <w:pPr>
        <w:spacing w:line="600" w:lineRule="exact"/>
        <w:jc w:val="center"/>
        <w:outlineLvl w:val="0"/>
        <w:rPr>
          <w:rFonts w:ascii="方正小标宋简体" w:eastAsia="方正小标宋简体" w:hint="eastAsia"/>
          <w:sz w:val="72"/>
          <w:szCs w:val="72"/>
        </w:rPr>
      </w:pPr>
    </w:p>
    <w:p>
      <w:pPr>
        <w:adjustRightInd w:val="0"/>
        <w:snapToGrid w:val="0"/>
        <w:spacing w:line="360" w:lineRule="auto"/>
        <w:jc w:val="center"/>
        <w:outlineLvl w:val="0"/>
        <w:rPr>
          <w:rFonts w:ascii="方正小标宋简体" w:eastAsia="方正小标宋简体" w:cs="方正小标宋简体" w:hint="eastAsia"/>
          <w:sz w:val="72"/>
          <w:szCs w:val="72"/>
          <w:lang w:bidi="ar-SA"/>
        </w:rPr>
      </w:pPr>
      <w:r>
        <w:rPr>
          <w:rFonts w:ascii="方正小标宋简体" w:eastAsia="方正小标宋简体" w:cs="方正小标宋简体" w:hint="eastAsia"/>
          <w:sz w:val="72"/>
          <w:szCs w:val="72"/>
          <w:lang w:bidi="ar-SA"/>
        </w:rPr>
        <w:t>202</w:t>
      </w:r>
      <w:r>
        <w:rPr>
          <w:rFonts w:ascii="方正小标宋简体" w:eastAsia="方正小标宋简体" w:cs="方正小标宋简体" w:hint="eastAsia"/>
          <w:sz w:val="72"/>
          <w:szCs w:val="72"/>
          <w:lang w:val="en-US" w:eastAsia="zh-CN" w:bidi="ar-SA"/>
        </w:rPr>
        <w:t>4</w:t>
      </w:r>
      <w:r>
        <w:rPr>
          <w:rFonts w:ascii="方正小标宋简体" w:eastAsia="方正小标宋简体" w:cs="方正小标宋简体" w:hint="eastAsia"/>
          <w:sz w:val="72"/>
          <w:szCs w:val="72"/>
          <w:lang w:bidi="ar-SA"/>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s="方正小标宋简体" w:hint="eastAsia"/>
          <w:sz w:val="72"/>
          <w:szCs w:val="72"/>
          <w:lang w:val="en-US" w:eastAsia="zh-CN" w:bidi="ar-SA"/>
        </w:rPr>
      </w:pPr>
      <w:bookmarkStart w:id="6" w:name="_Toc15396598"/>
      <w:bookmarkStart w:id="7" w:name="_Toc15306268"/>
      <w:bookmarkStart w:id="8" w:name="_Toc15378442"/>
      <w:bookmarkStart w:id="9" w:name="_Toc15377194"/>
      <w:bookmarkStart w:id="10" w:name="_Toc15396476"/>
      <w:bookmarkStart w:id="11" w:name="_Toc15377426"/>
      <w:bookmarkEnd w:id="5"/>
      <w:r>
        <w:rPr>
          <w:rFonts w:ascii="方正小标宋简体" w:eastAsia="方正小标宋简体" w:cs="方正小标宋简体" w:hint="eastAsia"/>
          <w:sz w:val="72"/>
          <w:szCs w:val="72"/>
          <w:lang w:val="en-US" w:eastAsia="zh-CN" w:bidi="ar-SA"/>
        </w:rPr>
        <w:t>金川县医疗保障局</w:t>
      </w:r>
    </w:p>
    <w:p>
      <w:pPr>
        <w:adjustRightInd w:val="0"/>
        <w:snapToGrid w:val="0"/>
        <w:spacing w:line="360" w:lineRule="auto"/>
        <w:jc w:val="center"/>
        <w:outlineLvl w:val="0"/>
        <w:rPr>
          <w:rFonts w:ascii="方正小标宋简体" w:eastAsia="方正小标宋简体" w:cs="方正小标宋简体" w:hint="eastAsia"/>
          <w:sz w:val="72"/>
          <w:szCs w:val="72"/>
          <w:lang w:bidi="ar-SA"/>
        </w:rPr>
      </w:pPr>
      <w:r>
        <w:rPr>
          <w:rFonts w:ascii="方正小标宋简体" w:eastAsia="方正小标宋简体" w:cs="方正小标宋简体" w:hint="eastAsia"/>
          <w:sz w:val="72"/>
          <w:szCs w:val="72"/>
          <w:lang w:bidi="ar-SA"/>
        </w:rPr>
        <w:t>部门决算</w:t>
      </w:r>
      <w:bookmarkEnd w:id="6"/>
      <w:bookmarkEnd w:id="7"/>
      <w:bookmarkEnd w:id="8"/>
      <w:bookmarkEnd w:id="9"/>
      <w:bookmarkEnd w:id="10"/>
      <w:bookmarkEnd w:id="11"/>
    </w:p>
    <w:p>
      <w:pPr>
        <w:pStyle w:val="27"/>
        <w:rPr>
          <w:rFonts w:ascii="方正小标宋简体" w:eastAsia="方正小标宋简体" w:cs="方正小标宋简体" w:hint="eastAsia"/>
          <w:sz w:val="72"/>
          <w:szCs w:val="72"/>
          <w:lang w:bidi="ar-SA"/>
        </w:rPr>
      </w:pPr>
    </w:p>
    <w:p>
      <w:pPr>
        <w:rPr>
          <w:rFonts w:ascii="方正小标宋简体" w:eastAsia="方正小标宋简体" w:cs="方正小标宋简体" w:hint="eastAsia"/>
          <w:sz w:val="72"/>
          <w:szCs w:val="72"/>
          <w:lang w:bidi="ar-SA"/>
        </w:rPr>
      </w:pPr>
    </w:p>
    <w:p>
      <w:pPr>
        <w:pStyle w:val="27"/>
      </w:pPr>
    </w:p>
    <w:p>
      <w:pPr>
        <w:spacing w:line="600" w:lineRule="exact"/>
        <w:jc w:val="center"/>
        <w:rPr>
          <w:rFonts w:ascii="宋体" w:eastAsia="宋体" w:cs="宋体" w:hint="eastAsia"/>
          <w:b/>
          <w:bCs/>
          <w:sz w:val="52"/>
          <w:szCs w:val="52"/>
          <w:lang w:bidi="ar-SA"/>
        </w:rPr>
      </w:pPr>
    </w:p>
    <w:p>
      <w:pPr>
        <w:pStyle w:val="27"/>
        <w:rPr>
          <w:rFonts w:hint="eastAsia"/>
          <w:lang w:val="en-US" w:eastAsia="zh-CN"/>
        </w:rPr>
      </w:pPr>
    </w:p>
    <w:p>
      <w:pPr>
        <w:rPr>
          <w:rFonts w:hint="eastAsia"/>
          <w:lang w:val="en-US" w:eastAsia="zh-CN"/>
        </w:rPr>
      </w:pPr>
    </w:p>
    <w:p>
      <w:pPr>
        <w:rPr>
          <w:rFonts w:hint="eastAsia"/>
          <w:lang w:val="en-US" w:eastAsia="zh-CN"/>
        </w:rPr>
      </w:pPr>
    </w:p>
    <w:p>
      <w:pPr>
        <w:spacing w:line="600" w:lineRule="exact"/>
        <w:jc w:val="center"/>
        <w:rPr>
          <w:rFonts w:ascii="宋体" w:eastAsia="宋体" w:cs="宋体"/>
          <w:b/>
          <w:bCs/>
          <w:sz w:val="52"/>
          <w:szCs w:val="52"/>
        </w:rPr>
      </w:pPr>
      <w:r>
        <w:rPr>
          <w:rFonts w:ascii="宋体" w:eastAsia="宋体" w:cs="宋体" w:hint="eastAsia"/>
          <w:b/>
          <w:bCs/>
          <w:sz w:val="52"/>
          <w:szCs w:val="52"/>
        </w:rPr>
        <w:t>金川县医疗保障局</w:t>
      </w:r>
    </w:p>
    <w:p>
      <w:pPr>
        <w:spacing w:line="600" w:lineRule="exact"/>
        <w:jc w:val="center"/>
        <w:rPr>
          <w:rFonts w:ascii="宋体" w:eastAsia="宋体" w:cs="宋体" w:hint="eastAsia"/>
          <w:b/>
          <w:bCs/>
          <w:sz w:val="52"/>
          <w:szCs w:val="52"/>
        </w:rPr>
      </w:pPr>
      <w:r>
        <w:rPr>
          <w:rFonts w:ascii="宋体" w:eastAsia="宋体" w:cs="宋体" w:hint="eastAsia"/>
          <w:b/>
          <w:bCs/>
          <w:sz w:val="52"/>
          <w:szCs w:val="52"/>
          <w:lang w:eastAsia="zh-CN"/>
        </w:rPr>
        <w:t>2024</w:t>
      </w:r>
      <w:r>
        <w:rPr>
          <w:rFonts w:ascii="宋体" w:eastAsia="宋体" w:cs="宋体" w:hint="eastAsia"/>
          <w:b/>
          <w:bCs/>
          <w:sz w:val="52"/>
          <w:szCs w:val="52"/>
        </w:rPr>
        <w:t>年部门决算分析报告</w:t>
      </w:r>
    </w:p>
    <w:p>
      <w:pPr>
        <w:keepNext w:val="0"/>
        <w:keepLines w:val="0"/>
        <w:pageBreakBefore w:val="0"/>
        <w:widowControl w:val="0"/>
        <w:kinsoku/>
        <w:wordWrap/>
        <w:overflowPunct/>
        <w:topLinePunct w:val="0"/>
        <w:bidi w:val="0"/>
        <w:snapToGrid/>
        <w:spacing w:line="440" w:lineRule="exact"/>
        <w:jc w:val="center"/>
        <w:textAlignment w:val="auto"/>
        <w:outlineLvl w:val="9"/>
        <w:rPr>
          <w:rFonts w:ascii="宋体" w:eastAsia="宋体" w:cs="宋体" w:hint="eastAsia"/>
          <w:b w:val="0"/>
          <w:bCs w:val="0"/>
          <w:sz w:val="21"/>
          <w:szCs w:val="21"/>
          <w:lang w:val="en-US" w:eastAsia="zh-CN"/>
        </w:rPr>
      </w:pPr>
      <w:r>
        <w:rPr>
          <w:rFonts w:ascii="宋体" w:eastAsia="宋体" w:cs="宋体"/>
          <w:b w:val="0"/>
          <w:bCs w:val="0"/>
          <w:sz w:val="21"/>
          <w:szCs w:val="21"/>
          <w:lang w:val="en-US" w:eastAsia="zh-CN"/>
        </w:rPr>
        <w:t>公开时间：2025年8月26日</w:t>
      </w:r>
    </w:p>
    <w:p>
      <w:pPr>
        <w:keepNext w:val="0"/>
        <w:keepLines w:val="0"/>
        <w:pageBreakBefore w:val="0"/>
        <w:widowControl w:val="0"/>
        <w:kinsoku/>
        <w:wordWrap/>
        <w:overflowPunct/>
        <w:topLinePunct w:val="0"/>
        <w:bidi w:val="0"/>
        <w:adjustRightInd w:val="0"/>
        <w:snapToGrid w:val="0"/>
        <w:spacing w:line="400" w:lineRule="exact"/>
        <w:jc w:val="center"/>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val="en-US" w:eastAsia="zh-CN"/>
        </w:rPr>
        <w:t>目录</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val="en-US" w:eastAsia="zh-CN"/>
        </w:rPr>
        <w:t>第一部分 部门概况.............................................................3</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val="en-US" w:eastAsia="zh-CN"/>
        </w:rPr>
        <w:t>一、</w:t>
      </w:r>
      <w:r>
        <w:rPr>
          <w:rFonts w:ascii="宋体" w:eastAsia="宋体" w:cs="宋体" w:hint="eastAsia"/>
          <w:b w:val="0"/>
          <w:bCs w:val="0"/>
          <w:sz w:val="21"/>
          <w:szCs w:val="21"/>
          <w:lang w:eastAsia="zh-CN"/>
        </w:rPr>
        <w:t>基本职能及主要工作</w:t>
      </w:r>
      <w:r>
        <w:rPr>
          <w:rFonts w:ascii="宋体" w:eastAsia="宋体" w:cs="宋体" w:hint="eastAsia"/>
          <w:b w:val="0"/>
          <w:bCs w:val="0"/>
          <w:sz w:val="21"/>
          <w:szCs w:val="21"/>
          <w:lang w:val="en-US" w:eastAsia="zh-CN"/>
        </w:rPr>
        <w:t>........................ ............................3</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二、机构设置</w:t>
      </w:r>
      <w:r>
        <w:rPr>
          <w:rFonts w:ascii="宋体" w:eastAsia="宋体" w:cs="宋体" w:hint="eastAsia"/>
          <w:b w:val="0"/>
          <w:bCs w:val="0"/>
          <w:sz w:val="21"/>
          <w:szCs w:val="21"/>
          <w:lang w:val="en-US" w:eastAsia="zh-CN"/>
        </w:rPr>
        <w:t>...............................................................4</w:t>
      </w:r>
      <w:r>
        <w:rPr>
          <w:rFonts w:ascii="宋体" w:eastAsia="宋体" w:cs="宋体" w:hint="eastAsia"/>
          <w:b w:val="0"/>
          <w:bCs w:val="0"/>
          <w:sz w:val="21"/>
          <w:szCs w:val="21"/>
          <w:lang w:eastAsia="zh-CN"/>
        </w:rPr>
        <w:t>第二部分</w:t>
      </w:r>
      <w:r>
        <w:rPr>
          <w:rFonts w:ascii="宋体" w:eastAsia="宋体" w:cs="宋体" w:hint="eastAsia"/>
          <w:b w:val="0"/>
          <w:bCs w:val="0"/>
          <w:sz w:val="21"/>
          <w:szCs w:val="21"/>
          <w:lang w:val="en-US" w:eastAsia="zh-CN"/>
        </w:rPr>
        <w:t xml:space="preserve"> 2024年度部门决算情况说明............................................ 4</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一、收支决算总体情况</w:t>
      </w:r>
      <w:r>
        <w:rPr>
          <w:rFonts w:ascii="宋体" w:eastAsia="宋体" w:cs="宋体" w:hint="eastAsia"/>
          <w:b w:val="0"/>
          <w:bCs w:val="0"/>
          <w:sz w:val="21"/>
          <w:szCs w:val="21"/>
          <w:lang w:val="en-US" w:eastAsia="zh-CN"/>
        </w:rPr>
        <w:t>......................................................4</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二、财政拨款收支决算情况</w:t>
      </w:r>
      <w:r>
        <w:rPr>
          <w:rFonts w:ascii="宋体" w:eastAsia="宋体" w:cs="宋体" w:hint="eastAsia"/>
          <w:b w:val="0"/>
          <w:bCs w:val="0"/>
          <w:sz w:val="21"/>
          <w:szCs w:val="21"/>
          <w:lang w:val="en-US" w:eastAsia="zh-CN"/>
        </w:rPr>
        <w:t>..................................................5</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三、一般公共预算财政拨款支出决算情况</w:t>
      </w:r>
      <w:r>
        <w:rPr>
          <w:rFonts w:ascii="宋体" w:eastAsia="宋体" w:cs="宋体" w:hint="eastAsia"/>
          <w:b w:val="0"/>
          <w:bCs w:val="0"/>
          <w:sz w:val="21"/>
          <w:szCs w:val="21"/>
          <w:lang w:val="en-US" w:eastAsia="zh-CN"/>
        </w:rPr>
        <w:t>......................................6</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四、一般公共预算财政拨款基本支出决算情况</w:t>
      </w:r>
      <w:r>
        <w:rPr>
          <w:rFonts w:ascii="宋体" w:eastAsia="宋体" w:cs="宋体" w:hint="eastAsia"/>
          <w:b w:val="0"/>
          <w:bCs w:val="0"/>
          <w:sz w:val="21"/>
          <w:szCs w:val="21"/>
          <w:lang w:val="en-US" w:eastAsia="zh-CN"/>
        </w:rPr>
        <w:t>..................................10</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五、财政拨款“三公”经费支出决算情况</w:t>
      </w:r>
      <w:r>
        <w:rPr>
          <w:rFonts w:ascii="宋体" w:eastAsia="宋体" w:cs="宋体" w:hint="eastAsia"/>
          <w:b w:val="0"/>
          <w:bCs w:val="0"/>
          <w:sz w:val="21"/>
          <w:szCs w:val="21"/>
          <w:lang w:val="en-US" w:eastAsia="zh-CN"/>
        </w:rPr>
        <w:t>......................................10</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eastAsia="zh-CN"/>
        </w:rPr>
        <w:t>六、政府性基金预算财政拨款支出决算情况</w:t>
      </w:r>
      <w:r>
        <w:rPr>
          <w:rFonts w:ascii="宋体" w:eastAsia="宋体" w:cs="宋体" w:hint="eastAsia"/>
          <w:b w:val="0"/>
          <w:bCs w:val="0"/>
          <w:sz w:val="21"/>
          <w:szCs w:val="21"/>
          <w:lang w:val="en-US" w:eastAsia="zh-CN"/>
        </w:rPr>
        <w:t>...................................11</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七、其他重要事项</w:t>
      </w:r>
      <w:bookmarkStart w:id="12" w:name="_GoBack"/>
      <w:bookmarkEnd w:id="12"/>
      <w:r>
        <w:rPr>
          <w:rFonts w:ascii="宋体" w:eastAsia="宋体" w:cs="宋体" w:hint="eastAsia"/>
          <w:b w:val="0"/>
          <w:bCs w:val="0"/>
          <w:sz w:val="21"/>
          <w:szCs w:val="21"/>
          <w:lang w:eastAsia="zh-CN"/>
        </w:rPr>
        <w:t>的情况说明</w:t>
      </w:r>
      <w:r>
        <w:rPr>
          <w:rFonts w:ascii="宋体" w:eastAsia="宋体" w:cs="宋体" w:hint="eastAsia"/>
          <w:b w:val="0"/>
          <w:bCs w:val="0"/>
          <w:sz w:val="21"/>
          <w:szCs w:val="21"/>
          <w:lang w:val="en-US" w:eastAsia="zh-CN"/>
        </w:rPr>
        <w:t>...............................................12</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第三部分</w:t>
      </w:r>
      <w:r>
        <w:rPr>
          <w:rFonts w:ascii="宋体" w:eastAsia="宋体" w:cs="宋体" w:hint="eastAsia"/>
          <w:b w:val="0"/>
          <w:bCs w:val="0"/>
          <w:sz w:val="21"/>
          <w:szCs w:val="21"/>
          <w:lang w:val="en-US" w:eastAsia="zh-CN"/>
        </w:rPr>
        <w:t xml:space="preserve"> 附件................................................................76</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eastAsia="zh-CN"/>
        </w:rPr>
        <w:t>第四部分</w:t>
      </w:r>
      <w:r>
        <w:rPr>
          <w:rFonts w:ascii="宋体" w:eastAsia="宋体" w:cs="宋体" w:hint="eastAsia"/>
          <w:b w:val="0"/>
          <w:bCs w:val="0"/>
          <w:sz w:val="21"/>
          <w:szCs w:val="21"/>
          <w:lang w:val="en-US" w:eastAsia="zh-CN"/>
        </w:rPr>
        <w:t xml:space="preserve"> </w:t>
      </w:r>
      <w:r>
        <w:rPr>
          <w:rFonts w:ascii="宋体" w:eastAsia="宋体" w:cs="宋体" w:hint="eastAsia"/>
          <w:b w:val="0"/>
          <w:bCs w:val="0"/>
          <w:sz w:val="21"/>
          <w:szCs w:val="21"/>
          <w:lang w:eastAsia="zh-CN"/>
        </w:rPr>
        <w:t>名词解释</w:t>
      </w:r>
      <w:r>
        <w:rPr>
          <w:rFonts w:ascii="宋体" w:eastAsia="宋体" w:cs="宋体" w:hint="eastAsia"/>
          <w:b w:val="0"/>
          <w:bCs w:val="0"/>
          <w:sz w:val="21"/>
          <w:szCs w:val="21"/>
          <w:lang w:val="en-US" w:eastAsia="zh-CN"/>
        </w:rPr>
        <w:t>............................................................86</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ascii="宋体" w:eastAsia="宋体" w:cs="宋体"/>
          <w:b w:val="0"/>
          <w:bCs w:val="0"/>
          <w:sz w:val="21"/>
          <w:szCs w:val="21"/>
          <w:lang w:val="en-US" w:eastAsia="zh-CN"/>
        </w:rPr>
      </w:pPr>
      <w:r>
        <w:rPr>
          <w:rFonts w:ascii="宋体" w:eastAsia="宋体" w:cs="宋体" w:hint="eastAsia"/>
          <w:b w:val="0"/>
          <w:bCs w:val="0"/>
          <w:sz w:val="21"/>
          <w:szCs w:val="21"/>
          <w:lang w:val="en-US" w:eastAsia="zh-CN"/>
        </w:rPr>
        <w:t>第五部分 附表................................................................88</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val="en-US" w:eastAsia="zh-CN"/>
        </w:rPr>
        <w:t>一、收入支出决算总表</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val="en-US" w:eastAsia="zh-CN"/>
        </w:rPr>
        <w:t>二、收入决算表</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val="en-US" w:eastAsia="zh-CN"/>
        </w:rPr>
        <w:t>三、支出决算表</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hint="eastAsia"/>
          <w:b w:val="0"/>
          <w:bCs w:val="0"/>
          <w:sz w:val="21"/>
          <w:szCs w:val="21"/>
          <w:lang w:eastAsia="zh-CN"/>
        </w:rPr>
      </w:pPr>
      <w:r>
        <w:rPr>
          <w:rFonts w:ascii="宋体" w:eastAsia="宋体" w:cs="宋体" w:hint="eastAsia"/>
          <w:b w:val="0"/>
          <w:bCs w:val="0"/>
          <w:sz w:val="21"/>
          <w:szCs w:val="21"/>
          <w:lang w:val="en-US" w:eastAsia="zh-CN"/>
        </w:rPr>
        <w:t>四、</w:t>
      </w:r>
      <w:r>
        <w:rPr>
          <w:rFonts w:ascii="宋体" w:eastAsia="宋体" w:cs="宋体" w:hint="eastAsia"/>
          <w:b w:val="0"/>
          <w:bCs w:val="0"/>
          <w:sz w:val="21"/>
          <w:szCs w:val="21"/>
          <w:lang w:eastAsia="zh-CN"/>
        </w:rPr>
        <w:t>财政拨款收入支出决算总表</w:t>
      </w:r>
    </w:p>
    <w:p>
      <w:pPr>
        <w:keepNext w:val="0"/>
        <w:keepLines w:val="0"/>
        <w:pageBreakBefore w:val="0"/>
        <w:widowControl w:val="0"/>
        <w:kinsoku/>
        <w:wordWrap/>
        <w:overflowPunct/>
        <w:topLinePunct w:val="0"/>
        <w:bidi w:val="0"/>
        <w:adjustRightInd w:val="0"/>
        <w:snapToGrid w:val="0"/>
        <w:spacing w:line="400" w:lineRule="exact"/>
        <w:ind w:firstLineChars="200" w:firstLine="420"/>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eastAsia="zh-CN"/>
        </w:rPr>
        <w:t>五、财政拨款收入支出决算明细表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eastAsia="zh-CN"/>
        </w:rPr>
      </w:pPr>
      <w:r>
        <w:rPr>
          <w:rFonts w:ascii="宋体" w:eastAsia="宋体" w:cs="宋体" w:hint="eastAsia"/>
          <w:b w:val="0"/>
          <w:bCs w:val="0"/>
          <w:sz w:val="21"/>
          <w:szCs w:val="21"/>
          <w:lang w:val="en-US" w:eastAsia="zh-CN"/>
        </w:rPr>
        <w:t>六、</w:t>
      </w:r>
      <w:r>
        <w:rPr>
          <w:rFonts w:ascii="宋体" w:eastAsia="宋体" w:cs="宋体" w:hint="eastAsia"/>
          <w:b w:val="0"/>
          <w:bCs w:val="0"/>
          <w:sz w:val="21"/>
          <w:szCs w:val="21"/>
          <w:lang w:eastAsia="zh-CN"/>
        </w:rPr>
        <w:t>一般公共预算财政拨款支出决算表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eastAsia="zh-CN"/>
        </w:rPr>
      </w:pPr>
      <w:r>
        <w:rPr>
          <w:rFonts w:ascii="宋体" w:eastAsia="宋体" w:cs="宋体" w:hint="eastAsia"/>
          <w:b w:val="0"/>
          <w:bCs w:val="0"/>
          <w:sz w:val="21"/>
          <w:szCs w:val="21"/>
          <w:lang w:eastAsia="zh-CN"/>
        </w:rPr>
        <w:t>七、一般公共预算财政拨款支出决算明细表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eastAsia="zh-CN"/>
        </w:rPr>
      </w:pPr>
      <w:r>
        <w:rPr>
          <w:rFonts w:ascii="宋体" w:eastAsia="宋体" w:cs="宋体" w:hint="eastAsia"/>
          <w:b w:val="0"/>
          <w:bCs w:val="0"/>
          <w:sz w:val="21"/>
          <w:szCs w:val="21"/>
          <w:lang w:val="en-US" w:eastAsia="zh-CN"/>
        </w:rPr>
        <w:t>八、</w:t>
      </w:r>
      <w:r>
        <w:rPr>
          <w:rFonts w:ascii="宋体" w:eastAsia="宋体" w:cs="宋体" w:hint="eastAsia"/>
          <w:b w:val="0"/>
          <w:bCs w:val="0"/>
          <w:sz w:val="21"/>
          <w:szCs w:val="21"/>
          <w:lang w:eastAsia="zh-CN"/>
        </w:rPr>
        <w:t>一般公共预算财政拨款基本支出决算表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eastAsia="zh-CN"/>
        </w:rPr>
      </w:pPr>
      <w:r>
        <w:rPr>
          <w:rFonts w:ascii="宋体" w:eastAsia="宋体" w:cs="宋体" w:hint="eastAsia"/>
          <w:b w:val="0"/>
          <w:bCs w:val="0"/>
          <w:sz w:val="21"/>
          <w:szCs w:val="21"/>
          <w:lang w:eastAsia="zh-CN"/>
        </w:rPr>
        <w:t>九、一般公共预算财政拨款项目支出决算表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eastAsia="zh-CN"/>
        </w:rPr>
      </w:pPr>
      <w:r>
        <w:rPr>
          <w:rFonts w:ascii="宋体" w:eastAsia="宋体" w:cs="宋体" w:hint="eastAsia"/>
          <w:b w:val="0"/>
          <w:bCs w:val="0"/>
          <w:sz w:val="21"/>
          <w:szCs w:val="21"/>
          <w:lang w:eastAsia="zh-CN"/>
        </w:rPr>
        <w:t>十、政府性基金预算财政拨款支出决算表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eastAsia="zh-CN"/>
        </w:rPr>
      </w:pPr>
      <w:r>
        <w:rPr>
          <w:rFonts w:ascii="宋体" w:eastAsia="宋体" w:cs="宋体" w:hint="eastAsia"/>
          <w:b w:val="0"/>
          <w:bCs w:val="0"/>
          <w:sz w:val="21"/>
          <w:szCs w:val="21"/>
          <w:lang w:eastAsia="zh-CN"/>
        </w:rPr>
        <w:t>十一、国有资本经营预算财政拨款收入支出决算表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val="en-US" w:eastAsia="zh-CN"/>
        </w:rPr>
        <w:t>十二、</w:t>
      </w:r>
      <w:r>
        <w:rPr>
          <w:rFonts w:ascii="宋体" w:eastAsia="宋体" w:cs="宋体" w:hint="eastAsia"/>
          <w:b w:val="0"/>
          <w:bCs w:val="0"/>
          <w:sz w:val="21"/>
          <w:szCs w:val="21"/>
          <w:lang w:eastAsia="zh-CN"/>
        </w:rPr>
        <w:t>国有资本经营预算财政拨款支出决算表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Chars="200" w:firstLine="420"/>
        <w:jc w:val="left"/>
        <w:textAlignment w:val="auto"/>
        <w:outlineLvl w:val="9"/>
        <w:rPr>
          <w:rFonts w:ascii="宋体" w:eastAsia="宋体" w:cs="宋体" w:hint="eastAsia"/>
          <w:b w:val="0"/>
          <w:bCs w:val="0"/>
          <w:sz w:val="21"/>
          <w:szCs w:val="21"/>
          <w:lang w:val="en-US" w:eastAsia="zh-CN"/>
        </w:rPr>
      </w:pPr>
      <w:r>
        <w:rPr>
          <w:rFonts w:ascii="宋体" w:eastAsia="宋体" w:cs="宋体" w:hint="eastAsia"/>
          <w:b w:val="0"/>
          <w:bCs w:val="0"/>
          <w:sz w:val="21"/>
          <w:szCs w:val="21"/>
          <w:lang w:val="en-US" w:eastAsia="zh-CN"/>
        </w:rPr>
        <w:t>十三、财政拨款“三公经费”支出决算表</w:t>
      </w:r>
    </w:p>
    <w:p>
      <w:pPr>
        <w:keepNext w:val="0"/>
        <w:keepLines w:val="0"/>
        <w:widowControl w:val="0"/>
        <w:suppressLineNumbers w:val="0"/>
        <w:spacing w:before="0" w:beforeAutospacing="0" w:after="0" w:afterAutospacing="0" w:line="600" w:lineRule="exact"/>
        <w:ind w:left="0" w:right="0" w:firstLineChars="200" w:firstLine="960"/>
        <w:jc w:val="both"/>
        <w:rPr>
          <w:rFonts w:ascii="宋体" w:eastAsia="宋体" w:cs="宋体" w:hint="eastAsia"/>
          <w:b/>
          <w:bCs/>
          <w:kern w:val="2"/>
          <w:sz w:val="48"/>
          <w:szCs w:val="48"/>
          <w:lang w:val="en-US" w:eastAsia="zh-CN"/>
        </w:rPr>
      </w:pPr>
    </w:p>
    <w:p>
      <w:pPr>
        <w:numPr>
          <w:ilvl w:val="0"/>
          <w:numId w:val="1"/>
        </w:numPr>
        <w:spacing w:line="600" w:lineRule="exact"/>
        <w:jc w:val="center"/>
        <w:rPr>
          <w:rFonts w:ascii="宋体" w:eastAsia="宋体" w:cs="宋体" w:hint="eastAsia"/>
          <w:b/>
          <w:bCs/>
          <w:sz w:val="32"/>
          <w:szCs w:val="32"/>
          <w:lang w:val="en-US" w:eastAsia="zh-CN"/>
        </w:rPr>
      </w:pPr>
      <w:r>
        <w:rPr>
          <w:rFonts w:ascii="宋体" w:eastAsia="宋体" w:cs="宋体" w:hint="eastAsia"/>
          <w:b/>
          <w:bCs/>
          <w:sz w:val="32"/>
          <w:szCs w:val="32"/>
          <w:lang w:val="en-US" w:eastAsia="zh-CN"/>
        </w:rPr>
        <w:t>部门概况</w:t>
      </w:r>
    </w:p>
    <w:p>
      <w:pPr>
        <w:keepNext w:val="0"/>
        <w:keepLines w:val="0"/>
        <w:widowControl w:val="0"/>
        <w:suppressLineNumbers w:val="0"/>
        <w:spacing w:before="0" w:beforeAutospacing="0" w:after="0" w:afterAutospacing="0" w:line="600" w:lineRule="exact"/>
        <w:ind w:right="0"/>
        <w:jc w:val="both"/>
        <w:rPr>
          <w:rFonts w:ascii="楷体" w:eastAsia="楷体" w:cs="楷体" w:hint="eastAsia"/>
          <w:b/>
          <w:color w:val="000000"/>
          <w:sz w:val="36"/>
          <w:szCs w:val="36"/>
          <w:lang w:val="en-US" w:eastAsia="zh-CN"/>
        </w:rPr>
      </w:pP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一、基本职能及主要工作</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（一）主要职能：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1、负责对参保单位、职工医疗保险政策的宣传和医疗保险业务人员的培训；</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2、负责承办全县党政机关、事业单位、省、州、县企业的医疗保险参保登记、变更登记及参保职工医疗保险转移事项；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3、负责对各参保单位、灵活就业人员的基础资料进行审核，制定各单位的基金征缴计划，具体征收、管理和支付基本医疗保险基金、大病补充保险基金和公务员医疗补助金；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4、编制医疗保险基金收支预、决算报告，定期对基金收支情况进行分析、预测和内部审计，并向有关部门提供基金运行情况报告；</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5、负责对参保人员建立、管理个人账户及个人账户的结算转移，核拨退休人员的个人账户资金；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6、配合有关部门审核确定定点医院、定点零售药店资格，签订定点协议，并对两定医疗机构进行监管；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7、负责参保人员各项医疗保险待遇的审核和医疗费用支付工作；</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8、开展对参保单位办理参保登记和缴费基数。职工人数、财务状况等的稽核工作；</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9、负责全县机关事业单位和县属企业的老红军、离休干部的医疗费用统筹管理。</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（二）2024年重点工作完成情况。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以制度为核心，以监管为重点，确保了基金安全。有条不紊开展稽核工作，加强了医疗保险经办能力。2024年我局继续坚持积极稳妥，收入预算与经济发展相协调；坚持民生优先，继续加大民生投入；坚持厉行节约，努力降低行政成本；坚持改革创新，着力提高财政绩效，全面完成2024年各项工作，取得了实效。</w:t>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二、部门概况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机构情况：金川县医疗保障局属独立编制机构和核算的行政单位。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人员情况：人员编制数21人，其中：公务员4人，参公9人（机关工勤1人），事业8人。2024年末实有在职职工20人,其中：公务员4人， 参公8人（机关工勤1人），事业8人。</w:t>
      </w:r>
    </w:p>
    <w:p>
      <w:pPr>
        <w:keepNext w:val="0"/>
        <w:keepLines w:val="0"/>
        <w:widowControl w:val="0"/>
        <w:suppressLineNumbers w:val="0"/>
        <w:spacing w:before="0" w:beforeAutospacing="0" w:after="0" w:afterAutospacing="0" w:line="600" w:lineRule="exact"/>
        <w:ind w:left="0" w:right="0" w:firstLineChars="200" w:firstLine="620"/>
        <w:jc w:val="both"/>
        <w:rPr>
          <w:rFonts w:ascii="仿宋_GB2312" w:eastAsia="仿宋_GB2312" w:cs="仿宋_GB2312" w:hint="eastAsia"/>
          <w:color w:val="000000"/>
          <w:kern w:val="0"/>
          <w:sz w:val="31"/>
          <w:szCs w:val="31"/>
          <w:lang w:val="en-US" w:eastAsia="zh-CN"/>
        </w:rPr>
      </w:pPr>
    </w:p>
    <w:p>
      <w:pPr>
        <w:spacing w:line="600" w:lineRule="exact"/>
        <w:jc w:val="center"/>
        <w:rPr>
          <w:rFonts w:ascii="宋体" w:eastAsia="宋体" w:cs="宋体" w:hint="eastAsia"/>
          <w:b/>
          <w:bCs w:val="0"/>
          <w:sz w:val="32"/>
          <w:szCs w:val="32"/>
          <w:lang w:val="en-US" w:eastAsia="zh-CN"/>
        </w:rPr>
      </w:pPr>
      <w:r>
        <w:rPr>
          <w:rFonts w:ascii="宋体" w:eastAsia="宋体" w:cs="宋体" w:hint="eastAsia"/>
          <w:b/>
          <w:bCs w:val="0"/>
          <w:sz w:val="32"/>
          <w:szCs w:val="32"/>
          <w:lang w:eastAsia="zh-CN"/>
        </w:rPr>
        <w:t>第二部分</w:t>
      </w:r>
      <w:r>
        <w:rPr>
          <w:rFonts w:ascii="宋体" w:eastAsia="宋体" w:cs="宋体" w:hint="eastAsia"/>
          <w:b/>
          <w:bCs w:val="0"/>
          <w:sz w:val="32"/>
          <w:szCs w:val="32"/>
          <w:lang w:val="en-US" w:eastAsia="zh-CN"/>
        </w:rPr>
        <w:t xml:space="preserve">  2024年度部门决算情况说明</w:t>
      </w:r>
    </w:p>
    <w:p>
      <w:pPr>
        <w:keepNext w:val="0"/>
        <w:keepLines w:val="0"/>
        <w:widowControl w:val="0"/>
        <w:suppressLineNumbers w:val="0"/>
        <w:spacing w:before="0" w:beforeAutospacing="0" w:after="0" w:afterAutospacing="0" w:line="600" w:lineRule="exact"/>
        <w:ind w:left="0" w:right="0" w:firstLineChars="200" w:firstLine="620"/>
        <w:jc w:val="both"/>
        <w:rPr>
          <w:rFonts w:ascii="仿宋_GB2312" w:eastAsia="仿宋_GB2312" w:cs="仿宋_GB2312" w:hint="eastAsia"/>
          <w:color w:val="000000"/>
          <w:kern w:val="0"/>
          <w:sz w:val="31"/>
          <w:szCs w:val="31"/>
          <w:lang w:val="en-US" w:eastAsia="zh-CN"/>
        </w:rPr>
      </w:pP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一、收支决算总体情况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2024年医疗保障局本年收入合计497.22万元，其中：财政拨款收入497.22万元，占总收入100%；事业收入0万元，占总收入0%；经营收入0万元占总收入0%；附属单位上缴收入0万元占总收入0%；其他收入0万元占总收入0%。</w:t>
      </w:r>
    </w:p>
    <w:p>
      <w:pPr>
        <w:keepNext w:val="0"/>
        <w:keepLines w:val="0"/>
        <w:widowControl w:val="0"/>
        <w:suppressLineNumbers w:val="0"/>
        <w:spacing w:before="0" w:beforeAutospacing="0" w:after="0" w:afterAutospacing="0" w:line="600" w:lineRule="exact"/>
        <w:ind w:left="0" w:right="0" w:firstLineChars="200" w:firstLine="620"/>
        <w:jc w:val="both"/>
        <w:rPr>
          <w:rFonts w:ascii="仿宋_GB2312" w:eastAsia="仿宋_GB2312" w:cs="仿宋_GB2312" w:hint="eastAsia"/>
          <w:color w:val="000000"/>
          <w:kern w:val="0"/>
          <w:sz w:val="31"/>
          <w:szCs w:val="31"/>
          <w:lang w:val="en-US" w:eastAsia="zh-CN"/>
        </w:rPr>
      </w:pPr>
    </w:p>
    <w:p>
      <w:pPr>
        <w:keepNext w:val="0"/>
        <w:keepLines w:val="0"/>
        <w:widowControl w:val="0"/>
        <w:suppressLineNumbers w:val="0"/>
        <w:spacing w:before="0" w:beforeAutospacing="0" w:after="0" w:afterAutospacing="0"/>
        <w:ind w:left="0" w:right="0" w:firstLineChars="200" w:firstLine="640"/>
        <w:jc w:val="center"/>
        <w:rPr>
          <w:rFonts w:ascii="宋体" w:eastAsia="宋体" w:cs="宋体" w:hint="eastAsia"/>
          <w:color w:val="ED7D31"/>
          <w:sz w:val="32"/>
          <w:szCs w:val="32"/>
          <w14:textFill>
            <w14:solidFill>
              <w14:srgbClr w14:val="ED7D31"/>
            </w14:solidFill>
          </w14:textFill>
          <w:lang w:val="en-US"/>
        </w:rPr>
      </w:pPr>
      <w:r>
        <w:rPr>
          <w:rFonts w:ascii="宋体" w:eastAsia="宋体" w:cs="宋体" w:hint="eastAsia"/>
          <w:kern w:val="2"/>
          <w:sz w:val="32"/>
          <w:szCs w:val="32"/>
          <w:lang w:val="en-US" w:eastAsia="zh-CN"/>
        </w:rPr>
        <w:drawing>
          <wp:inline distT="0" distB="0" distL="114300" distR="114300">
            <wp:extent cx="4346575" cy="2131695"/>
            <wp:effectExtent l="0" t="0" r="0" b="0"/>
            <wp:docPr id="4" name="图表 4"/>
            <wp:cNvGraphicFramePr>
              <a:graphicFrameLocks noChangeAspect="0"/>
            </wp:cNvGraphicFramePr>
            <a:graphic>
              <a:graphicData uri="http://schemas.openxmlformats.org/drawingml/2006/chart">
                <c:chart xmlns:c="http://schemas.openxmlformats.org/drawingml/2006/chart" r:id="rId3"/>
              </a:graphicData>
            </a:graphic>
          </wp:inline>
        </w:drawing>
      </w:r>
    </w:p>
    <w:p>
      <w:pPr>
        <w:keepNext w:val="0"/>
        <w:keepLines w:val="0"/>
        <w:widowControl w:val="0"/>
        <w:suppressLineNumbers w:val="0"/>
        <w:spacing w:before="0" w:beforeAutospacing="0" w:after="0" w:afterAutospacing="0" w:line="600" w:lineRule="exact"/>
        <w:ind w:left="0" w:right="0" w:firstLineChars="200" w:firstLine="620"/>
        <w:jc w:val="both"/>
        <w:rPr>
          <w:rFonts w:ascii="仿宋_GB2312" w:eastAsia="仿宋_GB2312" w:cs="仿宋_GB2312" w:hint="eastAsia"/>
          <w:color w:val="000000"/>
          <w:kern w:val="0"/>
          <w:sz w:val="31"/>
          <w:szCs w:val="31"/>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2024年医疗保障局本年支出合计497.22万元，其中：基本支出445.58万元；项目支出51.64万元。</w:t>
      </w:r>
    </w:p>
    <w:p>
      <w:pPr>
        <w:keepNext w:val="0"/>
        <w:keepLines w:val="0"/>
        <w:widowControl w:val="0"/>
        <w:suppressLineNumbers w:val="0"/>
        <w:spacing w:before="0" w:beforeAutospacing="0" w:after="0" w:afterAutospacing="0" w:line="600" w:lineRule="exact"/>
        <w:ind w:left="0" w:right="0" w:firstLineChars="200" w:firstLine="620"/>
        <w:jc w:val="both"/>
        <w:rPr>
          <w:rFonts w:ascii="仿宋_GB2312" w:eastAsia="仿宋_GB2312" w:cs="仿宋_GB2312" w:hint="eastAsia"/>
          <w:color w:val="000000"/>
          <w:kern w:val="0"/>
          <w:sz w:val="31"/>
          <w:szCs w:val="31"/>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720" w:lineRule="auto"/>
        <w:ind w:left="0" w:right="0" w:firstLineChars="200" w:firstLine="620"/>
        <w:jc w:val="both"/>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drawing>
          <wp:inline distT="0" distB="0" distL="114300" distR="114300">
            <wp:extent cx="4389120" cy="2675255"/>
            <wp:effectExtent l="0" t="0" r="0" b="0"/>
            <wp:docPr id="5" name="图表 24"/>
            <wp:cNvGraphicFramePr>
              <a:graphicFrameLocks noChangeAspect="0"/>
            </wp:cNvGraphicFramePr>
            <a:graphic>
              <a:graphicData uri="http://schemas.openxmlformats.org/drawingml/2006/chart">
                <c:chart xmlns:c="http://schemas.openxmlformats.org/drawingml/2006/chart" r:id="rId4"/>
              </a:graphicData>
            </a:graphic>
          </wp:inline>
        </w:drawing>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二、财政拨款收支决算情况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医疗保障局2024年度财政拨款总决算497.22万元，与2023年度财政拨款支出总决算514.81万元相比，减少17.59万元，下降3.42%。</w:t>
      </w:r>
    </w:p>
    <w:p>
      <w:pPr>
        <w:keepNext w:val="0"/>
        <w:keepLines w:val="0"/>
        <w:widowControl w:val="0"/>
        <w:suppressLineNumbers w:val="0"/>
        <w:spacing w:before="0" w:beforeAutospacing="0" w:after="0" w:afterAutospacing="0"/>
        <w:ind w:right="0" w:firstLineChars="200" w:firstLine="640"/>
        <w:jc w:val="both"/>
        <w:rPr>
          <w:rFonts w:ascii="宋体" w:eastAsia="宋体" w:cs="宋体" w:hint="eastAsia"/>
          <w:kern w:val="2"/>
          <w:sz w:val="32"/>
          <w:szCs w:val="32"/>
          <w:lang w:val="en-US" w:eastAsia="zh-CN"/>
        </w:rPr>
      </w:pPr>
      <w:r>
        <w:rPr>
          <w:rFonts w:ascii="宋体" w:eastAsia="宋体" w:cs="宋体" w:hint="eastAsia"/>
          <w:kern w:val="2"/>
          <w:sz w:val="32"/>
          <w:szCs w:val="32"/>
          <w:lang w:val="en-US" w:eastAsia="zh-CN"/>
        </w:rPr>
        <w:drawing>
          <wp:inline distT="0" distB="0" distL="114300" distR="114300">
            <wp:extent cx="5079999" cy="2752090"/>
            <wp:effectExtent l="0" t="0" r="0" b="0"/>
            <wp:docPr id="6" name="图表 3"/>
            <wp:cNvGraphicFramePr>
              <a:graphicFrameLocks noChangeAspect="0"/>
            </wp:cNvGraphicFramePr>
            <a:graphic>
              <a:graphicData uri="http://schemas.openxmlformats.org/drawingml/2006/chart">
                <c:chart xmlns:c="http://schemas.openxmlformats.org/drawingml/2006/chart" r:id="rId5"/>
              </a:graphicData>
            </a:graphic>
          </wp:inline>
        </w:drawing>
      </w:r>
    </w:p>
    <w:p>
      <w:pPr>
        <w:keepNext w:val="0"/>
        <w:keepLines w:val="0"/>
        <w:widowControl w:val="0"/>
        <w:suppressLineNumbers w:val="0"/>
        <w:spacing w:before="0" w:beforeAutospacing="0" w:after="0" w:afterAutospacing="0"/>
        <w:ind w:left="0" w:right="0" w:firstLineChars="200" w:firstLine="420"/>
        <w:jc w:val="both"/>
      </w:pP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三、一般公共预算财政拨款支出决算情况</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（一）一般公共预算财政拨款支出决算总体情况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医疗保障局2024年度一般公共预算财政拨款支出预算财政拨款支出497.22万元，比2023年减少17.59万元，下降3.42%。</w:t>
      </w:r>
    </w:p>
    <w:p>
      <w:pPr>
        <w:keepNext w:val="0"/>
        <w:keepLines w:val="0"/>
        <w:widowControl w:val="0"/>
        <w:suppressLineNumbers w:val="0"/>
        <w:spacing w:before="0" w:beforeAutospacing="0" w:after="0" w:afterAutospacing="0" w:line="600" w:lineRule="exact"/>
        <w:ind w:left="0" w:right="0" w:firstLineChars="200" w:firstLine="620"/>
        <w:jc w:val="both"/>
        <w:rPr>
          <w:rFonts w:ascii="仿宋_GB2312" w:eastAsia="仿宋_GB2312" w:cs="仿宋_GB2312" w:hint="eastAsia"/>
          <w:color w:val="000000"/>
          <w:kern w:val="0"/>
          <w:sz w:val="31"/>
          <w:szCs w:val="31"/>
          <w:lang w:val="en-US" w:eastAsia="zh-CN"/>
        </w:rPr>
      </w:pPr>
    </w:p>
    <w:p>
      <w:pPr>
        <w:keepNext w:val="0"/>
        <w:keepLines w:val="0"/>
        <w:widowControl w:val="0"/>
        <w:suppressLineNumbers w:val="0"/>
        <w:spacing w:before="0" w:beforeAutospacing="0" w:after="0" w:afterAutospacing="0"/>
        <w:ind w:right="0" w:firstLineChars="200" w:firstLine="640"/>
        <w:jc w:val="both"/>
        <w:rPr>
          <w:rFonts w:ascii="宋体" w:eastAsia="宋体" w:cs="宋体" w:hint="eastAsia"/>
          <w:kern w:val="2"/>
          <w:sz w:val="32"/>
          <w:szCs w:val="32"/>
          <w:lang w:val="en-US" w:eastAsia="zh-CN"/>
        </w:rPr>
      </w:pPr>
      <w:r>
        <w:rPr>
          <w:rFonts w:ascii="宋体" w:eastAsia="宋体" w:cs="宋体" w:hint="eastAsia"/>
          <w:kern w:val="2"/>
          <w:sz w:val="32"/>
          <w:szCs w:val="32"/>
          <w:lang w:val="en-US" w:eastAsia="zh-CN"/>
        </w:rPr>
        <w:drawing>
          <wp:inline distT="0" distB="0" distL="114300" distR="114300">
            <wp:extent cx="5079999" cy="2915920"/>
            <wp:effectExtent l="0" t="0" r="0" b="0"/>
            <wp:docPr id="7" name="图表 5"/>
            <wp:cNvGraphicFramePr>
              <a:graphicFrameLocks noChangeAspect="0"/>
            </wp:cNvGraphicFramePr>
            <a:graphic>
              <a:graphicData uri="http://schemas.openxmlformats.org/drawingml/2006/chart">
                <c:chart xmlns:c="http://schemas.openxmlformats.org/drawingml/2006/chart" r:id="rId6"/>
              </a:graphicData>
            </a:graphic>
          </wp:inline>
        </w:drawing>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（二）一般公共预算财政拨款支出决算具体情况</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val="0"/>
          <w:bCs/>
          <w:color w:val="auto"/>
          <w:sz w:val="30"/>
          <w:szCs w:val="30"/>
          <w:lang w:val="en-US" w:eastAsia="zh-CN"/>
          <w:highlight w:val="auto"/>
        </w:rPr>
      </w:pPr>
      <w:r>
        <w:rPr>
          <w:rFonts w:ascii="楷体" w:eastAsia="楷体" w:cs="楷体" w:hint="eastAsia"/>
          <w:b w:val="0"/>
          <w:bCs/>
          <w:color w:val="auto"/>
          <w:sz w:val="30"/>
          <w:szCs w:val="30"/>
          <w:lang w:val="en-US" w:eastAsia="zh-CN"/>
          <w:highlight w:val="auto"/>
        </w:rPr>
        <w:t>1.社会保障和就业：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社会保障和就业支出208（类）行政事业单位离退休05（款）机关事业单位基本养老保险缴费05（项）：2024年决算数为42.62万元，决算数小于预算数的主要原因是：人员减少，保费减少。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社会保障和就业支出208（类）行政事业单位离退休05（款）机关事业单位职业年金缴费06（项）：2024年决算数为21.31万元，决算数小于预算数的主要原因是：人员减少，保费减少。</w:t>
      </w:r>
    </w:p>
    <w:p>
      <w:pPr>
        <w:keepNext w:val="0"/>
        <w:keepLines w:val="0"/>
        <w:widowControl w:val="0"/>
        <w:suppressLineNumbers w:val="0"/>
        <w:spacing w:before="0" w:beforeAutospacing="0" w:after="0" w:afterAutospacing="0" w:line="600" w:lineRule="exact"/>
        <w:ind w:left="0" w:right="0" w:firstLineChars="200" w:firstLine="640"/>
        <w:jc w:val="both"/>
        <w:rPr>
          <w:rFonts w:ascii="宋体" w:eastAsia="宋体" w:cs="宋体" w:hint="eastAsia"/>
          <w:color w:val="auto"/>
          <w:kern w:val="2"/>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720" w:lineRule="auto"/>
        <w:ind w:left="0" w:right="0" w:firstLineChars="200" w:firstLine="640"/>
        <w:jc w:val="both"/>
        <w:textAlignment w:val="auto"/>
        <w:rPr>
          <w:rFonts w:ascii="宋体" w:eastAsia="宋体" w:cs="宋体" w:hint="eastAsia"/>
          <w:color w:val="auto"/>
          <w:kern w:val="2"/>
          <w:sz w:val="32"/>
          <w:szCs w:val="32"/>
          <w:lang w:val="en-US" w:eastAsia="zh-CN"/>
        </w:rPr>
      </w:pPr>
      <w:r>
        <w:rPr>
          <w:rFonts w:ascii="宋体" w:eastAsia="宋体" w:cs="宋体" w:hint="eastAsia"/>
          <w:color w:val="auto"/>
          <w:kern w:val="2"/>
          <w:sz w:val="32"/>
          <w:szCs w:val="32"/>
          <w:lang w:val="en-US" w:eastAsia="zh-CN"/>
        </w:rPr>
        <w:drawing>
          <wp:inline distT="0" distB="0" distL="114300" distR="114300">
            <wp:extent cx="4352925" cy="2646045"/>
            <wp:effectExtent l="0" t="0" r="0" b="0"/>
            <wp:docPr id="8" name="图表 20"/>
            <wp:cNvGraphicFramePr>
              <a:graphicFrameLocks noChangeAspect="0"/>
            </wp:cNvGraphicFramePr>
            <a:graphic>
              <a:graphicData uri="http://schemas.openxmlformats.org/drawingml/2006/chart">
                <c:chart xmlns:c="http://schemas.openxmlformats.org/drawingml/2006/chart" r:id="rId7"/>
              </a:graphicData>
            </a:graphic>
          </wp:inline>
        </w:drawing>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val="0"/>
          <w:bCs/>
          <w:color w:val="auto"/>
          <w:sz w:val="30"/>
          <w:szCs w:val="30"/>
          <w:lang w:val="en-US" w:eastAsia="zh-CN"/>
          <w:highlight w:val="auto"/>
        </w:rPr>
      </w:pPr>
      <w:r>
        <w:rPr>
          <w:rFonts w:ascii="楷体" w:eastAsia="楷体" w:cs="楷体" w:hint="eastAsia"/>
          <w:b w:val="0"/>
          <w:bCs/>
          <w:color w:val="auto"/>
          <w:sz w:val="30"/>
          <w:szCs w:val="30"/>
          <w:lang w:val="en-US" w:eastAsia="zh-CN"/>
          <w:highlight w:val="auto"/>
        </w:rPr>
        <w:t>2.卫生健康支出: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卫生健康支出210（类）行政事业单位医疗11（款）行政单位医疗01（项）： 2024年决算数为12.41万元，决算数小于预算数的主要原因是：人员减少，保费减少。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卫生健康支出210（类）行政事业单位医疗11（款）事业单位医疗02（项）： 2024年决算数为8.33万元，决算数小于预算数的主要原因是：人员减少，保费减少。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卫生健康支出210（类）行政事业单位医疗11（款）公务员医疗补助03（项）：2024年决算数为2.91万元，决算数小于预算数的主要原因是：人员减少，保费减少。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卫生健康支出210（类）行政事业单位医疗11（款）其他行政事业单位医疗支出99（项）：2024年决算数为1.99万元，决算数小于预算数的主要原因是：人员减少，保费减少。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卫生健康支出210（类）医疗保障管理事务15（款）行政运行01（项）：2024年决算数为194.96万元，决算数小于预算数的主要原因是：人员减少，工资及保费减少。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卫生健康支出210（类）医疗保障管理事务15（款）医疗保障经办事务06（项）：2024年决算数为50.70万元，决算数小于预算数的主要原因是：2023年追加2021年城乡居民基本医疗保险工作经费，2024年无该经费，导致金额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卫生健康支出210（类）医疗保障管理事务15（款）事业运行50（项）：2024年决算数为126.13万元，决算数小于预算数的主要原因是：人员减少，保险费减少。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720" w:lineRule="auto"/>
        <w:ind w:leftChars="200" w:left="420" w:right="0"/>
        <w:jc w:val="both"/>
        <w:textAlignment w:val="auto"/>
        <w:rPr>
          <w:rFonts w:ascii="宋体" w:eastAsia="宋体" w:cs="宋体" w:hint="eastAsia"/>
          <w:kern w:val="2"/>
          <w:sz w:val="32"/>
          <w:szCs w:val="32"/>
          <w:lang w:val="en-US" w:eastAsia="zh-CN"/>
        </w:rPr>
      </w:pPr>
      <w:r>
        <w:rPr>
          <w:rFonts w:ascii="宋体" w:eastAsia="宋体" w:cs="宋体" w:hint="eastAsia"/>
          <w:kern w:val="2"/>
          <w:sz w:val="32"/>
          <w:szCs w:val="32"/>
          <w:lang w:val="en-US" w:eastAsia="zh-CN"/>
        </w:rPr>
        <w:drawing>
          <wp:inline distT="0" distB="0" distL="114300" distR="114300">
            <wp:extent cx="5079999" cy="2611120"/>
            <wp:effectExtent l="0" t="0" r="0" b="0"/>
            <wp:docPr id="9" name="图表 23"/>
            <wp:cNvGraphicFramePr>
              <a:graphicFrameLocks noChangeAspect="0"/>
            </wp:cNvGraphicFramePr>
            <a:graphic>
              <a:graphicData uri="http://schemas.openxmlformats.org/drawingml/2006/chart">
                <c:chart xmlns:c="http://schemas.openxmlformats.org/drawingml/2006/chart" r:id="rId8"/>
              </a:graphicData>
            </a:graphic>
          </wp:inline>
        </w:drawing>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val="0"/>
          <w:bCs/>
          <w:color w:val="000000"/>
          <w:sz w:val="30"/>
          <w:szCs w:val="30"/>
          <w:lang w:val="en-US" w:eastAsia="zh-CN"/>
        </w:rPr>
      </w:pPr>
      <w:r>
        <w:rPr>
          <w:rFonts w:ascii="楷体" w:eastAsia="楷体" w:cs="楷体" w:hint="eastAsia"/>
          <w:b w:val="0"/>
          <w:bCs/>
          <w:color w:val="000000"/>
          <w:sz w:val="30"/>
          <w:szCs w:val="30"/>
          <w:lang w:val="en-US" w:eastAsia="zh-CN"/>
        </w:rPr>
        <w:t>3.教育支出：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教育支出205（类）进修及培训08（款）培训支出03（项）:2024年决算数为0.94万元，完成预算100%，决算数对于预算数。</w:t>
      </w:r>
    </w:p>
    <w:p>
      <w:pPr>
        <w:keepNext w:val="0"/>
        <w:keepLines w:val="0"/>
        <w:widowControl w:val="0"/>
        <w:suppressLineNumbers w:val="0"/>
        <w:spacing w:before="0" w:beforeAutospacing="0" w:after="0" w:afterAutospacing="0" w:line="600" w:lineRule="exact"/>
        <w:ind w:left="0" w:right="0" w:firstLineChars="200" w:firstLine="600"/>
        <w:jc w:val="both"/>
        <w:rPr>
          <w:rFonts w:ascii="仿宋_GB2312" w:eastAsia="仿宋_GB2312" w:cs="Times New Roman" w:hint="eastAsia"/>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auto"/>
        <w:ind w:right="0"/>
        <w:jc w:val="both"/>
        <w:textAlignment w:val="auto"/>
        <w:rPr>
          <w:rStyle w:val="21"/>
          <w:rFonts w:ascii="宋体" w:eastAsia="宋体" w:cs="宋体" w:hint="eastAsia"/>
          <w:b w:val="0"/>
          <w:bCs w:val="0"/>
          <w:kern w:val="2"/>
          <w:sz w:val="32"/>
          <w:szCs w:val="32"/>
          <w:lang w:val="en-US" w:eastAsia="zh-CN"/>
        </w:rPr>
      </w:pPr>
      <w:r>
        <w:rPr>
          <w:rStyle w:val="21"/>
          <w:rFonts w:ascii="宋体" w:eastAsia="宋体" w:cs="宋体" w:hint="eastAsia"/>
          <w:b w:val="0"/>
          <w:bCs w:val="0"/>
          <w:kern w:val="2"/>
          <w:sz w:val="32"/>
          <w:szCs w:val="32"/>
          <w:lang w:val="en-US" w:eastAsia="zh-CN"/>
        </w:rPr>
        <w:drawing>
          <wp:inline distT="0" distB="0" distL="114300" distR="114300">
            <wp:extent cx="5306695" cy="2724150"/>
            <wp:effectExtent l="0" t="0" r="0" b="0"/>
            <wp:docPr id="10" name="图表 25"/>
            <wp:cNvGraphicFramePr>
              <a:graphicFrameLocks noChangeAspect="0"/>
            </wp:cNvGraphicFramePr>
            <a:graphic>
              <a:graphicData uri="http://schemas.openxmlformats.org/drawingml/2006/chart">
                <c:chart xmlns:c="http://schemas.openxmlformats.org/drawingml/2006/chart" r:id="rId9"/>
              </a:graphicData>
            </a:graphic>
          </wp:inline>
        </w:drawing>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val="0"/>
          <w:bCs/>
          <w:color w:val="000000"/>
          <w:sz w:val="30"/>
          <w:szCs w:val="30"/>
          <w:lang w:val="en-US" w:eastAsia="zh-CN"/>
        </w:rPr>
      </w:pPr>
      <w:r>
        <w:rPr>
          <w:rFonts w:ascii="楷体" w:eastAsia="楷体" w:cs="楷体" w:hint="eastAsia"/>
          <w:b w:val="0"/>
          <w:bCs/>
          <w:color w:val="000000"/>
          <w:sz w:val="30"/>
          <w:szCs w:val="30"/>
          <w:lang w:val="en-US" w:eastAsia="zh-CN"/>
        </w:rPr>
        <w:t>4.住房保障支出: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住房保障支出221（类）住房改革支出02（款）住房公积金01（项）： 2024年决算数为33.92万元，决算数小于预算数的主要原因是：人员减少，保费减少。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住房保障支出221（类）住房改革支出02（款）购房补贴03（项）： 2024年决算数为1万元，决算数大于预算数的主要原因是：2024年支退休人员购房补贴。</w:t>
      </w:r>
    </w:p>
    <w:p>
      <w:pPr>
        <w:keepNext w:val="0"/>
        <w:keepLines w:val="0"/>
        <w:widowControl w:val="0"/>
        <w:suppressLineNumbers w:val="0"/>
        <w:spacing w:before="0" w:beforeAutospacing="0" w:after="0" w:afterAutospacing="0" w:line="600" w:lineRule="exact"/>
        <w:ind w:left="0" w:right="0" w:firstLineChars="200" w:firstLine="600"/>
        <w:jc w:val="both"/>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auto"/>
        <w:ind w:right="0"/>
        <w:jc w:val="both"/>
        <w:textAlignment w:val="auto"/>
        <w:rPr>
          <w:rFonts w:ascii="宋体" w:eastAsia="宋体" w:cs="宋体" w:hint="eastAsia"/>
          <w:b/>
          <w:bCs/>
          <w:kern w:val="2"/>
          <w:sz w:val="36"/>
          <w:szCs w:val="36"/>
          <w:lang w:val="en-US" w:eastAsia="zh-CN"/>
        </w:rPr>
      </w:pPr>
      <w:r>
        <w:rPr>
          <w:rFonts w:ascii="宋体" w:eastAsia="宋体" w:cs="宋体" w:hint="eastAsia"/>
          <w:b/>
          <w:bCs/>
          <w:kern w:val="2"/>
          <w:sz w:val="36"/>
          <w:szCs w:val="36"/>
          <w:lang w:val="en-US" w:eastAsia="zh-CN"/>
        </w:rPr>
        <w:drawing>
          <wp:inline distT="0" distB="0" distL="114300" distR="114300">
            <wp:extent cx="5256530" cy="2298065"/>
            <wp:effectExtent l="0" t="0" r="0" b="0"/>
            <wp:docPr id="11" name="图表 26"/>
            <wp:cNvGraphicFramePr>
              <a:graphicFrameLocks noChangeAspect="0"/>
            </wp:cNvGraphicFramePr>
            <a:graphic>
              <a:graphicData uri="http://schemas.openxmlformats.org/drawingml/2006/chart">
                <c:chart xmlns:c="http://schemas.openxmlformats.org/drawingml/2006/chart" r:id="rId10"/>
              </a:graphicData>
            </a:graphic>
          </wp:inline>
        </w:drawing>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四、一般公共预算财政拨款基本支出决算情况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医疗保障局2024年一般公共预算财政拨款基本支出445.58万元，主要包括：人员经费430.79万元和公用经费14.79万元。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人员经费430.79万元，主要包括：基本工资84.55万元、津贴补贴84.57万元、奖金105.69万元、绩效工资25.15万元、机关事业单位基本养老保险缴费42.62万元、职业年金缴费21.31万元、职工基本医疗保险缴费20.74万元、公务员医疗补助2.91万元、其他社会保障缴费7.37万元、住房公积金33.92万元、生活补助1.96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公用经费14.79万元，主要包括：办公费3.48万元、印刷费2万元、咨询费1万元、水费0.50万元、电费0.50万元、邮电费2万元、差旅费1.81万元、公务用车运行维护费3.50万元。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医疗保障局2024年一般公共预算财政拨款项目支出51.64万元。</w:t>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五、“三公”经费财政拨款支出决算情况</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（一）“三公”经费财政拨款支出决算总体情况说明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金川县医保局2024年度“三公”经费财政拨款支出决算为3.50万元，完成预算94.59%，其中：因公出国（境）费支出0万元；公务用车购置及运行维护费支出决算为3.50万元，完成预算94.59%；公务接待费支出决算为0万元，完成预算0%。</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度“三公”经费财政拨款支出决算数比2023年减少36.54万元，减少91.26%，其中：无因公出国（境）费支出；公务用车购置及运行维护费支出决算减少36.36万元，原因：2023年9月购置公务用车1辆39.86万元，公务用车购置39.86万元；2024年公务用车运行维护费3.50万元。公务接待费支出决算减少0.18万元，2024年无公务接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auto"/>
        <w:ind w:left="0" w:right="0" w:firstLine="641"/>
        <w:jc w:val="both"/>
        <w:textAlignment w:val="auto"/>
        <w:rPr>
          <w:rFonts w:ascii="宋体" w:eastAsia="宋体" w:cs="宋体" w:hint="eastAsia"/>
          <w:bCs/>
          <w:kern w:val="2"/>
          <w:sz w:val="32"/>
          <w:szCs w:val="32"/>
          <w:lang w:val="en-US" w:eastAsia="zh-CN"/>
        </w:rPr>
      </w:pPr>
      <w:r>
        <w:rPr>
          <w:rFonts w:ascii="宋体" w:eastAsia="宋体" w:cs="宋体" w:hint="eastAsia"/>
          <w:bCs/>
          <w:kern w:val="2"/>
          <w:sz w:val="32"/>
          <w:szCs w:val="32"/>
          <w:lang w:val="en-US" w:eastAsia="zh-CN"/>
        </w:rPr>
        <w:drawing>
          <wp:inline distT="0" distB="0" distL="114300" distR="114300">
            <wp:extent cx="5079999" cy="3132455"/>
            <wp:effectExtent l="0" t="0" r="0" b="0"/>
            <wp:docPr id="12" name="图表 27"/>
            <wp:cNvGraphicFramePr>
              <a:graphicFrameLocks noChangeAspect="0"/>
            </wp:cNvGraphicFramePr>
            <a:graphic>
              <a:graphicData uri="http://schemas.openxmlformats.org/drawingml/2006/chart">
                <c:chart xmlns:c="http://schemas.openxmlformats.org/drawingml/2006/chart" r:id="rId11"/>
              </a:graphicData>
            </a:graphic>
          </wp:inline>
        </w:drawing>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（二）“三公”经费财政拨款支出决算具体情况说明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2024年度“三公”经费财政拨款支出决算中，因公出国（境）费0万元，占0%；公务用车购置及运行维护费支出决算3.50万元，占94.59%；公务接待费支出决算0万元，占0%。具体情况如下：</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bCs w:val="0"/>
          <w:color w:val="000000"/>
          <w:sz w:val="30"/>
          <w:szCs w:val="30"/>
          <w:lang w:val="en-US" w:eastAsia="zh-CN"/>
        </w:rPr>
      </w:pPr>
      <w:r>
        <w:rPr>
          <w:rFonts w:ascii="楷体" w:eastAsia="楷体" w:cs="楷体" w:hint="eastAsia"/>
          <w:b/>
          <w:bCs w:val="0"/>
          <w:color w:val="000000"/>
          <w:sz w:val="30"/>
          <w:szCs w:val="30"/>
          <w:lang w:val="en-US" w:eastAsia="zh-CN"/>
        </w:rPr>
        <w:t>1.因公出国（境）经费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2024年无因公出国（境）费。</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bCs w:val="0"/>
          <w:color w:val="000000"/>
          <w:sz w:val="30"/>
          <w:szCs w:val="30"/>
          <w:lang w:val="en-US" w:eastAsia="zh-CN"/>
        </w:rPr>
      </w:pPr>
      <w:r>
        <w:rPr>
          <w:rFonts w:ascii="楷体" w:eastAsia="楷体" w:cs="楷体" w:hint="eastAsia"/>
          <w:b/>
          <w:bCs w:val="0"/>
          <w:color w:val="000000"/>
          <w:sz w:val="30"/>
          <w:szCs w:val="30"/>
          <w:lang w:val="en-US" w:eastAsia="zh-CN"/>
        </w:rPr>
        <w:t>2.公务用车购置及运行维护费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2024年公务用车购置及运行维护费3.50万元,其中：公务用车购置支出0万元；公务用车运行维护费支出3.50万元。</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bCs w:val="0"/>
          <w:color w:val="000000"/>
          <w:sz w:val="30"/>
          <w:szCs w:val="30"/>
          <w:lang w:val="en-US" w:eastAsia="zh-CN"/>
        </w:rPr>
      </w:pPr>
      <w:r>
        <w:rPr>
          <w:rFonts w:ascii="楷体" w:eastAsia="楷体" w:cs="楷体" w:hint="eastAsia"/>
          <w:b/>
          <w:bCs w:val="0"/>
          <w:color w:val="000000"/>
          <w:sz w:val="30"/>
          <w:szCs w:val="30"/>
          <w:lang w:val="en-US" w:eastAsia="zh-CN"/>
        </w:rPr>
        <w:t>3.公务接待费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hint="eastAsia"/>
          <w:color w:val="000000"/>
          <w:sz w:val="30"/>
          <w:szCs w:val="30"/>
        </w:rPr>
      </w:pPr>
      <w:r>
        <w:rPr>
          <w:rFonts w:ascii="仿宋_GB2312" w:eastAsia="仿宋_GB2312" w:cs="Times New Roman" w:hint="eastAsia"/>
          <w:color w:val="auto"/>
          <w:kern w:val="2"/>
          <w:sz w:val="30"/>
          <w:szCs w:val="30"/>
          <w:lang w:val="en-US" w:eastAsia="zh-CN" w:bidi="ar-SA"/>
        </w:rPr>
        <w:t>2024年公务接待费0万元。我单位2024年无公务接待。</w:t>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六、政府性基金预算财政拨款支出决算情况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医疗保障局2024年政府性基金预算财政拨款支出0万元。</w:t>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hint="eastAsia"/>
          <w:b/>
          <w:color w:val="000000"/>
          <w:sz w:val="32"/>
          <w:szCs w:val="32"/>
          <w:lang w:val="en-US" w:eastAsia="zh-CN"/>
        </w:rPr>
      </w:pPr>
      <w:r>
        <w:rPr>
          <w:rFonts w:ascii="楷体" w:eastAsia="楷体" w:cs="楷体" w:hint="eastAsia"/>
          <w:b/>
          <w:color w:val="000000"/>
          <w:sz w:val="32"/>
          <w:szCs w:val="32"/>
          <w:lang w:val="en-US" w:eastAsia="zh-CN"/>
        </w:rPr>
        <w:t>七、其他重要事项的情况说明</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（一）机关运行经费支出情况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2024年度，金川县医保局机关运行经费14.79万元。</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（二）政府采购支出情况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度，金川县医保局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（三）国有资产占有使用情况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截至2024年12月31日，我局公务用车1辆，价值39.86万元。单价100万元以上设备（不含车辆）0台（套）。</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hint="eastAsia"/>
          <w:b/>
          <w:color w:val="000000"/>
          <w:sz w:val="30"/>
          <w:szCs w:val="30"/>
          <w:lang w:val="en-US" w:eastAsia="zh-CN"/>
        </w:rPr>
      </w:pPr>
      <w:r>
        <w:rPr>
          <w:rFonts w:ascii="楷体" w:eastAsia="楷体" w:cs="楷体" w:hint="eastAsia"/>
          <w:b/>
          <w:color w:val="000000"/>
          <w:sz w:val="30"/>
          <w:szCs w:val="30"/>
          <w:lang w:val="en-US" w:eastAsia="zh-CN"/>
        </w:rPr>
        <w:t>（四）预算绩效情况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根据预算绩效管理要求，本部门在2024年度预算编制阶段，组织对财政对伤残离休人员医疗费补助、城乡居民医疗救助（二次救助）、财政对失地农民医疗补助、财政局对城乡居民基本医疗保险基金的补助（县级配套）、财政对建档立卡户差额代缴、财政对城乡居民参保补助医保专项经费、医疗保障能力提升等7个项目开展了预算事前绩效评估，对7个项目编制了绩效目标，预算执行过程中，选取7个项目开展绩效监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对2024年度一般公共预算、政府性基金预算、国有资本经营预算、社会保险基金预算以及资本资产、债券资金等全面开展绩效自评，形成金川县医疗保障局2024年整体支出（含部门预算项目）绩效评价报告、财政对建档立卡户差额代缴项目绩效自评报告，其中，金川县医疗保障局2024年整体支出（含部门预算项目）绩效自评得分为98.40分；财政对城乡居民参保补助医保专项经费自评得分为99分；医疗保障能力提升项目绩效自评得分为99分。绩效自评报告详见附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p>
    <w:tbl>
      <w:tblPr>
        <w:jc w:val="left"/>
        <w:tblInd w:w="93" w:type="dxa"/>
        <w:tblW w:w="83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2"/>
        <w:gridCol w:w="1034"/>
        <w:gridCol w:w="929"/>
        <w:gridCol w:w="1263"/>
        <w:gridCol w:w="366"/>
        <w:gridCol w:w="866"/>
        <w:gridCol w:w="368"/>
        <w:gridCol w:w="781"/>
        <w:gridCol w:w="449"/>
        <w:gridCol w:w="449"/>
        <w:gridCol w:w="1263"/>
      </w:tblGrid>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51000021Y000000011490-日常公用经费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提高预算编制质量，严格执行预算，保障单位日常运转。</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3.84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3.84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3.84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3.84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3.84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3.84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93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预算编制准确率（计算方法为：∣（执行数-预算数）/预算数∣）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1244"/>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“三公经费”控制率[计算方法为：（三公经费实际支出数/预算安排数]×100%）</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51322622R000000307567-其他社会保障缴费（工伤保险）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51322622R000000307571-其他社会保障缴费（残疾人就业保障金）</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51322622R000000307882-住房公积金（职工）</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51322623R000007822512-机关事业单位基本养老保险缴费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9.89</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10.44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10.44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9.89</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10.44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10.44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51322623R000007822795-职业年金缴费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4.94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5.22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5.22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4.94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5.22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5.22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51322623R000007823104-职工基本医疗保险缴费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4.77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4.77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51322623R000007823488-公务员医疗补助缴费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51322623R000008940976-年度考核奖</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36"/>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51322623T000007900938-财政对伤残、离休医疗费补助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解决伤残和离休人员医疗费用，保障伤残和离休人员就医。</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财政对离休补助人数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补助对象覆盖率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2024年度内完成费用补助</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缓解离休人员医疗费压力</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成效显著</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成效显著</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离休人员医疗救助对象满意度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51322623T000007900988-财政对失地农民医疗补助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1、完成被征地农民参加城乡居民基本医疗保险补助；2、确保被征地农民能够正常享受医疗待遇。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13.14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13.14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13.14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13.14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13.14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13.14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资助被征地农民参加城乡居民医疗保险</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2627</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2627</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符合政策对象准确率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及时拨付率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减轻失地农民参保压力</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显著成效</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显著成效</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可持续发展指标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有效保障征地农民参加城乡居民基本医疗保险</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补助对象满意度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93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社会成本指标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失地农村补助标准</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元/人年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51322623T000007901035-财政对城乡居民参保补助医保专项经费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15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提升医保信息化水平，加强网络、信息安全、基础设施等方面建设；进一步夯实技术基础，切实保障医保信息系统高效、安全运行，提高数据采集质量和速度。2.有效提升宣传引导、经办服务、人力队伍建设等医疗保障服务能力。3.提高居民政策知晓率，巩固参保率目标。4.有效提升监管能力，加强监管体系、监管队伍建设。5.加强打击欺诈骗保工作力度，切实保障医保基金合理有效使用。</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14.43</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14.43</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开展全域医保政策宣传活动次数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45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综合监管能力得到显著提升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显著成效</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显著成效</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定点医药机构监督检查覆盖率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稳定城乡居民基本医疗保险参保率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稳定异地就医持卡结算率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医保经办服务信息化支撑能力明显增强</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医保重要政策知晓率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参保人员对医保服务的满意度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51322623T000009894024-医疗保障能力提升</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1862"/>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用于：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37.75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37.75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37.75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37.75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医保参保培训</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医保人才培训合格率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推行医保支付方式改革和DRG试点</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逐步推开</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逐步推开</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定点医药机构监督检查覆盖率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医保重要政策知晓率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加强打击欺诈骗保工作，守住人民的救命钱</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参保人员对医保服务的满意度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51322624R000010562265-在职在编人员基本工资</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20.46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22.27</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22.27</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20.46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22.27</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22.27</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51322624R000010567592-年终一次性奖金（行政）</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1.71</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1.71</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51322624R000010568356-公务员规范津贴补贴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14.29</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14.29</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51322624R000010570295-基础绩效奖（行政）</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16.49</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17.41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17.41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16.49</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17.41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17.41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51322624R000010571106-艰苦边远地区津贴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6.42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6.93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6.93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6.42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6.93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6.93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51322624R000010571424-高海拔地区折算工龄补贴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1.08</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2.33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2.33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1.08</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2.33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2.33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51322624R000010571692-乡镇工作补贴（行政）</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1.08</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0.99</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0.99</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1.08</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0.99</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0.99</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51322624R000010574781-其他工资性支出</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0.30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0.30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0.30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0.30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51322625T000013076118-被征地农民财政补贴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1、完成被征地农民参加城乡居民基本医疗保险补助；2、确保被征地农民能够正常享受医疗待遇。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0.06</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资助被征地农民参加城乡居民医疗保险</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2638</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2638</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符合政策对象准确率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及时拨付率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减轻失地农民参保压力</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显著成效</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显著成效</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可持续发展指标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有效保障征地农民参加城乡居民基本医疗保险</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补助对象满意度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2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社会成本指标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失地农村补助标准</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元/年</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51000021Y000000011490-日常公用经费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提高预算编制质量，严格执行预算，保障单位日常运转。</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93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预算编制准确率（计算方法为：∣（执行数-预算数）/预算数∣）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1244"/>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“三公经费”控制率[计算方法为：（三公经费实际支出数/预算安排数]×100%）</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51322622R000000307551-其他社会保障缴费（失业保险）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0.08</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0.08</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51322622R000000307567-其他社会保障缴费（工伤保险）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51322622R000000307571-其他社会保障缴费（残疾人就业保障金）</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51322622R000000307882-住房公积金（职工）</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12.14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12.14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12.14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12.14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51322622R000000308424-春节慰问金</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36"/>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51322623R000007822512-机关事业单位基本养老保险缴费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51322623R000007822795-职业年金缴费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51322623R000007823104-职工基本医疗保险缴费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7.40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7.40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7.40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7.40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51322623R000007823488-公务员医疗补助缴费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2.16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2.16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51322623R000008940976-年度考核奖</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13.03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13.03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13.03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13.03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51322624R000010562265-在职在编人员基本工资</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31.22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27.45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27.45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31.22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27.45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27.45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36"/>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51322624R000010567592-年终一次性奖金（行政）</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51322624R000010568356-公务员规范津贴补贴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28.16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28.16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24.55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51322624R000010570295-基础绩效奖（行政）</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28.02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24.48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24.48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28.02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24.48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24.48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51322624R000010571106-艰苦边远地区津贴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12.91</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11.18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11.18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12.91</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11.18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11.18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51322624R000010571424-高海拔地区折算工龄补贴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51322624R000010574781-其他工资性支出</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36"/>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51322624R000011908631-退休人员建房补助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金川县医疗保障事务中心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51000021Y000000011490-日常公用经费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提高预算编制质量，严格执行预算，保障单位日常运转。</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93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预算编制准确率（计算方法为：∣（执行数-预算数）/预算数∣）</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1244"/>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“三公经费”控制率[计算方法为：（三公经费实际支出数/预算安排数]×100%）</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51322622R000000307551-其他社会保障缴费（失业保险）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0.64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51322622R000000307567-其他社会保障缴费（工伤保险）</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0.17</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51322622R000000307571-其他社会保障缴费（残疾人就业保障金）</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1.62</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1.62</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1.62</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51322622R000000307882-住房公积金（职工）</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13.53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13.53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13.53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13.53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51322622R000000308424-春节慰问金</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36"/>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51322623R000007822512-机关事业单位基本养老保险缴费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16.65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17.08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17.08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16.65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17.08</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17.08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51322623R000007822795-职业年金缴费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8.33</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8.54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8.54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8.33</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8.54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8.54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51322623R000007823104-职工基本医疗保险缴费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8.33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8.33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8.17</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8.33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8.33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51322623R000007823488-公务员医疗补助缴费</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1.99</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1.99</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1.99</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1.99</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51322623R000008940976-年度考核奖</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51322624R000010562265-在职在编人员基本工资</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34.04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34.83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34.83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34.04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34.83</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34.83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36"/>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51322624R000010570025-事业单位绩效工资</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25.15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25.15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25.15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25.15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25.15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25.15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51322624R000010570573-基础绩效奖（事业）</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26.85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24.61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24.61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26.85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24.61</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24.61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51322624R000010570840-年终一次性奖金（事业）</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2.84</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5.14</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51322624R000010571106-艰苦边远地区津贴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12.20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51322624R000010571424-高海拔地区折算工龄补贴</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5.35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5.35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5.35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5.35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44"/>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1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r>
        <w:trPr>
          <w:trHeight w:val="319"/>
        </w:trPr>
        <w:tc>
          <w:tcPr>
            <w:tcW w:w="5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8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36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6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8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319"/>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51322624R000010574781-其他工资性支出</w:t>
            </w:r>
          </w:p>
        </w:tc>
      </w:tr>
      <w:tr>
        <w:trPr>
          <w:trHeight w:val="627"/>
        </w:trPr>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金川县医疗保障局本级</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金川县城乡基本医疗保险服务中心</w:t>
            </w:r>
          </w:p>
        </w:tc>
      </w:tr>
      <w:tr>
        <w:trPr>
          <w:trHeight w:val="319"/>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10"/>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79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4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按照年初预算安排，有序开展单位日常工作，2024年已完成目标任务。</w:t>
            </w:r>
          </w:p>
        </w:tc>
      </w:tr>
      <w:tr>
        <w:trPr>
          <w:trHeight w:val="69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73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2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5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按照年初预算安排，有序开展工作；</w:t>
            </w:r>
          </w:p>
        </w:tc>
      </w:tr>
      <w:tr>
        <w:trPr>
          <w:trHeight w:val="39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0.55</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0.55</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13"/>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7"/>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36"/>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46"/>
        </w:trPr>
        <w:tc>
          <w:tcPr>
            <w:tcW w:w="5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19"/>
        </w:trPr>
        <w:tc>
          <w:tcPr>
            <w:tcW w:w="613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9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2024年已完成目标：1、提升医保信息化水平，加强网络、信息安全、基础设施等方面建设；进一步夯实技术基础，切实保障医保信息系统高效、安全运行，提高数据采集质量和速度。2、加强打击欺诈骗保工作力度，切实保障医保基金合理有效使用。3、加快推进医保支付方式改革和DRG试点工作。4、有效提升监管能力，加强监管体系、监管队伍建设。5、有效提升宣传引导、经办服务、人力队伍建设等医疗保障服务能力。6、提高居民政策知晓率，巩固参保率目标。</w:t>
            </w:r>
          </w:p>
        </w:tc>
      </w:tr>
      <w:tr>
        <w:trPr>
          <w:trHeight w:val="627"/>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636"/>
        </w:trPr>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6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val="0"/>
                <w:iCs w:val="0"/>
                <w:color w:val="000000"/>
                <w:sz w:val="16"/>
                <w:szCs w:val="16"/>
                <w:u w:val="none"/>
              </w:rPr>
            </w:pPr>
            <w:r>
              <w:rPr>
                <w:rFonts w:ascii="微软雅黑" w:eastAsia="微软雅黑" w:cs="微软雅黑" w:hint="eastAsia"/>
                <w:i w:val="0"/>
                <w:iCs w:val="0"/>
                <w:color w:val="000000"/>
                <w:kern w:val="0"/>
                <w:sz w:val="16"/>
                <w:szCs w:val="16"/>
                <w:u w:val="none"/>
                <w:lang w:val="en-US" w:eastAsia="zh-CN"/>
              </w:rPr>
              <w:t>无</w:t>
            </w:r>
          </w:p>
        </w:tc>
      </w:tr>
      <w:tr>
        <w:trPr>
          <w:trHeight w:val="329"/>
        </w:trPr>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项目负责人：周云燕</w:t>
            </w:r>
          </w:p>
        </w:tc>
        <w:tc>
          <w:tcPr>
            <w:tcW w:w="417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财务负责人：马骥琼</w:t>
            </w:r>
          </w:p>
        </w:tc>
      </w:tr>
    </w:tbl>
    <w:p>
      <w:pPr>
        <w:spacing w:line="580" w:lineRule="exact"/>
        <w:rPr>
          <w:rFonts w:ascii="仿宋_GB2312" w:eastAsia="仿宋_GB2312" w:cs="仿宋_GB2312" w:hint="eastAsia"/>
          <w:sz w:val="32"/>
          <w:szCs w:val="32"/>
          <w:lang w:bidi="ar-SA"/>
          <w:highlight w:val="auto"/>
        </w:rPr>
      </w:pPr>
    </w:p>
    <w:p>
      <w:pPr>
        <w:spacing w:line="600" w:lineRule="atLeast"/>
        <w:ind w:firstLineChars="200" w:firstLine="620"/>
        <w:rPr>
          <w:rFonts w:ascii="仿宋_GB2312" w:eastAsia="仿宋_GB2312" w:cs="仿宋_GB2312" w:hint="eastAsia"/>
          <w:color w:val="000000"/>
          <w:kern w:val="0"/>
          <w:sz w:val="31"/>
          <w:szCs w:val="31"/>
          <w:lang w:val="en-US" w:eastAsia="zh-CN"/>
        </w:rPr>
      </w:pPr>
    </w:p>
    <w:p>
      <w:pPr>
        <w:spacing w:line="600" w:lineRule="atLeast"/>
        <w:ind w:firstLineChars="200" w:firstLine="620"/>
        <w:rPr>
          <w:rFonts w:ascii="仿宋_GB2312" w:eastAsia="仿宋_GB2312" w:cs="仿宋_GB2312" w:hint="eastAsia"/>
          <w:color w:val="000000"/>
          <w:kern w:val="0"/>
          <w:sz w:val="31"/>
          <w:szCs w:val="31"/>
          <w:lang w:val="en-US" w:eastAsia="zh-CN"/>
        </w:rPr>
      </w:pPr>
    </w:p>
    <w:p>
      <w:pPr>
        <w:spacing w:line="600" w:lineRule="atLeast"/>
        <w:ind w:firstLineChars="200" w:firstLine="620"/>
        <w:rPr>
          <w:rFonts w:ascii="仿宋_GB2312" w:eastAsia="仿宋_GB2312" w:cs="仿宋_GB2312" w:hint="eastAsia"/>
          <w:color w:val="000000"/>
          <w:kern w:val="0"/>
          <w:sz w:val="31"/>
          <w:szCs w:val="31"/>
          <w:lang w:val="en-US" w:eastAsia="zh-CN"/>
        </w:rPr>
      </w:pPr>
    </w:p>
    <w:p>
      <w:pPr>
        <w:spacing w:line="600" w:lineRule="atLeast"/>
        <w:ind w:firstLineChars="200" w:firstLine="620"/>
        <w:rPr>
          <w:rFonts w:ascii="仿宋_GB2312" w:eastAsia="仿宋_GB2312" w:cs="仿宋_GB2312" w:hint="eastAsia"/>
          <w:color w:val="000000"/>
          <w:kern w:val="0"/>
          <w:sz w:val="31"/>
          <w:szCs w:val="31"/>
          <w:lang w:val="en-US" w:eastAsia="zh-CN"/>
        </w:rPr>
      </w:pPr>
    </w:p>
    <w:p>
      <w:pPr>
        <w:spacing w:line="600" w:lineRule="atLeast"/>
        <w:ind w:firstLineChars="200" w:firstLine="620"/>
        <w:rPr>
          <w:rFonts w:ascii="仿宋_GB2312" w:eastAsia="仿宋_GB2312" w:cs="仿宋_GB2312" w:hint="eastAsia"/>
          <w:color w:val="000000"/>
          <w:kern w:val="0"/>
          <w:sz w:val="31"/>
          <w:szCs w:val="31"/>
          <w:lang w:val="en-US" w:eastAsia="zh-CN"/>
        </w:rPr>
      </w:pPr>
    </w:p>
    <w:p>
      <w:pPr>
        <w:spacing w:line="600" w:lineRule="atLeast"/>
        <w:rPr>
          <w:rFonts w:ascii="仿宋_GB2312" w:eastAsia="仿宋_GB2312" w:cs="仿宋_GB2312" w:hint="eastAsia"/>
          <w:color w:val="000000"/>
          <w:kern w:val="0"/>
          <w:sz w:val="31"/>
          <w:szCs w:val="31"/>
          <w:lang w:val="en-US" w:eastAsia="zh-CN"/>
        </w:rPr>
      </w:pPr>
    </w:p>
    <w:p>
      <w:pPr>
        <w:spacing w:line="600" w:lineRule="atLeast"/>
        <w:rPr>
          <w:rFonts w:ascii="仿宋_GB2312" w:eastAsia="仿宋_GB2312" w:cs="仿宋_GB2312" w:hint="eastAsia"/>
          <w:color w:val="000000"/>
          <w:kern w:val="0"/>
          <w:sz w:val="31"/>
          <w:szCs w:val="31"/>
          <w:lang w:val="en-US" w:eastAsia="zh-CN"/>
        </w:rPr>
      </w:pPr>
    </w:p>
    <w:p>
      <w:pPr>
        <w:spacing w:line="600" w:lineRule="atLeast"/>
        <w:rPr>
          <w:rFonts w:ascii="仿宋_GB2312" w:eastAsia="仿宋_GB2312" w:cs="仿宋_GB2312" w:hint="eastAsia"/>
          <w:color w:val="000000"/>
          <w:kern w:val="0"/>
          <w:sz w:val="31"/>
          <w:szCs w:val="31"/>
          <w:lang w:val="en-US" w:eastAsia="zh-CN"/>
        </w:rPr>
      </w:pPr>
    </w:p>
    <w:p>
      <w:pPr>
        <w:spacing w:line="600" w:lineRule="atLeast"/>
        <w:rPr>
          <w:rFonts w:ascii="仿宋_GB2312" w:eastAsia="仿宋_GB2312" w:cs="仿宋_GB2312" w:hint="eastAsia"/>
          <w:color w:val="000000"/>
          <w:kern w:val="0"/>
          <w:sz w:val="31"/>
          <w:szCs w:val="31"/>
          <w:lang w:val="en-US" w:eastAsia="zh-CN"/>
        </w:rPr>
      </w:pPr>
    </w:p>
    <w:p>
      <w:pPr>
        <w:spacing w:line="600" w:lineRule="atLeast"/>
        <w:rPr>
          <w:rFonts w:ascii="仿宋_GB2312" w:eastAsia="仿宋_GB2312" w:cs="仿宋_GB2312" w:hint="eastAsia"/>
          <w:color w:val="000000"/>
          <w:kern w:val="0"/>
          <w:sz w:val="31"/>
          <w:szCs w:val="31"/>
          <w:lang w:val="en-US" w:eastAsia="zh-CN"/>
        </w:rPr>
      </w:pPr>
    </w:p>
    <w:p>
      <w:pPr>
        <w:spacing w:line="600" w:lineRule="atLeast"/>
        <w:rPr>
          <w:rFonts w:ascii="仿宋_GB2312" w:eastAsia="仿宋_GB2312" w:cs="仿宋_GB2312" w:hint="eastAsia"/>
          <w:color w:val="000000"/>
          <w:kern w:val="0"/>
          <w:sz w:val="31"/>
          <w:szCs w:val="31"/>
          <w:lang w:val="en-US" w:eastAsia="zh-CN"/>
        </w:rPr>
      </w:pPr>
    </w:p>
    <w:p>
      <w:pPr>
        <w:jc w:val="center"/>
        <w:rPr>
          <w:rFonts w:ascii="仿宋_GB2312" w:eastAsia="仿宋_GB2312" w:cs="仿宋_GB2312" w:hint="eastAsia"/>
          <w:color w:val="000000"/>
          <w:sz w:val="31"/>
          <w:szCs w:val="31"/>
          <w:lang w:val="en-US" w:eastAsia="zh-CN"/>
        </w:rPr>
      </w:pPr>
      <w:r>
        <w:rPr>
          <w:rFonts w:ascii="宋体" w:eastAsia="宋体" w:cs="宋体" w:hint="eastAsia"/>
          <w:b/>
          <w:bCs/>
          <w:sz w:val="32"/>
          <w:szCs w:val="32"/>
          <w:lang w:val="en-US" w:eastAsia="zh-CN"/>
        </w:rPr>
        <w:t>第三部分 附件</w:t>
      </w:r>
    </w:p>
    <w:p>
      <w:pPr>
        <w:pStyle w:val="19"/>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cs="仿宋_GB2312"/>
          <w:color w:val="000000"/>
          <w:sz w:val="31"/>
          <w:szCs w:val="31"/>
          <w:lang w:val="en-US" w:eastAsia="zh-CN"/>
        </w:rPr>
      </w:pPr>
      <w:r>
        <w:rPr>
          <w:rFonts w:ascii="仿宋_GB2312" w:eastAsia="仿宋_GB2312" w:cs="仿宋_GB2312" w:hint="eastAsia"/>
          <w:color w:val="000000"/>
          <w:sz w:val="31"/>
          <w:szCs w:val="31"/>
          <w:lang w:val="en-US" w:eastAsia="zh-CN"/>
        </w:rPr>
        <w:t>附件1</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ascii="Times New Roman" w:eastAsia="方正小标宋简体" w:cs="Times New Roman" w:hAnsi="Times New Roman"/>
          <w:b/>
          <w:bCs/>
          <w:color w:val="auto"/>
          <w:kern w:val="2"/>
          <w:sz w:val="32"/>
          <w:szCs w:val="32"/>
          <w:lang w:val="en-US" w:eastAsia="zh-CN" w:bidi="ar-SA"/>
        </w:rPr>
      </w:pPr>
      <w:r>
        <w:rPr>
          <w:rFonts w:ascii="Times New Roman" w:eastAsia="方正小标宋简体" w:cs="Times New Roman" w:hAnsi="Times New Roman"/>
          <w:b/>
          <w:bCs/>
          <w:color w:val="auto"/>
          <w:kern w:val="2"/>
          <w:sz w:val="32"/>
          <w:szCs w:val="32"/>
          <w:lang w:val="en-US" w:eastAsia="zh-CN" w:bidi="ar-SA"/>
        </w:rPr>
        <w:t>金川县医疗保障局</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ascii="Times New Roman" w:cs="Times New Roman" w:hAnsi="Times New Roman"/>
          <w:szCs w:val="32"/>
          <w:shd w:val="clear" w:color="auto" w:fill="FFFFFF"/>
          <w:highlight w:val="auto"/>
        </w:rPr>
      </w:pPr>
      <w:r>
        <w:rPr>
          <w:rFonts w:ascii="Times New Roman" w:eastAsia="方正小标宋简体" w:cs="Times New Roman" w:hAnsi="Times New Roman"/>
          <w:b/>
          <w:bCs/>
          <w:color w:val="auto"/>
          <w:kern w:val="2"/>
          <w:sz w:val="32"/>
          <w:szCs w:val="32"/>
          <w:lang w:val="en-US" w:eastAsia="zh-CN" w:bidi="ar-SA"/>
        </w:rPr>
        <w:t>2024年</w:t>
      </w:r>
      <w:r>
        <w:rPr>
          <w:rFonts w:eastAsia="方正小标宋简体" w:cs="Times New Roman" w:hint="eastAsia"/>
          <w:b/>
          <w:bCs/>
          <w:color w:val="auto"/>
          <w:kern w:val="2"/>
          <w:sz w:val="32"/>
          <w:szCs w:val="32"/>
          <w:lang w:val="en-US" w:eastAsia="zh-CN" w:bidi="ar-SA"/>
        </w:rPr>
        <w:t>部门</w:t>
      </w:r>
      <w:r>
        <w:rPr>
          <w:rFonts w:ascii="Times New Roman" w:eastAsia="方正小标宋简体" w:cs="Times New Roman" w:hAnsi="Times New Roman"/>
          <w:b/>
          <w:bCs/>
          <w:color w:val="auto"/>
          <w:kern w:val="2"/>
          <w:sz w:val="32"/>
          <w:szCs w:val="32"/>
          <w:lang w:val="en-US" w:eastAsia="zh-CN" w:bidi="ar-SA"/>
        </w:rPr>
        <w:t>绩效</w:t>
      </w:r>
      <w:r>
        <w:rPr>
          <w:rFonts w:ascii="Times New Roman" w:eastAsia="方正小标宋简体" w:cs="Times New Roman" w:hAnsi="Times New Roman" w:hint="eastAsia"/>
          <w:b/>
          <w:bCs/>
          <w:color w:val="auto"/>
          <w:kern w:val="2"/>
          <w:sz w:val="32"/>
          <w:szCs w:val="32"/>
          <w:lang w:val="en-US" w:eastAsia="zh-CN" w:bidi="ar-SA"/>
        </w:rPr>
        <w:t>自评</w:t>
      </w:r>
      <w:r>
        <w:rPr>
          <w:rFonts w:ascii="Times New Roman" w:eastAsia="方正小标宋简体" w:cs="Times New Roman" w:hAnsi="Times New Roman"/>
          <w:b/>
          <w:bCs/>
          <w:color w:val="auto"/>
          <w:kern w:val="2"/>
          <w:sz w:val="32"/>
          <w:szCs w:val="32"/>
          <w:lang w:val="en-US" w:eastAsia="zh-CN" w:bidi="ar-SA"/>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80"/>
        <w:contextualSpacing/>
        <w:jc w:val="left"/>
        <w:textAlignment w:val="auto"/>
        <w:outlineLvl w:val="9"/>
        <w:rPr>
          <w:rFonts w:ascii="Times New Roman" w:eastAsia="黑体" w:cs="Times New Roman" w:hAnsi="Times New Roman"/>
          <w:color w:val="000000"/>
          <w:kern w:val="0"/>
          <w:sz w:val="24"/>
          <w:szCs w:val="32"/>
          <w:shd w:val="clear" w:color="auto" w:fill="FFFFFF"/>
          <w:highlight w:val="auto"/>
        </w:rPr>
      </w:pP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b/>
          <w:color w:val="000000"/>
          <w:sz w:val="32"/>
          <w:szCs w:val="32"/>
          <w:lang w:val="en-US" w:eastAsia="zh-CN"/>
        </w:rPr>
      </w:pPr>
      <w:r>
        <w:rPr>
          <w:rFonts w:ascii="楷体" w:eastAsia="楷体" w:cs="楷体"/>
          <w:b/>
          <w:color w:val="000000"/>
          <w:sz w:val="32"/>
          <w:szCs w:val="32"/>
          <w:lang w:val="zh-CN" w:eastAsia="zh-CN"/>
        </w:rPr>
        <w:t>一、单位基本情况</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b/>
          <w:color w:val="000000"/>
          <w:sz w:val="30"/>
          <w:szCs w:val="30"/>
          <w:lang w:val="zh-CN" w:eastAsia="zh-CN"/>
        </w:rPr>
      </w:pPr>
      <w:r>
        <w:rPr>
          <w:rFonts w:ascii="楷体" w:eastAsia="楷体" w:cs="楷体"/>
          <w:b/>
          <w:color w:val="000000"/>
          <w:sz w:val="30"/>
          <w:szCs w:val="30"/>
          <w:lang w:val="zh-CN" w:eastAsia="zh-CN"/>
        </w:rPr>
        <w:t>（一）机构组成。</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firstLineChars="200" w:firstLine="600"/>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我单位为一级预算行政单位，执行政府单位会计制度。</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b/>
          <w:color w:val="000000"/>
          <w:sz w:val="30"/>
          <w:szCs w:val="30"/>
          <w:lang w:val="zh-CN" w:eastAsia="zh-CN"/>
        </w:rPr>
      </w:pPr>
      <w:r>
        <w:rPr>
          <w:rFonts w:ascii="楷体" w:eastAsia="楷体" w:cs="楷体" w:hint="eastAsia"/>
          <w:b/>
          <w:color w:val="000000"/>
          <w:sz w:val="30"/>
          <w:szCs w:val="30"/>
          <w:lang w:val="zh-CN" w:eastAsia="zh-CN"/>
        </w:rPr>
        <w:t>（</w:t>
      </w:r>
      <w:r>
        <w:rPr>
          <w:rFonts w:ascii="楷体" w:eastAsia="楷体" w:cs="楷体" w:hint="eastAsia"/>
          <w:b/>
          <w:color w:val="000000"/>
          <w:sz w:val="30"/>
          <w:szCs w:val="30"/>
          <w:lang w:val="en-US" w:eastAsia="zh-CN"/>
        </w:rPr>
        <w:t>二</w:t>
      </w:r>
      <w:r>
        <w:rPr>
          <w:rFonts w:ascii="楷体" w:eastAsia="楷体" w:cs="楷体" w:hint="eastAsia"/>
          <w:b/>
          <w:color w:val="000000"/>
          <w:sz w:val="30"/>
          <w:szCs w:val="30"/>
          <w:lang w:val="zh-CN" w:eastAsia="zh-CN"/>
        </w:rPr>
        <w:t>）</w:t>
      </w:r>
      <w:r>
        <w:rPr>
          <w:rFonts w:ascii="楷体" w:eastAsia="楷体" w:cs="楷体"/>
          <w:b/>
          <w:color w:val="000000"/>
          <w:sz w:val="30"/>
          <w:szCs w:val="30"/>
          <w:lang w:val="zh-CN" w:eastAsia="zh-CN"/>
        </w:rPr>
        <w:t>机构职能。</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1</w:t>
      </w:r>
      <w:r>
        <w:rPr>
          <w:rFonts w:ascii="仿宋_GB2312" w:eastAsia="仿宋_GB2312" w:cs="Times New Roman" w:hint="eastAsia"/>
          <w:color w:val="auto"/>
          <w:kern w:val="2"/>
          <w:sz w:val="30"/>
          <w:szCs w:val="30"/>
          <w:lang w:val="en-US" w:eastAsia="zh-CN" w:bidi="ar-SA"/>
        </w:rPr>
        <w:t>.</w:t>
      </w:r>
      <w:r>
        <w:rPr>
          <w:rFonts w:ascii="仿宋_GB2312" w:eastAsia="仿宋_GB2312" w:cs="Times New Roman"/>
          <w:color w:val="auto"/>
          <w:kern w:val="2"/>
          <w:sz w:val="30"/>
          <w:szCs w:val="30"/>
          <w:lang w:val="en-US" w:eastAsia="zh-CN" w:bidi="ar-SA"/>
        </w:rPr>
        <w:t>负责对参保单位、职工医疗保险政策的宣传和医疗保险业务人员的培训；</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2</w:t>
      </w:r>
      <w:r>
        <w:rPr>
          <w:rFonts w:ascii="仿宋_GB2312" w:eastAsia="仿宋_GB2312" w:cs="Times New Roman" w:hint="eastAsia"/>
          <w:color w:val="auto"/>
          <w:kern w:val="2"/>
          <w:sz w:val="30"/>
          <w:szCs w:val="30"/>
          <w:lang w:val="en-US" w:eastAsia="zh-CN" w:bidi="ar-SA"/>
        </w:rPr>
        <w:t>.</w:t>
      </w:r>
      <w:r>
        <w:rPr>
          <w:rFonts w:ascii="仿宋_GB2312" w:eastAsia="仿宋_GB2312" w:cs="Times New Roman"/>
          <w:color w:val="auto"/>
          <w:kern w:val="2"/>
          <w:sz w:val="30"/>
          <w:szCs w:val="30"/>
          <w:lang w:val="en-US" w:eastAsia="zh-CN" w:bidi="ar-SA"/>
        </w:rPr>
        <w:t>负责承办全县党政机关、事业单位、省、州、县企业的医疗保险参保登记、变更登记及参保职工医疗保险转移事项；</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3</w:t>
      </w:r>
      <w:r>
        <w:rPr>
          <w:rFonts w:ascii="仿宋_GB2312" w:eastAsia="仿宋_GB2312" w:cs="Times New Roman" w:hint="eastAsia"/>
          <w:color w:val="auto"/>
          <w:kern w:val="2"/>
          <w:sz w:val="30"/>
          <w:szCs w:val="30"/>
          <w:lang w:val="en-US" w:eastAsia="zh-CN" w:bidi="ar-SA"/>
        </w:rPr>
        <w:t>.</w:t>
      </w:r>
      <w:r>
        <w:rPr>
          <w:rFonts w:ascii="仿宋_GB2312" w:eastAsia="仿宋_GB2312" w:cs="Times New Roman"/>
          <w:color w:val="auto"/>
          <w:kern w:val="2"/>
          <w:sz w:val="30"/>
          <w:szCs w:val="30"/>
          <w:lang w:val="en-US" w:eastAsia="zh-CN" w:bidi="ar-SA"/>
        </w:rPr>
        <w:t>负责对各参保单位、灵活就业人员的基础资料进行审核，制定各单位的基金征缴计划，具体征收、管理和支付基本医疗保险基金、大病补充保险基金和公务员医疗补助金；</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4</w:t>
      </w:r>
      <w:r>
        <w:rPr>
          <w:rFonts w:ascii="仿宋_GB2312" w:eastAsia="仿宋_GB2312" w:cs="Times New Roman" w:hint="eastAsia"/>
          <w:color w:val="auto"/>
          <w:kern w:val="2"/>
          <w:sz w:val="30"/>
          <w:szCs w:val="30"/>
          <w:lang w:val="en-US" w:eastAsia="zh-CN" w:bidi="ar-SA"/>
        </w:rPr>
        <w:t>.</w:t>
      </w:r>
      <w:r>
        <w:rPr>
          <w:rFonts w:ascii="仿宋_GB2312" w:eastAsia="仿宋_GB2312" w:cs="Times New Roman"/>
          <w:color w:val="auto"/>
          <w:kern w:val="2"/>
          <w:sz w:val="30"/>
          <w:szCs w:val="30"/>
          <w:lang w:val="en-US" w:eastAsia="zh-CN" w:bidi="ar-SA"/>
        </w:rPr>
        <w:t>编制医疗保险基金收支预、决算报告，定期对基金收支情况进行分析、预测和内部审计，并向有关部门提供基金运行情况报告；</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5</w:t>
      </w:r>
      <w:r>
        <w:rPr>
          <w:rFonts w:ascii="仿宋_GB2312" w:eastAsia="仿宋_GB2312" w:cs="Times New Roman" w:hint="eastAsia"/>
          <w:color w:val="auto"/>
          <w:kern w:val="2"/>
          <w:sz w:val="30"/>
          <w:szCs w:val="30"/>
          <w:lang w:val="en-US" w:eastAsia="zh-CN" w:bidi="ar-SA"/>
        </w:rPr>
        <w:t>.</w:t>
      </w:r>
      <w:r>
        <w:rPr>
          <w:rFonts w:ascii="仿宋_GB2312" w:eastAsia="仿宋_GB2312" w:cs="Times New Roman"/>
          <w:color w:val="auto"/>
          <w:kern w:val="2"/>
          <w:sz w:val="30"/>
          <w:szCs w:val="30"/>
          <w:lang w:val="en-US" w:eastAsia="zh-CN" w:bidi="ar-SA"/>
        </w:rPr>
        <w:t>负责对参保人员建立、管理个人账户及个人账户的结算转移，核拨退休人员的个人账户资金；</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6</w:t>
      </w:r>
      <w:r>
        <w:rPr>
          <w:rFonts w:ascii="仿宋_GB2312" w:eastAsia="仿宋_GB2312" w:cs="Times New Roman" w:hint="eastAsia"/>
          <w:color w:val="auto"/>
          <w:kern w:val="2"/>
          <w:sz w:val="30"/>
          <w:szCs w:val="30"/>
          <w:lang w:val="en-US" w:eastAsia="zh-CN" w:bidi="ar-SA"/>
        </w:rPr>
        <w:t>.</w:t>
      </w:r>
      <w:r>
        <w:rPr>
          <w:rFonts w:ascii="仿宋_GB2312" w:eastAsia="仿宋_GB2312" w:cs="Times New Roman"/>
          <w:color w:val="auto"/>
          <w:kern w:val="2"/>
          <w:sz w:val="30"/>
          <w:szCs w:val="30"/>
          <w:lang w:val="en-US" w:eastAsia="zh-CN" w:bidi="ar-SA"/>
        </w:rPr>
        <w:t>配合有关部门审核确定定点医院、定点零售药店资格，签订定点协议，并对两定医疗机构进行监管；</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7</w:t>
      </w:r>
      <w:r>
        <w:rPr>
          <w:rFonts w:ascii="仿宋_GB2312" w:eastAsia="仿宋_GB2312" w:cs="Times New Roman" w:hint="eastAsia"/>
          <w:color w:val="auto"/>
          <w:kern w:val="2"/>
          <w:sz w:val="30"/>
          <w:szCs w:val="30"/>
          <w:lang w:val="en-US" w:eastAsia="zh-CN" w:bidi="ar-SA"/>
        </w:rPr>
        <w:t>.</w:t>
      </w:r>
      <w:r>
        <w:rPr>
          <w:rFonts w:ascii="仿宋_GB2312" w:eastAsia="仿宋_GB2312" w:cs="Times New Roman"/>
          <w:color w:val="auto"/>
          <w:kern w:val="2"/>
          <w:sz w:val="30"/>
          <w:szCs w:val="30"/>
          <w:lang w:val="en-US" w:eastAsia="zh-CN" w:bidi="ar-SA"/>
        </w:rPr>
        <w:t>负责参保人员各项医疗保险待遇的审核和医疗费用支付工作；</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Times New Roman" w:eastAsia="仿宋_GB2312" w:cs="Times New Roman" w:hAnsi="Times New Roman"/>
          <w:kern w:val="2"/>
          <w:sz w:val="32"/>
          <w:szCs w:val="32"/>
          <w:lang w:val="en-US" w:eastAsia="zh-CN" w:bidi="ar-SA"/>
        </w:rPr>
      </w:pPr>
      <w:r>
        <w:rPr>
          <w:rFonts w:ascii="Times New Roman" w:eastAsia="仿宋_GB2312" w:cs="Times New Roman" w:hAnsi="Times New Roman"/>
          <w:kern w:val="2"/>
          <w:sz w:val="32"/>
          <w:szCs w:val="32"/>
          <w:lang w:val="en-US" w:eastAsia="zh-CN" w:bidi="ar-SA"/>
        </w:rPr>
        <w:t>8</w:t>
      </w:r>
      <w:r>
        <w:rPr>
          <w:rFonts w:ascii="Times New Roman" w:eastAsia="仿宋_GB2312" w:cs="Times New Roman" w:hAnsi="Times New Roman" w:hint="eastAsia"/>
          <w:kern w:val="2"/>
          <w:sz w:val="32"/>
          <w:szCs w:val="32"/>
          <w:lang w:val="en-US" w:eastAsia="zh-CN" w:bidi="ar-SA"/>
        </w:rPr>
        <w:t>.</w:t>
      </w:r>
      <w:r>
        <w:rPr>
          <w:rFonts w:ascii="Times New Roman" w:eastAsia="仿宋_GB2312" w:cs="Times New Roman" w:hAnsi="Times New Roman"/>
          <w:kern w:val="2"/>
          <w:sz w:val="32"/>
          <w:szCs w:val="32"/>
          <w:lang w:val="en-US" w:eastAsia="zh-CN" w:bidi="ar-SA"/>
        </w:rPr>
        <w:t>开展对参保单位办理参保登记和缴费基数。职工人数、财务状况等的稽核工作；</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Times New Roman" w:eastAsia="楷体_GB2312" w:cs="Times New Roman" w:hAnsi="Times New Roman"/>
          <w:b/>
          <w:bCs/>
          <w:color w:val="000000"/>
          <w:kern w:val="0"/>
          <w:szCs w:val="32"/>
          <w:shd w:val="clear" w:color="auto" w:fill="FFFFFF"/>
          <w:lang w:val="zh-CN"/>
          <w:highlight w:val="auto"/>
        </w:rPr>
      </w:pPr>
      <w:r>
        <w:rPr>
          <w:rFonts w:ascii="Times New Roman" w:eastAsia="仿宋_GB2312" w:cs="Times New Roman" w:hAnsi="Times New Roman"/>
          <w:kern w:val="2"/>
          <w:sz w:val="32"/>
          <w:szCs w:val="32"/>
          <w:lang w:val="en-US" w:eastAsia="zh-CN" w:bidi="ar-SA"/>
        </w:rPr>
        <w:t>9</w:t>
      </w:r>
      <w:r>
        <w:rPr>
          <w:rFonts w:ascii="Times New Roman" w:eastAsia="仿宋_GB2312" w:cs="Times New Roman" w:hAnsi="Times New Roman" w:hint="eastAsia"/>
          <w:kern w:val="2"/>
          <w:sz w:val="32"/>
          <w:szCs w:val="32"/>
          <w:lang w:val="en-US" w:eastAsia="zh-CN" w:bidi="ar-SA"/>
        </w:rPr>
        <w:t>.</w:t>
      </w:r>
      <w:r>
        <w:rPr>
          <w:rFonts w:ascii="Times New Roman" w:eastAsia="仿宋_GB2312" w:cs="Times New Roman" w:hAnsi="Times New Roman"/>
          <w:kern w:val="2"/>
          <w:sz w:val="32"/>
          <w:szCs w:val="32"/>
          <w:lang w:val="en-US" w:eastAsia="zh-CN" w:bidi="ar-SA"/>
        </w:rPr>
        <w:t>负责全县机关事业单位和县属企业的老红军、离休干部</w:t>
      </w:r>
      <w:r>
        <w:rPr>
          <w:rFonts w:ascii="Times New Roman" w:eastAsia="仿宋_GB2312" w:cs="Times New Roman" w:hAnsi="Times New Roman" w:hint="eastAsia"/>
          <w:kern w:val="2"/>
          <w:sz w:val="32"/>
          <w:szCs w:val="32"/>
          <w:lang w:val="en-US" w:eastAsia="zh-CN" w:bidi="ar-SA"/>
        </w:rPr>
        <w:t>人员</w:t>
      </w:r>
      <w:r>
        <w:rPr>
          <w:rFonts w:ascii="Times New Roman" w:eastAsia="仿宋_GB2312" w:cs="Times New Roman" w:hAnsi="Times New Roman"/>
          <w:kern w:val="2"/>
          <w:sz w:val="32"/>
          <w:szCs w:val="32"/>
          <w:lang w:val="en-US" w:eastAsia="zh-CN" w:bidi="ar-SA"/>
        </w:rPr>
        <w:t>医疗费用统筹管理。</w:t>
      </w:r>
    </w:p>
    <w:p>
      <w:pPr>
        <w:keepNext w:val="0"/>
        <w:keepLines w:val="0"/>
        <w:widowControl w:val="0"/>
        <w:suppressLineNumbers w:val="0"/>
        <w:spacing w:before="0" w:beforeAutospacing="0" w:after="0" w:afterAutospacing="0" w:line="600" w:lineRule="exact"/>
        <w:ind w:left="0" w:right="0" w:firstLineChars="200" w:firstLine="600"/>
        <w:jc w:val="both"/>
        <w:rPr>
          <w:rFonts w:ascii="楷体" w:eastAsia="楷体" w:cs="楷体"/>
          <w:b/>
          <w:color w:val="000000"/>
          <w:sz w:val="30"/>
          <w:szCs w:val="30"/>
          <w:lang w:val="zh-CN" w:eastAsia="zh-CN"/>
        </w:rPr>
      </w:pPr>
      <w:r>
        <w:rPr>
          <w:rFonts w:ascii="楷体" w:eastAsia="楷体" w:cs="楷体" w:hint="eastAsia"/>
          <w:b/>
          <w:color w:val="000000"/>
          <w:sz w:val="30"/>
          <w:szCs w:val="30"/>
          <w:lang w:val="zh-CN" w:eastAsia="zh-CN"/>
        </w:rPr>
        <w:t>（</w:t>
      </w:r>
      <w:r>
        <w:rPr>
          <w:rFonts w:ascii="楷体" w:eastAsia="楷体" w:cs="楷体" w:hint="eastAsia"/>
          <w:b/>
          <w:color w:val="000000"/>
          <w:sz w:val="30"/>
          <w:szCs w:val="30"/>
          <w:lang w:val="en-US" w:eastAsia="zh-CN"/>
        </w:rPr>
        <w:t>三</w:t>
      </w:r>
      <w:r>
        <w:rPr>
          <w:rFonts w:ascii="楷体" w:eastAsia="楷体" w:cs="楷体" w:hint="eastAsia"/>
          <w:b/>
          <w:color w:val="000000"/>
          <w:sz w:val="30"/>
          <w:szCs w:val="30"/>
          <w:lang w:val="zh-CN" w:eastAsia="zh-CN"/>
        </w:rPr>
        <w:t>）</w:t>
      </w:r>
      <w:r>
        <w:rPr>
          <w:rFonts w:ascii="楷体" w:eastAsia="楷体" w:cs="楷体"/>
          <w:b/>
          <w:color w:val="000000"/>
          <w:sz w:val="30"/>
          <w:szCs w:val="30"/>
          <w:lang w:val="zh-CN" w:eastAsia="zh-CN"/>
        </w:rPr>
        <w:t>人员概况。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人员编制数21人，其中：公务员4人，参公9人（机关工勤1人），事业8人。202</w:t>
      </w:r>
      <w:r>
        <w:rPr>
          <w:rFonts w:ascii="仿宋_GB2312" w:eastAsia="仿宋_GB2312" w:cs="Times New Roman" w:hint="eastAsia"/>
          <w:color w:val="auto"/>
          <w:kern w:val="2"/>
          <w:sz w:val="30"/>
          <w:szCs w:val="30"/>
          <w:lang w:val="en-US" w:eastAsia="zh-CN" w:bidi="ar-SA"/>
        </w:rPr>
        <w:t>4</w:t>
      </w:r>
      <w:r>
        <w:rPr>
          <w:rFonts w:ascii="仿宋_GB2312" w:eastAsia="仿宋_GB2312" w:cs="Times New Roman"/>
          <w:color w:val="auto"/>
          <w:kern w:val="2"/>
          <w:sz w:val="30"/>
          <w:szCs w:val="30"/>
          <w:lang w:val="en-US" w:eastAsia="zh-CN" w:bidi="ar-SA"/>
        </w:rPr>
        <w:t>年末实有</w:t>
      </w:r>
      <w:r>
        <w:rPr>
          <w:rFonts w:ascii="仿宋_GB2312" w:eastAsia="仿宋_GB2312" w:cs="Times New Roman" w:hint="eastAsia"/>
          <w:color w:val="auto"/>
          <w:kern w:val="2"/>
          <w:sz w:val="30"/>
          <w:szCs w:val="30"/>
          <w:lang w:val="en-US" w:eastAsia="zh-CN" w:bidi="ar-SA"/>
        </w:rPr>
        <w:t>人数</w:t>
      </w:r>
      <w:r>
        <w:rPr>
          <w:rFonts w:ascii="仿宋_GB2312" w:eastAsia="仿宋_GB2312" w:cs="Times New Roman"/>
          <w:color w:val="auto"/>
          <w:kern w:val="2"/>
          <w:sz w:val="30"/>
          <w:szCs w:val="30"/>
          <w:lang w:val="en-US" w:eastAsia="zh-CN" w:bidi="ar-SA"/>
        </w:rPr>
        <w:t>2</w:t>
      </w:r>
      <w:r>
        <w:rPr>
          <w:rFonts w:ascii="仿宋_GB2312" w:eastAsia="仿宋_GB2312" w:cs="Times New Roman" w:hint="eastAsia"/>
          <w:color w:val="auto"/>
          <w:kern w:val="2"/>
          <w:sz w:val="30"/>
          <w:szCs w:val="30"/>
          <w:lang w:val="en-US" w:eastAsia="zh-CN" w:bidi="ar-SA"/>
        </w:rPr>
        <w:t>0</w:t>
      </w:r>
      <w:r>
        <w:rPr>
          <w:rFonts w:ascii="仿宋_GB2312" w:eastAsia="仿宋_GB2312" w:cs="Times New Roman"/>
          <w:color w:val="auto"/>
          <w:kern w:val="2"/>
          <w:sz w:val="30"/>
          <w:szCs w:val="30"/>
          <w:lang w:val="en-US" w:eastAsia="zh-CN" w:bidi="ar-SA"/>
        </w:rPr>
        <w:t>人,其中：公务员4人， 参公</w:t>
      </w:r>
      <w:r>
        <w:rPr>
          <w:rFonts w:ascii="仿宋_GB2312" w:eastAsia="仿宋_GB2312" w:cs="Times New Roman" w:hint="eastAsia"/>
          <w:color w:val="auto"/>
          <w:kern w:val="2"/>
          <w:sz w:val="30"/>
          <w:szCs w:val="30"/>
          <w:lang w:val="en-US" w:eastAsia="zh-CN" w:bidi="ar-SA"/>
        </w:rPr>
        <w:t>7</w:t>
      </w:r>
      <w:r>
        <w:rPr>
          <w:rFonts w:ascii="仿宋_GB2312" w:eastAsia="仿宋_GB2312" w:cs="Times New Roman"/>
          <w:color w:val="auto"/>
          <w:kern w:val="2"/>
          <w:sz w:val="30"/>
          <w:szCs w:val="30"/>
          <w:lang w:val="en-US" w:eastAsia="zh-CN" w:bidi="ar-SA"/>
        </w:rPr>
        <w:t>人（机关工勤1人），事业8人。</w:t>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b/>
          <w:color w:val="000000"/>
          <w:sz w:val="32"/>
          <w:szCs w:val="32"/>
          <w:lang w:val="en-US" w:eastAsia="zh-CN"/>
        </w:rPr>
      </w:pPr>
      <w:r>
        <w:rPr>
          <w:rFonts w:ascii="楷体" w:eastAsia="楷体" w:cs="楷体"/>
          <w:b/>
          <w:color w:val="000000"/>
          <w:sz w:val="32"/>
          <w:szCs w:val="32"/>
          <w:lang w:val="en-US" w:eastAsia="zh-CN"/>
        </w:rPr>
        <w:t>二、部门资金收支情况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Times New Roman" w:eastAsia="楷体_GB2312" w:cs="Times New Roman" w:hAnsi="Times New Roman"/>
          <w:b/>
          <w:bCs/>
          <w:color w:val="000000"/>
          <w:kern w:val="0"/>
          <w:szCs w:val="32"/>
          <w:shd w:val="clear" w:color="auto" w:fill="FFFFFF"/>
          <w:lang w:val="zh-CN"/>
          <w:highlight w:val="auto"/>
        </w:rPr>
      </w:pPr>
      <w:r>
        <w:rPr>
          <w:rFonts w:ascii="楷体" w:eastAsia="楷体" w:cs="楷体"/>
          <w:b/>
          <w:color w:val="000000"/>
          <w:sz w:val="30"/>
          <w:szCs w:val="30"/>
          <w:lang w:val="zh-CN" w:eastAsia="zh-CN"/>
        </w:rPr>
        <w:t>（一）收入情况。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2024年医疗保障局本年收入合计497.22万元，其中：财政拨款收入497.22万元，占总收入100%；事业收入0万元，占总收入0%；经营收入0万元占总收入0%；附属单位上缴收入0万元占总收入0%；其他收入0万元占总收入0%。</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zh-CN" w:eastAsia="zh-CN"/>
        </w:rPr>
      </w:pPr>
      <w:r>
        <w:rPr>
          <w:rFonts w:ascii="楷体" w:eastAsia="楷体" w:cs="楷体" w:hint="eastAsia"/>
          <w:b/>
          <w:color w:val="000000"/>
          <w:sz w:val="30"/>
          <w:szCs w:val="30"/>
          <w:lang w:val="zh-CN" w:eastAsia="zh-CN"/>
        </w:rPr>
        <w:t>（</w:t>
      </w:r>
      <w:r>
        <w:rPr>
          <w:rFonts w:ascii="楷体" w:eastAsia="楷体" w:cs="楷体" w:hint="eastAsia"/>
          <w:b/>
          <w:color w:val="000000"/>
          <w:sz w:val="30"/>
          <w:szCs w:val="30"/>
          <w:lang w:val="en-US" w:eastAsia="zh-CN"/>
        </w:rPr>
        <w:t>二</w:t>
      </w:r>
      <w:r>
        <w:rPr>
          <w:rFonts w:ascii="楷体" w:eastAsia="楷体" w:cs="楷体" w:hint="eastAsia"/>
          <w:b/>
          <w:color w:val="000000"/>
          <w:sz w:val="30"/>
          <w:szCs w:val="30"/>
          <w:lang w:val="zh-CN" w:eastAsia="zh-CN"/>
        </w:rPr>
        <w:t>）</w:t>
      </w:r>
      <w:r>
        <w:rPr>
          <w:rFonts w:ascii="楷体" w:eastAsia="楷体" w:cs="楷体"/>
          <w:b/>
          <w:color w:val="000000"/>
          <w:sz w:val="30"/>
          <w:szCs w:val="30"/>
          <w:lang w:val="zh-CN" w:eastAsia="zh-CN"/>
        </w:rPr>
        <w:t>支出情况。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Chars="200" w:firstLine="600"/>
        <w:jc w:val="both"/>
        <w:textAlignment w:val="auto"/>
        <w:rPr>
          <w:rFonts w:ascii="仿宋_GB2312" w:eastAsia="仿宋_GB2312" w:cs="Times New Roman"/>
          <w:color w:val="auto"/>
          <w:kern w:val="2"/>
          <w:sz w:val="30"/>
          <w:szCs w:val="30"/>
          <w:lang w:val="zh-CN" w:eastAsia="zh-CN" w:bidi="ar-SA"/>
        </w:rPr>
      </w:pPr>
      <w:r>
        <w:rPr>
          <w:rFonts w:ascii="仿宋_GB2312" w:eastAsia="仿宋_GB2312" w:cs="Times New Roman" w:hint="eastAsia"/>
          <w:color w:val="auto"/>
          <w:kern w:val="2"/>
          <w:sz w:val="30"/>
          <w:szCs w:val="30"/>
          <w:lang w:val="en-US" w:eastAsia="zh-CN" w:bidi="ar-SA"/>
        </w:rPr>
        <w:t>2024年医疗保障局本年支出合计497.22万元，其中：基本支出445.58万元，占总支出89.61%；项目支出51.64万元，占总支出10.39%。</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zh-CN" w:eastAsia="zh-CN"/>
        </w:rPr>
      </w:pPr>
      <w:r>
        <w:rPr>
          <w:rFonts w:ascii="楷体" w:eastAsia="楷体" w:cs="楷体" w:hint="eastAsia"/>
          <w:b/>
          <w:color w:val="000000"/>
          <w:sz w:val="30"/>
          <w:szCs w:val="30"/>
          <w:lang w:val="zh-CN" w:eastAsia="zh-CN"/>
        </w:rPr>
        <w:t>（</w:t>
      </w:r>
      <w:r>
        <w:rPr>
          <w:rFonts w:ascii="楷体" w:eastAsia="楷体" w:cs="楷体" w:hint="eastAsia"/>
          <w:b/>
          <w:color w:val="000000"/>
          <w:sz w:val="30"/>
          <w:szCs w:val="30"/>
          <w:lang w:val="en-US" w:eastAsia="zh-CN"/>
        </w:rPr>
        <w:t>三</w:t>
      </w:r>
      <w:r>
        <w:rPr>
          <w:rFonts w:ascii="楷体" w:eastAsia="楷体" w:cs="楷体" w:hint="eastAsia"/>
          <w:b/>
          <w:color w:val="000000"/>
          <w:sz w:val="30"/>
          <w:szCs w:val="30"/>
          <w:lang w:val="zh-CN" w:eastAsia="zh-CN"/>
        </w:rPr>
        <w:t>）</w:t>
      </w:r>
      <w:r>
        <w:rPr>
          <w:rFonts w:ascii="楷体" w:eastAsia="楷体" w:cs="楷体"/>
          <w:b/>
          <w:color w:val="000000"/>
          <w:sz w:val="30"/>
          <w:szCs w:val="30"/>
          <w:lang w:val="zh-CN" w:eastAsia="zh-CN"/>
        </w:rPr>
        <w:t>结余分配和结转结余情况。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00"/>
        <w:contextualSpacing/>
        <w:jc w:val="left"/>
        <w:textAlignment w:val="auto"/>
        <w:outlineLvl w:val="9"/>
        <w:rPr>
          <w:rFonts w:ascii="Times New Roman" w:eastAsia="仿宋_GB2312" w:cs="Times New Roman" w:hAnsi="Times New Roman"/>
          <w:b w:val="0"/>
          <w:bCs w:val="0"/>
          <w:color w:val="000000"/>
          <w:kern w:val="0"/>
          <w:szCs w:val="32"/>
          <w:shd w:val="clear" w:color="auto" w:fill="FFFFFF"/>
          <w:lang w:val="zh-CN" w:eastAsia="zh-CN"/>
          <w:highlight w:val="auto"/>
        </w:rPr>
      </w:pPr>
      <w:r>
        <w:rPr>
          <w:rFonts w:ascii="仿宋_GB2312" w:eastAsia="仿宋_GB2312" w:cs="Times New Roman"/>
          <w:color w:val="auto"/>
          <w:kern w:val="2"/>
          <w:sz w:val="30"/>
          <w:szCs w:val="30"/>
          <w:lang w:val="en-US" w:eastAsia="zh-CN" w:bidi="ar-SA"/>
        </w:rPr>
        <w:t>医疗保障局202</w:t>
      </w:r>
      <w:r>
        <w:rPr>
          <w:rFonts w:ascii="仿宋_GB2312" w:eastAsia="仿宋_GB2312" w:cs="Times New Roman" w:hint="eastAsia"/>
          <w:color w:val="auto"/>
          <w:kern w:val="2"/>
          <w:sz w:val="30"/>
          <w:szCs w:val="30"/>
          <w:lang w:val="en-US" w:eastAsia="zh-CN" w:bidi="ar-SA"/>
        </w:rPr>
        <w:t>4</w:t>
      </w:r>
      <w:r>
        <w:rPr>
          <w:rFonts w:ascii="仿宋_GB2312" w:eastAsia="仿宋_GB2312" w:cs="Times New Roman"/>
          <w:color w:val="auto"/>
          <w:kern w:val="2"/>
          <w:sz w:val="30"/>
          <w:szCs w:val="30"/>
          <w:lang w:val="en-US" w:eastAsia="zh-CN" w:bidi="ar-SA"/>
        </w:rPr>
        <w:t>年决算报表结转结余为0元。</w:t>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b/>
          <w:color w:val="000000"/>
          <w:sz w:val="32"/>
          <w:szCs w:val="32"/>
          <w:lang w:val="en-US" w:eastAsia="zh-CN"/>
        </w:rPr>
      </w:pPr>
      <w:r>
        <w:rPr>
          <w:rFonts w:ascii="楷体" w:eastAsia="楷体" w:cs="楷体"/>
          <w:b/>
          <w:color w:val="000000"/>
          <w:sz w:val="32"/>
          <w:szCs w:val="32"/>
          <w:lang w:val="en-US" w:eastAsia="zh-CN"/>
        </w:rPr>
        <w:t>三、部门预算绩效分析</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zh-CN" w:eastAsia="zh-CN"/>
        </w:rPr>
      </w:pPr>
      <w:r>
        <w:rPr>
          <w:rFonts w:ascii="楷体" w:eastAsia="楷体" w:cs="楷体"/>
          <w:b/>
          <w:color w:val="000000"/>
          <w:sz w:val="30"/>
          <w:szCs w:val="30"/>
          <w:lang w:val="zh-CN" w:eastAsia="zh-CN"/>
        </w:rPr>
        <w:t>（一）部门预算总体绩效分析。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zh-CN" w:eastAsia="zh-CN" w:bidi="ar-SA"/>
        </w:rPr>
      </w:pPr>
      <w:r>
        <w:rPr>
          <w:rFonts w:ascii="仿宋_GB2312" w:eastAsia="仿宋_GB2312" w:cs="Times New Roman" w:hint="eastAsia"/>
          <w:color w:val="auto"/>
          <w:kern w:val="2"/>
          <w:sz w:val="30"/>
          <w:szCs w:val="30"/>
          <w:lang w:val="en-US" w:eastAsia="zh-CN" w:bidi="ar-SA"/>
        </w:rPr>
        <w:t>我单位积极履职，强化管理，较好地完成了年度工作目标。通过加强预算收支管理，不断建立健全内部管理制度，梳理内部管理流程，部门整体支出管理水平得到提升。根据部门整体支出绩效评价指标体系，我单位2024年度部门预算绩效评价体系得分为97.40分。部门整体支出绩效情况如下：</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b/>
          <w:bCs/>
          <w:color w:val="auto"/>
          <w:kern w:val="2"/>
          <w:sz w:val="32"/>
          <w:szCs w:val="32"/>
          <w:lang w:val="zh-CN" w:eastAsia="zh-CN" w:bidi="ar-SA"/>
        </w:rPr>
      </w:pPr>
      <w:r>
        <w:rPr>
          <w:rFonts w:ascii="仿宋_GB2312" w:eastAsia="仿宋_GB2312" w:cs="仿宋_GB2312" w:hint="eastAsia"/>
          <w:b/>
          <w:bCs/>
          <w:color w:val="auto"/>
          <w:kern w:val="2"/>
          <w:sz w:val="32"/>
          <w:szCs w:val="32"/>
          <w:lang w:val="en-US" w:eastAsia="zh-CN" w:bidi="ar-SA"/>
        </w:rPr>
        <w:t>1.</w:t>
      </w:r>
      <w:r>
        <w:rPr>
          <w:rFonts w:ascii="仿宋_GB2312" w:eastAsia="仿宋_GB2312" w:cs="仿宋_GB2312"/>
          <w:b/>
          <w:bCs/>
          <w:color w:val="auto"/>
          <w:kern w:val="2"/>
          <w:sz w:val="32"/>
          <w:szCs w:val="32"/>
          <w:lang w:val="zh-CN" w:eastAsia="zh-CN" w:bidi="ar-SA"/>
        </w:rPr>
        <w:t>履职效能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w:t>
      </w:r>
      <w:r>
        <w:rPr>
          <w:rFonts w:ascii="仿宋_GB2312" w:eastAsia="仿宋_GB2312" w:cs="Times New Roman" w:hint="eastAsia"/>
          <w:color w:val="auto"/>
          <w:kern w:val="2"/>
          <w:sz w:val="30"/>
          <w:szCs w:val="30"/>
          <w:lang w:val="en-US" w:eastAsia="zh-CN" w:bidi="ar-SA"/>
        </w:rPr>
        <w:t>1</w:t>
      </w:r>
      <w:r>
        <w:rPr>
          <w:rFonts w:ascii="仿宋_GB2312" w:eastAsia="仿宋_GB2312" w:cs="Times New Roman" w:hint="eastAsia"/>
          <w:color w:val="auto"/>
          <w:kern w:val="2"/>
          <w:sz w:val="30"/>
          <w:szCs w:val="30"/>
          <w:lang w:val="zh-CN" w:eastAsia="zh-CN" w:bidi="ar-SA"/>
        </w:rPr>
        <w:t>）工资性支出履职效果，严格执行相关政策，工资及时、足额发放；社保及时、足额缴纳，预算编制科学合理，无结余资金。工资</w:t>
      </w:r>
      <w:r>
        <w:rPr>
          <w:rFonts w:ascii="仿宋_GB2312" w:eastAsia="仿宋_GB2312" w:cs="Times New Roman" w:hint="eastAsia"/>
          <w:color w:val="auto"/>
          <w:kern w:val="2"/>
          <w:sz w:val="30"/>
          <w:szCs w:val="30"/>
          <w:lang w:val="en-US" w:eastAsia="zh-CN" w:bidi="ar-SA"/>
        </w:rPr>
        <w:t>福利</w:t>
      </w:r>
      <w:r>
        <w:rPr>
          <w:rFonts w:ascii="仿宋_GB2312" w:eastAsia="仿宋_GB2312" w:cs="Times New Roman" w:hint="eastAsia"/>
          <w:color w:val="auto"/>
          <w:kern w:val="2"/>
          <w:sz w:val="30"/>
          <w:szCs w:val="30"/>
          <w:lang w:val="zh-CN" w:eastAsia="zh-CN" w:bidi="ar-SA"/>
        </w:rPr>
        <w:t>支出共</w:t>
      </w:r>
      <w:r>
        <w:rPr>
          <w:rFonts w:ascii="仿宋_GB2312" w:eastAsia="仿宋_GB2312" w:cs="Times New Roman" w:hint="eastAsia"/>
          <w:color w:val="auto"/>
          <w:kern w:val="2"/>
          <w:sz w:val="30"/>
          <w:szCs w:val="30"/>
          <w:lang w:val="en-US" w:eastAsia="zh-CN" w:bidi="ar-SA"/>
        </w:rPr>
        <w:t>428.83万元。决算数小于预算数的原因人员减少。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zh-CN" w:eastAsia="zh-CN" w:bidi="ar-SA"/>
        </w:rPr>
        <w:t>（</w:t>
      </w:r>
      <w:r>
        <w:rPr>
          <w:rFonts w:ascii="仿宋_GB2312" w:eastAsia="仿宋_GB2312" w:cs="Times New Roman" w:hint="eastAsia"/>
          <w:color w:val="auto"/>
          <w:kern w:val="2"/>
          <w:sz w:val="30"/>
          <w:szCs w:val="30"/>
          <w:lang w:val="en-US" w:eastAsia="zh-CN" w:bidi="ar-SA"/>
        </w:rPr>
        <w:t>2</w:t>
      </w:r>
      <w:r>
        <w:rPr>
          <w:rFonts w:ascii="仿宋_GB2312" w:eastAsia="仿宋_GB2312" w:cs="Times New Roman" w:hint="eastAsia"/>
          <w:color w:val="auto"/>
          <w:kern w:val="2"/>
          <w:sz w:val="30"/>
          <w:szCs w:val="30"/>
          <w:lang w:val="zh-CN" w:eastAsia="zh-CN" w:bidi="ar-SA"/>
        </w:rPr>
        <w:t>）日常公用经费履职效果，严格执行预算，保障单位日常运转。日常公用经费共</w:t>
      </w:r>
      <w:r>
        <w:rPr>
          <w:rFonts w:ascii="仿宋_GB2312" w:eastAsia="仿宋_GB2312" w:cs="Times New Roman" w:hint="eastAsia"/>
          <w:color w:val="auto"/>
          <w:kern w:val="2"/>
          <w:sz w:val="30"/>
          <w:szCs w:val="30"/>
          <w:lang w:val="en-US" w:eastAsia="zh-CN" w:bidi="ar-SA"/>
        </w:rPr>
        <w:t>支出14.79万元。决算数小于预算数的原因为2024年无公务接待费。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（3）部门项目</w:t>
      </w:r>
      <w:r>
        <w:rPr>
          <w:rFonts w:ascii="仿宋_GB2312" w:eastAsia="仿宋_GB2312" w:cs="Times New Roman" w:hint="eastAsia"/>
          <w:color w:val="auto"/>
          <w:kern w:val="2"/>
          <w:sz w:val="30"/>
          <w:szCs w:val="30"/>
          <w:lang w:val="zh-CN" w:eastAsia="zh-CN" w:bidi="ar-SA"/>
        </w:rPr>
        <w:t>履职效果，</w:t>
      </w:r>
      <w:r>
        <w:rPr>
          <w:rFonts w:ascii="仿宋_GB2312" w:eastAsia="仿宋_GB2312" w:cs="Times New Roman" w:hint="eastAsia"/>
          <w:color w:val="auto"/>
          <w:kern w:val="2"/>
          <w:sz w:val="30"/>
          <w:szCs w:val="30"/>
          <w:lang w:val="en-US" w:eastAsia="zh-CN" w:bidi="ar-SA"/>
        </w:rPr>
        <w:t>部门项目严格按照中央、省、州、县级标准预算，做到应纳尽纳。项目资金实行专款专用，严格按照规定执行、使用资金。</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b/>
          <w:bCs/>
          <w:color w:val="auto"/>
          <w:kern w:val="2"/>
          <w:sz w:val="32"/>
          <w:szCs w:val="32"/>
          <w:lang w:val="zh-CN" w:eastAsia="zh-CN" w:bidi="ar-SA"/>
        </w:rPr>
      </w:pPr>
      <w:r>
        <w:rPr>
          <w:rFonts w:ascii="仿宋_GB2312" w:eastAsia="仿宋_GB2312" w:cs="仿宋_GB2312"/>
          <w:b/>
          <w:bCs/>
          <w:color w:val="auto"/>
          <w:kern w:val="2"/>
          <w:sz w:val="32"/>
          <w:szCs w:val="32"/>
          <w:lang w:val="en-US" w:eastAsia="zh-CN" w:bidi="ar-SA"/>
        </w:rPr>
        <w:t>2.</w:t>
      </w:r>
      <w:r>
        <w:rPr>
          <w:rFonts w:ascii="仿宋_GB2312" w:eastAsia="仿宋_GB2312" w:cs="仿宋_GB2312"/>
          <w:b/>
          <w:bCs/>
          <w:color w:val="auto"/>
          <w:kern w:val="2"/>
          <w:sz w:val="32"/>
          <w:szCs w:val="32"/>
          <w:lang w:val="zh-CN" w:eastAsia="zh-CN" w:bidi="ar-SA"/>
        </w:rPr>
        <w:t>预算管理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w:t>
      </w:r>
      <w:r>
        <w:rPr>
          <w:rFonts w:ascii="仿宋_GB2312" w:eastAsia="仿宋_GB2312" w:cs="Times New Roman" w:hint="eastAsia"/>
          <w:color w:val="auto"/>
          <w:kern w:val="2"/>
          <w:sz w:val="30"/>
          <w:szCs w:val="30"/>
          <w:lang w:val="en-US" w:eastAsia="zh-CN" w:bidi="ar-SA"/>
        </w:rPr>
        <w:t>1</w:t>
      </w:r>
      <w:r>
        <w:rPr>
          <w:rFonts w:ascii="仿宋_GB2312" w:eastAsia="仿宋_GB2312" w:cs="Times New Roman" w:hint="eastAsia"/>
          <w:color w:val="auto"/>
          <w:kern w:val="2"/>
          <w:sz w:val="30"/>
          <w:szCs w:val="30"/>
          <w:lang w:val="zh-CN" w:eastAsia="zh-CN" w:bidi="ar-SA"/>
        </w:rPr>
        <w:t>）预算编制质量，严格按要求科学准确的编制年初部门预算</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zh-CN" w:eastAsia="zh-CN" w:bidi="ar-SA"/>
        </w:rPr>
        <w:t>（</w:t>
      </w:r>
      <w:r>
        <w:rPr>
          <w:rFonts w:ascii="仿宋_GB2312" w:eastAsia="仿宋_GB2312" w:cs="Times New Roman" w:hint="eastAsia"/>
          <w:color w:val="auto"/>
          <w:kern w:val="2"/>
          <w:sz w:val="30"/>
          <w:szCs w:val="30"/>
          <w:lang w:val="en-US" w:eastAsia="zh-CN" w:bidi="ar-SA"/>
        </w:rPr>
        <w:t>2</w:t>
      </w:r>
      <w:r>
        <w:rPr>
          <w:rFonts w:ascii="仿宋_GB2312" w:eastAsia="仿宋_GB2312" w:cs="Times New Roman" w:hint="eastAsia"/>
          <w:color w:val="auto"/>
          <w:kern w:val="2"/>
          <w:sz w:val="30"/>
          <w:szCs w:val="30"/>
          <w:lang w:val="zh-CN" w:eastAsia="zh-CN" w:bidi="ar-SA"/>
        </w:rPr>
        <w:t>）单位收入统筹，本单位收入为财政拨款收入。本年度财政拨款收入</w:t>
      </w:r>
      <w:r>
        <w:rPr>
          <w:rFonts w:ascii="仿宋_GB2312" w:eastAsia="仿宋_GB2312" w:cs="Times New Roman" w:hint="eastAsia"/>
          <w:color w:val="auto"/>
          <w:kern w:val="2"/>
          <w:sz w:val="30"/>
          <w:szCs w:val="30"/>
          <w:lang w:val="en-US" w:eastAsia="zh-CN" w:bidi="ar-SA"/>
        </w:rPr>
        <w:t>497.22万元。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w:t>
      </w:r>
      <w:r>
        <w:rPr>
          <w:rFonts w:ascii="仿宋_GB2312" w:eastAsia="仿宋_GB2312" w:cs="Times New Roman" w:hint="eastAsia"/>
          <w:color w:val="auto"/>
          <w:kern w:val="2"/>
          <w:sz w:val="30"/>
          <w:szCs w:val="30"/>
          <w:lang w:val="en-US" w:eastAsia="zh-CN" w:bidi="ar-SA"/>
        </w:rPr>
        <w:t>3</w:t>
      </w:r>
      <w:r>
        <w:rPr>
          <w:rFonts w:ascii="仿宋_GB2312" w:eastAsia="仿宋_GB2312" w:cs="Times New Roman" w:hint="eastAsia"/>
          <w:color w:val="auto"/>
          <w:kern w:val="2"/>
          <w:sz w:val="30"/>
          <w:szCs w:val="30"/>
          <w:lang w:val="zh-CN" w:eastAsia="zh-CN" w:bidi="ar-SA"/>
        </w:rPr>
        <w:t>）支出执行进度，严格执行预算，保障单位日常运转，保障工资及时、足额发放或社保及时、足额缴纳。</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w:t>
      </w:r>
      <w:r>
        <w:rPr>
          <w:rFonts w:ascii="仿宋_GB2312" w:eastAsia="仿宋_GB2312" w:cs="Times New Roman" w:hint="eastAsia"/>
          <w:color w:val="auto"/>
          <w:kern w:val="2"/>
          <w:sz w:val="30"/>
          <w:szCs w:val="30"/>
          <w:lang w:val="en-US" w:eastAsia="zh-CN" w:bidi="ar-SA"/>
        </w:rPr>
        <w:t>4</w:t>
      </w:r>
      <w:r>
        <w:rPr>
          <w:rFonts w:ascii="仿宋_GB2312" w:eastAsia="仿宋_GB2312" w:cs="Times New Roman" w:hint="eastAsia"/>
          <w:color w:val="auto"/>
          <w:kern w:val="2"/>
          <w:sz w:val="30"/>
          <w:szCs w:val="30"/>
          <w:lang w:val="zh-CN" w:eastAsia="zh-CN" w:bidi="ar-SA"/>
        </w:rPr>
        <w:t>）预算年终结余</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zh-CN" w:eastAsia="zh-CN" w:bidi="ar-SA"/>
        </w:rPr>
        <w:t>年终结余为</w:t>
      </w:r>
      <w:r>
        <w:rPr>
          <w:rFonts w:ascii="仿宋_GB2312" w:eastAsia="仿宋_GB2312" w:cs="Times New Roman" w:hint="eastAsia"/>
          <w:color w:val="auto"/>
          <w:kern w:val="2"/>
          <w:sz w:val="30"/>
          <w:szCs w:val="30"/>
          <w:lang w:val="en-US" w:eastAsia="zh-CN" w:bidi="ar-SA"/>
        </w:rPr>
        <w:t>0。</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w:t>
      </w:r>
      <w:r>
        <w:rPr>
          <w:rFonts w:ascii="仿宋_GB2312" w:eastAsia="仿宋_GB2312" w:cs="Times New Roman" w:hint="eastAsia"/>
          <w:color w:val="auto"/>
          <w:kern w:val="2"/>
          <w:sz w:val="30"/>
          <w:szCs w:val="30"/>
          <w:lang w:val="en-US" w:eastAsia="zh-CN" w:bidi="ar-SA"/>
        </w:rPr>
        <w:t>5</w:t>
      </w:r>
      <w:r>
        <w:rPr>
          <w:rFonts w:ascii="仿宋_GB2312" w:eastAsia="仿宋_GB2312" w:cs="Times New Roman" w:hint="eastAsia"/>
          <w:color w:val="auto"/>
          <w:kern w:val="2"/>
          <w:sz w:val="30"/>
          <w:szCs w:val="30"/>
          <w:lang w:val="zh-CN" w:eastAsia="zh-CN" w:bidi="ar-SA"/>
        </w:rPr>
        <w:t>）严控一般性支出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金川县医保局2024年度“三公”经费财政拨款支出决算为3.50万元，完成预算94.59%，其中：因公出国（境）费支出0万元；公务用车购置及运行维护费支出决算为3.50万元，完成预算100%；公务接待费支出决算为0万元，完成预算0%。</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培训费、差旅费等支出严格按照相关文件执行。</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b/>
          <w:bCs/>
          <w:color w:val="auto"/>
          <w:kern w:val="2"/>
          <w:sz w:val="32"/>
          <w:szCs w:val="32"/>
          <w:lang w:val="zh-CN" w:eastAsia="zh-CN" w:bidi="ar-SA"/>
        </w:rPr>
      </w:pPr>
      <w:r>
        <w:rPr>
          <w:rFonts w:ascii="仿宋_GB2312" w:eastAsia="仿宋_GB2312" w:cs="仿宋_GB2312"/>
          <w:b/>
          <w:bCs/>
          <w:color w:val="auto"/>
          <w:kern w:val="2"/>
          <w:sz w:val="32"/>
          <w:szCs w:val="32"/>
          <w:lang w:val="en-US" w:eastAsia="zh-CN" w:bidi="ar-SA"/>
        </w:rPr>
        <w:t>3.</w:t>
      </w:r>
      <w:r>
        <w:rPr>
          <w:rFonts w:ascii="仿宋_GB2312" w:eastAsia="仿宋_GB2312" w:cs="仿宋_GB2312"/>
          <w:b/>
          <w:bCs/>
          <w:color w:val="auto"/>
          <w:kern w:val="2"/>
          <w:sz w:val="32"/>
          <w:szCs w:val="32"/>
          <w:lang w:val="zh-CN" w:eastAsia="zh-CN" w:bidi="ar-SA"/>
        </w:rPr>
        <w:t>财务管理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zh-CN" w:eastAsia="zh-CN" w:bidi="ar-SA"/>
        </w:rPr>
      </w:pPr>
      <w:r>
        <w:rPr>
          <w:rFonts w:ascii="仿宋_GB2312" w:eastAsia="仿宋_GB2312" w:cs="Times New Roman"/>
          <w:color w:val="auto"/>
          <w:kern w:val="2"/>
          <w:sz w:val="30"/>
          <w:szCs w:val="30"/>
          <w:lang w:val="en-US" w:eastAsia="zh-CN" w:bidi="ar-SA"/>
        </w:rPr>
        <w:t>单独设置会计机构、配备会计人员，会计岗、出纳岗、稽核岗等不相容岗位分离；规范加强对会计人员的继续教育，提升会计人员职业道德和专业素养。按照《会计法》和国家统一会计制度规定，建立健全会计人员岗位责任、内部牵制、轮岗、工作交接、会计监督与稽核、原始记录管理、财务收支审批等责任制度并执行；按规定建立会计账册、设置会计科目，并以实际发生的经济业务为依据，依法依规进行会计核算，确保会计信息合法性、真实性、完整性；保证会计指标的口径一致、相互可比和会计处理方法的前后各期相一致；坚持定期对账制度，做到账证、账账、账表和账实相符；按规定保管和使用财务印章、会计凭证、会计账簿、会计报表和其他会计资料。按照国家有关会计信息化工作规范和统一技术标准，规范和加强单位会计信息化建设；单位内部监督部门定期或不定期对单位会计工作规范进行监督检查</w:t>
      </w:r>
      <w:r>
        <w:rPr>
          <w:rFonts w:ascii="仿宋_GB2312" w:eastAsia="仿宋_GB2312" w:cs="Times New Roman"/>
          <w:color w:val="auto"/>
          <w:kern w:val="2"/>
          <w:sz w:val="30"/>
          <w:szCs w:val="30"/>
          <w:lang w:val="zh-CN" w:eastAsia="zh-CN" w:bidi="ar-SA"/>
        </w:rPr>
        <w:t>；严格审批程序，保障了资金安全。</w:t>
      </w:r>
    </w:p>
    <w:p>
      <w:pPr>
        <w:keepNext w:val="0"/>
        <w:keepLines w:val="0"/>
        <w:pageBreakBefore w:val="0"/>
        <w:widowControl w:val="0"/>
        <w:kinsoku/>
        <w:wordWrap/>
        <w:overflowPunct/>
        <w:topLinePunct w:val="0"/>
        <w:autoSpaceDE/>
        <w:autoSpaceDN/>
        <w:bidi w:val="0"/>
        <w:adjustRightInd w:val="0"/>
        <w:snapToGrid w:val="0"/>
        <w:spacing w:line="560" w:lineRule="exact"/>
        <w:ind w:leftChars="200" w:left="420"/>
        <w:contextualSpacing/>
        <w:jc w:val="left"/>
        <w:textAlignment w:val="auto"/>
        <w:outlineLvl w:val="9"/>
        <w:rPr>
          <w:rFonts w:ascii="Times New Roman" w:eastAsia="仿宋_GB2312" w:cs="Times New Roman" w:hAnsi="Times New Roman"/>
          <w:color w:val="000000"/>
          <w:kern w:val="0"/>
          <w:sz w:val="32"/>
          <w:szCs w:val="32"/>
          <w:shd w:val="clear" w:color="auto" w:fill="FFFFFF"/>
          <w:lang w:val="zh-CN"/>
          <w:highlight w:val="auto"/>
        </w:rPr>
      </w:pPr>
      <w:r>
        <w:rPr>
          <w:rFonts w:ascii="仿宋_GB2312" w:eastAsia="仿宋_GB2312" w:cs="仿宋_GB2312"/>
          <w:b/>
          <w:bCs/>
          <w:color w:val="auto"/>
          <w:kern w:val="2"/>
          <w:sz w:val="32"/>
          <w:szCs w:val="32"/>
          <w:lang w:val="en-US" w:eastAsia="zh-CN" w:bidi="ar-SA"/>
        </w:rPr>
        <w:t>4.</w:t>
      </w:r>
      <w:r>
        <w:rPr>
          <w:rFonts w:ascii="仿宋_GB2312" w:eastAsia="仿宋_GB2312" w:cs="仿宋_GB2312"/>
          <w:b/>
          <w:bCs/>
          <w:color w:val="auto"/>
          <w:kern w:val="2"/>
          <w:sz w:val="32"/>
          <w:szCs w:val="32"/>
          <w:lang w:val="zh-CN" w:eastAsia="zh-CN" w:bidi="ar-SA"/>
        </w:rPr>
        <w:t>资产管理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zh-CN" w:eastAsia="zh-CN" w:bidi="ar-SA"/>
        </w:rPr>
      </w:pPr>
      <w:r>
        <w:rPr>
          <w:rFonts w:ascii="仿宋_GB2312" w:eastAsia="仿宋_GB2312" w:cs="Times New Roman"/>
          <w:color w:val="auto"/>
          <w:kern w:val="2"/>
          <w:sz w:val="30"/>
          <w:szCs w:val="30"/>
          <w:lang w:val="en-US" w:eastAsia="zh-CN" w:bidi="ar-SA"/>
        </w:rPr>
        <w:t>制定了国有资产管理制度办法；明确资产配置、使用、处置等程序和审核审批权限。与部门预算编制同步编制新增资产配置预算；国有资产交付使用后及时准确入账；无在建工程。明确资产使用和保管责任人、落实资产使用人在资产管理中的责任；国有资产折旧的计提符合相关会计规范；定期清理盘点资产、确保账实相符；行政事业性国有资产纳入四川省行政事业单位资产管理信息系统动态管理。行政事业单位资产处置按规定报批，无处置收益；无资产出租出借、无对外投资收益。</w:t>
      </w:r>
    </w:p>
    <w:p>
      <w:pPr>
        <w:keepNext w:val="0"/>
        <w:keepLines w:val="0"/>
        <w:pageBreakBefore w:val="0"/>
        <w:widowControl w:val="0"/>
        <w:kinsoku/>
        <w:wordWrap/>
        <w:overflowPunct/>
        <w:topLinePunct w:val="0"/>
        <w:autoSpaceDE/>
        <w:autoSpaceDN/>
        <w:bidi w:val="0"/>
        <w:adjustRightInd w:val="0"/>
        <w:snapToGrid w:val="0"/>
        <w:spacing w:line="560" w:lineRule="exact"/>
        <w:ind w:leftChars="200" w:left="420"/>
        <w:contextualSpacing/>
        <w:jc w:val="left"/>
        <w:textAlignment w:val="auto"/>
        <w:outlineLvl w:val="9"/>
        <w:rPr>
          <w:rFonts w:ascii="仿宋_GB2312" w:eastAsia="仿宋_GB2312" w:cs="仿宋_GB2312"/>
          <w:b/>
          <w:bCs/>
          <w:color w:val="auto"/>
          <w:kern w:val="2"/>
          <w:sz w:val="32"/>
          <w:szCs w:val="32"/>
          <w:lang w:val="zh-CN" w:eastAsia="zh-CN" w:bidi="ar-SA"/>
        </w:rPr>
      </w:pPr>
      <w:r>
        <w:rPr>
          <w:rFonts w:ascii="仿宋_GB2312" w:eastAsia="仿宋_GB2312" w:cs="仿宋_GB2312"/>
          <w:b/>
          <w:bCs/>
          <w:color w:val="auto"/>
          <w:kern w:val="2"/>
          <w:sz w:val="32"/>
          <w:szCs w:val="32"/>
          <w:lang w:val="en-US" w:eastAsia="zh-CN" w:bidi="ar-SA"/>
        </w:rPr>
        <w:t>5.</w:t>
      </w:r>
      <w:r>
        <w:rPr>
          <w:rFonts w:ascii="仿宋_GB2312" w:eastAsia="仿宋_GB2312" w:cs="仿宋_GB2312"/>
          <w:b/>
          <w:bCs/>
          <w:color w:val="auto"/>
          <w:kern w:val="2"/>
          <w:sz w:val="32"/>
          <w:szCs w:val="32"/>
          <w:lang w:val="zh-CN" w:eastAsia="zh-CN" w:bidi="ar-SA"/>
        </w:rPr>
        <w:t>采购管理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政府采购预算编制应编尽编；不存在无预算采购、超预算采购情况；按规定进行政府采购计划备案；按照合同约定及时支付资金。按法定采购方式和程序实施采购；不存在拆分项目预算规避政府采购或公开招标情况；按采购文件确定事项签订政府采购合同，按规定公告、备案政府采购合同；不存在政府采购项目执行进度缓慢情况；政府采购系统中的政府采购信息是真实、准确、合法。</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en-US" w:eastAsia="zh-CN"/>
        </w:rPr>
      </w:pPr>
      <w:r>
        <w:rPr>
          <w:rFonts w:ascii="楷体" w:eastAsia="楷体" w:cs="楷体"/>
          <w:b/>
          <w:color w:val="000000"/>
          <w:sz w:val="30"/>
          <w:szCs w:val="30"/>
          <w:lang w:val="zh-CN" w:eastAsia="zh-CN"/>
        </w:rPr>
        <w:t>（二）部门预算项目绩效分析。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zh-CN" w:eastAsia="zh-CN" w:bidi="ar-SA"/>
        </w:rPr>
      </w:pPr>
      <w:r>
        <w:rPr>
          <w:rFonts w:ascii="仿宋_GB2312" w:eastAsia="仿宋_GB2312" w:cs="Times New Roman" w:hint="eastAsia"/>
          <w:color w:val="auto"/>
          <w:kern w:val="2"/>
          <w:sz w:val="30"/>
          <w:szCs w:val="30"/>
          <w:lang w:val="en-US" w:eastAsia="zh-CN" w:bidi="ar-SA"/>
        </w:rPr>
        <w:t>我单位</w:t>
      </w:r>
      <w:r>
        <w:rPr>
          <w:rFonts w:ascii="仿宋_GB2312" w:eastAsia="仿宋_GB2312" w:cs="Times New Roman"/>
          <w:color w:val="auto"/>
          <w:kern w:val="2"/>
          <w:sz w:val="30"/>
          <w:szCs w:val="30"/>
          <w:lang w:val="en-US" w:eastAsia="zh-CN" w:bidi="ar-SA"/>
        </w:rPr>
        <w:t>常年项目绩效分析。</w:t>
      </w:r>
      <w:r>
        <w:rPr>
          <w:rFonts w:ascii="仿宋_GB2312" w:eastAsia="仿宋_GB2312" w:cs="Times New Roman"/>
          <w:color w:val="auto"/>
          <w:kern w:val="2"/>
          <w:sz w:val="30"/>
          <w:szCs w:val="30"/>
          <w:lang w:val="zh-CN" w:eastAsia="zh-CN" w:bidi="ar-SA"/>
        </w:rPr>
        <w:t>该类项目总数</w:t>
      </w:r>
      <w:r>
        <w:rPr>
          <w:rFonts w:ascii="仿宋_GB2312" w:eastAsia="仿宋_GB2312" w:cs="Times New Roman" w:hint="eastAsia"/>
          <w:color w:val="auto"/>
          <w:kern w:val="2"/>
          <w:sz w:val="30"/>
          <w:szCs w:val="30"/>
          <w:lang w:val="en-US" w:eastAsia="zh-CN" w:bidi="ar-SA"/>
        </w:rPr>
        <w:t>59</w:t>
      </w:r>
      <w:r>
        <w:rPr>
          <w:rFonts w:ascii="仿宋_GB2312" w:eastAsia="仿宋_GB2312" w:cs="Times New Roman"/>
          <w:color w:val="auto"/>
          <w:kern w:val="2"/>
          <w:sz w:val="30"/>
          <w:szCs w:val="30"/>
          <w:lang w:val="zh-CN" w:eastAsia="zh-CN" w:bidi="ar-SA"/>
        </w:rPr>
        <w:t>个，涉及预算总金额</w:t>
      </w:r>
      <w:r>
        <w:rPr>
          <w:rFonts w:ascii="仿宋_GB2312" w:eastAsia="仿宋_GB2312" w:cs="Times New Roman" w:hint="eastAsia"/>
          <w:color w:val="auto"/>
          <w:kern w:val="2"/>
          <w:sz w:val="30"/>
          <w:szCs w:val="30"/>
          <w:lang w:val="en-US" w:eastAsia="zh-CN" w:bidi="ar-SA"/>
        </w:rPr>
        <w:t>497.22</w:t>
      </w:r>
      <w:r>
        <w:rPr>
          <w:rFonts w:ascii="仿宋_GB2312" w:eastAsia="仿宋_GB2312" w:cs="Times New Roman"/>
          <w:color w:val="auto"/>
          <w:kern w:val="2"/>
          <w:sz w:val="30"/>
          <w:szCs w:val="30"/>
          <w:lang w:val="zh-CN" w:eastAsia="zh-CN" w:bidi="ar-SA"/>
        </w:rPr>
        <w:t>万元，1—1</w:t>
      </w:r>
      <w:r>
        <w:rPr>
          <w:rFonts w:ascii="仿宋_GB2312" w:eastAsia="仿宋_GB2312" w:cs="Times New Roman"/>
          <w:color w:val="auto"/>
          <w:kern w:val="2"/>
          <w:sz w:val="30"/>
          <w:szCs w:val="30"/>
          <w:lang w:val="en-US" w:eastAsia="zh-CN" w:bidi="ar-SA"/>
        </w:rPr>
        <w:t>2</w:t>
      </w:r>
      <w:r>
        <w:rPr>
          <w:rFonts w:ascii="仿宋_GB2312" w:eastAsia="仿宋_GB2312" w:cs="Times New Roman"/>
          <w:color w:val="auto"/>
          <w:kern w:val="2"/>
          <w:sz w:val="30"/>
          <w:szCs w:val="30"/>
          <w:lang w:val="zh-CN" w:eastAsia="zh-CN" w:bidi="ar-SA"/>
        </w:rPr>
        <w:t>月预算执行总体进度为</w:t>
      </w:r>
      <w:r>
        <w:rPr>
          <w:rFonts w:ascii="仿宋_GB2312" w:eastAsia="仿宋_GB2312" w:cs="Times New Roman"/>
          <w:color w:val="auto"/>
          <w:kern w:val="2"/>
          <w:sz w:val="30"/>
          <w:szCs w:val="30"/>
          <w:lang w:val="en-US" w:eastAsia="zh-CN" w:bidi="ar-SA"/>
        </w:rPr>
        <w:t>100</w:t>
      </w:r>
      <w:r>
        <w:rPr>
          <w:rFonts w:ascii="仿宋_GB2312" w:eastAsia="仿宋_GB2312" w:cs="Times New Roman"/>
          <w:color w:val="auto"/>
          <w:kern w:val="2"/>
          <w:sz w:val="30"/>
          <w:szCs w:val="30"/>
          <w:lang w:val="zh-CN" w:eastAsia="zh-CN" w:bidi="ar-SA"/>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en-US" w:eastAsia="zh-CN" w:bidi="ar-SA"/>
        </w:rPr>
        <w:t>阶段（一次性）项目绩效分析。</w:t>
      </w:r>
      <w:r>
        <w:rPr>
          <w:rFonts w:ascii="仿宋_GB2312" w:eastAsia="仿宋_GB2312" w:cs="Times New Roman"/>
          <w:color w:val="auto"/>
          <w:kern w:val="2"/>
          <w:sz w:val="30"/>
          <w:szCs w:val="30"/>
          <w:lang w:val="zh-CN" w:eastAsia="zh-CN" w:bidi="ar-SA"/>
        </w:rPr>
        <w:t>该类项目总数</w:t>
      </w:r>
      <w:r>
        <w:rPr>
          <w:rFonts w:ascii="仿宋_GB2312" w:eastAsia="仿宋_GB2312" w:cs="Times New Roman"/>
          <w:color w:val="auto"/>
          <w:kern w:val="2"/>
          <w:sz w:val="30"/>
          <w:szCs w:val="30"/>
          <w:lang w:val="en-US" w:eastAsia="zh-CN" w:bidi="ar-SA"/>
        </w:rPr>
        <w:t>1</w:t>
      </w:r>
      <w:r>
        <w:rPr>
          <w:rFonts w:ascii="仿宋_GB2312" w:eastAsia="仿宋_GB2312" w:cs="Times New Roman"/>
          <w:color w:val="auto"/>
          <w:kern w:val="2"/>
          <w:sz w:val="30"/>
          <w:szCs w:val="30"/>
          <w:lang w:val="zh-CN" w:eastAsia="zh-CN" w:bidi="ar-SA"/>
        </w:rPr>
        <w:t>个，涉及预算总金额</w:t>
      </w:r>
      <w:r>
        <w:rPr>
          <w:rFonts w:ascii="仿宋_GB2312" w:eastAsia="仿宋_GB2312" w:cs="Times New Roman"/>
          <w:color w:val="auto"/>
          <w:kern w:val="2"/>
          <w:sz w:val="30"/>
          <w:szCs w:val="30"/>
          <w:lang w:val="en-US" w:eastAsia="zh-CN" w:bidi="ar-SA"/>
        </w:rPr>
        <w:t>16.</w:t>
      </w:r>
      <w:r>
        <w:rPr>
          <w:rFonts w:ascii="仿宋_GB2312" w:eastAsia="仿宋_GB2312" w:cs="Times New Roman" w:hint="eastAsia"/>
          <w:color w:val="auto"/>
          <w:kern w:val="2"/>
          <w:sz w:val="30"/>
          <w:szCs w:val="30"/>
          <w:lang w:val="en-US" w:eastAsia="zh-CN" w:bidi="ar-SA"/>
        </w:rPr>
        <w:t>50</w:t>
      </w:r>
      <w:r>
        <w:rPr>
          <w:rFonts w:ascii="仿宋_GB2312" w:eastAsia="仿宋_GB2312" w:cs="Times New Roman"/>
          <w:color w:val="auto"/>
          <w:kern w:val="2"/>
          <w:sz w:val="30"/>
          <w:szCs w:val="30"/>
          <w:lang w:val="zh-CN" w:eastAsia="zh-CN" w:bidi="ar-SA"/>
        </w:rPr>
        <w:t>万元，1—1</w:t>
      </w:r>
      <w:r>
        <w:rPr>
          <w:rFonts w:ascii="仿宋_GB2312" w:eastAsia="仿宋_GB2312" w:cs="Times New Roman"/>
          <w:color w:val="auto"/>
          <w:kern w:val="2"/>
          <w:sz w:val="30"/>
          <w:szCs w:val="30"/>
          <w:lang w:val="en-US" w:eastAsia="zh-CN" w:bidi="ar-SA"/>
        </w:rPr>
        <w:t>2</w:t>
      </w:r>
      <w:r>
        <w:rPr>
          <w:rFonts w:ascii="仿宋_GB2312" w:eastAsia="仿宋_GB2312" w:cs="Times New Roman"/>
          <w:color w:val="auto"/>
          <w:kern w:val="2"/>
          <w:sz w:val="30"/>
          <w:szCs w:val="30"/>
          <w:lang w:val="zh-CN" w:eastAsia="zh-CN" w:bidi="ar-SA"/>
        </w:rPr>
        <w:t>月预算执行总体进度为</w:t>
      </w:r>
      <w:r>
        <w:rPr>
          <w:rFonts w:ascii="仿宋_GB2312" w:eastAsia="仿宋_GB2312" w:cs="Times New Roman"/>
          <w:color w:val="auto"/>
          <w:kern w:val="2"/>
          <w:sz w:val="30"/>
          <w:szCs w:val="30"/>
          <w:lang w:val="en-US" w:eastAsia="zh-CN" w:bidi="ar-SA"/>
        </w:rPr>
        <w:t>100</w:t>
      </w:r>
      <w:r>
        <w:rPr>
          <w:rFonts w:ascii="仿宋_GB2312" w:eastAsia="仿宋_GB2312" w:cs="Times New Roman"/>
          <w:color w:val="auto"/>
          <w:kern w:val="2"/>
          <w:sz w:val="30"/>
          <w:szCs w:val="30"/>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b/>
          <w:bCs/>
          <w:color w:val="auto"/>
          <w:kern w:val="2"/>
          <w:sz w:val="32"/>
          <w:szCs w:val="32"/>
          <w:lang w:val="zh-CN" w:eastAsia="zh-CN" w:bidi="ar-SA"/>
        </w:rPr>
      </w:pPr>
      <w:r>
        <w:rPr>
          <w:rFonts w:ascii="仿宋_GB2312" w:eastAsia="仿宋_GB2312" w:cs="仿宋_GB2312" w:hint="eastAsia"/>
          <w:b/>
          <w:bCs/>
          <w:color w:val="auto"/>
          <w:kern w:val="2"/>
          <w:sz w:val="32"/>
          <w:szCs w:val="32"/>
          <w:lang w:val="en-US" w:eastAsia="zh-CN" w:bidi="ar-SA"/>
        </w:rPr>
        <w:t>1.</w:t>
      </w:r>
      <w:r>
        <w:rPr>
          <w:rFonts w:ascii="仿宋_GB2312" w:eastAsia="仿宋_GB2312" w:cs="仿宋_GB2312"/>
          <w:b/>
          <w:bCs/>
          <w:color w:val="auto"/>
          <w:kern w:val="2"/>
          <w:sz w:val="32"/>
          <w:szCs w:val="32"/>
          <w:lang w:val="zh-CN" w:eastAsia="zh-CN" w:bidi="ar-SA"/>
        </w:rPr>
        <w:t>项目决策</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我单位项目按照中央、省、州文件执行，各项目按规定履行评估论证，按程序进行申报；项目内容、绩效目标设置合理，且各级指标规范完整、量化细化、预算匹配；各预算项目能在规定时间完成项目入库。</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b/>
          <w:bCs/>
          <w:color w:val="auto"/>
          <w:kern w:val="2"/>
          <w:sz w:val="32"/>
          <w:szCs w:val="32"/>
          <w:lang w:val="zh-CN" w:eastAsia="zh-CN" w:bidi="ar-SA"/>
        </w:rPr>
      </w:pPr>
      <w:r>
        <w:rPr>
          <w:rFonts w:ascii="仿宋_GB2312" w:eastAsia="仿宋_GB2312" w:cs="仿宋_GB2312" w:hint="eastAsia"/>
          <w:b/>
          <w:bCs/>
          <w:color w:val="auto"/>
          <w:kern w:val="2"/>
          <w:sz w:val="32"/>
          <w:szCs w:val="32"/>
          <w:lang w:val="en-US" w:eastAsia="zh-CN" w:bidi="ar-SA"/>
        </w:rPr>
        <w:t>2.</w:t>
      </w:r>
      <w:r>
        <w:rPr>
          <w:rFonts w:ascii="仿宋_GB2312" w:eastAsia="仿宋_GB2312" w:cs="仿宋_GB2312"/>
          <w:b/>
          <w:bCs/>
          <w:color w:val="auto"/>
          <w:kern w:val="2"/>
          <w:sz w:val="32"/>
          <w:szCs w:val="32"/>
          <w:lang w:val="en-US" w:eastAsia="zh-CN" w:bidi="ar-SA"/>
        </w:rPr>
        <w:t>项目执行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各</w:t>
      </w:r>
      <w:r>
        <w:rPr>
          <w:rFonts w:ascii="仿宋_GB2312" w:eastAsia="仿宋_GB2312" w:cs="Times New Roman"/>
          <w:color w:val="auto"/>
          <w:kern w:val="2"/>
          <w:sz w:val="30"/>
          <w:szCs w:val="30"/>
          <w:lang w:val="zh-CN" w:eastAsia="zh-CN" w:bidi="ar-SA"/>
        </w:rPr>
        <w:t>预算项目实际列支内容与绩效目标设置方向相符</w:t>
      </w:r>
      <w:r>
        <w:rPr>
          <w:rFonts w:ascii="仿宋_GB2312" w:eastAsia="仿宋_GB2312" w:cs="Times New Roman" w:hint="eastAsia"/>
          <w:color w:val="auto"/>
          <w:kern w:val="2"/>
          <w:sz w:val="30"/>
          <w:szCs w:val="30"/>
          <w:lang w:val="zh-CN" w:eastAsia="zh-CN" w:bidi="ar-SA"/>
        </w:rPr>
        <w:t>；预算项目不存在调整措施；预算项目资金能及时到位，做到专款专用。</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b/>
          <w:bCs/>
          <w:color w:val="auto"/>
          <w:kern w:val="2"/>
          <w:sz w:val="32"/>
          <w:szCs w:val="32"/>
          <w:lang w:val="zh-CN" w:eastAsia="zh-CN" w:bidi="ar-SA"/>
        </w:rPr>
      </w:pPr>
      <w:r>
        <w:rPr>
          <w:rFonts w:ascii="仿宋_GB2312" w:eastAsia="仿宋_GB2312" w:cs="仿宋_GB2312" w:hint="eastAsia"/>
          <w:b/>
          <w:bCs/>
          <w:color w:val="auto"/>
          <w:kern w:val="2"/>
          <w:sz w:val="32"/>
          <w:szCs w:val="32"/>
          <w:lang w:val="en-US" w:eastAsia="zh-CN" w:bidi="ar-SA"/>
        </w:rPr>
        <w:t>3.</w:t>
      </w:r>
      <w:r>
        <w:rPr>
          <w:rFonts w:ascii="仿宋_GB2312" w:eastAsia="仿宋_GB2312" w:cs="仿宋_GB2312"/>
          <w:b/>
          <w:bCs/>
          <w:color w:val="auto"/>
          <w:kern w:val="2"/>
          <w:sz w:val="32"/>
          <w:szCs w:val="32"/>
          <w:lang w:val="zh-CN" w:eastAsia="zh-CN" w:bidi="ar-SA"/>
        </w:rPr>
        <w:t>目标实现</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color w:val="auto"/>
          <w:kern w:val="2"/>
          <w:sz w:val="30"/>
          <w:szCs w:val="30"/>
          <w:lang w:val="zh-CN" w:eastAsia="zh-CN" w:bidi="ar-SA"/>
        </w:rPr>
        <w:t>部门预算项目绩效目标数量指标</w:t>
      </w:r>
      <w:r>
        <w:rPr>
          <w:rFonts w:ascii="仿宋_GB2312" w:eastAsia="仿宋_GB2312" w:cs="Times New Roman" w:hint="eastAsia"/>
          <w:color w:val="auto"/>
          <w:kern w:val="2"/>
          <w:sz w:val="30"/>
          <w:szCs w:val="30"/>
          <w:lang w:val="zh-CN" w:eastAsia="zh-CN" w:bidi="ar-SA"/>
        </w:rPr>
        <w:t>能很好的</w:t>
      </w:r>
      <w:r>
        <w:rPr>
          <w:rFonts w:ascii="仿宋_GB2312" w:eastAsia="仿宋_GB2312" w:cs="Times New Roman"/>
          <w:color w:val="auto"/>
          <w:kern w:val="2"/>
          <w:sz w:val="30"/>
          <w:szCs w:val="30"/>
          <w:lang w:val="zh-CN" w:eastAsia="zh-CN" w:bidi="ar-SA"/>
        </w:rPr>
        <w:t>完成</w:t>
      </w:r>
      <w:r>
        <w:rPr>
          <w:rFonts w:ascii="仿宋_GB2312" w:eastAsia="仿宋_GB2312" w:cs="Times New Roman" w:hint="eastAsia"/>
          <w:color w:val="auto"/>
          <w:kern w:val="2"/>
          <w:sz w:val="30"/>
          <w:szCs w:val="30"/>
          <w:lang w:val="en-US" w:eastAsia="zh-CN" w:bidi="ar-SA"/>
        </w:rPr>
        <w:t>；部门预算项目绩效目标各级指标能得到完成，不存在偏离情况。</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contextualSpacing/>
        <w:jc w:val="left"/>
        <w:textAlignment w:val="auto"/>
        <w:outlineLvl w:val="9"/>
        <w:rPr>
          <w:rFonts w:ascii="Times New Roman" w:eastAsia="楷体_GB2312" w:cs="Times New Roman" w:hAnsi="Times New Roman"/>
          <w:b/>
          <w:bCs/>
          <w:color w:val="000000"/>
          <w:kern w:val="0"/>
          <w:szCs w:val="32"/>
          <w:shd w:val="clear" w:color="auto" w:fill="FFFFFF"/>
          <w:lang w:val="zh-CN" w:eastAsia="zh-CN"/>
          <w:highlight w:val="auto"/>
        </w:rPr>
      </w:pPr>
      <w:r>
        <w:rPr>
          <w:rFonts w:ascii="楷体" w:eastAsia="楷体" w:cs="楷体"/>
          <w:b/>
          <w:color w:val="000000"/>
          <w:sz w:val="30"/>
          <w:szCs w:val="30"/>
          <w:lang w:val="zh-CN" w:eastAsia="zh-CN"/>
        </w:rPr>
        <w:t>（三）重点领域绩效分析。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2024年度我单位完成医疗保险全覆盖工作任务，加强医保政策宣传，开展打击欺诈骗取医保基金工作等工作，有效提升监管能力，加强监管体系、监管队伍建设，确保医保基金安全运行。我单位不涉及国有资本、行政事业性国有资产、债券资金和政府购买服务等重点领域。</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zh-CN" w:eastAsia="zh-CN"/>
        </w:rPr>
      </w:pPr>
      <w:r>
        <w:rPr>
          <w:rFonts w:ascii="楷体" w:eastAsia="楷体" w:cs="楷体"/>
          <w:b/>
          <w:color w:val="000000"/>
          <w:sz w:val="30"/>
          <w:szCs w:val="30"/>
          <w:lang w:val="zh-CN" w:eastAsia="zh-CN"/>
        </w:rPr>
        <w:t>（四）绩效结果应用情况。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医疗保障局2024年一般公共预算财政拨款基本支出445.58万元，主要包括：人员经费430.79万元和公用经费14.79万元。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人员经费430.79万元，主要包括：基本工资84.55万元、津贴补贴84.57万元、奖金105.69万元、绩效工资25.15万元、机关事业单位基本养老保险缴费42.62万元、职业年金缴费21.31万元、职工基本医疗保险缴费20.74万元、公务员医疗补助2.91万元、其他社会保障缴费7.37万元、住房公积金33.92万元、生活补助1.96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公用经费14.79万元，主要包括：办公费3.48万元、印刷费2万元、咨询费1万元、水费0.50万元、电费0.50万元、邮电费2万元、差旅费1.81万元、公务用车运行维护费3.50万元。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医疗保障局2024年一般公共预算财政拨款项目支出51.64万元。</w:t>
      </w:r>
    </w:p>
    <w:p>
      <w:pPr>
        <w:keepNext w:val="0"/>
        <w:keepLines w:val="0"/>
        <w:widowControl w:val="0"/>
        <w:suppressLineNumbers w:val="0"/>
        <w:spacing w:before="0" w:beforeAutospacing="0" w:after="0" w:afterAutospacing="0" w:line="600" w:lineRule="exact"/>
        <w:ind w:left="0" w:right="0" w:firstLineChars="200" w:firstLine="640"/>
        <w:jc w:val="both"/>
        <w:rPr>
          <w:rFonts w:ascii="楷体" w:eastAsia="楷体" w:cs="楷体"/>
          <w:b/>
          <w:color w:val="000000"/>
          <w:sz w:val="32"/>
          <w:szCs w:val="32"/>
          <w:lang w:val="en-US" w:eastAsia="zh-CN"/>
        </w:rPr>
      </w:pPr>
      <w:r>
        <w:rPr>
          <w:rFonts w:ascii="楷体" w:eastAsia="楷体" w:cs="楷体"/>
          <w:b/>
          <w:color w:val="000000"/>
          <w:sz w:val="32"/>
          <w:szCs w:val="32"/>
          <w:lang w:val="en-US" w:eastAsia="zh-CN"/>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zh-CN" w:eastAsia="zh-CN"/>
        </w:rPr>
      </w:pPr>
      <w:r>
        <w:rPr>
          <w:rFonts w:ascii="楷体" w:eastAsia="楷体" w:cs="楷体"/>
          <w:b/>
          <w:color w:val="000000"/>
          <w:sz w:val="30"/>
          <w:szCs w:val="30"/>
          <w:lang w:val="zh-CN" w:eastAsia="zh-CN"/>
        </w:rPr>
        <w:t>（一）评价结论。</w:t>
      </w:r>
    </w:p>
    <w:p>
      <w:pPr>
        <w:pStyle w:val="19"/>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60" w:lineRule="exact"/>
        <w:ind w:left="0" w:firstLine="641"/>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我单位2024年部门整体绩效自评得分98.40分。</w:t>
      </w:r>
      <w:r>
        <w:rPr>
          <w:rFonts w:ascii="仿宋_GB2312" w:eastAsia="仿宋_GB2312" w:cs="Times New Roman" w:hint="eastAsia"/>
          <w:color w:val="auto"/>
          <w:kern w:val="2"/>
          <w:sz w:val="30"/>
          <w:szCs w:val="30"/>
          <w:lang w:val="zh-CN" w:eastAsia="zh-CN" w:bidi="ar-SA"/>
        </w:rPr>
        <w:t>部门预算执行情况良好，无不良记录及违规违纪行为，预算支出和决算支出情况相符。</w:t>
      </w:r>
      <w:r>
        <w:rPr>
          <w:rFonts w:ascii="仿宋_GB2312" w:eastAsia="仿宋_GB2312" w:cs="Times New Roman"/>
          <w:color w:val="auto"/>
          <w:kern w:val="2"/>
          <w:sz w:val="30"/>
          <w:szCs w:val="30"/>
          <w:lang w:val="en-US" w:eastAsia="zh-CN" w:bidi="ar-SA"/>
        </w:rPr>
        <w:t xml:space="preserve">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zh-CN" w:eastAsia="zh-CN" w:bidi="ar-SA"/>
        </w:rPr>
      </w:pPr>
      <w:r>
        <w:rPr>
          <w:rFonts w:ascii="仿宋_GB2312" w:eastAsia="仿宋_GB2312" w:cs="Times New Roman" w:hint="eastAsia"/>
          <w:color w:val="auto"/>
          <w:kern w:val="2"/>
          <w:sz w:val="30"/>
          <w:szCs w:val="30"/>
          <w:lang w:val="zh-CN" w:eastAsia="zh-CN" w:bidi="ar-SA"/>
        </w:rPr>
        <w:t>严格按照预算要求进行预算编制，严格把控“三公”经费指标，做到预算支出和决算支出相等。各项目资金严格按照资金文件编制预算、绩效目标，保证资金预算安排合理性、可持续性、可执行性等；在执行上，保障资金</w:t>
      </w:r>
      <w:r>
        <w:rPr>
          <w:rFonts w:ascii="仿宋_GB2312" w:eastAsia="仿宋_GB2312" w:cs="Times New Roman" w:hint="eastAsia"/>
          <w:color w:val="auto"/>
          <w:kern w:val="2"/>
          <w:sz w:val="30"/>
          <w:szCs w:val="30"/>
          <w:lang w:val="en-US" w:eastAsia="zh-CN" w:bidi="ar-SA"/>
        </w:rPr>
        <w:t>专款专用，不存在挤占挪用等违法违规行为。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zh-CN" w:eastAsia="zh-CN" w:bidi="ar-SA"/>
        </w:rPr>
        <w:t>我</w:t>
      </w:r>
      <w:r>
        <w:rPr>
          <w:rFonts w:ascii="仿宋_GB2312" w:eastAsia="仿宋_GB2312" w:cs="Times New Roman" w:hint="eastAsia"/>
          <w:color w:val="auto"/>
          <w:kern w:val="2"/>
          <w:sz w:val="30"/>
          <w:szCs w:val="30"/>
          <w:lang w:val="en-US" w:eastAsia="zh-CN" w:bidi="ar-SA"/>
        </w:rPr>
        <w:t>单位</w:t>
      </w:r>
      <w:r>
        <w:rPr>
          <w:rFonts w:ascii="仿宋_GB2312" w:eastAsia="仿宋_GB2312" w:cs="Times New Roman" w:hint="eastAsia"/>
          <w:color w:val="auto"/>
          <w:kern w:val="2"/>
          <w:sz w:val="30"/>
          <w:szCs w:val="30"/>
          <w:lang w:val="zh-CN" w:eastAsia="zh-CN" w:bidi="ar-SA"/>
        </w:rPr>
        <w:t>按照规定完全履行职责，整体评价良好，服务对象基本满意；从预算执行来情况看，预算资金覆盖我</w:t>
      </w:r>
      <w:r>
        <w:rPr>
          <w:rFonts w:ascii="仿宋_GB2312" w:eastAsia="仿宋_GB2312" w:cs="Times New Roman" w:hint="eastAsia"/>
          <w:color w:val="auto"/>
          <w:kern w:val="2"/>
          <w:sz w:val="30"/>
          <w:szCs w:val="30"/>
          <w:lang w:val="en-US" w:eastAsia="zh-CN" w:bidi="ar-SA"/>
        </w:rPr>
        <w:t>单位</w:t>
      </w:r>
      <w:r>
        <w:rPr>
          <w:rFonts w:ascii="仿宋_GB2312" w:eastAsia="仿宋_GB2312" w:cs="Times New Roman" w:hint="eastAsia"/>
          <w:color w:val="auto"/>
          <w:kern w:val="2"/>
          <w:sz w:val="30"/>
          <w:szCs w:val="30"/>
          <w:lang w:val="zh-CN" w:eastAsia="zh-CN" w:bidi="ar-SA"/>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zh-CN" w:eastAsia="zh-CN"/>
        </w:rPr>
      </w:pPr>
      <w:r>
        <w:rPr>
          <w:rFonts w:ascii="楷体" w:eastAsia="楷体" w:cs="楷体" w:hint="eastAsia"/>
          <w:b/>
          <w:color w:val="000000"/>
          <w:sz w:val="30"/>
          <w:szCs w:val="30"/>
          <w:lang w:val="zh-CN" w:eastAsia="zh-CN"/>
        </w:rPr>
        <w:t>（</w:t>
      </w:r>
      <w:r>
        <w:rPr>
          <w:rFonts w:ascii="楷体" w:eastAsia="楷体" w:cs="楷体" w:hint="eastAsia"/>
          <w:b/>
          <w:color w:val="000000"/>
          <w:sz w:val="30"/>
          <w:szCs w:val="30"/>
          <w:lang w:val="en-US" w:eastAsia="zh-CN"/>
        </w:rPr>
        <w:t>二</w:t>
      </w:r>
      <w:r>
        <w:rPr>
          <w:rFonts w:ascii="楷体" w:eastAsia="楷体" w:cs="楷体" w:hint="eastAsia"/>
          <w:b/>
          <w:color w:val="000000"/>
          <w:sz w:val="30"/>
          <w:szCs w:val="30"/>
          <w:lang w:val="zh-CN" w:eastAsia="zh-CN"/>
        </w:rPr>
        <w:t>）</w:t>
      </w:r>
      <w:r>
        <w:rPr>
          <w:rFonts w:ascii="楷体" w:eastAsia="楷体" w:cs="楷体"/>
          <w:b/>
          <w:color w:val="000000"/>
          <w:sz w:val="30"/>
          <w:szCs w:val="30"/>
          <w:lang w:val="zh-CN" w:eastAsia="zh-CN"/>
        </w:rPr>
        <w:t>存在问题。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r>
        <w:rPr>
          <w:rFonts w:ascii="仿宋_GB2312" w:eastAsia="仿宋_GB2312" w:cs="Times New Roman"/>
          <w:color w:val="auto"/>
          <w:kern w:val="2"/>
          <w:sz w:val="30"/>
          <w:szCs w:val="30"/>
          <w:lang w:val="zh-CN" w:eastAsia="zh-CN" w:bidi="ar-SA"/>
        </w:rPr>
        <w:t>一是预算经费支出进度较缓，项目预算处理效率还需继续提升；二是</w:t>
      </w:r>
      <w:r>
        <w:rPr>
          <w:rFonts w:ascii="仿宋_GB2312" w:eastAsia="仿宋_GB2312" w:cs="Times New Roman"/>
          <w:color w:val="auto"/>
          <w:kern w:val="2"/>
          <w:sz w:val="30"/>
          <w:szCs w:val="30"/>
          <w:lang w:val="en-US" w:eastAsia="zh-CN" w:bidi="ar-SA"/>
        </w:rPr>
        <w:t>因各医疗机构大型检查设备及诊疗项目的不断增加和应用，导致医疗费用呈增长较快的趋势</w:t>
      </w:r>
      <w:r>
        <w:rPr>
          <w:rFonts w:ascii="仿宋_GB2312" w:eastAsia="仿宋_GB2312" w:cs="Times New Roman"/>
          <w:color w:val="auto"/>
          <w:kern w:val="2"/>
          <w:sz w:val="30"/>
          <w:szCs w:val="30"/>
          <w:lang w:val="zh-CN" w:eastAsia="zh-CN" w:bidi="ar-SA"/>
        </w:rPr>
        <w:t>。三</w:t>
      </w:r>
      <w:r>
        <w:rPr>
          <w:rFonts w:ascii="仿宋_GB2312" w:eastAsia="仿宋_GB2312" w:cs="Times New Roman"/>
          <w:color w:val="auto"/>
          <w:kern w:val="2"/>
          <w:sz w:val="30"/>
          <w:szCs w:val="30"/>
          <w:lang w:val="en-US" w:eastAsia="zh-CN" w:bidi="ar-SA"/>
        </w:rPr>
        <w:t>是县级医疗机构业务水平不高，不能满足患者日益增长的医疗需求，到州外就诊住院人次增加，医疗费用相对增加。</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00"/>
        <w:contextualSpacing/>
        <w:jc w:val="left"/>
        <w:textAlignment w:val="auto"/>
        <w:outlineLvl w:val="9"/>
        <w:rPr>
          <w:rFonts w:ascii="楷体" w:eastAsia="楷体" w:cs="楷体"/>
          <w:b/>
          <w:color w:val="000000"/>
          <w:sz w:val="30"/>
          <w:szCs w:val="30"/>
          <w:lang w:val="zh-CN" w:eastAsia="zh-CN"/>
        </w:rPr>
      </w:pPr>
      <w:r>
        <w:rPr>
          <w:rFonts w:ascii="楷体" w:eastAsia="楷体" w:cs="楷体" w:hint="eastAsia"/>
          <w:b/>
          <w:color w:val="000000"/>
          <w:sz w:val="30"/>
          <w:szCs w:val="30"/>
          <w:lang w:val="zh-CN" w:eastAsia="zh-CN"/>
        </w:rPr>
        <w:t>（</w:t>
      </w:r>
      <w:r>
        <w:rPr>
          <w:rFonts w:ascii="楷体" w:eastAsia="楷体" w:cs="楷体" w:hint="eastAsia"/>
          <w:b/>
          <w:color w:val="000000"/>
          <w:sz w:val="30"/>
          <w:szCs w:val="30"/>
          <w:lang w:val="en-US" w:eastAsia="zh-CN"/>
        </w:rPr>
        <w:t>三</w:t>
      </w:r>
      <w:r>
        <w:rPr>
          <w:rFonts w:ascii="楷体" w:eastAsia="楷体" w:cs="楷体" w:hint="eastAsia"/>
          <w:b/>
          <w:color w:val="000000"/>
          <w:sz w:val="30"/>
          <w:szCs w:val="30"/>
          <w:lang w:val="zh-CN" w:eastAsia="zh-CN"/>
        </w:rPr>
        <w:t>）</w:t>
      </w:r>
      <w:r>
        <w:rPr>
          <w:rFonts w:ascii="楷体" w:eastAsia="楷体" w:cs="楷体"/>
          <w:b/>
          <w:color w:val="000000"/>
          <w:sz w:val="30"/>
          <w:szCs w:val="30"/>
          <w:lang w:val="zh-CN" w:eastAsia="zh-CN"/>
        </w:rPr>
        <w:t>改进建议。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1.严格按照《会计法》、《行政单位会计制度》、《行政单位财务规则》等规定执行财务核算，并结合实际情况，完整、准确地披露相关信息，尽可能地做到决算与预算相衔接。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 xml:space="preserve">2.进一步加强内部控制，注重资金管理的事前、事中、事后的全过程监督，加强资金使用效率。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3.资产的核销与报废应加强管理，严格按照《固定资产管理办法》的规定加强固定资产管理，及时办理登记、报废等手续，每年对资产进行及时盘点和清查，真正做到账实相符。</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zh-CN" w:eastAsia="zh-CN" w:bidi="ar-SA"/>
        </w:rPr>
      </w:pPr>
      <w:r>
        <w:rPr>
          <w:rFonts w:ascii="仿宋_GB2312" w:eastAsia="仿宋_GB2312" w:cs="Times New Roman" w:hint="eastAsia"/>
          <w:color w:val="auto"/>
          <w:kern w:val="2"/>
          <w:sz w:val="30"/>
          <w:szCs w:val="30"/>
          <w:lang w:val="en-US" w:eastAsia="zh-CN" w:bidi="ar-SA"/>
        </w:rPr>
        <w:t>4.</w:t>
      </w:r>
      <w:r>
        <w:rPr>
          <w:rFonts w:ascii="仿宋_GB2312" w:eastAsia="仿宋_GB2312" w:cs="Times New Roman"/>
          <w:color w:val="auto"/>
          <w:kern w:val="2"/>
          <w:sz w:val="30"/>
          <w:szCs w:val="30"/>
          <w:lang w:val="zh-CN" w:eastAsia="zh-CN" w:bidi="ar-SA"/>
        </w:rPr>
        <w:t>加快完成机关财务管理规章制度建设、加强会计核算和财务管理能力，及时与财政局相关科室对接工作，提升工作效率。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color w:val="auto"/>
          <w:kern w:val="2"/>
          <w:sz w:val="30"/>
          <w:szCs w:val="30"/>
          <w:lang w:val="en-US" w:eastAsia="zh-CN" w:bidi="ar-SA"/>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cs="Times New Roman" w:hAnsi="Times New Roman"/>
          <w:color w:val="000000"/>
          <w:kern w:val="0"/>
          <w:szCs w:val="32"/>
          <w:shd w:val="clear" w:color="auto" w:fill="FFFFFF"/>
          <w:lang w:val="en-US" w:eastAsia="zh-CN"/>
          <w:highlight w:val="auto"/>
        </w:rPr>
      </w:pPr>
    </w:p>
    <w:tbl>
      <w:tblPr>
        <w:jc w:val="center"/>
        <w:tblW w:w="944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170"/>
        <w:gridCol w:w="1099"/>
        <w:gridCol w:w="1113"/>
        <w:gridCol w:w="1297"/>
        <w:gridCol w:w="838"/>
        <w:gridCol w:w="1152"/>
        <w:gridCol w:w="945"/>
        <w:gridCol w:w="827"/>
        <w:gridCol w:w="999"/>
      </w:tblGrid>
      <w:tr>
        <w:trPr>
          <w:trHeight w:hRule="exact" w:val="762"/>
        </w:trPr>
        <w:tc>
          <w:tcPr>
            <w:tcW w:w="9440"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部门整体绩效目标完成情况自评表</w:t>
            </w:r>
          </w:p>
        </w:tc>
      </w:tr>
      <w:tr>
        <w:trPr>
          <w:trHeight w:val="23"/>
        </w:trPr>
        <w:tc>
          <w:tcPr>
            <w:tcW w:w="9440"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9440" w:type="dxa"/>
            <w:gridSpan w:val="9"/>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38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605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800" w:firstLine="1680"/>
              <w:jc w:val="both"/>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1"/>
                <w:szCs w:val="21"/>
                <w:u w:val="none"/>
                <w:lang w:val="en-US" w:eastAsia="zh-CN"/>
              </w:rPr>
              <w:t>金川县医疗保障局</w:t>
            </w:r>
          </w:p>
        </w:tc>
      </w:tr>
      <w:tr>
        <w:trPr>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2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213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392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305"/>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497.22</w:t>
            </w:r>
          </w:p>
        </w:tc>
        <w:tc>
          <w:tcPr>
            <w:tcW w:w="213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497.22</w:t>
            </w:r>
          </w:p>
        </w:tc>
        <w:tc>
          <w:tcPr>
            <w:tcW w:w="392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0</w:t>
            </w:r>
          </w:p>
        </w:tc>
      </w:tr>
      <w:tr>
        <w:trPr>
          <w:trHeight w:val="23"/>
        </w:trPr>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8270"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18"/>
                <w:szCs w:val="18"/>
                <w:u w:val="none"/>
                <w:lang w:val="en-US" w:eastAsia="zh-CN"/>
              </w:rPr>
              <w:t>完成医疗保险全覆盖工作任务，强化医保基金监管堵塞制度漏洞，巩固打击欺诈骗保的高压态势，进一步简化流程，提升经办服务水平，对县</w:t>
            </w:r>
            <w:r>
              <w:rPr>
                <w:rFonts w:ascii="Times New Roman" w:eastAsia="宋体" w:cs="Times New Roman" w:hAnsi="Times New Roman" w:hint="eastAsia"/>
                <w:i w:val="0"/>
                <w:color w:val="000000"/>
                <w:kern w:val="0"/>
                <w:sz w:val="18"/>
                <w:szCs w:val="18"/>
                <w:u w:val="none"/>
                <w:lang w:val="en-US" w:eastAsia="zh-CN"/>
              </w:rPr>
              <w:t>医疗机构</w:t>
            </w:r>
            <w:r>
              <w:rPr>
                <w:rFonts w:ascii="Times New Roman" w:eastAsia="宋体" w:cs="Times New Roman" w:hAnsi="Times New Roman"/>
                <w:i w:val="0"/>
                <w:color w:val="000000"/>
                <w:kern w:val="0"/>
                <w:sz w:val="18"/>
                <w:szCs w:val="18"/>
                <w:u w:val="none"/>
                <w:lang w:val="en-US" w:eastAsia="zh-CN"/>
              </w:rPr>
              <w:t>、药店进行价格监测，推动市场主导的社会医药服务价格形成机制，建立价格信息监测和信息发布制度</w:t>
            </w:r>
            <w:r>
              <w:rPr>
                <w:rFonts w:ascii="Times New Roman" w:eastAsia="宋体" w:cs="Times New Roman" w:hAnsi="Times New Roman" w:hint="eastAsia"/>
                <w:i w:val="0"/>
                <w:color w:val="000000"/>
                <w:kern w:val="0"/>
                <w:sz w:val="18"/>
                <w:szCs w:val="18"/>
                <w:u w:val="none"/>
                <w:lang w:val="en-US" w:eastAsia="zh-CN"/>
              </w:rPr>
              <w:t>；</w:t>
            </w:r>
            <w:r>
              <w:rPr>
                <w:rFonts w:ascii="Times New Roman" w:eastAsia="宋体" w:cs="Times New Roman" w:hAnsi="Times New Roman"/>
                <w:i w:val="0"/>
                <w:color w:val="000000"/>
                <w:kern w:val="0"/>
                <w:sz w:val="18"/>
                <w:szCs w:val="18"/>
                <w:u w:val="none"/>
                <w:lang w:val="en-US" w:eastAsia="zh-CN"/>
              </w:rPr>
              <w:t>负责本行业、领域的应急管理工作、对本行业、领域的安全生产工作实施监督管理</w:t>
            </w:r>
            <w:r>
              <w:rPr>
                <w:rFonts w:ascii="Times New Roman" w:eastAsia="宋体" w:cs="Times New Roman" w:hAnsi="Times New Roman" w:hint="eastAsia"/>
                <w:i w:val="0"/>
                <w:color w:val="000000"/>
                <w:kern w:val="0"/>
                <w:sz w:val="18"/>
                <w:szCs w:val="18"/>
                <w:u w:val="none"/>
                <w:lang w:val="en-US" w:eastAsia="zh-CN"/>
              </w:rPr>
              <w:t>。</w:t>
            </w:r>
          </w:p>
        </w:tc>
      </w:tr>
      <w:tr>
        <w:trPr>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2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605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18"/>
                <w:szCs w:val="18"/>
                <w:u w:val="none"/>
              </w:rPr>
              <w:t>加强医保相关制度建设，提升医保经办服务信息化支撑能力、综合监管能力</w:t>
            </w:r>
          </w:p>
        </w:tc>
        <w:tc>
          <w:tcPr>
            <w:tcW w:w="605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18"/>
                <w:szCs w:val="18"/>
                <w:u w:val="none"/>
              </w:rPr>
              <w:t>强化医保基金监管堵塞制度漏洞，巩固打击欺诈骗保的高压态势，进一步简化流程，提升经办服务水平；对县</w:t>
            </w:r>
            <w:r>
              <w:rPr>
                <w:rFonts w:ascii="Times New Roman" w:eastAsia="宋体" w:cs="Times New Roman" w:hAnsi="Times New Roman" w:hint="eastAsia"/>
                <w:i w:val="0"/>
                <w:color w:val="000000"/>
                <w:sz w:val="18"/>
                <w:szCs w:val="18"/>
                <w:u w:val="none"/>
                <w:lang w:eastAsia="zh-CN"/>
              </w:rPr>
              <w:t>医疗机构</w:t>
            </w:r>
            <w:r>
              <w:rPr>
                <w:rFonts w:ascii="Times New Roman" w:eastAsia="宋体" w:cs="Times New Roman" w:hAnsi="Times New Roman"/>
                <w:i w:val="0"/>
                <w:color w:val="000000"/>
                <w:sz w:val="18"/>
                <w:szCs w:val="18"/>
                <w:u w:val="none"/>
              </w:rPr>
              <w:t>、药店进行价格监测，推动市场主导的社会医药服务价格形成机制，建立价格信息监测和信息发布制度</w:t>
            </w:r>
            <w:r>
              <w:rPr>
                <w:rFonts w:ascii="Times New Roman" w:eastAsia="宋体" w:cs="Times New Roman" w:hAnsi="Times New Roman" w:hint="eastAsia"/>
                <w:i w:val="0"/>
                <w:color w:val="000000"/>
                <w:sz w:val="18"/>
                <w:szCs w:val="18"/>
                <w:u w:val="none"/>
                <w:lang w:eastAsia="zh-CN"/>
              </w:rPr>
              <w:t>；</w:t>
            </w:r>
            <w:r>
              <w:rPr>
                <w:rFonts w:ascii="Times New Roman" w:eastAsia="宋体" w:cs="Times New Roman" w:hAnsi="Times New Roman"/>
                <w:i w:val="0"/>
                <w:color w:val="000000"/>
                <w:kern w:val="0"/>
                <w:sz w:val="18"/>
                <w:szCs w:val="18"/>
                <w:u w:val="none"/>
                <w:lang w:val="en-US" w:eastAsia="zh-CN"/>
              </w:rPr>
              <w:t>负责本行业、领域的应急管理工作、对本行业、领域的安全生产工作实施监督管理</w:t>
            </w:r>
            <w:r>
              <w:rPr>
                <w:rFonts w:ascii="Times New Roman" w:eastAsia="宋体" w:cs="Times New Roman" w:hAnsi="Times New Roman" w:hint="eastAsia"/>
                <w:i w:val="0"/>
                <w:color w:val="000000"/>
                <w:kern w:val="0"/>
                <w:sz w:val="18"/>
                <w:szCs w:val="18"/>
                <w:u w:val="none"/>
                <w:lang w:val="en-US" w:eastAsia="zh-CN"/>
              </w:rPr>
              <w:t>。</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18"/>
                <w:szCs w:val="18"/>
                <w:u w:val="none"/>
                <w:lang w:val="en-US" w:eastAsia="zh-CN"/>
              </w:rPr>
              <w:t>完成医疗保险全覆盖工作任务</w:t>
            </w:r>
          </w:p>
        </w:tc>
        <w:tc>
          <w:tcPr>
            <w:tcW w:w="605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18"/>
                <w:szCs w:val="18"/>
                <w:u w:val="none"/>
                <w:lang w:val="en-US" w:eastAsia="zh-CN"/>
              </w:rPr>
              <w:t>完成医疗保险全覆盖工作任务</w:t>
            </w:r>
          </w:p>
        </w:tc>
      </w:tr>
      <w:tr>
        <w:trPr>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一级指标</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性质</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827"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指标值</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111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18"/>
                <w:szCs w:val="18"/>
                <w:u w:val="none"/>
              </w:rPr>
              <w:t>开展全域医保政策宣传活动次数</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kern w:val="0"/>
                <w:sz w:val="18"/>
                <w:szCs w:val="18"/>
                <w:u w:val="none"/>
                <w:lang w:val="en-US" w:eastAsia="zh-CN"/>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1</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kern w:val="0"/>
                <w:sz w:val="18"/>
                <w:szCs w:val="18"/>
                <w:u w:val="none"/>
                <w:lang w:val="en-US" w:eastAsia="zh-CN"/>
              </w:rPr>
              <w:t>次/年</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10</w:t>
            </w:r>
            <w:r>
              <w:rPr>
                <w:rFonts w:ascii="Times New Roman" w:eastAsia="宋体" w:cs="Times New Roman" w:hAnsi="Times New Roman"/>
                <w:i w:val="0"/>
                <w:color w:val="000000"/>
                <w:kern w:val="0"/>
                <w:sz w:val="18"/>
                <w:szCs w:val="18"/>
                <w:u w:val="none"/>
                <w:lang w:val="en-US" w:eastAsia="zh-CN"/>
              </w:rPr>
              <w:t>%</w:t>
            </w:r>
          </w:p>
        </w:tc>
        <w:tc>
          <w:tcPr>
            <w:tcW w:w="999"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18"/>
                <w:szCs w:val="18"/>
                <w:u w:val="none"/>
              </w:rPr>
              <w:t>稳定异地就医持卡结算率</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10%</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质量指标</w:t>
            </w: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提升综合监管能力</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eastAsia="宋体" w:cs="Times New Roman" w:hint="eastAsia"/>
                <w:i w:val="0"/>
                <w:color w:val="000000"/>
                <w:sz w:val="18"/>
                <w:szCs w:val="18"/>
                <w:u w:val="none"/>
                <w:lang w:val="en-US" w:eastAsia="zh-CN"/>
              </w:rPr>
              <w:t>20%</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3" w:type="dxa"/>
            <w:vMerge/>
            <w:tcBorders>
              <w:top w:val="nil"/>
              <w:left w:val="single" w:sz="4" w:space="0" w:color="000000"/>
              <w:bottom w:val="single" w:sz="4" w:space="0" w:color="000000"/>
              <w:right w:val="single" w:sz="4" w:space="0" w:color="000000"/>
            </w:tcBorders>
            <w:shd w:val="clear" w:color="auto" w:fill="auto"/>
            <w:noWrap/>
            <w:vAlign w:val="center"/>
          </w:tcP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稳定城乡居民基本医疗保险参保率</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kern w:val="0"/>
                <w:sz w:val="18"/>
                <w:szCs w:val="18"/>
                <w:u w:val="none"/>
                <w:lang w:val="en-US" w:eastAsia="zh-CN"/>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80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10</w:t>
            </w:r>
            <w:r>
              <w:rPr>
                <w:rFonts w:ascii="Times New Roman" w:eastAsia="宋体" w:cs="Times New Roman" w:hAnsi="Times New Roman"/>
                <w:i w:val="0"/>
                <w:color w:val="000000"/>
                <w:kern w:val="0"/>
                <w:sz w:val="18"/>
                <w:szCs w:val="18"/>
                <w:u w:val="none"/>
                <w:lang w:val="en-US" w:eastAsia="zh-CN"/>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时效指标</w:t>
            </w: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及时支付参保人员医疗待遇</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eastAsia="宋体" w:cs="Times New Roman" w:hint="eastAsia"/>
                <w:i w:val="0"/>
                <w:color w:val="000000"/>
                <w:sz w:val="18"/>
                <w:szCs w:val="18"/>
                <w:u w:val="none"/>
                <w:lang w:val="en-US" w:eastAsia="zh-CN"/>
              </w:rPr>
              <w:t>99</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10</w:t>
            </w:r>
            <w:r>
              <w:rPr>
                <w:rFonts w:ascii="Times New Roman" w:eastAsia="宋体" w:cs="Times New Roman" w:hAnsi="Times New Roman"/>
                <w:i w:val="0"/>
                <w:color w:val="000000"/>
                <w:kern w:val="0"/>
                <w:sz w:val="18"/>
                <w:szCs w:val="18"/>
                <w:u w:val="none"/>
                <w:lang w:val="en-US" w:eastAsia="zh-CN"/>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效益指标</w:t>
            </w:r>
          </w:p>
        </w:tc>
        <w:tc>
          <w:tcPr>
            <w:tcW w:w="111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提升医保经办服务信息化支撑能力</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eastAsia="宋体" w:cs="Times New Roman" w:hint="eastAsia"/>
                <w:i w:val="0"/>
                <w:color w:val="000000"/>
                <w:sz w:val="18"/>
                <w:szCs w:val="18"/>
                <w:u w:val="none"/>
                <w:lang w:val="en-US" w:eastAsia="zh-CN"/>
              </w:rPr>
              <w:t>定性</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优良中低差</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eastAsia="宋体" w:cs="Times New Roman" w:hint="eastAsia"/>
                <w:i w:val="0"/>
                <w:color w:val="000000"/>
                <w:sz w:val="18"/>
                <w:szCs w:val="18"/>
                <w:u w:val="none"/>
                <w:lang w:val="en-US" w:eastAsia="zh-CN"/>
              </w:rPr>
              <w:t>20%</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3" w:type="dxa"/>
            <w:vMerge/>
            <w:tcBorders>
              <w:top w:val="single" w:sz="4" w:space="0" w:color="000000"/>
              <w:left w:val="single" w:sz="4" w:space="0" w:color="000000"/>
              <w:bottom w:val="nil"/>
              <w:right w:val="single" w:sz="4" w:space="0" w:color="000000"/>
            </w:tcBorders>
            <w:shd w:val="clear" w:color="auto" w:fill="auto"/>
            <w:noWrap/>
            <w:vAlign w:val="center"/>
          </w:tcP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医保重要政策知晓率</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eastAsia="宋体" w:cs="Times New Roman" w:hint="eastAsia"/>
                <w:i w:val="0"/>
                <w:color w:val="000000"/>
                <w:sz w:val="18"/>
                <w:szCs w:val="18"/>
                <w:u w:val="none"/>
                <w:lang w:val="en-US" w:eastAsia="zh-CN"/>
              </w:rPr>
              <w:t>99</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10</w:t>
            </w:r>
            <w:r>
              <w:rPr>
                <w:rFonts w:ascii="Times New Roman" w:eastAsia="宋体" w:cs="Times New Roman" w:hAnsi="Times New Roman"/>
                <w:i w:val="0"/>
                <w:color w:val="000000"/>
                <w:kern w:val="0"/>
                <w:sz w:val="18"/>
                <w:szCs w:val="18"/>
                <w:u w:val="none"/>
                <w:lang w:val="en-US" w:eastAsia="zh-CN"/>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r>
        <w:trPr>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参保人员对医保服务的满意度</w:t>
            </w:r>
          </w:p>
        </w:tc>
        <w:tc>
          <w:tcPr>
            <w:tcW w:w="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i w:val="0"/>
                <w:color w:val="000000"/>
                <w:sz w:val="18"/>
                <w:szCs w:val="18"/>
                <w:u w:val="none"/>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eastAsia="宋体" w:cs="Times New Roman" w:hint="eastAsia"/>
                <w:i w:val="0"/>
                <w:color w:val="000000"/>
                <w:sz w:val="18"/>
                <w:szCs w:val="18"/>
                <w:u w:val="none"/>
                <w:lang w:val="en-US" w:eastAsia="zh-CN"/>
              </w:rPr>
              <w:t>98</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sz w:val="18"/>
                <w:szCs w:val="18"/>
                <w:u w:val="none"/>
                <w:lang w:val="en-US" w:eastAsia="zh-CN"/>
              </w:rPr>
              <w:t>%</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10</w:t>
            </w:r>
            <w:r>
              <w:rPr>
                <w:rFonts w:ascii="Times New Roman" w:eastAsia="宋体" w:cs="Times New Roman" w:hAnsi="Times New Roman"/>
                <w:i w:val="0"/>
                <w:color w:val="000000"/>
                <w:kern w:val="0"/>
                <w:sz w:val="18"/>
                <w:szCs w:val="18"/>
                <w:u w:val="none"/>
                <w:lang w:val="en-US" w:eastAsia="zh-CN"/>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ascii="Times New Roman" w:eastAsia="宋体" w:cs="Times New Roman" w:hAnsi="Times New Roman"/>
                <w:i w:val="0"/>
                <w:color w:val="000000"/>
                <w:kern w:val="2"/>
                <w:sz w:val="18"/>
                <w:szCs w:val="18"/>
                <w:u w:val="none"/>
                <w:lang w:val="en-US" w:eastAsia="zh-CN" w:bidi="ar-SA"/>
              </w:rPr>
            </w:pPr>
            <w:r>
              <w:rPr>
                <w:rFonts w:ascii="Times New Roman" w:eastAsia="宋体" w:cs="Times New Roman" w:hAnsi="Times New Roman" w:hint="eastAsia"/>
                <w:i w:val="0"/>
                <w:color w:val="000000"/>
                <w:kern w:val="0"/>
                <w:sz w:val="18"/>
                <w:szCs w:val="18"/>
                <w:u w:val="none"/>
                <w:lang w:val="en-US" w:eastAsia="zh-CN"/>
              </w:rPr>
              <w:t>已完成</w:t>
            </w:r>
          </w:p>
        </w:tc>
      </w:tr>
    </w:tbl>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cs="Times New Roman" w:hAnsi="Times New Roman"/>
          <w:color w:val="000000"/>
          <w:kern w:val="0"/>
          <w:szCs w:val="32"/>
          <w:shd w:val="clear" w:color="auto" w:fill="FFFFFF"/>
          <w:lang w:val="en-US" w:eastAsia="zh-CN"/>
          <w:highlight w:val="auto"/>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i w:val="0"/>
          <w:color w:val="000000"/>
          <w:kern w:val="0"/>
          <w:sz w:val="44"/>
          <w:szCs w:val="44"/>
          <w:u w:val="none"/>
          <w:lang w:val="en-US" w:eastAsia="zh-CN"/>
        </w:rPr>
      </w:pPr>
      <w:r>
        <w:rPr>
          <w:rFonts w:ascii="Times New Roman" w:eastAsia="方正小标宋简体" w:cs="Times New Roman" w:hAnsi="Times New Roman" w:hint="eastAsia"/>
          <w:i w:val="0"/>
          <w:color w:val="000000"/>
          <w:kern w:val="0"/>
          <w:sz w:val="44"/>
          <w:szCs w:val="44"/>
          <w:u w:val="none"/>
          <w:lang w:val="en-US" w:eastAsia="zh-CN"/>
        </w:rPr>
        <w:t>部门预算绩效自评打分表</w:t>
      </w:r>
    </w:p>
    <w:tbl>
      <w:tblPr>
        <w:jc w:val="center"/>
        <w:tblW w:w="959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890"/>
        <w:gridCol w:w="1077"/>
        <w:gridCol w:w="1697"/>
        <w:gridCol w:w="566"/>
        <w:gridCol w:w="4472"/>
        <w:gridCol w:w="559"/>
        <w:gridCol w:w="338"/>
      </w:tblGrid>
      <w:tr>
        <w:trPr>
          <w:trHeight w:val="250"/>
        </w:trPr>
        <w:tc>
          <w:tcPr>
            <w:tcW w:w="423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i w:val="0"/>
                <w:color w:val="000000"/>
                <w:sz w:val="21"/>
                <w:szCs w:val="21"/>
                <w:u w:val="none"/>
              </w:rPr>
            </w:pPr>
            <w:r>
              <w:rPr>
                <w:rFonts w:ascii="黑体" w:eastAsia="黑体" w:cs="黑体" w:hint="eastAsia"/>
                <w:i w:val="0"/>
                <w:color w:val="000000"/>
                <w:kern w:val="0"/>
                <w:sz w:val="21"/>
                <w:szCs w:val="21"/>
                <w:u w:val="none"/>
                <w:lang w:val="en-US" w:eastAsia="zh-CN"/>
              </w:rPr>
              <w:t>绩效评价指标指标分值</w:t>
            </w:r>
          </w:p>
        </w:tc>
        <w:tc>
          <w:tcPr>
            <w:tcW w:w="447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指标解释</w:t>
            </w:r>
          </w:p>
        </w:tc>
        <w:tc>
          <w:tcPr>
            <w:tcW w:w="55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hint="eastAsia"/>
                <w:i w:val="0"/>
                <w:color w:val="000000"/>
                <w:kern w:val="0"/>
                <w:sz w:val="21"/>
                <w:szCs w:val="21"/>
                <w:u w:val="none"/>
                <w:lang w:val="en-US" w:eastAsia="zh-CN"/>
              </w:rPr>
            </w:pPr>
            <w:r>
              <w:rPr>
                <w:rFonts w:ascii="黑体" w:eastAsia="黑体" w:cs="黑体" w:hint="eastAsia"/>
                <w:i w:val="0"/>
                <w:color w:val="000000"/>
                <w:kern w:val="0"/>
                <w:sz w:val="21"/>
                <w:szCs w:val="21"/>
                <w:u w:val="none"/>
                <w:lang w:val="en-US" w:eastAsia="zh-CN"/>
              </w:rPr>
              <w:t>自评得分</w:t>
            </w:r>
          </w:p>
        </w:tc>
        <w:tc>
          <w:tcPr>
            <w:tcW w:w="338"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hint="eastAsia"/>
                <w:i w:val="0"/>
                <w:color w:val="000000"/>
                <w:kern w:val="0"/>
                <w:sz w:val="21"/>
                <w:szCs w:val="21"/>
                <w:u w:val="none"/>
                <w:lang w:val="en-US" w:eastAsia="zh-CN"/>
              </w:rPr>
            </w:pPr>
            <w:r>
              <w:rPr>
                <w:rFonts w:ascii="黑体" w:eastAsia="黑体" w:cs="黑体" w:hint="eastAsia"/>
                <w:i w:val="0"/>
                <w:color w:val="000000"/>
                <w:kern w:val="0"/>
                <w:sz w:val="21"/>
                <w:szCs w:val="21"/>
                <w:u w:val="none"/>
                <w:lang w:val="en-US" w:eastAsia="zh-CN"/>
              </w:rPr>
              <w:t>备注</w:t>
            </w:r>
          </w:p>
        </w:tc>
      </w:tr>
      <w:tr>
        <w:trPr>
          <w:trHeight w:val="972"/>
        </w:trPr>
        <w:tc>
          <w:tcPr>
            <w:tcW w:w="890"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一级指标</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二级指标</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三级指标</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指标</w:t>
              <w:br/>
              <w:t>分值</w:t>
            </w:r>
          </w:p>
        </w:tc>
        <w:tc>
          <w:tcPr>
            <w:tcW w:w="44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59" w:type="dxa"/>
            <w:vMerge/>
            <w:tcBorders>
              <w:top w:val="nil"/>
              <w:left w:val="single" w:sz="4" w:space="0" w:color="000000"/>
              <w:bottom w:val="single" w:sz="4" w:space="0" w:color="000000"/>
              <w:right w:val="single" w:sz="4" w:space="0" w:color="000000"/>
            </w:tcBorders>
            <w:shd w:val="clear" w:color="auto" w:fill="auto"/>
            <w:noWrap/>
            <w:vAlign w:val="center"/>
          </w:tcPr>
          <w:p/>
        </w:tc>
        <w:tc>
          <w:tcPr>
            <w:tcW w:w="338" w:type="dxa"/>
            <w:vMerge/>
            <w:tcBorders>
              <w:top w:val="nil"/>
              <w:left w:val="single" w:sz="4" w:space="0" w:color="000000"/>
              <w:bottom w:val="single" w:sz="4" w:space="0" w:color="000000"/>
              <w:right w:val="single" w:sz="4" w:space="0" w:color="000000"/>
            </w:tcBorders>
            <w:shd w:val="clear" w:color="auto" w:fill="auto"/>
            <w:noWrap/>
            <w:vAlign w:val="center"/>
          </w:tcPr>
          <w:p/>
        </w:tc>
      </w:tr>
      <w:tr>
        <w:trPr>
          <w:trHeight w:val="491"/>
        </w:trPr>
        <w:tc>
          <w:tcPr>
            <w:tcW w:w="8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bCs w:val="0"/>
                <w:i w:val="0"/>
                <w:color w:val="000000"/>
                <w:kern w:val="0"/>
                <w:sz w:val="21"/>
                <w:szCs w:val="21"/>
                <w:u w:val="none"/>
                <w:lang w:val="en-US" w:eastAsia="zh-CN"/>
              </w:rPr>
              <w:t>总体绩效</w:t>
              <w:br/>
              <w:t>（65分</w:t>
            </w:r>
            <w:r>
              <w:rPr>
                <w:rFonts w:ascii="宋体" w:eastAsia="宋体" w:cs="宋体" w:hint="eastAsia"/>
                <w:b/>
                <w:i w:val="0"/>
                <w:color w:val="000000"/>
                <w:kern w:val="0"/>
                <w:sz w:val="21"/>
                <w:szCs w:val="21"/>
                <w:u w:val="none"/>
                <w:lang w:val="en-US" w:eastAsia="zh-CN"/>
              </w:rPr>
              <w:t>）</w:t>
            </w:r>
          </w:p>
        </w:tc>
        <w:tc>
          <w:tcPr>
            <w:tcW w:w="1077"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履职效能</w:t>
              <w:br/>
              <w:t>（15分）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工资性支出履职效果</w:t>
            </w:r>
          </w:p>
        </w:tc>
        <w:tc>
          <w:tcPr>
            <w:tcW w:w="5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5</w:t>
            </w:r>
          </w:p>
        </w:tc>
        <w:tc>
          <w:tcPr>
            <w:tcW w:w="447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部门整体绩效目标中选定3-5个核心职能目标，反映该项职能目标完成效果情况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tcBorders>
              <w:top w:val="nil"/>
              <w:left w:val="single" w:sz="4" w:space="0" w:color="000000"/>
              <w:bottom w:val="nil"/>
              <w:right w:val="single" w:sz="4" w:space="0" w:color="000000"/>
            </w:tcBorders>
            <w:shd w:val="clear" w:color="auto" w:fill="auto"/>
            <w:noWrap/>
            <w:vAlign w:val="center"/>
          </w:tcPr>
          <w:p/>
        </w:tc>
        <w:tc>
          <w:tcPr>
            <w:tcW w:w="1077" w:type="dxa"/>
            <w:vMerge/>
            <w:tcBorders>
              <w:top w:val="nil"/>
              <w:left w:val="single" w:sz="4" w:space="0" w:color="000000"/>
              <w:bottom w:val="nil"/>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日常公用经费履职效果</w:t>
            </w:r>
          </w:p>
        </w:tc>
        <w:tc>
          <w:tcPr>
            <w:tcW w:w="5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472" w:type="dxa"/>
            <w:vMerge/>
            <w:tcBorders>
              <w:top w:val="nil"/>
              <w:left w:val="single" w:sz="4" w:space="0" w:color="000000"/>
              <w:bottom w:val="nil"/>
              <w:right w:val="single" w:sz="4" w:space="0" w:color="000000"/>
            </w:tcBorders>
            <w:shd w:val="clear" w:color="auto" w:fill="auto"/>
            <w:noWrap/>
            <w:vAlign w:val="center"/>
          </w:tcP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tcBorders>
              <w:top w:val="nil"/>
              <w:left w:val="single" w:sz="4" w:space="0" w:color="000000"/>
              <w:bottom w:val="nil"/>
              <w:right w:val="single" w:sz="4" w:space="0" w:color="000000"/>
            </w:tcBorders>
            <w:shd w:val="clear" w:color="auto" w:fill="auto"/>
            <w:noWrap/>
            <w:vAlign w:val="center"/>
          </w:tcPr>
          <w:p/>
        </w:tc>
        <w:tc>
          <w:tcPr>
            <w:tcW w:w="107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部门整体项目履职效果</w:t>
            </w:r>
          </w:p>
        </w:tc>
        <w:tc>
          <w:tcPr>
            <w:tcW w:w="5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472" w:type="dxa"/>
            <w:vMerge/>
            <w:tcBorders>
              <w:top w:val="nil"/>
              <w:left w:val="single" w:sz="4" w:space="0" w:color="000000"/>
              <w:bottom w:val="single" w:sz="4" w:space="0" w:color="000000"/>
              <w:right w:val="single" w:sz="4" w:space="0" w:color="000000"/>
            </w:tcBorders>
            <w:shd w:val="clear" w:color="auto" w:fill="auto"/>
            <w:noWrap/>
            <w:vAlign w:val="center"/>
          </w:tcP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预算管理</w:t>
              <w:br/>
              <w:t>（25分）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预算编制质量</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8</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部门是否严格按要求编制年初部门预算，年初预算编制的科学性和准确性</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8</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单位收入统筹</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部门统筹自有收入程度</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支出执行进度</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6</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部门1至6月、1至10月预算执行情况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预算年终结余</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2</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部门整体年终预算结余情况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2</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731"/>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严控一般性支出</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5</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部门严控“三公”经费、会议、培训、差旅、办节办展、办公设备购置、信息网络及软件购置更新、课题经费等8项一般性支出情况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财务管理</w:t>
              <w:br/>
              <w:t>（10分）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财务管理制度</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部门财务管理制度建立情况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财务岗位设置</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2</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部门财务岗位设置是否符合相关财务管理制度要求</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2</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资金使用规范</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部门资金使用是否符合相关财务管理制度规定</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资产管理</w:t>
              <w:br/>
              <w:t>（9分）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人均资产变化率</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部门人均资产变化情况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2.4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资产利用率</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部门资产超最低使用年限情况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总体绩效</w:t>
              <w:br/>
              <w:t>（65分）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资产管理</w:t>
              <w:br/>
              <w:t>（9分）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资产盘活率</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部门闲置一年以上的资产盘活情况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采购管理</w:t>
              <w:br/>
              <w:t>（6分）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支持中小企业发展</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部门是否严格执行政府采购促进中小企业发展相关管理办法</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采购执行率</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部门政府采购项目资金支付比例情况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项目绩效</w:t>
              <w:br/>
              <w:t>（35分）</w:t>
            </w:r>
          </w:p>
        </w:tc>
        <w:tc>
          <w:tcPr>
            <w:tcW w:w="1077"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项目决策</w:t>
              <w:br/>
              <w:t>（12分）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决策程序</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部门预算项目设立是否按规定履行评估论证、申报程序</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731"/>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目标设置</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部门预算项目绩效目标与计划期内的任务量、预算安排的资金量匹配情况，绩效目标设置是否科学合理、规范完整、量化细化、预算匹配</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项目入库</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部门预算项目是否在规定时间完成项目入库</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项目执行</w:t>
              <w:br/>
              <w:t>（12分）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执行同向</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部门预算项目实际列支内容是否与绩效目标设置方向相符</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97"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项目调整</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部门预算项目是否采取对应调整措施</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执行结果</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部门预算项目预算执行情况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目标实现</w:t>
              <w:br/>
              <w:t>（11分）</w:t>
            </w: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目标完成</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部门预算项目绩效目标数量指标完成情况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491"/>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目标偏离</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部门预算项目绩效目标数量指标实现程度与预期目标的偏离情况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250"/>
        </w:trPr>
        <w:tc>
          <w:tcPr>
            <w:tcW w:w="8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实现效果</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部门预算项目绩效目标效益指标实施效果</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r>
        <w:trPr>
          <w:trHeight w:val="741"/>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1"/>
                <w:szCs w:val="21"/>
                <w:u w:val="none"/>
                <w:lang w:val="en-US" w:eastAsia="zh-CN"/>
              </w:rPr>
              <w:t>扣分项</w:t>
              <w:br/>
              <w:t>（10分）</w:t>
            </w:r>
          </w:p>
        </w:tc>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被评价部门配合度</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w:t>
            </w:r>
          </w:p>
        </w:tc>
        <w:tc>
          <w:tcPr>
            <w:tcW w:w="4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被评价对象工作配合情况</w:t>
            </w:r>
          </w:p>
        </w:tc>
        <w:tc>
          <w:tcPr>
            <w:tcW w:w="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eastAsia="宋体" w:cs="宋体" w:hint="eastAsia"/>
                <w:i w:val="0"/>
                <w:color w:val="000000"/>
                <w:kern w:val="0"/>
                <w:sz w:val="24"/>
                <w:szCs w:val="24"/>
                <w:u w:val="none"/>
                <w:lang w:val="en-US" w:eastAsia="zh-CN"/>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eastAsia="宋体" w:cs="宋体" w:hint="eastAsia"/>
                <w:i w:val="0"/>
                <w:color w:val="000000"/>
                <w:kern w:val="0"/>
                <w:sz w:val="24"/>
                <w:szCs w:val="24"/>
                <w:u w:val="none"/>
                <w:lang w:val="en-US" w:eastAsia="zh-CN"/>
              </w:rPr>
            </w:pPr>
          </w:p>
        </w:tc>
      </w:tr>
    </w:tbl>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32"/>
          <w:szCs w:val="24"/>
          <w:lang w:val="en-US" w:eastAsia="zh-CN" w:bidi="ar-SA"/>
          <w:highlight w:val="auto"/>
        </w:rPr>
      </w:pPr>
    </w:p>
    <w:p>
      <w:pPr>
        <w:rPr>
          <w:rFonts w:ascii="Times New Roman" w:eastAsia="黑体" w:cs="Times New Roman" w:hAnsi="Times New Roman" w:hint="eastAsia"/>
          <w:kern w:val="2"/>
          <w:sz w:val="32"/>
          <w:szCs w:val="24"/>
          <w:lang w:val="en-US" w:eastAsia="zh-CN" w:bidi="ar-SA"/>
          <w:highlight w:val="auto"/>
        </w:rPr>
      </w:pPr>
      <w:r>
        <w:rPr>
          <w:rFonts w:ascii="Times New Roman" w:eastAsia="黑体" w:cs="Times New Roman" w:hAnsi="Times New Roman"/>
          <w:sz w:val="24"/>
          <w:szCs w:val="24"/>
          <w:lang w:val="en-US" w:eastAsia="zh-CN"/>
          <w:highlight w:val="auto"/>
        </w:rPr>
        <w:br w:type="page"/>
      </w:r>
    </w:p>
    <w:p>
      <w:pPr>
        <w:numPr>
          <w:ilvl w:val="0"/>
          <w:numId w:val="2"/>
        </w:numPr>
        <w:autoSpaceDE w:val="0"/>
        <w:autoSpaceDN w:val="0"/>
        <w:adjustRightInd w:val="0"/>
        <w:spacing w:line="600" w:lineRule="exact"/>
        <w:jc w:val="center"/>
        <w:rPr>
          <w:rFonts w:ascii="宋体" w:eastAsia="宋体" w:cs="宋体" w:hint="eastAsia"/>
          <w:b/>
          <w:bCs/>
          <w:sz w:val="32"/>
          <w:szCs w:val="32"/>
        </w:rPr>
      </w:pPr>
      <w:r>
        <w:rPr>
          <w:rFonts w:ascii="宋体" w:eastAsia="宋体" w:cs="宋体" w:hint="eastAsia"/>
          <w:b/>
          <w:bCs/>
          <w:sz w:val="32"/>
          <w:szCs w:val="32"/>
        </w:rPr>
        <w:t>名词解释</w:t>
      </w:r>
    </w:p>
    <w:p>
      <w:pPr>
        <w:autoSpaceDE w:val="0"/>
        <w:autoSpaceDN w:val="0"/>
        <w:adjustRightInd w:val="0"/>
        <w:spacing w:line="600" w:lineRule="exact"/>
        <w:jc w:val="both"/>
        <w:rPr>
          <w:rFonts w:ascii="宋体" w:eastAsia="宋体" w:cs="宋体" w:hint="eastAsia"/>
          <w:b/>
          <w:bCs/>
          <w:sz w:val="32"/>
          <w:szCs w:val="32"/>
          <w:lang w:val="en-US" w:eastAsia="zh-CN"/>
        </w:rPr>
      </w:pPr>
    </w:p>
    <w:p>
      <w:pPr>
        <w:pStyle w:val="22"/>
        <w:keepNext w:val="0"/>
        <w:keepLines w:val="0"/>
        <w:widowControl/>
        <w:suppressLineNumbers w:val="0"/>
        <w:spacing w:line="560" w:lineRule="exact"/>
        <w:ind w:left="0" w:firstLineChars="200" w:firstLine="600"/>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 xml:space="preserve">1.财政拨款收入指州级财政当年拨付的资金。 </w:t>
      </w:r>
    </w:p>
    <w:p>
      <w:pPr>
        <w:pStyle w:val="22"/>
        <w:keepNext w:val="0"/>
        <w:keepLines w:val="0"/>
        <w:widowControl/>
        <w:suppressLineNumbers w:val="0"/>
        <w:spacing w:line="560" w:lineRule="exact"/>
        <w:ind w:left="0" w:firstLineChars="200" w:firstLine="600"/>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 xml:space="preserve">2.年初结转和结余指以前年度尚未完成、结转到本年按有关规定继续使用的资金。 </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3.社会保障和就业208（类）行政事业单位离退休05（款）机关事业单位基本养老保险缴费支出05（项）指机关事业单位实施养老保险制度由单位缴纳的基本养老保险费支出。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4.社会保障和就业208（类）行政事业单位离退休05（款）机关事业单位职业年金缴费支出06（项）指机关事业单位实施养老保险制度由单位缴纳的职业年金支出。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5.卫生健康支出210（类）行政事业单位医疗11（款）行政单位医疗01（项）指行政单位实施医疗保险制度由单位缴纳的医疗保险支出。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6.卫生健康支出210（类）行政事业单位医疗11（款）事业单位医疗02（项）指事业单位实施医疗保险制度由单位缴纳的医疗保险支出。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7.卫生健康支出210（类）行政事业单位医疗11（款）公务员医疗补助03（项）：指行政单位实施公务员医疗保险制度由单位缴纳的公务员医疗保险支出。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8.卫生健康支出210（类）行政事业单位医疗11（款）其他行政事业单位医疗支出99（项）：指事业单位实施公务员医疗保险制度由单位缴纳的公务员医疗保险支出。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9.卫生健康支出210（类）医疗救助13（款）城乡医疗救助01（项）指用于城乡医疗救助资金支出。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10.卫生健康支出210（类）医疗保障管理事务15（款）行政运行01（项）：行政单位实施基本工资、津贴补贴等工资福利支出；事业单位日常公用经费支出等。</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11.卫生健康支出210（类）医疗保障管理事务15（款）医疗保障经办事务06（项）：单位日常公用经费支出等。</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12.卫生健康支出210（类）医疗保障管理事务15（款）事业运行50（项）指事业单位实施基本工资、津贴补贴等工资福利支出；事业单位日常公用经费支出等。</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13.住房保障支出221（类）住房改革支出02（款）住房公积金01（项）指反映行政事业单位按人力资源和社会保障部、财政部规定的基本工资和津贴补贴以及规定比例为职工缴纳的住房公积金。</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14.教育支出205（类）进修及培训08（款）培训支出03（项）指单位医疗保险医疗缴费综合业务、专门性财政管理工作的项目支出。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15.年末结转和结余：指本年度或以前年度预算安排、因客观条件发生变化无法按原计划实施，需延迟到以后年度按有关规定继续使用的资金。</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16.基本支出：指为保障机构正常运转、完成日常工作任务而发生的人员支出和公用支出。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17.项目支出：指在基本支出之外为完成特定行政任务和事业发展目标所发生的支出。</w:t>
      </w:r>
    </w:p>
    <w:p>
      <w:pPr>
        <w:pStyle w:val="22"/>
        <w:keepNext w:val="0"/>
        <w:keepLines w:val="0"/>
        <w:widowControl/>
        <w:suppressLineNumbers w:val="0"/>
        <w:spacing w:line="560" w:lineRule="exact"/>
        <w:ind w:left="0" w:firstLineChars="200" w:firstLine="600"/>
        <w:rPr>
          <w:rFonts w:ascii="仿宋_GB2312" w:eastAsia="仿宋_GB2312" w:cs="Times New Roman"/>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18.“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2"/>
        <w:keepNext w:val="0"/>
        <w:keepLines w:val="0"/>
        <w:widowControl/>
        <w:suppressLineNumbers w:val="0"/>
        <w:spacing w:line="560" w:lineRule="exact"/>
        <w:ind w:left="0" w:firstLineChars="200" w:firstLine="600"/>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center"/>
        <w:rPr>
          <w:rFonts w:ascii="宋体" w:eastAsia="宋体" w:cs="宋体"/>
          <w:b/>
          <w:bCs/>
          <w:sz w:val="32"/>
          <w:szCs w:val="32"/>
          <w:lang w:val="en-US" w:eastAsia="zh-CN"/>
        </w:rPr>
      </w:pPr>
    </w:p>
    <w:p>
      <w:pPr>
        <w:jc w:val="center"/>
        <w:rPr>
          <w:rFonts w:ascii="宋体" w:eastAsia="宋体" w:cs="宋体" w:hint="eastAsia"/>
          <w:b/>
          <w:bCs/>
          <w:sz w:val="32"/>
          <w:szCs w:val="32"/>
          <w:lang w:val="en-US" w:eastAsia="zh-CN"/>
        </w:rPr>
      </w:pPr>
      <w:r>
        <w:rPr>
          <w:rFonts w:ascii="宋体" w:eastAsia="宋体" w:cs="宋体" w:hint="eastAsia"/>
          <w:b/>
          <w:bCs/>
          <w:sz w:val="32"/>
          <w:szCs w:val="32"/>
          <w:lang w:eastAsia="zh-CN"/>
        </w:rPr>
        <w:t>第五部分</w:t>
      </w:r>
      <w:r>
        <w:rPr>
          <w:rFonts w:ascii="宋体" w:eastAsia="宋体" w:cs="宋体" w:hint="eastAsia"/>
          <w:b/>
          <w:bCs/>
          <w:sz w:val="32"/>
          <w:szCs w:val="32"/>
          <w:lang w:val="en-US" w:eastAsia="zh-CN"/>
        </w:rPr>
        <w:t xml:space="preserve"> 附表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Chars="200" w:firstLine="600"/>
        <w:jc w:val="both"/>
        <w:textAlignment w:val="auto"/>
        <w:rPr>
          <w:rFonts w:ascii="仿宋_GB2312" w:eastAsia="仿宋_GB2312" w:cs="Times New Roman" w:hint="eastAsia"/>
          <w:color w:val="auto"/>
          <w:kern w:val="2"/>
          <w:sz w:val="30"/>
          <w:szCs w:val="30"/>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一、收入支出决算总表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二、收入决算表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三、支出决算表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四、财政拨款收入支出决算总表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五、财政拨款收入支出决算明细表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六、一般公共预算财政拨款支出决算表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七、一般公共预算财政拨款支出决算明细表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八、一般公共预算财政拨款基本支出决算表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九、一般公共预算财政拨款项目支出决算表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十、政府性基金预算财政拨款支出决算表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十一、国有资本经营预算财政拨款收入支出决算表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十二、国有资本经营预算财政拨款支出决算表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00"/>
        <w:jc w:val="both"/>
        <w:textAlignment w:val="auto"/>
        <w:rPr>
          <w:rFonts w:ascii="仿宋_GB2312" w:eastAsia="仿宋_GB2312" w:cs="Times New Roman" w:hint="eastAsia"/>
          <w:color w:val="auto"/>
          <w:kern w:val="2"/>
          <w:sz w:val="30"/>
          <w:szCs w:val="30"/>
          <w:lang w:val="en-US" w:eastAsia="zh-CN" w:bidi="ar-SA"/>
        </w:rPr>
      </w:pPr>
      <w:r>
        <w:rPr>
          <w:rFonts w:ascii="仿宋_GB2312" w:eastAsia="仿宋_GB2312" w:cs="Times New Roman" w:hint="eastAsia"/>
          <w:color w:val="auto"/>
          <w:kern w:val="2"/>
          <w:sz w:val="30"/>
          <w:szCs w:val="30"/>
          <w:lang w:val="en-US" w:eastAsia="zh-CN" w:bidi="ar-SA"/>
        </w:rPr>
        <w:t>十三、财政拨款“三公经费”支出决算表</w:t>
      </w:r>
    </w:p>
    <w:p>
      <w:pPr>
        <w:jc w:val="both"/>
        <w:rPr>
          <w:rFonts w:ascii="仿宋_GB2312" w:eastAsia="仿宋_GB2312" w:cs="Times New Roman" w:hint="eastAsia"/>
          <w:color w:val="auto"/>
          <w:kern w:val="2"/>
          <w:sz w:val="30"/>
          <w:szCs w:val="30"/>
          <w:lang w:val="en-US" w:eastAsia="zh-CN" w:bidi="ar-SA"/>
        </w:rPr>
      </w:pPr>
    </w:p>
    <w:p>
      <w:pPr>
        <w:keepNext w:val="0"/>
        <w:keepLines w:val="0"/>
        <w:widowControl w:val="0"/>
        <w:suppressLineNumbers w:val="0"/>
        <w:spacing w:before="0" w:beforeAutospacing="0" w:after="0" w:afterAutospacing="0"/>
        <w:ind w:left="0" w:right="0" w:firstLineChars="200" w:firstLine="640"/>
        <w:jc w:val="both"/>
        <w:rPr>
          <w:rFonts w:ascii="宋体" w:eastAsia="宋体" w:cs="宋体" w:hint="eastAsia"/>
          <w:kern w:val="2"/>
          <w:sz w:val="32"/>
          <w:szCs w:val="32"/>
          <w:lang w:val="en-US" w:eastAsia="zh-CN"/>
        </w:rPr>
      </w:pPr>
    </w:p>
    <w:p>
      <w:pPr>
        <w:rPr>
          <w:rFonts w:ascii="宋体" w:eastAsia="宋体" w:cs="宋体" w:hint="eastAsia"/>
          <w:color w:val="auto"/>
          <w:kern w:val="0"/>
          <w:sz w:val="32"/>
          <w:szCs w:val="32"/>
          <w:lang w:val="en-US" w:eastAsia="zh-CN"/>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黑体_GBK"/>
    <w:panose1 w:val="02010601030101010101"/>
    <w:charset w:val="86"/>
    <w:family w:val="auto"/>
    <w:pitch w:val="variable"/>
    <w:sig w:usb0="00000000" w:usb1="00000000" w:usb2="00000000" w:usb3="00000000" w:csb0="00040000" w:csb1="00000000"/>
  </w:font>
  <w:font w:name="宋体">
    <w:altName w:val="方正书宋_GBK"/>
    <w:panose1 w:val="02010600030101010101"/>
    <w:charset w:val="7A"/>
    <w:family w:val="auto"/>
    <w:pitch w:val="variable"/>
    <w:sig w:usb0="00000203" w:usb1="288F0000" w:usb2="0000000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auto"/>
    <w:pitch w:val="variable"/>
    <w:sig w:usb0="00000000" w:usb1="00000000" w:usb2="00000010" w:usb3="00000000" w:csb0="00040000" w:csb1="00000000"/>
  </w:font>
  <w:font w:name="Times New Roman">
    <w:altName w:val="AR PL UKai CN"/>
    <w:panose1 w:val="02020603050405020304"/>
    <w:charset w:val="86"/>
    <w:family w:val="auto"/>
    <w:pitch w:val="variable"/>
    <w:sig w:usb0="E0002EFF" w:usb1="C000785B"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微软雅黑">
    <w:altName w:val="AR PL UKai CN"/>
    <w:panose1 w:val="020B0503020204020204"/>
    <w:charset w:val="86"/>
    <w:family w:val="auto"/>
    <w:pitch w:val="variable"/>
    <w:sig w:usb0="80000287" w:usb1="2ACF3C50" w:usb2="00000016" w:usb3="00000000" w:csb0="0004001F" w:csb1="00000000"/>
  </w:font>
  <w:font w:name="楷体_GB2312">
    <w:altName w:val="楷体"/>
    <w:panose1 w:val="02010609030101010101"/>
    <w:charset w:val="86"/>
    <w:family w:val="auto"/>
    <w:pitch w:val="variable"/>
    <w:sig w:usb0="00000000" w:usb1="00000000" w:usb2="00000000" w:usb3="00000000" w:csb0="00040000" w:csb1="00000000"/>
  </w:font>
  <w:font w:name="Calibri">
    <w:altName w:val="DejaVu Sans"/>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 w:name="仿宋">
    <w:altName w:val="仿宋_GB2312"/>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w:rPr>
        <w:sz w:val="18"/>
      </w:rPr>
      <mc:AlternateContent>
        <mc:Choice Requires="wps">
          <w:drawing>
            <wp:anchor distT="0" distB="0" distL="114298" distR="114298" simplePos="0" relativeHeight="39"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2">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2.8619864pt;margin-top:0.0pt;width:5.7239957pt;height:10.485009pt;z-index:39;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25C2B61"/>
    <w:multiLevelType w:val="singleLevel"/>
    <w:tmpl w:val="625C2B61"/>
    <w:lvl w:ilvl="0">
      <w:start w:val="1"/>
      <w:numFmt w:val="chineseCounting"/>
      <w:lvlRestart w:val="0"/>
      <w:suff w:val="space"/>
      <w:lvlText w:val="第%1部分"/>
      <w:lvlJc w:val="left"/>
      <w:pPr>
        <w:tabs>
          <w:tab w:val="num" w:pos="0"/>
        </w:tabs>
        <w:ind w:left="0" w:hanging="0"/>
      </w:pPr>
      <w:rPr>
        <w:rFonts w:hint="eastAsia"/>
      </w:rPr>
    </w:lvl>
  </w:abstractNum>
  <w:abstractNum w:abstractNumId="1">
    <w:nsid w:val="6705629C"/>
    <w:multiLevelType w:val="singleLevel"/>
    <w:tmpl w:val="6705629C"/>
    <w:lvl w:ilvl="0">
      <w:start w:val="4"/>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TE4ZDI4ODNhYmU1NDMzYzU3Y2IxNmQxMGU4Yjg1Nm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w:basedOn w:val="0"/>
    <w:pPr>
      <w:keepNext w:val="0"/>
      <w:keepLines w:val="0"/>
      <w:widowControl w:val="0"/>
      <w:suppressLineNumbers w:val="0"/>
      <w:spacing w:beforeLines="30" w:before="30" w:beforeAutospacing="0" w:after="0" w:afterAutospacing="0"/>
      <w:ind w:left="0" w:right="0"/>
      <w:jc w:val="both"/>
    </w:pPr>
    <w:rPr>
      <w:rFonts w:ascii="仿宋_GB2312" w:eastAsia="仿宋_GB2312" w:cs="Times New Roman"/>
      <w:kern w:val="0"/>
      <w:sz w:val="30"/>
      <w:szCs w:val="24"/>
      <w:lang w:val="en-US" w:eastAsia="zh-CN"/>
    </w:rPr>
  </w:style>
  <w:style w:type="paragraph" w:styleId="16">
    <w:name w:val="Body Text Indent"/>
    <w:basedOn w:val="0"/>
    <w:pPr>
      <w:spacing w:after="120"/>
      <w:ind w:leftChars="200" w:left="200"/>
    </w:pPr>
    <w:rPr>
      <w:rFonts w:ascii="仿宋_GB2312" w:hAnsi="仿宋_GB2312"/>
      <w:szCs w:val="32"/>
    </w:r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0">
    <w:name w:val="Body Text First Indent 2"/>
    <w:basedOn w:val="16"/>
    <w:pPr>
      <w:ind w:firstLineChars="200" w:firstLine="200"/>
    </w:pPr>
  </w:style>
  <w:style w:type="character" w:styleId="21">
    <w:name w:val="Strong"/>
    <w:basedOn w:val="10"/>
    <w:rPr>
      <w:b/>
    </w:rPr>
  </w:style>
  <w:style w:type="paragraph" w:customStyle="1" w:styleId="22">
    <w:name w:val="Default"/>
    <w:basedOn w:val="0"/>
    <w:pPr>
      <w:keepNext w:val="0"/>
      <w:keepLines w:val="0"/>
      <w:widowControl w:val="0"/>
      <w:suppressLineNumbers w:val="0"/>
      <w:autoSpaceDE w:val="0"/>
      <w:autoSpaceDN w:val="0"/>
      <w:adjustRightInd w:val="0"/>
      <w:spacing w:before="0" w:beforeAutospacing="0" w:after="0" w:afterAutospacing="0"/>
      <w:ind w:left="0" w:right="0"/>
      <w:jc w:val="left"/>
    </w:pPr>
    <w:rPr>
      <w:rFonts w:ascii="仿宋" w:eastAsia="仿宋" w:cs="仿宋"/>
      <w:color w:val="000000"/>
      <w:kern w:val="0"/>
      <w:sz w:val="24"/>
      <w:szCs w:val="24"/>
      <w:lang w:val="en-US" w:eastAsia="zh-CN"/>
    </w:rPr>
  </w:style>
  <w:style w:type="character" w:customStyle="1" w:styleId="23">
    <w:name w:val="页脚 字符1"/>
    <w:basedOn w:val="10"/>
    <w:rPr>
      <w:rFonts w:ascii="Times New Roman" w:cs="Times New Roman" w:hAnsi="Times New Roman"/>
      <w:kern w:val="2"/>
      <w:sz w:val="18"/>
      <w:szCs w:val="18"/>
    </w:rPr>
  </w:style>
  <w:style w:type="character" w:customStyle="1" w:styleId="24">
    <w:name w:val="正文文本 字符1"/>
    <w:basedOn w:val="10"/>
    <w:rPr>
      <w:rFonts w:ascii="Times New Roman" w:cs="Times New Roman" w:hAnsi="Times New Roman"/>
      <w:kern w:val="2"/>
      <w:sz w:val="21"/>
      <w:szCs w:val="24"/>
    </w:rPr>
  </w:style>
  <w:style w:type="character" w:customStyle="1" w:styleId="25">
    <w:name w:val="页眉 字符1"/>
    <w:basedOn w:val="10"/>
    <w:rPr>
      <w:rFonts w:ascii="Times New Roman" w:cs="Times New Roman" w:hAnsi="Times New Roman"/>
      <w:kern w:val="2"/>
      <w:sz w:val="18"/>
      <w:szCs w:val="18"/>
    </w:rPr>
  </w:style>
  <w:style w:type="paragraph" w:customStyle="1" w:styleId="26">
    <w:name w:val="图表目录1"/>
    <w:basedOn w:val="0"/>
    <w:next w:val="0"/>
    <w:pPr>
      <w:ind w:leftChars="200" w:left="400" w:hangingChars="200" w:hanging="200"/>
    </w:p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chart" Target="charts/chart7.xml"/><Relationship Id="rId10" Type="http://schemas.openxmlformats.org/officeDocument/2006/relationships/chart" Target="charts/chart8.xml"/><Relationship Id="rId11" Type="http://schemas.openxmlformats.org/officeDocument/2006/relationships/chart" Target="charts/chart9.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char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595959"/>
                </a:solidFill>
                <a:latin typeface="AR PL UKai CN"/>
                <a:ea typeface="AR PL UKai CN"/>
                <a:cs typeface="Lucida Sans"/>
              </a:defRPr>
            </a:pPr>
            <a:r>
              <a:rPr lang="zh-CN"/>
              <a:t>本年收入</a:t>
            </a:r>
          </a:p>
        </c:rich>
      </c:tx>
      <c:layout/>
      <c:overlay val="0"/>
      <c:spPr>
        <a:noFill/>
        <a:ln>
          <a:noFill/>
        </a:ln>
      </c:spPr>
    </c:title>
    <c:autoTitleDeleted val="1"/>
    <c:plotArea>
      <c:layout/>
      <c:pieChart>
        <c:varyColors val="1"/>
        <c:ser>
          <c:idx val="0"/>
          <c:order val="0"/>
          <c:tx>
            <c:strRef>
              <c:f>'Sheet1'!$B$1</c:f>
              <c:strCache>
                <c:ptCount val="1"/>
                <c:pt idx="0">
                  <c:v>本年收入情况</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一般公共预算财政拨款</c:v>
                </c:pt>
                <c:pt idx="1">
                  <c:v>其他收入</c:v>
                </c:pt>
              </c:strCache>
            </c:strRef>
          </c:cat>
          <c:val>
            <c:numRef>
              <c:f>'Sheet1'!$B$2:$B$3</c:f>
              <c:numCache>
                <c:formatCode>General</c:formatCode>
                <c:ptCount val="2"/>
                <c:pt idx="0">
                  <c:v>497.22</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no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404040"/>
                </a:solidFill>
                <a:latin typeface="AR PL UKai CN"/>
                <a:ea typeface="AR PL UKai CN"/>
                <a:cs typeface="Lucida Sans"/>
              </a:defRPr>
            </a:pPr>
            <a:r>
              <a:rPr lang="zh-CN"/>
              <a:t>本年支出情况</a:t>
            </a:r>
          </a:p>
        </c:rich>
      </c:tx>
      <c:layout/>
      <c:overlay val="0"/>
      <c:spPr>
        <a:noFill/>
        <a:ln>
          <a:noFill/>
        </a:ln>
      </c:spPr>
    </c:title>
    <c:autoTitleDeleted val="1"/>
    <c:plotArea>
      <c:layout/>
      <c:pieChart>
        <c:varyColors val="1"/>
        <c:ser>
          <c:idx val="0"/>
          <c:order val="0"/>
          <c:tx>
            <c:strRef>
              <c:f>'Sheet1 (2)'!$B$1</c:f>
              <c:strCache>
                <c:ptCount val="1"/>
                <c:pt idx="0">
                  <c:v>本年支出情况</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Pos val="ctr"/>
            <c:showLegendKey val="0"/>
            <c:showVal val="0"/>
            <c:showCatName val="0"/>
            <c:showSerName val="0"/>
            <c:showPercent val="1"/>
            <c:showBubbleSize val="0"/>
            <c:showLeaderLines val="1"/>
          </c:dLbls>
          <c:cat>
            <c:strRef>
              <c:f>'Sheet1 (2)'!$A$2:$A$3</c:f>
              <c:strCache>
                <c:ptCount val="2"/>
                <c:pt idx="0">
                  <c:v>基本支出</c:v>
                </c:pt>
                <c:pt idx="1">
                  <c:v>项目支出</c:v>
                </c:pt>
              </c:strCache>
            </c:strRef>
          </c:cat>
          <c:val>
            <c:numRef>
              <c:f>'Sheet1 (2)'!$B$2:$B$3</c:f>
              <c:numCache>
                <c:formatCode>General</c:formatCode>
                <c:ptCount val="2"/>
                <c:pt idx="0">
                  <c:v>445.58</c:v>
                </c:pt>
                <c:pt idx="1">
                  <c:v>51.64</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no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a:t>
            </a:r>
          </a:p>
        </c:rich>
      </c:tx>
      <c:layout/>
      <c:overlay val="0"/>
      <c:spPr>
        <a:noFill/>
        <a:ln>
          <a:noFill/>
        </a:ln>
      </c:spPr>
    </c:title>
    <c:autoTitleDeleted val="1"/>
    <c:plotArea>
      <c:layout/>
      <c:barChart>
        <c:barDir val="col"/>
        <c:grouping val="clustered"/>
        <c:varyColors val="0"/>
        <c:ser>
          <c:idx val="0"/>
          <c:order val="0"/>
          <c:tx>
            <c:strRef>
              <c:f>'Sheet1 (3)'!$B$1</c:f>
              <c:strCache>
                <c:ptCount val="1"/>
                <c:pt idx="0">
                  <c:v>2023年</c:v>
                </c:pt>
              </c:strCache>
            </c:strRef>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(3)'!$A$2</c:f>
              <c:strCache>
                <c:ptCount val="1"/>
                <c:pt idx="0">
                  <c:v>一般公共预算财政拨款支出</c:v>
                </c:pt>
              </c:strCache>
            </c:strRef>
          </c:cat>
          <c:val>
            <c:numRef>
              <c:f>Sheet1 (3)!$B$2</c:f>
              <c:numCache>
                <c:formatCode>General</c:formatCode>
                <c:ptCount val="1"/>
                <c:pt idx="0">
                  <c:v>514.81</c:v>
                </c:pt>
              </c:numCache>
            </c:numRef>
          </c:val>
        </c:ser>
        <c:ser>
          <c:idx val="1"/>
          <c:order val="1"/>
          <c:tx>
            <c:strRef>
              <c:f>'Sheet1 (3)'!$C$1</c:f>
              <c:strCache>
                <c:ptCount val="1"/>
                <c:pt idx="0">
                  <c:v>2024年</c:v>
                </c:pt>
              </c:strCache>
            </c:strRef>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(3)'!$A$2</c:f>
              <c:strCache>
                <c:ptCount val="1"/>
                <c:pt idx="0">
                  <c:v>一般公共预算财政拨款支出</c:v>
                </c:pt>
              </c:strCache>
            </c:strRef>
          </c:cat>
          <c:val>
            <c:numRef>
              <c:f>Sheet1 (3)!$C$2</c:f>
              <c:numCache>
                <c:formatCode>General</c:formatCode>
                <c:ptCount val="1"/>
                <c:pt idx="0">
                  <c:v>497.22</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no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sz="1400" b="0" i="0" u="none" strike="noStrike" baseline="0">
                <a:solidFill>
                  <a:srgbClr val="595959"/>
                </a:solidFill>
                <a:latin typeface="AR PL UKai CN"/>
                <a:ea typeface="AR PL UKai CN"/>
                <a:cs typeface="Lucida Sans"/>
              </a:rPr>
              <a:t>2023</a:t>
            </a:r>
            <a:r>
              <a:rPr lang="zh-CN" sz="1400" b="0" i="0" u="none" strike="noStrike" baseline="0">
                <a:solidFill>
                  <a:srgbClr val="595959"/>
                </a:solidFill>
                <a:latin typeface="AR PL UKai CN"/>
                <a:ea typeface="AR PL UKai CN"/>
                <a:cs typeface="Lucida Sans"/>
              </a:rPr>
              <a:t>年和</a:t>
            </a:r>
            <a:r>
              <a:rPr lang="zh-CN" sz="1400" b="0" i="0" u="none" strike="noStrike" baseline="0">
                <a:solidFill>
                  <a:srgbClr val="595959"/>
                </a:solidFill>
                <a:latin typeface="AR PL UKai CN"/>
                <a:ea typeface="AR PL UKai CN"/>
                <a:cs typeface="Lucida Sans"/>
              </a:rPr>
              <a:t>2024</a:t>
            </a:r>
            <a:r>
              <a:rPr lang="zh-CN" sz="1400" b="0" i="0" u="none" strike="noStrike" baseline="0">
                <a:solidFill>
                  <a:srgbClr val="595959"/>
                </a:solidFill>
                <a:latin typeface="AR PL UKai CN"/>
                <a:ea typeface="AR PL UKai CN"/>
                <a:cs typeface="Lucida Sans"/>
              </a:rPr>
              <a:t>年一般公共预算财政拨款支出情况</a:t>
            </a:r>
          </a:p>
        </c:rich>
      </c:tx>
      <c:layout>
        <c:manualLayout>
          <c:xMode val="edge"/>
          <c:yMode val="edge"/>
          <c:x val="0.123"/>
          <c:y val="0.026132405"/>
        </c:manualLayout>
      </c:layout>
      <c:overlay val="0"/>
      <c:spPr>
        <a:noFill/>
        <a:ln>
          <a:noFill/>
        </a:ln>
      </c:spPr>
    </c:title>
    <c:autoTitleDeleted val="1"/>
    <c:plotArea>
      <c:layout/>
      <c:barChart>
        <c:barDir val="col"/>
        <c:grouping val="clustered"/>
        <c:varyColors val="0"/>
        <c:ser>
          <c:idx val="0"/>
          <c:order val="0"/>
          <c:tx>
            <c:strRef>
              <c:f>'Sheet1 (4)'!$B$1</c:f>
              <c:strCache>
                <c:ptCount val="1"/>
                <c:pt idx="0">
                  <c:v>2023年</c:v>
                </c:pt>
              </c:strCache>
            </c:strRef>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(4)'!$A$2:$A$6</c:f>
              <c:strCache>
                <c:ptCount val="5"/>
                <c:pt idx="0">
                  <c:v>教育支出</c:v>
                </c:pt>
                <c:pt idx="1">
                  <c:v>社会保障和就业支出</c:v>
                </c:pt>
                <c:pt idx="2">
                  <c:v>卫生健康支出</c:v>
                </c:pt>
                <c:pt idx="3">
                  <c:v>住房保障支出</c:v>
                </c:pt>
                <c:pt idx="4">
                  <c:v>其他支出</c:v>
                </c:pt>
              </c:strCache>
            </c:strRef>
          </c:cat>
          <c:val>
            <c:numRef>
              <c:f>'Sheet1 (4)'!$B$2:$B$6</c:f>
              <c:numCache>
                <c:formatCode>General</c:formatCode>
                <c:ptCount val="5"/>
                <c:pt idx="0">
                  <c:v>1.2</c:v>
                </c:pt>
                <c:pt idx="1">
                  <c:v>63.53</c:v>
                </c:pt>
                <c:pt idx="2">
                  <c:v>418.27</c:v>
                </c:pt>
                <c:pt idx="3">
                  <c:v>31.82</c:v>
                </c:pt>
                <c:pt idx="4">
                  <c:v>0.0</c:v>
                </c:pt>
              </c:numCache>
            </c:numRef>
          </c:val>
        </c:ser>
        <c:ser>
          <c:idx val="1"/>
          <c:order val="1"/>
          <c:tx>
            <c:strRef>
              <c:f>'Sheet1 (4)'!$C$1</c:f>
              <c:strCache>
                <c:ptCount val="1"/>
                <c:pt idx="0">
                  <c:v>2024年</c:v>
                </c:pt>
              </c:strCache>
            </c:strRef>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(4)'!$A$2:$A$6</c:f>
              <c:strCache>
                <c:ptCount val="5"/>
                <c:pt idx="0">
                  <c:v>教育支出</c:v>
                </c:pt>
                <c:pt idx="1">
                  <c:v>社会保障和就业支出</c:v>
                </c:pt>
                <c:pt idx="2">
                  <c:v>卫生健康支出</c:v>
                </c:pt>
                <c:pt idx="3">
                  <c:v>住房保障支出</c:v>
                </c:pt>
                <c:pt idx="4">
                  <c:v>其他支出</c:v>
                </c:pt>
              </c:strCache>
            </c:strRef>
          </c:cat>
          <c:val>
            <c:numRef>
              <c:f>'Sheet1 (4)'!$C$2:$C$6</c:f>
              <c:numCache>
                <c:formatCode>General</c:formatCode>
                <c:ptCount val="5"/>
                <c:pt idx="0">
                  <c:v>0.94</c:v>
                </c:pt>
                <c:pt idx="1">
                  <c:v>63.93</c:v>
                </c:pt>
                <c:pt idx="2">
                  <c:v>397.43</c:v>
                </c:pt>
                <c:pt idx="3">
                  <c:v>34.92</c:v>
                </c:pt>
                <c:pt idx="4">
                  <c:v>0.0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no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社会保障和就业占比</a:t>
            </a:r>
          </a:p>
        </c:rich>
      </c:tx>
      <c:layout/>
      <c:overlay val="0"/>
      <c:spPr>
        <a:noFill/>
        <a:ln>
          <a:noFill/>
        </a:ln>
      </c:spPr>
    </c:title>
    <c:autoTitleDeleted val="1"/>
    <c:plotArea>
      <c:layout/>
      <c:pieChart>
        <c:varyColors val="1"/>
        <c:ser>
          <c:idx val="0"/>
          <c:order val="0"/>
          <c:tx>
            <c:strRef>
              <c:f>'Sheet1 (5)'!$B$1</c:f>
              <c:strCache>
                <c:ptCount val="1"/>
                <c:pt idx="0">
                  <c:v>社会保障和就业占比</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Pos val="ctr"/>
            <c:showLegendKey val="0"/>
            <c:showVal val="0"/>
            <c:showCatName val="0"/>
            <c:showSerName val="0"/>
            <c:showPercent val="1"/>
            <c:showBubbleSize val="0"/>
            <c:showLeaderLines val="1"/>
          </c:dLbls>
          <c:cat>
            <c:strRef>
              <c:f>'Sheet1 (5)'!$A$2:$A$3</c:f>
              <c:strCache>
                <c:ptCount val="2"/>
                <c:pt idx="0">
                  <c:v>一般公共预算财政拨款总支出</c:v>
                </c:pt>
                <c:pt idx="1">
                  <c:v>社会保障和就业支出</c:v>
                </c:pt>
              </c:strCache>
            </c:strRef>
          </c:cat>
          <c:val>
            <c:numRef>
              <c:f>'Sheet1 (5)'!$B$2:$B$3</c:f>
              <c:numCache>
                <c:formatCode>General</c:formatCode>
                <c:ptCount val="2"/>
                <c:pt idx="0">
                  <c:v>497.22</c:v>
                </c:pt>
                <c:pt idx="1">
                  <c:v>63.93</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no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卫生健康支出占比</a:t>
            </a:r>
          </a:p>
        </c:rich>
      </c:tx>
      <c:layout/>
      <c:overlay val="0"/>
      <c:spPr>
        <a:noFill/>
        <a:ln>
          <a:noFill/>
        </a:ln>
      </c:spPr>
    </c:title>
    <c:autoTitleDeleted val="1"/>
    <c:plotArea>
      <c:layout/>
      <c:pieChart>
        <c:varyColors val="1"/>
        <c:ser>
          <c:idx val="0"/>
          <c:order val="0"/>
          <c:tx>
            <c:strRef>
              <c:f>'Sheet1 (6)'!$B$1</c:f>
              <c:strCache>
                <c:ptCount val="1"/>
                <c:pt idx="0">
                  <c:v>卫生健康支出占比</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Pos val="ctr"/>
            <c:showLegendKey val="0"/>
            <c:showVal val="0"/>
            <c:showCatName val="0"/>
            <c:showSerName val="0"/>
            <c:showPercent val="1"/>
            <c:showBubbleSize val="0"/>
            <c:showLeaderLines val="1"/>
          </c:dLbls>
          <c:cat>
            <c:strRef>
              <c:f>'Sheet1 (6)'!$A$2:$A$3</c:f>
              <c:strCache>
                <c:ptCount val="2"/>
                <c:pt idx="0">
                  <c:v>一般公共预算财政拨款总支出</c:v>
                </c:pt>
                <c:pt idx="1">
                  <c:v>卫生健康支出</c:v>
                </c:pt>
              </c:strCache>
            </c:strRef>
          </c:cat>
          <c:val>
            <c:numRef>
              <c:f>'Sheet1 (6)'!$B$2:$B$3</c:f>
              <c:numCache>
                <c:formatCode>General</c:formatCode>
                <c:ptCount val="2"/>
                <c:pt idx="0">
                  <c:v>497.22</c:v>
                </c:pt>
                <c:pt idx="1">
                  <c:v>397.43</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no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教育支出占比</a:t>
            </a:r>
          </a:p>
        </c:rich>
      </c:tx>
      <c:layout/>
      <c:overlay val="0"/>
      <c:spPr>
        <a:noFill/>
        <a:ln>
          <a:noFill/>
        </a:ln>
      </c:spPr>
    </c:title>
    <c:autoTitleDeleted val="1"/>
    <c:plotArea>
      <c:layout/>
      <c:pieChart>
        <c:varyColors val="1"/>
        <c:ser>
          <c:idx val="0"/>
          <c:order val="0"/>
          <c:tx>
            <c:strRef>
              <c:f>'Sheet1 (7)'!$B$1</c:f>
              <c:strCache>
                <c:ptCount val="1"/>
                <c:pt idx="0">
                  <c:v>教育支出占比</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Pos val="ctr"/>
            <c:showLegendKey val="0"/>
            <c:showVal val="0"/>
            <c:showCatName val="0"/>
            <c:showSerName val="0"/>
            <c:showPercent val="1"/>
            <c:showBubbleSize val="0"/>
            <c:showLeaderLines val="1"/>
          </c:dLbls>
          <c:cat>
            <c:strRef>
              <c:f>'Sheet1 (7)'!$A$2:$A$3</c:f>
              <c:strCache>
                <c:ptCount val="2"/>
                <c:pt idx="0">
                  <c:v>一般公共预算财政拨款总支出</c:v>
                </c:pt>
                <c:pt idx="1">
                  <c:v>教育支出</c:v>
                </c:pt>
              </c:strCache>
            </c:strRef>
          </c:cat>
          <c:val>
            <c:numRef>
              <c:f>'Sheet1 (7)'!$B$2:$B$3</c:f>
              <c:numCache>
                <c:formatCode>General</c:formatCode>
                <c:ptCount val="2"/>
                <c:pt idx="0">
                  <c:v>514.81</c:v>
                </c:pt>
                <c:pt idx="1">
                  <c:v>1.2</c:v>
                </c:pt>
              </c:numCache>
            </c:numRef>
          </c:val>
        </c:ser>
        <c:firstSliceAng val="0"/>
      </c:pieChart>
      <c:spPr>
        <a:noFill/>
        <a:ln>
          <a:noFill/>
        </a:ln>
      </c:spPr>
    </c:plotArea>
    <c:legend>
      <c:legendPos val="r"/>
      <c:layout>
        <c:manualLayout>
          <c:xMode val="edge"/>
          <c:yMode val="edge"/>
          <c:x val="0.69097847"/>
          <c:y val="0.485755"/>
          <c:w val="0.23799372"/>
          <c:h val="0.19634378"/>
        </c:manualLayout>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no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住房保障支出占比</a:t>
            </a:r>
          </a:p>
        </c:rich>
      </c:tx>
      <c:layout/>
      <c:overlay val="0"/>
      <c:spPr>
        <a:noFill/>
        <a:ln>
          <a:noFill/>
        </a:ln>
      </c:spPr>
    </c:title>
    <c:autoTitleDeleted val="1"/>
    <c:plotArea>
      <c:layout/>
      <c:pieChart>
        <c:varyColors val="1"/>
        <c:ser>
          <c:idx val="0"/>
          <c:order val="0"/>
          <c:tx>
            <c:strRef>
              <c:f>'Sheet1 (8)'!$B$1</c:f>
              <c:strCache>
                <c:ptCount val="1"/>
                <c:pt idx="0">
                  <c:v>住房保障支出占比</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Pos val="ctr"/>
            <c:showLegendKey val="0"/>
            <c:showVal val="0"/>
            <c:showCatName val="0"/>
            <c:showSerName val="0"/>
            <c:showPercent val="1"/>
            <c:showBubbleSize val="0"/>
            <c:showLeaderLines val="1"/>
          </c:dLbls>
          <c:cat>
            <c:strRef>
              <c:f>'Sheet1 (8)'!$A$2:$A$3</c:f>
              <c:strCache>
                <c:ptCount val="2"/>
                <c:pt idx="0">
                  <c:v>一般公共预算财政拨款总支出</c:v>
                </c:pt>
                <c:pt idx="1">
                  <c:v>住房保障支出</c:v>
                </c:pt>
              </c:strCache>
            </c:strRef>
          </c:cat>
          <c:val>
            <c:numRef>
              <c:f>'Sheet1 (8)'!$B$2:$B$3</c:f>
              <c:numCache>
                <c:formatCode>General</c:formatCode>
                <c:ptCount val="2"/>
                <c:pt idx="0">
                  <c:v>497.22</c:v>
                </c:pt>
                <c:pt idx="1">
                  <c:v>34.92</c:v>
                </c:pt>
              </c:numCache>
            </c:numRef>
          </c:val>
        </c:ser>
        <c:firstSliceAng val="0"/>
      </c:pieChart>
      <c:spPr>
        <a:noFill/>
        <a:ln>
          <a:noFill/>
        </a:ln>
      </c:spPr>
    </c:plotArea>
    <c:legend>
      <c:legendPos val="r"/>
      <c:layout>
        <c:manualLayout>
          <c:xMode val="edge"/>
          <c:yMode val="edge"/>
          <c:x val="0.65575"/>
          <c:y val="0.48447692"/>
          <c:w val="0.2875"/>
          <c:h val="0.1614923"/>
        </c:manualLayout>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no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sz="1200" b="1" i="0" u="none" strike="noStrike" baseline="0">
                <a:solidFill>
                  <a:srgbClr val="595959"/>
                </a:solidFill>
                <a:latin typeface="AR PL UKai CN"/>
                <a:ea typeface="AR PL UKai CN"/>
                <a:cs typeface="Lucida Sans"/>
              </a:rPr>
              <a:t>“</a:t>
            </a:r>
            <a:r>
              <a:rPr lang="zh-CN" sz="1200" b="1" i="0" u="none" strike="noStrike" baseline="0">
                <a:solidFill>
                  <a:srgbClr val="595959"/>
                </a:solidFill>
                <a:latin typeface="AR PL UKai CN"/>
                <a:ea typeface="AR PL UKai CN"/>
                <a:cs typeface="Lucida Sans"/>
              </a:rPr>
              <a:t>三公</a:t>
            </a:r>
            <a:r>
              <a:rPr lang="zh-CN" sz="1200" b="1" i="0" u="none" strike="noStrike" baseline="0">
                <a:solidFill>
                  <a:srgbClr val="595959"/>
                </a:solidFill>
                <a:latin typeface="AR PL UKai CN"/>
                <a:ea typeface="AR PL UKai CN"/>
                <a:cs typeface="Lucida Sans"/>
              </a:rPr>
              <a:t>”</a:t>
            </a:r>
            <a:r>
              <a:rPr lang="zh-CN" sz="1200" b="1" i="0" u="none" strike="noStrike" baseline="0">
                <a:solidFill>
                  <a:srgbClr val="595959"/>
                </a:solidFill>
                <a:latin typeface="AR PL UKai CN"/>
                <a:ea typeface="AR PL UKai CN"/>
                <a:cs typeface="Lucida Sans"/>
              </a:rPr>
              <a:t>经费情况</a:t>
            </a:r>
          </a:p>
        </c:rich>
      </c:tx>
      <c:layout/>
      <c:overlay val="0"/>
      <c:spPr>
        <a:noFill/>
        <a:ln>
          <a:noFill/>
        </a:ln>
      </c:spPr>
    </c:title>
    <c:autoTitleDeleted val="1"/>
    <c:plotArea>
      <c:layout/>
      <c:barChart>
        <c:barDir val="col"/>
        <c:grouping val="clustered"/>
        <c:varyColors val="0"/>
        <c:ser>
          <c:idx val="0"/>
          <c:order val="0"/>
          <c:tx>
            <c:strRef>
              <c:f>'Sheet1 (9)'!$B$1</c:f>
              <c:strCache>
                <c:ptCount val="1"/>
                <c:pt idx="0">
                  <c:v>2023年</c:v>
                </c:pt>
              </c:strCache>
            </c:strRef>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(9)'!$A$2:$A$5</c:f>
              <c:strCache>
                <c:ptCount val="4"/>
                <c:pt idx="0">
                  <c:v>因公出国（境）费</c:v>
                </c:pt>
                <c:pt idx="1">
                  <c:v>公务用车购置及运行维护费</c:v>
                </c:pt>
                <c:pt idx="2">
                  <c:v>公务接待费</c:v>
                </c:pt>
              </c:strCache>
            </c:strRef>
          </c:cat>
          <c:val>
            <c:numRef>
              <c:f>'Sheet1 (9)'!$B$2:$B$5</c:f>
              <c:numCache>
                <c:formatCode>General</c:formatCode>
                <c:ptCount val="4"/>
                <c:pt idx="0">
                  <c:v>0.0</c:v>
                </c:pt>
                <c:pt idx="1">
                  <c:v>39.86</c:v>
                </c:pt>
                <c:pt idx="2">
                  <c:v>0.18</c:v>
                </c:pt>
              </c:numCache>
            </c:numRef>
          </c:val>
        </c:ser>
        <c:ser>
          <c:idx val="1"/>
          <c:order val="1"/>
          <c:tx>
            <c:strRef>
              <c:f>'Sheet1 (9)'!$C$1</c:f>
              <c:strCache>
                <c:ptCount val="1"/>
                <c:pt idx="0">
                  <c:v>2024年</c:v>
                </c:pt>
              </c:strCache>
            </c:strRef>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(9)'!$A$2:$A$5</c:f>
              <c:strCache>
                <c:ptCount val="4"/>
                <c:pt idx="0">
                  <c:v>因公出国（境）费</c:v>
                </c:pt>
                <c:pt idx="1">
                  <c:v>公务用车购置及运行维护费</c:v>
                </c:pt>
                <c:pt idx="2">
                  <c:v>公务接待费</c:v>
                </c:pt>
              </c:strCache>
            </c:strRef>
          </c:cat>
          <c:val>
            <c:numRef>
              <c:f>'Sheet1 (9)'!$C$2:$C$5</c:f>
              <c:numCache>
                <c:formatCode>General</c:formatCode>
                <c:ptCount val="4"/>
                <c:pt idx="0">
                  <c:v>0.0</c:v>
                </c:pt>
                <c:pt idx="1">
                  <c:v>3.5</c:v>
                </c:pt>
                <c:pt idx="2">
                  <c:v>0.0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24</TotalTime>
  <Application>Yozo_Office27021597764231179</Application>
  <Pages>98</Pages>
  <Words>49061</Words>
  <Characters>57359</Characters>
  <Lines>11935</Lines>
  <Paragraphs>6269</Paragraphs>
  <CharactersWithSpaces>57455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user</cp:lastModifiedBy>
  <cp:revision>0</cp:revision>
  <dcterms:created xsi:type="dcterms:W3CDTF">2014-10-29T12:08:00Z</dcterms:created>
  <dcterms:modified xsi:type="dcterms:W3CDTF">2025-08-26T03:46:42Z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269634A430D84463B0EF497843CBBCFE</vt:lpwstr>
  </property>
  <property fmtid="{D5CDD505-2E9C-101B-9397-08002B2CF9AE}" pid="4" name="KSOTemplateDocerSaveRecord">
    <vt:lpwstr>eyJoZGlkIjoiYTE4ZDI4ODNhYmU1NDMzYzU3Y2IxNmQxMGU4Yjg1NmUiLCJ1c2VySWQiOiI0NjE5ODU2NjIifQ==</vt:lpwstr>
  </property>
</Properties>
</file>