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widowControl/>
        <w:suppressLineNumbers w:val="0"/>
        <w:spacing w:before="0" w:beforeAutospacing="0" w:after="0" w:afterAutospacing="0"/>
        <w:ind w:left="0" w:right="0"/>
        <w:jc w:val="both"/>
        <w:rPr>
          <w:kern w:val="0"/>
          <w:lang w:val="en-US"/>
        </w:rPr>
      </w:pPr>
    </w:p>
    <w:p>
      <w:pPr>
        <w:keepNext w:val="0"/>
        <w:keepLines w:val="0"/>
        <w:widowControl w:val="0"/>
        <w:suppressLineNumbers w:val="0"/>
        <w:spacing w:before="0" w:beforeAutospacing="0" w:after="0" w:afterAutospacing="0"/>
        <w:ind w:left="0" w:right="0"/>
        <w:jc w:val="center"/>
        <w:rPr>
          <w:rFonts w:ascii="方正小标宋简体" w:eastAsia="方正小标宋简体" w:cs="方正小标宋简体" w:hint="eastAsia"/>
          <w:kern w:val="2"/>
          <w:sz w:val="44"/>
          <w:szCs w:val="44"/>
          <w:lang w:val="en-US" w:eastAsia="zh-CN"/>
        </w:rPr>
      </w:pPr>
      <w:r>
        <w:rPr>
          <w:rFonts w:ascii="方正小标宋简体" w:eastAsia="方正小标宋简体" w:cs="方正小标宋简体" w:hint="eastAsia"/>
          <w:kern w:val="2"/>
          <w:sz w:val="44"/>
          <w:szCs w:val="44"/>
          <w:lang w:val="en-US" w:eastAsia="zh-CN"/>
        </w:rPr>
        <w:t>金川县医疗保障局</w:t>
      </w:r>
    </w:p>
    <w:p>
      <w:pPr>
        <w:keepNext w:val="0"/>
        <w:keepLines w:val="0"/>
        <w:widowControl w:val="0"/>
        <w:suppressLineNumbers w:val="0"/>
        <w:spacing w:before="0" w:beforeAutospacing="0" w:after="0" w:afterAutospacing="0"/>
        <w:ind w:left="0" w:right="0"/>
        <w:jc w:val="center"/>
        <w:rPr>
          <w:rFonts w:ascii="方正小标宋简体" w:eastAsia="方正小标宋简体" w:cs="方正小标宋简体"/>
          <w:kern w:val="2"/>
          <w:sz w:val="44"/>
          <w:szCs w:val="44"/>
          <w:lang w:val="en-US" w:eastAsia="zh-CN"/>
        </w:rPr>
      </w:pPr>
      <w:r>
        <w:rPr>
          <w:rFonts w:ascii="方正小标宋简体" w:eastAsia="方正小标宋简体" w:cs="方正小标宋简体" w:hint="eastAsia"/>
          <w:kern w:val="2"/>
          <w:sz w:val="44"/>
          <w:szCs w:val="44"/>
          <w:lang w:val="en-US" w:eastAsia="zh-CN"/>
        </w:rPr>
        <w:t>2024年部门预算编制说明</w:t>
      </w:r>
    </w:p>
    <w:p>
      <w:pPr>
        <w:keepNext w:val="0"/>
        <w:keepLines w:val="0"/>
        <w:widowControl w:val="0"/>
        <w:suppressLineNumbers w:val="0"/>
        <w:spacing w:before="0" w:beforeAutospacing="0" w:after="0" w:afterAutospacing="0"/>
        <w:ind w:left="0" w:right="0"/>
        <w:jc w:val="both"/>
        <w:rPr>
          <w:rFonts w:ascii="宋体" w:eastAsia="宋体" w:cs="宋体" w:hint="eastAsia"/>
          <w:sz w:val="32"/>
          <w:szCs w:val="32"/>
          <w:lang w:val="en-US"/>
        </w:rPr>
      </w:pPr>
    </w:p>
    <w:p>
      <w:pPr>
        <w:keepNext w:val="0"/>
        <w:keepLines w:val="0"/>
        <w:widowControl w:val="0"/>
        <w:suppressLineNumbers w:val="0"/>
        <w:spacing w:before="0" w:beforeAutospacing="0" w:after="0" w:afterAutospacing="0"/>
        <w:ind w:left="0" w:right="0"/>
        <w:jc w:val="both"/>
        <w:rPr>
          <w:rFonts w:ascii="宋体" w:eastAsia="宋体" w:cs="宋体" w:hint="eastAsia"/>
          <w:b/>
          <w:bCs/>
          <w:sz w:val="32"/>
          <w:szCs w:val="32"/>
          <w:lang w:val="en-US"/>
        </w:rPr>
      </w:pPr>
      <w:r>
        <w:rPr>
          <w:rFonts w:ascii="宋体" w:eastAsia="宋体" w:cs="宋体" w:hint="eastAsia"/>
          <w:kern w:val="2"/>
          <w:sz w:val="32"/>
          <w:szCs w:val="32"/>
          <w:lang w:val="en-US" w:eastAsia="zh-CN"/>
        </w:rPr>
        <w:t>　</w:t>
      </w:r>
      <w:r>
        <w:rPr>
          <w:rFonts w:ascii="宋体" w:eastAsia="宋体" w:cs="宋体" w:hint="eastAsia"/>
          <w:b/>
          <w:bCs/>
          <w:kern w:val="2"/>
          <w:sz w:val="32"/>
          <w:szCs w:val="32"/>
          <w:lang w:val="en-US" w:eastAsia="zh-CN"/>
        </w:rPr>
        <w:t>　</w:t>
      </w:r>
      <w:r>
        <w:rPr>
          <w:rFonts w:ascii="仿宋_GB2312" w:eastAsia="仿宋_GB2312" w:cs="仿宋_GB2312" w:hint="eastAsia"/>
          <w:b/>
          <w:bCs/>
          <w:color w:val="auto"/>
          <w:sz w:val="32"/>
          <w:szCs w:val="32"/>
          <w:lang w:val="en-US" w:eastAsia="zh-CN"/>
        </w:rPr>
        <w:t>一、基本职能及主要工作</w:t>
      </w:r>
    </w:p>
    <w:p>
      <w:pPr>
        <w:keepNext w:val="0"/>
        <w:keepLines w:val="0"/>
        <w:widowControl w:val="0"/>
        <w:suppressLineNumbers w:val="0"/>
        <w:spacing w:before="0" w:beforeAutospacing="0" w:after="0" w:afterAutospacing="0"/>
        <w:ind w:left="0" w:right="0"/>
        <w:jc w:val="both"/>
        <w:rPr>
          <w:rFonts w:ascii="宋体" w:eastAsia="宋体" w:cs="宋体"/>
          <w:b/>
          <w:bCs/>
          <w:sz w:val="32"/>
          <w:szCs w:val="32"/>
          <w:lang w:val="en-US"/>
        </w:rPr>
      </w:pPr>
      <w:r>
        <w:rPr>
          <w:rFonts w:ascii="宋体" w:eastAsia="宋体" w:cs="宋体" w:hint="eastAsia"/>
          <w:kern w:val="2"/>
          <w:sz w:val="32"/>
          <w:szCs w:val="32"/>
          <w:lang w:val="en-US" w:eastAsia="zh-CN"/>
        </w:rPr>
        <w:t xml:space="preserve">　  </w:t>
      </w:r>
      <w:r>
        <w:rPr>
          <w:rFonts w:ascii="楷体_GB2312" w:eastAsia="楷体_GB2312" w:cs="楷体_GB2312" w:hint="eastAsia"/>
          <w:b/>
          <w:bCs/>
          <w:color w:val="auto"/>
          <w:sz w:val="32"/>
          <w:szCs w:val="32"/>
          <w:lang w:val="en-US" w:eastAsia="zh-CN"/>
        </w:rPr>
        <w:t>（一）主要职能简介</w:t>
      </w:r>
    </w:p>
    <w:p>
      <w:pPr>
        <w:rPr>
          <w:rFonts w:ascii="仿宋_GB2312" w:eastAsia="仿宋_GB2312" w:cs="仿宋_GB2312" w:hint="eastAsia"/>
          <w:color w:val="auto"/>
          <w:sz w:val="32"/>
          <w:szCs w:val="32"/>
          <w:lang w:val="en-US" w:eastAsia="zh-CN"/>
        </w:rPr>
      </w:pPr>
      <w:r>
        <w:rPr>
          <w:rFonts w:ascii="宋体" w:eastAsia="宋体" w:cs="宋体" w:hint="eastAsia"/>
          <w:kern w:val="2"/>
          <w:sz w:val="32"/>
          <w:szCs w:val="32"/>
          <w:lang w:val="en-US" w:eastAsia="zh-CN"/>
        </w:rPr>
        <w:t xml:space="preserve">　  </w:t>
      </w:r>
      <w:r>
        <w:rPr>
          <w:rFonts w:ascii="仿宋_GB2312" w:eastAsia="仿宋_GB2312" w:cs="仿宋_GB2312" w:hint="eastAsia"/>
          <w:color w:val="auto"/>
          <w:sz w:val="32"/>
          <w:szCs w:val="32"/>
          <w:lang w:val="en-US" w:eastAsia="zh-CN"/>
        </w:rPr>
        <w:t>1、负责对参保单位、职工医疗保险政策的宣传和医疗保险业务人员的培训；</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2、负责承办全县党政机关、事业单位、省、州、县企业的医疗保险参保登记、变更登记及参保职工医疗保险转移事项；</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3、负责对各参保单位、灵活就业人员的基础资料进行审核，制定各单位的基金征缴计划，具体征收、管理和支付基本医疗保险基金、大病补充保险基金和公务员医疗补助金；</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4、编制医疗保险基金收支预、决算报告，定期对基金收支情况进行分析、预测和内部审计，并向有关部门提供基金运行情况报告；</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5、负责对参保人员建立、管理个人账户及个人账户的结算转移，核拨退休人员的个人账户资金；</w:t>
      </w:r>
    </w:p>
    <w:p>
      <w:pPr>
        <w:ind w:firstLineChars="200" w:firstLine="640"/>
        <w:rPr>
          <w:rFonts w:ascii="宋体" w:eastAsia="宋体" w:cs="宋体" w:hint="eastAsia"/>
          <w:sz w:val="32"/>
          <w:szCs w:val="32"/>
          <w:lang w:val="en-US"/>
        </w:rPr>
      </w:pPr>
      <w:r>
        <w:rPr>
          <w:rFonts w:ascii="仿宋_GB2312" w:eastAsia="仿宋_GB2312" w:cs="仿宋_GB2312" w:hint="eastAsia"/>
          <w:color w:val="auto"/>
          <w:sz w:val="32"/>
          <w:szCs w:val="32"/>
          <w:lang w:val="en-US" w:eastAsia="zh-CN"/>
        </w:rPr>
        <w:t>6、配合有关部门审核确定定点医院、定点零售药店资格，签订定点协议，并对两定医疗机构进行监管；</w:t>
      </w:r>
      <w:r>
        <w:rPr>
          <w:rFonts w:ascii="宋体" w:eastAsia="宋体" w:cs="宋体" w:hint="eastAsia"/>
          <w:kern w:val="2"/>
          <w:sz w:val="32"/>
          <w:szCs w:val="32"/>
          <w:lang w:val="en-US" w:eastAsia="zh-CN"/>
        </w:rPr>
        <w:t>　　</w:t>
      </w:r>
    </w:p>
    <w:p>
      <w:pPr>
        <w:ind w:firstLineChars="200" w:firstLine="640"/>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eastAsia="zh-CN"/>
        </w:rPr>
        <w:t>7、负责参保人员各项医疗保险待遇的审核和医疗费用支付工作；</w:t>
      </w:r>
    </w:p>
    <w:p>
      <w:pPr>
        <w:ind w:firstLineChars="200" w:firstLine="640"/>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eastAsia="zh-CN"/>
        </w:rPr>
        <w:t>8、开展对参保单位参保登记和缴费基数办理。职工人数、财务状况等的稽核工作；</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9、负责全县机关事业单位和县属企业的老红军、离休干部以及革命伤残军人的医疗费用统筹管理。</w:t>
      </w:r>
    </w:p>
    <w:p>
      <w:pPr>
        <w:keepNext w:val="0"/>
        <w:keepLines w:val="0"/>
        <w:widowControl w:val="0"/>
        <w:suppressLineNumbers w:val="0"/>
        <w:spacing w:before="0" w:beforeAutospacing="0" w:after="0" w:afterAutospacing="0"/>
        <w:ind w:left="0" w:right="0" w:firstLineChars="200" w:firstLine="640"/>
        <w:jc w:val="both"/>
        <w:rPr>
          <w:rFonts w:ascii="宋体" w:eastAsia="宋体" w:cs="宋体" w:hint="eastAsia"/>
          <w:kern w:val="2"/>
          <w:sz w:val="32"/>
          <w:szCs w:val="32"/>
          <w:lang w:val="en-US" w:eastAsia="zh-CN"/>
        </w:rPr>
      </w:pPr>
      <w:r>
        <w:rPr>
          <w:rFonts w:ascii="宋体" w:eastAsia="宋体" w:cs="宋体" w:hint="eastAsia"/>
          <w:b/>
          <w:bCs/>
          <w:kern w:val="2"/>
          <w:sz w:val="32"/>
          <w:szCs w:val="32"/>
          <w:lang w:val="en-US" w:eastAsia="zh-CN"/>
        </w:rPr>
        <w:t>（</w:t>
      </w:r>
      <w:r>
        <w:rPr>
          <w:rFonts w:ascii="楷体_GB2312" w:eastAsia="楷体_GB2312" w:cs="楷体_GB2312" w:hint="eastAsia"/>
          <w:b/>
          <w:bCs/>
          <w:color w:val="auto"/>
          <w:sz w:val="32"/>
          <w:szCs w:val="32"/>
          <w:lang w:val="en-US" w:eastAsia="zh-CN"/>
        </w:rPr>
        <w:t>二）2024年重点工作</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以制度为核心，以监管为重点，确保了基金安全。有条不紊开展稽核工作。加强了医疗保险经办能力、我局继续坚持积极稳妥，收入预算与经济发展相协调；坚持民生优先，继续加大民生投入；坚持厉行节约，努力降低行政成本；坚持改革创新，着力提高财政绩效。全面完成年度各项工作，取得了实效。</w:t>
      </w:r>
    </w:p>
    <w:p>
      <w:pPr>
        <w:keepNext w:val="0"/>
        <w:keepLines w:val="0"/>
        <w:widowControl w:val="0"/>
        <w:suppressLineNumbers w:val="0"/>
        <w:spacing w:before="0" w:beforeAutospacing="0" w:after="0" w:afterAutospacing="0"/>
        <w:ind w:left="0" w:right="0"/>
        <w:jc w:val="both"/>
        <w:rPr>
          <w:rFonts w:ascii="宋体" w:eastAsia="宋体" w:cs="宋体" w:hint="eastAsia"/>
          <w:b/>
          <w:bCs w:val="0"/>
          <w:sz w:val="32"/>
          <w:szCs w:val="32"/>
          <w:lang w:val="en-US"/>
        </w:rPr>
      </w:pPr>
      <w:r>
        <w:rPr>
          <w:rFonts w:ascii="宋体" w:eastAsia="宋体" w:cs="宋体" w:hint="eastAsia"/>
          <w:kern w:val="2"/>
          <w:sz w:val="32"/>
          <w:szCs w:val="32"/>
          <w:lang w:val="en-US" w:eastAsia="zh-CN"/>
        </w:rPr>
        <w:t>　　</w:t>
      </w:r>
      <w:r>
        <w:rPr>
          <w:rFonts w:ascii="宋体" w:eastAsia="宋体" w:cs="宋体" w:hint="eastAsia"/>
          <w:b/>
          <w:bCs w:val="0"/>
          <w:kern w:val="2"/>
          <w:sz w:val="32"/>
          <w:szCs w:val="32"/>
          <w:lang w:val="en-US" w:eastAsia="zh-CN"/>
        </w:rPr>
        <w:t>二、</w:t>
      </w:r>
      <w:r>
        <w:rPr>
          <w:rFonts w:ascii="黑体" w:eastAsia="黑体" w:cs="黑体" w:hint="eastAsia"/>
          <w:color w:val="auto"/>
          <w:sz w:val="32"/>
          <w:szCs w:val="32"/>
          <w:lang w:val="en-US" w:eastAsia="zh-CN"/>
        </w:rPr>
        <w:t>部门预算单位构成</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本部门机构：本部门预算单位 1 个，其中内设机构2个中心，医疗保障事务中心及城乡基本医疗保险服务中心。</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人员情况：总编制21人,行政编4人，事业编8人，参公编9人（包含机关工勤1人）；实际在职人数21人，其中：在职公务员4人，参公编9人（包含机关工勤1人） ，在职事业人员8人，退休人员2人。</w:t>
      </w:r>
    </w:p>
    <w:p>
      <w:pPr>
        <w:keepNext w:val="0"/>
        <w:keepLines w:val="0"/>
        <w:widowControl w:val="0"/>
        <w:suppressLineNumbers w:val="0"/>
        <w:spacing w:before="0" w:beforeAutospacing="0" w:after="0" w:afterAutospacing="0"/>
        <w:ind w:left="0" w:right="0" w:firstLineChars="100" w:firstLine="320"/>
        <w:jc w:val="both"/>
        <w:rPr>
          <w:rFonts w:ascii="黑体" w:eastAsia="黑体" w:cs="黑体" w:hint="eastAsia"/>
          <w:color w:val="auto"/>
          <w:sz w:val="32"/>
          <w:szCs w:val="32"/>
          <w:lang w:val="en-US"/>
        </w:rPr>
      </w:pPr>
      <w:r>
        <w:rPr>
          <w:rFonts w:ascii="黑体" w:eastAsia="黑体" w:cs="黑体" w:hint="eastAsia"/>
          <w:color w:val="auto"/>
          <w:sz w:val="32"/>
          <w:szCs w:val="32"/>
          <w:lang w:val="en-US" w:eastAsia="zh-CN"/>
        </w:rPr>
        <w:t>　三、</w:t>
      </w:r>
      <w:r>
        <w:rPr>
          <w:rFonts w:ascii="黑体" w:eastAsia="黑体" w:cs="黑体" w:hint="eastAsia"/>
          <w:color w:val="auto"/>
          <w:sz w:val="32"/>
          <w:szCs w:val="32"/>
          <w:lang w:val="en-US"/>
        </w:rPr>
        <w:t>收支预算情况说明</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宋体" w:eastAsia="宋体" w:cs="宋体" w:hint="eastAsia"/>
          <w:kern w:val="2"/>
          <w:sz w:val="32"/>
          <w:szCs w:val="32"/>
          <w:lang w:val="en-US" w:eastAsia="zh-CN"/>
        </w:rPr>
        <w:t>　　</w:t>
      </w:r>
      <w:r>
        <w:rPr>
          <w:rFonts w:ascii="仿宋_GB2312" w:eastAsia="仿宋_GB2312" w:cs="仿宋_GB2312" w:hint="eastAsia"/>
          <w:color w:val="auto"/>
          <w:sz w:val="32"/>
          <w:szCs w:val="32"/>
          <w:lang w:val="en-US" w:eastAsia="zh-CN"/>
        </w:rPr>
        <w:t>按照综合预算的原则，财政厅所有收入和支出均纳入部门预算管理。收入包括：一般公共预算拨款收入；支出包括：一般公共服务支出、社会保障和就业支出、医疗卫生支出、社会保险费、住房保障支出等。医保局2024年收支总预算632万元，比2022年收支预算总数增加1.97万元，主要原因是人员工资增加。</w:t>
      </w:r>
    </w:p>
    <w:p>
      <w:pPr>
        <w:keepNext w:val="0"/>
        <w:keepLines w:val="0"/>
        <w:widowControl w:val="0"/>
        <w:suppressLineNumbers w:val="0"/>
        <w:spacing w:before="0" w:beforeAutospacing="0" w:after="0" w:afterAutospacing="0"/>
        <w:ind w:left="0" w:right="0"/>
        <w:jc w:val="both"/>
        <w:rPr>
          <w:rFonts w:ascii="宋体" w:eastAsia="宋体" w:cs="宋体" w:hint="eastAsia"/>
          <w:sz w:val="32"/>
          <w:szCs w:val="32"/>
          <w:lang w:val="en-US"/>
        </w:rPr>
      </w:pPr>
      <w:r>
        <w:rPr>
          <w:rFonts w:ascii="宋体" w:eastAsia="宋体" w:cs="宋体" w:hint="eastAsia"/>
          <w:kern w:val="2"/>
          <w:sz w:val="32"/>
          <w:szCs w:val="32"/>
          <w:lang w:val="en-US" w:eastAsia="zh-CN"/>
        </w:rPr>
        <w:t xml:space="preserve">　 </w:t>
      </w:r>
      <w:r>
        <w:rPr>
          <w:rFonts w:ascii="楷体_GB2312" w:eastAsia="楷体_GB2312" w:cs="楷体_GB2312" w:hint="eastAsia"/>
          <w:b/>
          <w:bCs/>
          <w:color w:val="auto"/>
          <w:sz w:val="32"/>
          <w:szCs w:val="32"/>
          <w:lang w:val="en-US"/>
        </w:rPr>
        <w:t>（一）收入预算情况</w:t>
      </w:r>
    </w:p>
    <w:p>
      <w:pPr>
        <w:rPr>
          <w:rFonts w:ascii="仿宋_GB2312" w:eastAsia="仿宋_GB2312" w:cs="仿宋_GB2312" w:hint="eastAsia"/>
          <w:color w:val="auto"/>
          <w:sz w:val="32"/>
          <w:szCs w:val="32"/>
          <w:lang w:val="en-US"/>
        </w:rPr>
      </w:pPr>
      <w:r>
        <w:rPr>
          <w:rFonts w:ascii="宋体" w:eastAsia="宋体" w:cs="宋体" w:hint="eastAsia"/>
          <w:kern w:val="2"/>
          <w:sz w:val="32"/>
          <w:szCs w:val="32"/>
          <w:lang w:val="en-US" w:eastAsia="zh-CN"/>
        </w:rPr>
        <w:t>　</w:t>
      </w:r>
      <w:r>
        <w:rPr>
          <w:rFonts w:ascii="仿宋_GB2312" w:eastAsia="仿宋_GB2312" w:cs="仿宋_GB2312" w:hint="eastAsia"/>
          <w:color w:val="auto"/>
          <w:sz w:val="32"/>
          <w:szCs w:val="32"/>
          <w:lang w:val="en-US" w:eastAsia="zh-CN"/>
        </w:rPr>
        <w:t>　医保局2024年收入预算632万元，</w:t>
      </w:r>
      <w:r>
        <w:rPr>
          <w:rFonts w:ascii="仿宋_GB2312" w:eastAsia="仿宋_GB2312" w:cs="仿宋_GB2312" w:hint="eastAsia"/>
          <w:color w:val="auto"/>
          <w:sz w:val="32"/>
          <w:szCs w:val="32"/>
          <w:lang w:val="en-US"/>
        </w:rPr>
        <w:t>其中：上年结转</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lang w:val="en-US"/>
        </w:rPr>
        <w:t>万元，占</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lang w:val="en-US"/>
        </w:rPr>
        <w:t>%；一般公共预算拨款收入</w:t>
      </w:r>
      <w:r>
        <w:rPr>
          <w:rFonts w:ascii="仿宋_GB2312" w:eastAsia="仿宋_GB2312" w:cs="仿宋_GB2312" w:hint="eastAsia"/>
          <w:color w:val="auto"/>
          <w:sz w:val="32"/>
          <w:szCs w:val="32"/>
          <w:lang w:val="en-US" w:eastAsia="zh-CN"/>
        </w:rPr>
        <w:t>632</w:t>
      </w:r>
      <w:r>
        <w:rPr>
          <w:rFonts w:ascii="仿宋_GB2312" w:eastAsia="仿宋_GB2312" w:cs="仿宋_GB2312" w:hint="eastAsia"/>
          <w:color w:val="auto"/>
          <w:sz w:val="32"/>
          <w:szCs w:val="32"/>
          <w:lang w:val="en-US"/>
        </w:rPr>
        <w:t>万元，占</w:t>
      </w:r>
      <w:r>
        <w:rPr>
          <w:rFonts w:ascii="仿宋_GB2312" w:eastAsia="仿宋_GB2312" w:cs="仿宋_GB2312" w:hint="eastAsia"/>
          <w:color w:val="auto"/>
          <w:sz w:val="32"/>
          <w:szCs w:val="32"/>
          <w:lang w:val="en-US" w:eastAsia="zh-CN"/>
        </w:rPr>
        <w:t>100</w:t>
      </w:r>
      <w:r>
        <w:rPr>
          <w:rFonts w:ascii="仿宋_GB2312" w:eastAsia="仿宋_GB2312" w:cs="仿宋_GB2312" w:hint="eastAsia"/>
          <w:color w:val="auto"/>
          <w:sz w:val="32"/>
          <w:szCs w:val="32"/>
          <w:lang w:val="en-US"/>
        </w:rPr>
        <w:t>%。</w:t>
      </w:r>
    </w:p>
    <w:p>
      <w:pPr>
        <w:keepNext w:val="0"/>
        <w:keepLines w:val="0"/>
        <w:widowControl w:val="0"/>
        <w:suppressLineNumbers w:val="0"/>
        <w:spacing w:before="0" w:beforeAutospacing="0" w:after="0" w:afterAutospacing="0"/>
        <w:ind w:left="0" w:right="0"/>
        <w:jc w:val="both"/>
        <w:rPr>
          <w:rFonts w:ascii="宋体" w:eastAsia="宋体" w:cs="宋体" w:hint="eastAsia"/>
          <w:sz w:val="32"/>
          <w:szCs w:val="32"/>
          <w:lang w:val="en-US"/>
        </w:rPr>
      </w:pPr>
      <w:r>
        <w:rPr>
          <w:rFonts w:ascii="宋体" w:eastAsia="宋体" w:cs="宋体" w:hint="eastAsia"/>
          <w:kern w:val="2"/>
          <w:sz w:val="32"/>
          <w:szCs w:val="32"/>
          <w:lang w:val="en-US" w:eastAsia="zh-CN"/>
        </w:rPr>
        <w:t>　　</w:t>
      </w:r>
      <w:r>
        <w:rPr>
          <w:rFonts w:ascii="楷体_GB2312" w:eastAsia="楷体_GB2312" w:cs="楷体_GB2312" w:hint="eastAsia"/>
          <w:b/>
          <w:bCs/>
          <w:color w:val="auto"/>
          <w:sz w:val="32"/>
          <w:szCs w:val="32"/>
          <w:lang w:val="en-US" w:eastAsia="zh-CN"/>
        </w:rPr>
        <w:t>（二）支出预算情况</w:t>
      </w:r>
    </w:p>
    <w:p>
      <w:pPr>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医保局2024年支出预算632</w:t>
      </w:r>
      <w:r>
        <w:rPr>
          <w:rFonts w:ascii="仿宋_GB2312" w:eastAsia="仿宋_GB2312" w:cs="仿宋_GB2312"/>
          <w:color w:val="auto"/>
          <w:sz w:val="32"/>
          <w:szCs w:val="32"/>
          <w:lang w:val="en-US" w:eastAsia="zh-CN"/>
        </w:rPr>
        <w:t>万</w:t>
      </w:r>
      <w:r>
        <w:rPr>
          <w:rFonts w:ascii="仿宋_GB2312" w:eastAsia="仿宋_GB2312" w:cs="仿宋_GB2312" w:hint="eastAsia"/>
          <w:color w:val="auto"/>
          <w:sz w:val="32"/>
          <w:szCs w:val="32"/>
          <w:lang w:val="en-US" w:eastAsia="zh-CN"/>
        </w:rPr>
        <w:t>元，其中：基本支出424.35万元，占67.14%，项目支出207.65万元，占32.86%。</w:t>
      </w:r>
    </w:p>
    <w:p>
      <w:pPr>
        <w:keepNext w:val="0"/>
        <w:keepLines w:val="0"/>
        <w:widowControl w:val="0"/>
        <w:numPr>
          <w:ilvl w:val="0"/>
          <w:numId w:val="1"/>
        </w:numPr>
        <w:suppressLineNumbers w:val="0"/>
        <w:spacing w:before="0" w:beforeAutospacing="0" w:after="0" w:afterAutospacing="0"/>
        <w:ind w:left="640" w:right="0" w:firstLine="0"/>
        <w:jc w:val="both"/>
        <w:rPr>
          <w:rFonts w:ascii="黑体" w:eastAsia="黑体" w:cs="黑体" w:hint="eastAsia"/>
          <w:color w:val="auto"/>
          <w:sz w:val="32"/>
          <w:szCs w:val="32"/>
          <w:lang w:val="en-US"/>
        </w:rPr>
      </w:pPr>
      <w:r>
        <w:rPr>
          <w:rFonts w:ascii="黑体" w:eastAsia="黑体" w:cs="黑体" w:hint="eastAsia"/>
          <w:color w:val="auto"/>
          <w:sz w:val="32"/>
          <w:szCs w:val="32"/>
          <w:lang w:val="en-US"/>
        </w:rPr>
        <w:t>财政拨款收支预算情况说明</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医保局2024年财政拨款收支总预算632万元，比2023财政拨款收支总额预算增加1.97万元，主要原因是人员工资增加。</w:t>
      </w:r>
    </w:p>
    <w:p>
      <w:pPr>
        <w:ind w:firstLineChars="200" w:firstLine="640"/>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eastAsia="zh-CN"/>
        </w:rPr>
        <w:t>收入包括：本年一般公共预算拨款收入632万元，上年结转一般公共预算拨款收入0万元；支出包括：教育支出0.94万元，社会保障和就业支出65.20万元，医疗卫生与计划生育支出520.34万元、农林水支出8.95万元、住房保障支出36.57万元。</w:t>
      </w:r>
    </w:p>
    <w:p>
      <w:pPr>
        <w:keepNext w:val="0"/>
        <w:keepLines w:val="0"/>
        <w:widowControl w:val="0"/>
        <w:suppressLineNumbers w:val="0"/>
        <w:spacing w:before="0" w:beforeAutospacing="0" w:after="0" w:afterAutospacing="0"/>
        <w:ind w:left="0" w:right="0"/>
        <w:jc w:val="both"/>
        <w:rPr>
          <w:rFonts w:ascii="宋体" w:eastAsia="宋体" w:cs="宋体" w:hint="eastAsia"/>
          <w:b/>
          <w:bCs w:val="0"/>
          <w:sz w:val="32"/>
          <w:szCs w:val="32"/>
          <w:lang w:val="en-US"/>
        </w:rPr>
      </w:pPr>
      <w:r>
        <w:rPr>
          <w:rFonts w:ascii="宋体" w:eastAsia="宋体" w:cs="宋体" w:hint="eastAsia"/>
          <w:kern w:val="2"/>
          <w:sz w:val="32"/>
          <w:szCs w:val="32"/>
          <w:lang w:val="en-US" w:eastAsia="zh-CN"/>
        </w:rPr>
        <w:t>　</w:t>
      </w:r>
      <w:r>
        <w:rPr>
          <w:rFonts w:ascii="黑体" w:eastAsia="黑体" w:cs="黑体" w:hint="eastAsia"/>
          <w:color w:val="auto"/>
          <w:sz w:val="32"/>
          <w:szCs w:val="32"/>
          <w:lang w:val="en-US" w:eastAsia="zh-CN"/>
        </w:rPr>
        <w:t>五、一般公共预算当年拨款情况说明</w:t>
      </w:r>
    </w:p>
    <w:p>
      <w:pPr>
        <w:keepNext w:val="0"/>
        <w:keepLines w:val="0"/>
        <w:widowControl w:val="0"/>
        <w:suppressLineNumbers w:val="0"/>
        <w:spacing w:before="0" w:beforeAutospacing="0" w:after="0" w:afterAutospacing="0"/>
        <w:ind w:left="0" w:right="0"/>
        <w:jc w:val="both"/>
        <w:rPr>
          <w:rFonts w:ascii="宋体" w:eastAsia="宋体" w:cs="宋体" w:hint="eastAsia"/>
          <w:b/>
          <w:bCs w:val="0"/>
          <w:sz w:val="32"/>
          <w:szCs w:val="32"/>
          <w:lang w:val="en-US"/>
        </w:rPr>
      </w:pPr>
      <w:r>
        <w:rPr>
          <w:rFonts w:ascii="宋体" w:eastAsia="宋体" w:cs="宋体" w:hint="eastAsia"/>
          <w:kern w:val="2"/>
          <w:sz w:val="32"/>
          <w:szCs w:val="32"/>
          <w:lang w:val="en-US" w:eastAsia="zh-CN"/>
        </w:rPr>
        <w:t>　　</w:t>
      </w:r>
      <w:r>
        <w:rPr>
          <w:rFonts w:ascii="宋体" w:eastAsia="宋体" w:cs="宋体" w:hint="eastAsia"/>
          <w:b/>
          <w:bCs w:val="0"/>
          <w:kern w:val="2"/>
          <w:sz w:val="32"/>
          <w:szCs w:val="32"/>
          <w:lang w:val="en-US" w:eastAsia="zh-CN"/>
        </w:rPr>
        <w:t>（一）一般公共预算当年拨款规模变化情况</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医保局2024年一般公共预算当年拨款632元，比2023财政拨款收支总额预算增加1.97万元，主要原因是人员工资增加。</w:t>
      </w:r>
    </w:p>
    <w:p>
      <w:pPr>
        <w:keepNext w:val="0"/>
        <w:keepLines w:val="0"/>
        <w:widowControl w:val="0"/>
        <w:suppressLineNumbers w:val="0"/>
        <w:spacing w:before="0" w:beforeAutospacing="0" w:after="0" w:afterAutospacing="0"/>
        <w:ind w:left="0" w:right="0" w:firstLine="570"/>
        <w:jc w:val="both"/>
        <w:rPr>
          <w:rFonts w:ascii="宋体" w:eastAsia="宋体" w:cs="宋体" w:hint="eastAsia"/>
          <w:b/>
          <w:bCs w:val="0"/>
          <w:sz w:val="32"/>
          <w:szCs w:val="32"/>
          <w:lang w:val="en-US"/>
        </w:rPr>
      </w:pPr>
      <w:r>
        <w:rPr>
          <w:rFonts w:ascii="宋体" w:eastAsia="宋体" w:cs="宋体" w:hint="eastAsia"/>
          <w:b/>
          <w:bCs w:val="0"/>
          <w:kern w:val="2"/>
          <w:sz w:val="32"/>
          <w:szCs w:val="32"/>
          <w:lang w:val="en-US" w:eastAsia="zh-CN"/>
        </w:rPr>
        <w:t>（二）一般公共预算当年拨款结构情况</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宋体" w:eastAsia="宋体" w:cs="宋体" w:hint="eastAsia"/>
          <w:kern w:val="2"/>
          <w:sz w:val="32"/>
          <w:szCs w:val="32"/>
          <w:lang w:val="en-US" w:eastAsia="zh-CN"/>
        </w:rPr>
        <w:t>　　</w:t>
      </w:r>
      <w:r>
        <w:rPr>
          <w:rFonts w:ascii="仿宋_GB2312" w:eastAsia="仿宋_GB2312" w:cs="仿宋_GB2312" w:hint="eastAsia"/>
          <w:color w:val="auto"/>
          <w:sz w:val="32"/>
          <w:szCs w:val="32"/>
          <w:lang w:val="en-US" w:eastAsia="zh-CN"/>
        </w:rPr>
        <w:t>教育支出0.94万元，占0.15%；社会保障和就业支出65.20万元，占10.32%；医疗卫生与计划生育支出520.34万元，占82.33%；农林水支出8.95万元，占1.41%；住房保障支出36.57万元，占5.79%。</w:t>
      </w:r>
    </w:p>
    <w:p>
      <w:pPr>
        <w:keepNext w:val="0"/>
        <w:keepLines w:val="0"/>
        <w:widowControl w:val="0"/>
        <w:suppressLineNumbers w:val="0"/>
        <w:spacing w:before="0" w:beforeAutospacing="0" w:after="0" w:afterAutospacing="0"/>
        <w:ind w:left="0" w:right="0"/>
        <w:jc w:val="both"/>
        <w:rPr>
          <w:rFonts w:ascii="宋体" w:eastAsia="宋体" w:cs="宋体" w:hint="eastAsia"/>
          <w:sz w:val="32"/>
          <w:szCs w:val="32"/>
          <w:lang w:val="en-US"/>
        </w:rPr>
      </w:pPr>
      <w:r>
        <w:rPr>
          <w:rFonts w:ascii="宋体" w:eastAsia="宋体" w:cs="宋体" w:hint="eastAsia"/>
          <w:kern w:val="2"/>
          <w:sz w:val="32"/>
          <w:szCs w:val="32"/>
          <w:lang w:val="en-US" w:eastAsia="zh-CN"/>
        </w:rPr>
        <w:t>　　</w:t>
      </w:r>
      <w:r>
        <w:rPr>
          <w:rFonts w:ascii="宋体" w:eastAsia="宋体" w:cs="宋体" w:hint="eastAsia"/>
          <w:b/>
          <w:bCs w:val="0"/>
          <w:kern w:val="2"/>
          <w:sz w:val="32"/>
          <w:szCs w:val="32"/>
          <w:lang w:val="en-US" w:eastAsia="zh-CN"/>
        </w:rPr>
        <w:t>（三）一般公共预算当年拨款具体使用情况</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1.教育支出（类）进修及培训（款） 培训支出（项）:2024年预算数为0.94万元，主要用于：局机关及参公管理事业单位医疗保险医疗缴费综合业务、专门性财政管理工作的项目支出、医疗保险培训支出等。</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社会保障和就业支出(类)行政事业单位养老支出（款）机关事业单位基本养老保险缴费支出（项）:2024年预算数43.47万元，其中医疗保障局9.89万元、医疗保险事务中心16.92万元、城乡居民基本医疗保险服务中心16.65万元，主要用于：机关事业单位实施养老保险制度由单位缴纳的基本养老保险支出。</w:t>
      </w:r>
    </w:p>
    <w:p>
      <w:pPr>
        <w:keepNext w:val="0"/>
        <w:keepLines w:val="0"/>
        <w:widowControl w:val="0"/>
        <w:suppressLineNumbers w:val="0"/>
        <w:spacing w:before="0" w:beforeAutospacing="0" w:after="0" w:afterAutospacing="0"/>
        <w:ind w:left="0" w:right="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3.社会保障和就业支出（类）行政事业单位养老支出（款）机关事业单位职业年金缴费支出（项）：2024年预算数为21.73万元，其中：医疗保障局4.94万元、医疗保险事务中心8.46万元、城乡居民基本医疗保险服务中心8.33万元，主要用于：本单位机构正常运行、开展日常工作的基本支出。</w:t>
      </w:r>
    </w:p>
    <w:p>
      <w:pPr>
        <w:keepNext w:val="0"/>
        <w:keepLines w:val="0"/>
        <w:widowControl w:val="0"/>
        <w:suppressLineNumbers w:val="0"/>
        <w:spacing w:before="0" w:beforeAutospacing="0" w:after="0" w:afterAutospacing="0"/>
        <w:ind w:left="0" w:right="0" w:firstLine="640"/>
        <w:jc w:val="both"/>
        <w:rPr>
          <w:rFonts w:ascii="宋体" w:eastAsia="宋体" w:cs="宋体" w:hint="eastAsia"/>
          <w:color w:val="0000FF"/>
          <w:kern w:val="2"/>
          <w:sz w:val="32"/>
          <w:szCs w:val="32"/>
          <w:lang w:val="en-US" w:eastAsia="zh-CN"/>
        </w:rPr>
      </w:pPr>
      <w:r>
        <w:rPr>
          <w:rFonts w:ascii="仿宋_GB2312" w:eastAsia="仿宋_GB2312" w:cs="仿宋_GB2312" w:hint="eastAsia"/>
          <w:color w:val="auto"/>
          <w:sz w:val="32"/>
          <w:szCs w:val="32"/>
          <w:lang w:val="en-US" w:eastAsia="zh-CN"/>
        </w:rPr>
        <w:t>4. 住房保障（类）住房改革支出（款）住房公积金（项）:2024年预算数为36.57万元，其中：医疗保障局8.17万元、医疗保险事务中心14.40万元、城乡居民基本医疗保险服务中心14万元。主要用于：部门按人力资源和社会保障部、财政部规定的基本工资和津贴补贴以及规定比例为职工缴纳的住房公积金支出。</w:t>
      </w:r>
      <w:r>
        <w:rPr>
          <w:rFonts w:ascii="宋体" w:eastAsia="宋体" w:cs="宋体" w:hint="eastAsia"/>
          <w:color w:val="0000FF"/>
          <w:kern w:val="2"/>
          <w:sz w:val="32"/>
          <w:szCs w:val="32"/>
          <w:lang w:val="en-US" w:eastAsia="zh-CN"/>
        </w:rPr>
        <w:t xml:space="preserve"> </w:t>
      </w:r>
    </w:p>
    <w:p>
      <w:pPr>
        <w:keepNext w:val="0"/>
        <w:keepLines w:val="0"/>
        <w:widowControl w:val="0"/>
        <w:suppressLineNumbers w:val="0"/>
        <w:spacing w:before="0" w:beforeAutospacing="0" w:after="0" w:afterAutospacing="0"/>
        <w:ind w:left="0" w:right="0" w:firstLine="68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5.卫生健康支出（类）行政事业单位医疗（款）行政单位医疗（项）:2024年预算数为13.16万元，其中：医疗保障局4.76万元、医疗保险事务中心8.40万元，主要用于：职工基本医疗保险单位缴纳部分。</w:t>
      </w:r>
    </w:p>
    <w:p>
      <w:pPr>
        <w:keepNext w:val="0"/>
        <w:keepLines w:val="0"/>
        <w:widowControl w:val="0"/>
        <w:suppressLineNumbers w:val="0"/>
        <w:spacing w:before="0" w:beforeAutospacing="0" w:after="0" w:afterAutospacing="0"/>
        <w:ind w:left="0" w:right="0" w:firstLine="68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6.卫生健康支出（类）行政事业单位医疗（款） 事业单位医疗（项）:2024年预算数为8.17万元，其中：城乡居民基本医疗保险服务中心8.17万元，主要用于：事业管理人员基本医疗保险单位缴纳部分。</w:t>
      </w:r>
    </w:p>
    <w:p>
      <w:pPr>
        <w:keepNext w:val="0"/>
        <w:keepLines w:val="0"/>
        <w:widowControl w:val="0"/>
        <w:suppressLineNumbers w:val="0"/>
        <w:spacing w:before="0" w:beforeAutospacing="0" w:after="0" w:afterAutospacing="0"/>
        <w:ind w:left="0" w:right="0" w:firstLine="68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7.卫生健康支出（类）行政事业单位医疗（款）公务员医疗补助（项）:2024年预算数为3.03万元，其中：医疗保障局0.87万元、医疗保险事务中心2.16万元，主要用于：职工公务员医疗补助缴费支出等。</w:t>
      </w:r>
    </w:p>
    <w:p>
      <w:pPr>
        <w:keepNext w:val="0"/>
        <w:keepLines w:val="0"/>
        <w:widowControl w:val="0"/>
        <w:suppressLineNumbers w:val="0"/>
        <w:spacing w:before="0" w:beforeAutospacing="0" w:after="0" w:afterAutospacing="0"/>
        <w:ind w:left="0" w:right="0" w:firstLine="68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8.卫生健康支出（类）行政事业单位医疗（款）其他行政事业单位医疗支出（项）:2024年预算数为1.95万元，其中：城乡居民基本医疗保险服务中心2.16万元，主要用于：职工公务员医疗补助缴费支出等。</w:t>
      </w:r>
    </w:p>
    <w:p>
      <w:pPr>
        <w:keepNext w:val="0"/>
        <w:keepLines w:val="0"/>
        <w:widowControl w:val="0"/>
        <w:suppressLineNumbers w:val="0"/>
        <w:spacing w:before="0" w:beforeAutospacing="0" w:after="0" w:afterAutospacing="0"/>
        <w:ind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9.</w:t>
      </w:r>
      <w:r>
        <w:rPr>
          <w:rFonts w:ascii="宋体" w:eastAsia="宋体" w:cs="宋体" w:hint="eastAsia"/>
          <w:color w:val="0000FF"/>
          <w:kern w:val="0"/>
          <w:sz w:val="32"/>
          <w:szCs w:val="32"/>
          <w:lang w:val="en-US" w:eastAsia="zh-CN"/>
        </w:rPr>
        <w:t xml:space="preserve"> </w:t>
      </w:r>
      <w:r>
        <w:rPr>
          <w:rFonts w:ascii="仿宋_GB2312" w:eastAsia="仿宋_GB2312" w:cs="仿宋_GB2312" w:hint="eastAsia"/>
          <w:color w:val="auto"/>
          <w:sz w:val="32"/>
          <w:szCs w:val="32"/>
          <w:lang w:val="en-US" w:eastAsia="zh-CN"/>
        </w:rPr>
        <w:t>卫生健康支出（类）财政对基本医疗保险基金的补助（款）财政对城乡居民基本医疗保险基金的补助（项）:2024年预算数为141.89万元，主要用于：城乡居民基本医疗保险县级配套资金128.76万元、失地农民医疗保险补助13.13万元。</w:t>
      </w:r>
    </w:p>
    <w:p>
      <w:pPr>
        <w:keepNext w:val="0"/>
        <w:keepLines w:val="0"/>
        <w:widowControl w:val="0"/>
        <w:suppressLineNumbers w:val="0"/>
        <w:spacing w:before="0" w:beforeAutospacing="0" w:after="0" w:afterAutospacing="0"/>
        <w:ind w:right="0" w:firstLineChars="200" w:firstLine="640"/>
        <w:jc w:val="both"/>
        <w:rPr>
          <w:rFonts w:ascii="宋体" w:eastAsia="宋体" w:cs="宋体" w:hint="eastAsia"/>
          <w:color w:val="0000FF"/>
          <w:sz w:val="32"/>
          <w:szCs w:val="32"/>
          <w:lang w:val="en-US"/>
        </w:rPr>
      </w:pPr>
      <w:r>
        <w:rPr>
          <w:rFonts w:ascii="仿宋_GB2312" w:eastAsia="仿宋_GB2312" w:cs="仿宋_GB2312" w:hint="eastAsia"/>
          <w:color w:val="auto"/>
          <w:sz w:val="32"/>
          <w:szCs w:val="32"/>
          <w:lang w:val="en-US" w:eastAsia="zh-CN"/>
        </w:rPr>
        <w:t>10.卫生健康支出（类）财政对基本医疗保险基金的补助（款）财政对其他基本医疗保险基金的补助（项）：2024年预算为2.40万元，主要用于：离休人员医疗补助支出。</w:t>
      </w:r>
    </w:p>
    <w:p>
      <w:pPr>
        <w:keepNext w:val="0"/>
        <w:keepLines w:val="0"/>
        <w:widowControl w:val="0"/>
        <w:suppressLineNumbers w:val="0"/>
        <w:spacing w:before="0" w:beforeAutospacing="0" w:after="0" w:afterAutospacing="0"/>
        <w:ind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11. 卫生健康支出（类）医疗保障管理事务（款）医疗保障经办事务（项）：2024年预算为14.43万元，主要用于：医保基金核算、监管、参保登记等医疗保障经办支出。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12.卫生健康支出（类）医疗保障管理事务（款）行政运行（项）：2024年预算为182.88万元，其中：医疗保障局66.36万元、医疗保险事务中心116.52万元。主要用于：机构正常运转，完成日常工作任务而发生的人员经费支出和公用经费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13.卫生健康支出（类）医疗保障管理事务（款）事业运行（项）：2024年预算为112.45万元，其中：城乡居民基本医疗保险服务中心112.45万元.主要用于：机构正常运转，完成日常工作任务而发生的人员经费支出和公用经费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14.卫生健康支出（类）医疗救助（款）城乡医疗救助（项）：2024年预算为39.97万元，主要用于：对城乡居民医疗救助补助资金支出。</w:t>
      </w:r>
    </w:p>
    <w:p>
      <w:pPr>
        <w:keepNext w:val="0"/>
        <w:keepLines w:val="0"/>
        <w:widowControl w:val="0"/>
        <w:suppressLineNumbers w:val="0"/>
        <w:spacing w:before="0" w:beforeAutospacing="0" w:after="0" w:afterAutospacing="0"/>
        <w:ind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15.农林水支出（类）巩固脱贫攻坚成果衔接乡村振兴（款）其他巩固脱贫攻坚成果衔接乡村振兴支出（项）:2024年预算数为8.96万元，主要用于：城乡居民（建档立卡户）医疗保险差额代缴。</w:t>
      </w:r>
    </w:p>
    <w:p>
      <w:pPr>
        <w:keepNext w:val="0"/>
        <w:keepLines w:val="0"/>
        <w:widowControl w:val="0"/>
        <w:suppressLineNumbers w:val="0"/>
        <w:spacing w:before="0" w:beforeAutospacing="0" w:after="0" w:afterAutospacing="0"/>
        <w:ind w:left="0" w:right="0"/>
        <w:jc w:val="both"/>
        <w:rPr>
          <w:rFonts w:ascii="宋体" w:eastAsia="宋体" w:cs="宋体" w:hint="eastAsia"/>
          <w:b/>
          <w:bCs w:val="0"/>
          <w:sz w:val="32"/>
          <w:szCs w:val="32"/>
          <w:lang w:val="en-US"/>
        </w:rPr>
      </w:pPr>
      <w:r>
        <w:rPr>
          <w:rFonts w:ascii="宋体" w:eastAsia="宋体" w:cs="宋体" w:hint="eastAsia"/>
          <w:b/>
          <w:bCs w:val="0"/>
          <w:kern w:val="2"/>
          <w:sz w:val="32"/>
          <w:szCs w:val="32"/>
          <w:lang w:val="en-US" w:eastAsia="zh-CN"/>
        </w:rPr>
        <w:t xml:space="preserve">　  </w:t>
      </w:r>
      <w:r>
        <w:rPr>
          <w:rFonts w:ascii="黑体" w:eastAsia="黑体" w:cs="黑体" w:hint="eastAsia"/>
          <w:color w:val="auto"/>
          <w:sz w:val="32"/>
          <w:szCs w:val="32"/>
          <w:lang w:val="en-US" w:eastAsia="zh-CN"/>
        </w:rPr>
        <w:t>六、一般公共预算基本支出情况说明</w:t>
      </w:r>
    </w:p>
    <w:p>
      <w:pPr>
        <w:keepNext w:val="0"/>
        <w:keepLines w:val="0"/>
        <w:widowControl w:val="0"/>
        <w:suppressLineNumbers w:val="0"/>
        <w:spacing w:before="0" w:beforeAutospacing="0" w:after="0" w:afterAutospacing="0"/>
        <w:ind w:left="0" w:right="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医保局2024年一般公共预算基本支出424.35万元，其中：</w:t>
      </w:r>
    </w:p>
    <w:p>
      <w:pPr>
        <w:keepNext w:val="0"/>
        <w:keepLines w:val="0"/>
        <w:widowControl w:val="0"/>
        <w:suppressLineNumbers w:val="0"/>
        <w:spacing w:before="0" w:beforeAutospacing="0" w:after="0" w:afterAutospacing="0"/>
        <w:ind w:left="0" w:right="0" w:firstLine="640"/>
        <w:jc w:val="both"/>
        <w:rPr>
          <w:rFonts w:ascii="宋体" w:eastAsia="宋体" w:cs="宋体" w:hint="eastAsia"/>
          <w:sz w:val="32"/>
          <w:szCs w:val="32"/>
          <w:lang w:val="en-US"/>
        </w:rPr>
      </w:pPr>
      <w:r>
        <w:rPr>
          <w:rFonts w:ascii="仿宋_GB2312" w:eastAsia="仿宋_GB2312" w:cs="仿宋_GB2312" w:hint="eastAsia"/>
          <w:color w:val="auto"/>
          <w:sz w:val="32"/>
          <w:szCs w:val="32"/>
          <w:lang w:val="en-US" w:eastAsia="zh-CN"/>
        </w:rPr>
        <w:t>人员经费405.30</w:t>
      </w:r>
      <w:r>
        <w:rPr>
          <w:rFonts w:ascii="仿宋_GB2312" w:eastAsia="仿宋_GB2312" w:cs="仿宋_GB2312"/>
          <w:color w:val="auto"/>
          <w:sz w:val="32"/>
          <w:szCs w:val="32"/>
          <w:lang w:val="en-US" w:eastAsia="zh-CN"/>
        </w:rPr>
        <w:t>万</w:t>
      </w:r>
      <w:r>
        <w:rPr>
          <w:rFonts w:ascii="仿宋_GB2312" w:eastAsia="仿宋_GB2312" w:cs="仿宋_GB2312" w:hint="eastAsia"/>
          <w:color w:val="auto"/>
          <w:sz w:val="32"/>
          <w:szCs w:val="32"/>
          <w:lang w:val="en-US" w:eastAsia="zh-CN"/>
        </w:rPr>
        <w:t>元，其中：医疗保障局91.49万元、医疗保险事务中心158.12万元、城乡居民医疗保险服务中心155.69万元，主要包括：基本工资、津贴补贴、奖金、绩效工资、医疗保险缴费、机关事业单位基本养老保险缴费、职业年金缴费、生活补助、住房公积金、其他对个人和家庭的补助支出等。</w:t>
      </w:r>
    </w:p>
    <w:p>
      <w:pPr>
        <w:keepNext w:val="0"/>
        <w:keepLines w:val="0"/>
        <w:widowControl w:val="0"/>
        <w:suppressLineNumbers w:val="0"/>
        <w:spacing w:before="0" w:beforeAutospacing="0" w:after="0" w:afterAutospacing="0"/>
        <w:ind w:left="0" w:right="0" w:firstLine="560"/>
        <w:jc w:val="both"/>
        <w:rPr>
          <w:rFonts w:ascii="宋体" w:eastAsia="宋体" w:cs="宋体" w:hint="eastAsia"/>
          <w:kern w:val="2"/>
          <w:sz w:val="32"/>
          <w:szCs w:val="32"/>
          <w:lang w:val="en-US" w:eastAsia="zh-CN"/>
        </w:rPr>
      </w:pPr>
      <w:r>
        <w:rPr>
          <w:rFonts w:ascii="仿宋_GB2312" w:eastAsia="仿宋_GB2312" w:cs="仿宋_GB2312" w:hint="eastAsia"/>
          <w:color w:val="auto"/>
          <w:sz w:val="32"/>
          <w:szCs w:val="32"/>
          <w:lang w:val="en-US" w:eastAsia="zh-CN"/>
        </w:rPr>
        <w:t>公用经费19.05万元，其中：医疗保障局3.84万元、医疗保险事务中心9.15万元、城乡居民医疗保险服务中心6.06万元，主要包括：办公费、印刷费、咨询费、水费、电费、邮电费、差旅费、培训费、福利费、公务用车运行维护费等支出。</w:t>
      </w:r>
    </w:p>
    <w:p>
      <w:pPr>
        <w:keepNext w:val="0"/>
        <w:keepLines w:val="0"/>
        <w:widowControl w:val="0"/>
        <w:suppressLineNumbers w:val="0"/>
        <w:spacing w:before="0" w:beforeAutospacing="0" w:after="0" w:afterAutospacing="0"/>
        <w:ind w:left="0" w:right="0" w:firstLine="56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医保局2024年一般公共预算项目支出207.65万元，主要包括：医保专项经费14.43万元、财政对失地农民医疗费补助13.13万元、建档立卡财政代缴补贴（差额代缴）8.96万元、城乡居民基本医疗保险县级配套资金128.76万元、财政对伤残离休人员医疗费补助2.40万元、城乡医疗救助资金（二次救助）39.97万元。</w:t>
      </w:r>
    </w:p>
    <w:p>
      <w:pPr>
        <w:keepNext w:val="0"/>
        <w:keepLines w:val="0"/>
        <w:widowControl w:val="0"/>
        <w:suppressLineNumbers w:val="0"/>
        <w:spacing w:before="0" w:beforeAutospacing="0" w:after="0" w:afterAutospacing="0"/>
        <w:ind w:left="0" w:right="0"/>
        <w:jc w:val="both"/>
        <w:rPr>
          <w:rFonts w:ascii="宋体" w:eastAsia="宋体" w:cs="宋体" w:hint="eastAsia"/>
          <w:b/>
          <w:bCs w:val="0"/>
          <w:sz w:val="32"/>
          <w:szCs w:val="32"/>
          <w:lang w:val="en-US"/>
        </w:rPr>
      </w:pPr>
      <w:r>
        <w:rPr>
          <w:rFonts w:ascii="宋体" w:eastAsia="宋体" w:cs="宋体" w:hint="eastAsia"/>
          <w:b/>
          <w:bCs w:val="0"/>
          <w:kern w:val="2"/>
          <w:sz w:val="32"/>
          <w:szCs w:val="32"/>
          <w:lang w:val="en-US" w:eastAsia="zh-CN"/>
        </w:rPr>
        <w:t>　　</w:t>
      </w:r>
      <w:r>
        <w:rPr>
          <w:rFonts w:ascii="黑体" w:eastAsia="黑体" w:cs="黑体" w:hint="eastAsia"/>
          <w:color w:val="auto"/>
          <w:sz w:val="32"/>
          <w:szCs w:val="32"/>
          <w:lang w:val="en-US" w:eastAsia="zh-CN"/>
        </w:rPr>
        <w:t>七、“三公”经费财政拨款预算安排情况说明</w:t>
      </w:r>
    </w:p>
    <w:p>
      <w:pPr>
        <w:keepNext w:val="0"/>
        <w:keepLines w:val="0"/>
        <w:widowControl w:val="0"/>
        <w:suppressLineNumbers w:val="0"/>
        <w:spacing w:before="0" w:beforeAutospacing="0" w:after="0" w:afterAutospacing="0"/>
        <w:ind w:left="0" w:right="0"/>
        <w:jc w:val="both"/>
        <w:rPr>
          <w:rFonts w:ascii="宋体" w:eastAsia="宋体" w:cs="宋体" w:hint="eastAsia"/>
          <w:sz w:val="32"/>
          <w:szCs w:val="32"/>
          <w:lang w:val="en-US"/>
        </w:rPr>
      </w:pPr>
      <w:r>
        <w:rPr>
          <w:rFonts w:ascii="宋体" w:eastAsia="宋体" w:cs="宋体" w:hint="eastAsia"/>
          <w:kern w:val="2"/>
          <w:sz w:val="32"/>
          <w:szCs w:val="32"/>
          <w:lang w:val="en-US" w:eastAsia="zh-CN"/>
        </w:rPr>
        <w:t>　</w:t>
      </w:r>
      <w:r>
        <w:rPr>
          <w:rFonts w:ascii="仿宋_GB2312" w:eastAsia="仿宋_GB2312" w:cs="仿宋_GB2312" w:hint="eastAsia"/>
          <w:color w:val="auto"/>
          <w:sz w:val="32"/>
          <w:szCs w:val="32"/>
          <w:lang w:val="en-US" w:eastAsia="zh-CN"/>
        </w:rPr>
        <w:t>　医保局2024年“三公”经费财政拨款预算数3.70万元，其中：因公出国（境）经费0万元，公务接待费0.20万元，公务用车购置及运行维护费3.50万元。</w:t>
      </w:r>
    </w:p>
    <w:p>
      <w:pPr>
        <w:keepNext w:val="0"/>
        <w:keepLines w:val="0"/>
        <w:widowControl w:val="0"/>
        <w:suppressLineNumbers w:val="0"/>
        <w:spacing w:before="0" w:beforeAutospacing="0" w:after="0" w:afterAutospacing="0"/>
        <w:ind w:left="0" w:right="0" w:firstLine="555"/>
        <w:jc w:val="both"/>
        <w:rPr>
          <w:rFonts w:ascii="楷体_GB2312" w:eastAsia="楷体_GB2312" w:cs="楷体_GB2312" w:hint="eastAsia"/>
          <w:b/>
          <w:bCs/>
          <w:color w:val="auto"/>
          <w:sz w:val="32"/>
          <w:szCs w:val="32"/>
          <w:lang w:val="en-US" w:eastAsia="zh-CN"/>
        </w:rPr>
      </w:pPr>
      <w:r>
        <w:rPr>
          <w:rFonts w:ascii="楷体_GB2312" w:eastAsia="楷体_GB2312" w:cs="楷体_GB2312" w:hint="eastAsia"/>
          <w:b/>
          <w:bCs/>
          <w:color w:val="auto"/>
          <w:sz w:val="32"/>
          <w:szCs w:val="32"/>
          <w:lang w:val="en-US" w:eastAsia="zh-CN"/>
        </w:rPr>
        <w:t>（一）因公出国（境）经费较2023年预算增长0%。</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color w:val="auto"/>
          <w:sz w:val="32"/>
          <w:szCs w:val="32"/>
          <w:lang w:val="en-US" w:eastAsia="zh-CN"/>
        </w:rPr>
      </w:pPr>
      <w:r>
        <w:rPr>
          <w:rFonts w:ascii="仿宋_GB2312" w:eastAsia="仿宋_GB2312" w:cs="仿宋_GB2312" w:hint="eastAsia"/>
          <w:color w:val="auto"/>
          <w:sz w:val="32"/>
          <w:szCs w:val="32"/>
          <w:lang w:val="en-US" w:eastAsia="zh-CN"/>
        </w:rPr>
        <w:t>2024年预算因公出国（境）经费0万元。</w:t>
      </w:r>
    </w:p>
    <w:p>
      <w:pPr>
        <w:keepNext w:val="0"/>
        <w:keepLines w:val="0"/>
        <w:widowControl w:val="0"/>
        <w:suppressLineNumbers w:val="0"/>
        <w:spacing w:before="0" w:beforeAutospacing="0" w:after="0" w:afterAutospacing="0"/>
        <w:ind w:left="0" w:right="0" w:firstLine="555"/>
        <w:jc w:val="both"/>
        <w:rPr>
          <w:rFonts w:ascii="楷体_GB2312" w:eastAsia="楷体_GB2312" w:cs="楷体_GB2312" w:hint="eastAsia"/>
          <w:b/>
          <w:bCs/>
          <w:color w:val="auto"/>
          <w:sz w:val="32"/>
          <w:szCs w:val="32"/>
          <w:lang w:val="en-US" w:eastAsia="zh-CN"/>
        </w:rPr>
      </w:pPr>
      <w:r>
        <w:rPr>
          <w:rFonts w:ascii="楷体_GB2312" w:eastAsia="楷体_GB2312" w:cs="楷体_GB2312" w:hint="eastAsia"/>
          <w:b/>
          <w:bCs/>
          <w:color w:val="auto"/>
          <w:sz w:val="32"/>
          <w:szCs w:val="32"/>
          <w:lang w:val="en-US" w:eastAsia="zh-CN"/>
        </w:rPr>
        <w:t>（二）公务接待费与2023年预算持平。</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2024年公务接待费计划用于执行公务、考察培训、检查指导等公务活动开支的交通费、住宿费、用餐费等。</w:t>
      </w:r>
    </w:p>
    <w:p>
      <w:pPr>
        <w:keepNext w:val="0"/>
        <w:keepLines w:val="0"/>
        <w:widowControl w:val="0"/>
        <w:suppressLineNumbers w:val="0"/>
        <w:spacing w:before="0" w:beforeAutospacing="0" w:after="0" w:afterAutospacing="0"/>
        <w:ind w:left="0" w:right="0" w:firstLine="555"/>
        <w:jc w:val="both"/>
        <w:rPr>
          <w:rFonts w:ascii="楷体_GB2312" w:eastAsia="楷体_GB2312" w:cs="楷体_GB2312" w:hint="eastAsia"/>
          <w:b/>
          <w:bCs/>
          <w:color w:val="auto"/>
          <w:sz w:val="32"/>
          <w:szCs w:val="32"/>
          <w:lang w:val="en-US" w:eastAsia="zh-CN"/>
        </w:rPr>
      </w:pPr>
      <w:r>
        <w:rPr>
          <w:rFonts w:ascii="楷体_GB2312" w:eastAsia="楷体_GB2312" w:cs="楷体_GB2312" w:hint="eastAsia"/>
          <w:b/>
          <w:bCs/>
          <w:color w:val="auto"/>
          <w:sz w:val="32"/>
          <w:szCs w:val="32"/>
          <w:lang w:val="en-US" w:eastAsia="zh-CN"/>
        </w:rPr>
        <w:t>（三）公务用车购置及运行维护费较2023年预算持平。</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color w:val="auto"/>
          <w:sz w:val="32"/>
          <w:szCs w:val="32"/>
          <w:lang w:val="en-US" w:eastAsia="zh-CN"/>
        </w:rPr>
      </w:pPr>
      <w:r>
        <w:rPr>
          <w:rFonts w:ascii="仿宋_GB2312" w:eastAsia="仿宋_GB2312" w:cs="仿宋_GB2312" w:hint="eastAsia"/>
          <w:color w:val="auto"/>
          <w:sz w:val="32"/>
          <w:szCs w:val="32"/>
          <w:lang w:val="en-US" w:eastAsia="zh-CN"/>
        </w:rPr>
        <w:t>单位现有公务用车1辆，其中：轿车0辆、越野车1辆。</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2024年安排公务用车运行维护费3.50万元，用于公务用车燃油、过路（桥）、维修、保险等方面支出，主要保障机关及下属单位财政改革工作调研、脱贫攻坚、财政监督检查及周转金清理、财政支出绩效评价等工作开展。</w:t>
      </w:r>
    </w:p>
    <w:p>
      <w:pPr>
        <w:keepNext w:val="0"/>
        <w:keepLines w:val="0"/>
        <w:widowControl w:val="0"/>
        <w:suppressLineNumbers w:val="0"/>
        <w:spacing w:before="0" w:beforeAutospacing="0" w:after="0" w:afterAutospacing="0"/>
        <w:ind w:left="0" w:right="0" w:firstLineChars="200" w:firstLine="640"/>
        <w:jc w:val="both"/>
        <w:rPr>
          <w:rFonts w:ascii="黑体" w:eastAsia="黑体" w:cs="黑体" w:hint="eastAsia"/>
          <w:color w:val="auto"/>
          <w:sz w:val="32"/>
          <w:szCs w:val="32"/>
          <w:lang w:val="en-US" w:eastAsia="zh-CN"/>
        </w:rPr>
      </w:pPr>
      <w:r>
        <w:rPr>
          <w:rFonts w:ascii="黑体" w:eastAsia="黑体" w:cs="黑体" w:hint="eastAsia"/>
          <w:color w:val="auto"/>
          <w:sz w:val="32"/>
          <w:szCs w:val="32"/>
          <w:lang w:val="en-US" w:eastAsia="zh-CN"/>
        </w:rPr>
        <w:t>八、政府性基金预算财政拨款支出预算情况</w:t>
      </w:r>
    </w:p>
    <w:p>
      <w:pPr>
        <w:keepNext w:val="0"/>
        <w:keepLines w:val="0"/>
        <w:widowControl w:val="0"/>
        <w:suppressLineNumbers w:val="0"/>
        <w:spacing w:before="0" w:beforeAutospacing="0" w:after="0" w:afterAutospacing="0" w:line="600" w:lineRule="exact"/>
        <w:ind w:left="0" w:right="0" w:firstLine="640"/>
        <w:jc w:val="both"/>
        <w:outlineLvl w:val="1"/>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金川县医保局2024年无政府性基金预算财政拨款收入。</w:t>
      </w:r>
    </w:p>
    <w:p>
      <w:pPr>
        <w:keepNext w:val="0"/>
        <w:keepLines w:val="0"/>
        <w:widowControl w:val="0"/>
        <w:suppressLineNumbers w:val="0"/>
        <w:spacing w:before="0" w:beforeAutospacing="0" w:after="0" w:afterAutospacing="0"/>
        <w:ind w:left="0" w:right="0" w:firstLineChars="200" w:firstLine="640"/>
        <w:jc w:val="both"/>
        <w:rPr>
          <w:rFonts w:ascii="黑体" w:eastAsia="黑体" w:cs="黑体" w:hint="eastAsia"/>
          <w:color w:val="auto"/>
          <w:sz w:val="32"/>
          <w:szCs w:val="32"/>
          <w:lang w:val="en-US" w:eastAsia="zh-CN"/>
        </w:rPr>
      </w:pPr>
      <w:r>
        <w:rPr>
          <w:rFonts w:ascii="黑体" w:eastAsia="黑体" w:cs="黑体" w:hint="eastAsia"/>
          <w:color w:val="auto"/>
          <w:sz w:val="32"/>
          <w:szCs w:val="32"/>
          <w:lang w:val="en-US" w:eastAsia="zh-CN"/>
        </w:rPr>
        <w:t>九、其他重要事项的情况说明</w:t>
      </w:r>
    </w:p>
    <w:p>
      <w:pPr>
        <w:keepNext w:val="0"/>
        <w:keepLines w:val="0"/>
        <w:widowControl w:val="0"/>
        <w:suppressLineNumbers w:val="0"/>
        <w:spacing w:before="0" w:beforeAutospacing="0" w:after="0" w:afterAutospacing="0"/>
        <w:ind w:left="0" w:right="0"/>
        <w:jc w:val="both"/>
        <w:rPr>
          <w:rFonts w:ascii="楷体_GB2312" w:eastAsia="楷体_GB2312" w:cs="楷体_GB2312" w:hint="eastAsia"/>
          <w:b/>
          <w:bCs/>
          <w:color w:val="auto"/>
          <w:sz w:val="32"/>
          <w:szCs w:val="32"/>
          <w:lang w:val="en-US" w:eastAsia="zh-CN"/>
        </w:rPr>
      </w:pPr>
      <w:r>
        <w:rPr>
          <w:rFonts w:ascii="宋体" w:eastAsia="宋体" w:cs="宋体" w:hint="eastAsia"/>
          <w:kern w:val="2"/>
          <w:sz w:val="32"/>
          <w:szCs w:val="32"/>
          <w:lang w:val="en-US" w:eastAsia="zh-CN"/>
        </w:rPr>
        <w:t xml:space="preserve">　　 </w:t>
      </w:r>
      <w:r>
        <w:rPr>
          <w:rFonts w:ascii="楷体_GB2312" w:eastAsia="楷体_GB2312" w:cs="楷体_GB2312" w:hint="eastAsia"/>
          <w:b/>
          <w:bCs/>
          <w:color w:val="auto"/>
          <w:sz w:val="32"/>
          <w:szCs w:val="32"/>
          <w:lang w:val="en-US" w:eastAsia="zh-CN"/>
        </w:rPr>
        <w:t>（一）机关运行经费</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宋体" w:eastAsia="宋体" w:cs="宋体" w:hint="eastAsia"/>
          <w:kern w:val="2"/>
          <w:sz w:val="32"/>
          <w:szCs w:val="32"/>
          <w:lang w:val="en-US" w:eastAsia="zh-CN"/>
        </w:rPr>
        <w:t xml:space="preserve">　  </w:t>
      </w:r>
      <w:r>
        <w:rPr>
          <w:rFonts w:ascii="仿宋_GB2312" w:eastAsia="仿宋_GB2312" w:cs="仿宋_GB2312" w:hint="eastAsia"/>
          <w:color w:val="auto"/>
          <w:sz w:val="32"/>
          <w:szCs w:val="32"/>
          <w:lang w:val="en-US" w:eastAsia="zh-CN"/>
        </w:rPr>
        <w:t>2024年，机关运行经费财政拨款预算为19.05万元，比2022年预算减少0.09万元，减少0.47%。主要原因是人员减少。</w:t>
      </w:r>
    </w:p>
    <w:p>
      <w:pPr>
        <w:keepNext w:val="0"/>
        <w:keepLines w:val="0"/>
        <w:widowControl w:val="0"/>
        <w:suppressLineNumbers w:val="0"/>
        <w:spacing w:before="0" w:beforeAutospacing="0" w:after="0" w:afterAutospacing="0"/>
        <w:ind w:left="0" w:right="0"/>
        <w:jc w:val="both"/>
        <w:rPr>
          <w:rFonts w:ascii="楷体_GB2312" w:eastAsia="楷体_GB2312" w:cs="楷体_GB2312" w:hint="eastAsia"/>
          <w:b/>
          <w:bCs/>
          <w:color w:val="auto"/>
          <w:sz w:val="32"/>
          <w:szCs w:val="32"/>
          <w:lang w:val="en-US" w:eastAsia="zh-CN"/>
        </w:rPr>
      </w:pPr>
      <w:r>
        <w:rPr>
          <w:rFonts w:ascii="宋体" w:eastAsia="宋体" w:cs="宋体" w:hint="eastAsia"/>
          <w:kern w:val="2"/>
          <w:sz w:val="32"/>
          <w:szCs w:val="32"/>
          <w:lang w:val="en-US" w:eastAsia="zh-CN"/>
        </w:rPr>
        <w:t xml:space="preserve">　　 </w:t>
      </w:r>
      <w:r>
        <w:rPr>
          <w:rFonts w:ascii="宋体" w:eastAsia="宋体" w:cs="宋体" w:hint="eastAsia"/>
          <w:b/>
          <w:bCs/>
          <w:kern w:val="2"/>
          <w:sz w:val="32"/>
          <w:szCs w:val="32"/>
          <w:lang w:val="en-US" w:eastAsia="zh-CN"/>
        </w:rPr>
        <w:t>（</w:t>
      </w:r>
      <w:r>
        <w:rPr>
          <w:rFonts w:ascii="楷体_GB2312" w:eastAsia="楷体_GB2312" w:cs="楷体_GB2312" w:hint="eastAsia"/>
          <w:b/>
          <w:bCs/>
          <w:color w:val="auto"/>
          <w:sz w:val="32"/>
          <w:szCs w:val="32"/>
          <w:lang w:val="en-US" w:eastAsia="zh-CN"/>
        </w:rPr>
        <w:t>二）政府采购情况</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2024年，医保局安排政府采购预算0万元。</w:t>
      </w:r>
    </w:p>
    <w:p>
      <w:pPr>
        <w:keepNext w:val="0"/>
        <w:keepLines w:val="0"/>
        <w:widowControl w:val="0"/>
        <w:suppressLineNumbers w:val="0"/>
        <w:spacing w:before="0" w:beforeAutospacing="0" w:after="0" w:afterAutospacing="0"/>
        <w:ind w:left="0" w:right="0" w:firstLineChars="200" w:firstLine="640"/>
        <w:jc w:val="both"/>
        <w:rPr>
          <w:rFonts w:ascii="楷体_GB2312" w:eastAsia="楷体_GB2312" w:cs="楷体_GB2312" w:hint="eastAsia"/>
          <w:b/>
          <w:bCs/>
          <w:color w:val="auto"/>
          <w:sz w:val="32"/>
          <w:szCs w:val="32"/>
          <w:lang w:val="en-US" w:eastAsia="zh-CN"/>
        </w:rPr>
      </w:pPr>
      <w:r>
        <w:rPr>
          <w:rFonts w:ascii="楷体_GB2312" w:eastAsia="楷体_GB2312" w:cs="楷体_GB2312" w:hint="eastAsia"/>
          <w:b/>
          <w:bCs/>
          <w:color w:val="auto"/>
          <w:sz w:val="32"/>
          <w:szCs w:val="32"/>
          <w:lang w:val="en-US" w:eastAsia="zh-CN"/>
        </w:rPr>
        <w:t>（三）国有资产占有使用情况</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截至2023年底，本预算单位共有车辆1辆，其中：公务用车1辆，单位无价值50万元以上大型设备0台（套）。</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2024年部门预算未安排购置车辆及单位价值50万元以上大型设备。</w:t>
      </w:r>
    </w:p>
    <w:p>
      <w:pPr>
        <w:keepNext w:val="0"/>
        <w:keepLines w:val="0"/>
        <w:widowControl w:val="0"/>
        <w:suppressLineNumbers w:val="0"/>
        <w:spacing w:before="0" w:beforeAutospacing="0" w:after="0" w:afterAutospacing="0"/>
        <w:ind w:left="0" w:right="0"/>
        <w:jc w:val="both"/>
        <w:rPr>
          <w:rFonts w:ascii="楷体_GB2312" w:eastAsia="楷体_GB2312" w:cs="楷体_GB2312" w:hint="eastAsia"/>
          <w:b/>
          <w:bCs/>
          <w:color w:val="auto"/>
          <w:sz w:val="32"/>
          <w:szCs w:val="32"/>
          <w:lang w:val="en-US" w:eastAsia="zh-CN"/>
        </w:rPr>
      </w:pPr>
      <w:r>
        <w:rPr>
          <w:rFonts w:ascii="宋体" w:eastAsia="宋体" w:cs="宋体" w:hint="eastAsia"/>
          <w:kern w:val="2"/>
          <w:sz w:val="32"/>
          <w:szCs w:val="32"/>
          <w:lang w:val="en-US" w:eastAsia="zh-CN"/>
        </w:rPr>
        <w:t>　　</w:t>
      </w:r>
      <w:r>
        <w:rPr>
          <w:rFonts w:ascii="楷体_GB2312" w:eastAsia="楷体_GB2312" w:cs="楷体_GB2312" w:hint="eastAsia"/>
          <w:b/>
          <w:bCs/>
          <w:color w:val="auto"/>
          <w:sz w:val="32"/>
          <w:szCs w:val="32"/>
          <w:lang w:val="en-US" w:eastAsia="zh-CN"/>
        </w:rPr>
        <w:t>（四）预算绩效目标设置情况</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宋体" w:eastAsia="宋体" w:cs="宋体" w:hint="eastAsia"/>
          <w:kern w:val="2"/>
          <w:sz w:val="32"/>
          <w:szCs w:val="32"/>
          <w:lang w:val="en-US" w:eastAsia="zh-CN"/>
        </w:rPr>
        <w:t>　</w:t>
      </w:r>
      <w:r>
        <w:rPr>
          <w:rFonts w:ascii="仿宋_GB2312" w:eastAsia="仿宋_GB2312" w:cs="仿宋_GB2312" w:hint="eastAsia"/>
          <w:color w:val="auto"/>
          <w:sz w:val="32"/>
          <w:szCs w:val="32"/>
          <w:lang w:val="en-US" w:eastAsia="zh-CN"/>
        </w:rPr>
        <w:t>　2024年本单位基本支出和项目支出均按要求实行绩效目标管理，涉及一般公共预算当年拨款632万元。</w:t>
      </w:r>
    </w:p>
    <w:p>
      <w:pPr>
        <w:keepNext w:val="0"/>
        <w:keepLines w:val="0"/>
        <w:widowControl w:val="0"/>
        <w:suppressLineNumbers w:val="0"/>
        <w:spacing w:before="0" w:beforeAutospacing="0" w:after="0" w:afterAutospacing="0"/>
        <w:ind w:left="0" w:right="0"/>
        <w:jc w:val="both"/>
        <w:rPr>
          <w:rFonts w:ascii="宋体" w:eastAsia="宋体" w:cs="宋体" w:hint="eastAsia"/>
          <w:sz w:val="32"/>
          <w:szCs w:val="32"/>
          <w:lang w:val="en-US"/>
        </w:rPr>
      </w:pPr>
      <w:r>
        <w:rPr>
          <w:rFonts w:ascii="宋体" w:eastAsia="宋体" w:cs="宋体" w:hint="eastAsia"/>
          <w:kern w:val="2"/>
          <w:sz w:val="32"/>
          <w:szCs w:val="32"/>
          <w:lang w:val="en-US" w:eastAsia="zh-CN"/>
        </w:rPr>
        <w:t>　　</w:t>
      </w:r>
      <w:r>
        <w:rPr>
          <w:rFonts w:ascii="宋体" w:eastAsia="宋体" w:cs="宋体" w:hint="eastAsia"/>
          <w:b/>
          <w:bCs/>
          <w:kern w:val="2"/>
          <w:sz w:val="32"/>
          <w:szCs w:val="32"/>
          <w:lang w:val="en-US" w:eastAsia="zh-CN"/>
        </w:rPr>
        <w:t>十</w:t>
      </w:r>
      <w:r>
        <w:rPr>
          <w:rFonts w:ascii="黑体" w:eastAsia="黑体" w:cs="黑体" w:hint="eastAsia"/>
          <w:color w:val="auto"/>
          <w:sz w:val="32"/>
          <w:szCs w:val="32"/>
          <w:lang w:val="en-US" w:eastAsia="zh-CN"/>
        </w:rPr>
        <w:t>、名词解释</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宋体" w:eastAsia="宋体" w:cs="宋体" w:hint="eastAsia"/>
          <w:kern w:val="2"/>
          <w:sz w:val="32"/>
          <w:szCs w:val="32"/>
          <w:lang w:val="en-US" w:eastAsia="zh-CN"/>
        </w:rPr>
        <w:t>　　</w:t>
      </w:r>
      <w:r>
        <w:rPr>
          <w:rFonts w:ascii="仿宋_GB2312" w:eastAsia="仿宋_GB2312" w:cs="仿宋_GB2312" w:hint="eastAsia"/>
          <w:color w:val="auto"/>
          <w:sz w:val="32"/>
          <w:szCs w:val="32"/>
          <w:lang w:val="en-US" w:eastAsia="zh-CN"/>
        </w:rPr>
        <w:t>1.一般公共预算拨款收入：指省级财政当年拨付的资金。</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2.上年结转：指以前年度尚未完成，结转到本年仍按原规定用途继续使用的资金。</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3.教育支出（类） 进修及培训（款） 培训支出（项）:反映部门用于培训支出。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4.社会保障和就业支出(类)行政事业单位离退休（款）机关事业单位基本养老保险缴费支出（项）: 指部门实施养老保险制度由单位缴纳的养老保险费的支出。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5.社会保障和就业支出（类）行政事业单位离退休（款）机关事业单位职业年金缴费支出（项）：指部门实施养老保险制度由单位缴纳的职业年金的支出。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6.</w:t>
      </w:r>
      <w:r>
        <w:rPr>
          <w:rFonts w:ascii="仿宋_GB2312" w:eastAsia="仿宋_GB2312" w:cs="仿宋_GB2312"/>
          <w:color w:val="auto"/>
          <w:sz w:val="32"/>
          <w:szCs w:val="32"/>
          <w:lang w:val="en-US" w:eastAsia="zh-CN"/>
        </w:rPr>
        <w:t>卫</w:t>
      </w:r>
      <w:r>
        <w:rPr>
          <w:rFonts w:ascii="仿宋_GB2312" w:eastAsia="仿宋_GB2312" w:cs="仿宋_GB2312" w:hint="eastAsia"/>
          <w:color w:val="auto"/>
          <w:sz w:val="32"/>
          <w:szCs w:val="32"/>
          <w:lang w:val="en-US" w:eastAsia="zh-CN"/>
        </w:rPr>
        <w:t>生健康支出（类）行政事业单位医疗（款） 事业单位医疗（项）: 指厅机关及参公管理事业单位用于缴纳单位基本医疗保险支出。</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7.卫生健康支出（类）</w:t>
      </w:r>
      <w:bookmarkStart w:id="0" w:name="_GoBack"/>
      <w:bookmarkEnd w:id="0"/>
      <w:r>
        <w:rPr>
          <w:rFonts w:ascii="仿宋_GB2312" w:eastAsia="仿宋_GB2312" w:cs="仿宋_GB2312" w:hint="eastAsia"/>
          <w:color w:val="auto"/>
          <w:sz w:val="32"/>
          <w:szCs w:val="32"/>
          <w:lang w:val="en-US" w:eastAsia="zh-CN"/>
        </w:rPr>
        <w:t>行政事业单位医疗（款）公务员医疗补助（项）：指机关及参公管理事业单位用于集中缴纳公务员医疗补助支出。</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8.卫生健康支出（类）行政事业单位医疗（款） 其他行政事业单位医疗支出（项）:反映其他用于行政事业单位医疗方面的支出。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9.卫生健康支出（类）财政对基本医疗保险基金的补助（款）财政对城镇居民基本医疗保险基金的补助（项）:反映财政对城乡居民基本医疗保险基金的补助支出。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10.健康支出（类）财政对基本医疗保险基金的补助（款）财政对其他基本医疗保险基金的补助（项）：反映财政对其他基本医疗保险基金的补助支出。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11.卫生健康支出（类）医疗救助（款）城乡医疗救助（项）：反映财政用于城乡困难群众医疗救助的支出。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12.卫生健康支出（类）医疗保障管理事务（款）行政运行（项）：反映行政单位的基本支出。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color w:val="auto"/>
          <w:sz w:val="32"/>
          <w:szCs w:val="32"/>
          <w:lang w:val="en-US" w:eastAsia="zh-CN"/>
        </w:rPr>
      </w:pPr>
      <w:r>
        <w:rPr>
          <w:rFonts w:ascii="仿宋_GB2312" w:eastAsia="仿宋_GB2312" w:cs="仿宋_GB2312" w:hint="eastAsia"/>
          <w:color w:val="auto"/>
          <w:sz w:val="32"/>
          <w:szCs w:val="32"/>
          <w:lang w:val="en-US" w:eastAsia="zh-CN"/>
        </w:rPr>
        <w:t>13.卫生健康支出（类）医疗保障管理事务（款）医疗保障经办事务（项）：反映医保基金核算、精算、参保登记等医疗保障经办支出。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14.林水支出（类）扶贫（款）其他扶贫支出（项）:反映其他用于扶贫方面的支出。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15.保障（类）住房改革支出（款）住房公积金（项）：指按照《住房公积金管理条例》的规定，由单位及其在职职工缴存的长期住房储金。</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16.基本支出：指为保证机构正常运转，完成日常工作任务而发生的人员支出和公用支出。</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17.项目支出：指在基本支出之外为完成特定行政任务和事业发展目标所发生的支出。</w:t>
      </w:r>
    </w:p>
    <w:p>
      <w:pPr>
        <w:keepNext w:val="0"/>
        <w:keepLines w:val="0"/>
        <w:widowControl w:val="0"/>
        <w:suppressLineNumbers w:val="0"/>
        <w:spacing w:before="0" w:beforeAutospacing="0" w:after="0" w:afterAutospacing="0"/>
        <w:ind w:left="0" w:right="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　　18.“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19.机关运行经费：为保障行政单位（包含参照公务员法管理的事业单位）运行用于购买货物和服务的各项资金。包括办公及印刷费、邮电费、差旅费、会议费一般设备购置费等费用开支。</w:t>
      </w:r>
    </w:p>
    <w:p>
      <w:pPr>
        <w:keepNext w:val="0"/>
        <w:keepLines w:val="0"/>
        <w:widowControl w:val="0"/>
        <w:suppressLineNumbers w:val="0"/>
        <w:spacing w:before="0" w:beforeAutospacing="0" w:after="0" w:afterAutospacing="0"/>
        <w:ind w:left="0" w:right="0" w:firstLineChars="200" w:firstLine="640"/>
        <w:jc w:val="both"/>
      </w:pPr>
      <w:r>
        <w:rPr>
          <w:rFonts w:ascii="仿宋_GB2312" w:eastAsia="仿宋_GB2312" w:cs="仿宋_GB2312" w:hint="eastAsia"/>
          <w:color w:val="auto"/>
          <w:sz w:val="32"/>
          <w:szCs w:val="32"/>
          <w:lang w:val="en-US" w:eastAsia="zh-CN"/>
        </w:rPr>
        <w:t>20.教育支出：保障对参保单位、职工医疗保险政策的宣传和医疗保险业务人员的培训。</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黑体"/>
    <w:panose1 w:val="00000000000000000000"/>
    <w:charset w:val="86"/>
    <w:family w:val="auto"/>
    <w:pitch w:val="variable"/>
    <w:sig w:usb0="00000000" w:usb1="00000000" w:usb2="00000000" w:usb3="00000000" w:csb0="00040000" w:csb1="00000000"/>
  </w:font>
  <w:font w:name="宋体">
    <w:panose1 w:val="02010600030101010101"/>
    <w:charset w:val="86"/>
    <w:family w:val="auto"/>
    <w:pitch w:val="variable"/>
    <w:sig w:usb0="00000203" w:usb1="288F0000" w:usb2="00000006" w:usb3="00000000" w:csb0="00040001" w:csb1="00000000"/>
  </w:font>
  <w:font w:name="仿宋_GB2312">
    <w:altName w:val="仿宋"/>
    <w:panose1 w:val="00000000000000000000"/>
    <w:charset w:val="86"/>
    <w:family w:val="auto"/>
    <w:pitch w:val="variable"/>
    <w:sig w:usb0="00000000" w:usb1="00000000" w:usb2="00000000" w:usb3="00000000" w:csb0="00040000" w:csb1="00000000"/>
  </w:font>
  <w:font w:name="楷体_GB2312">
    <w:altName w:val="楷体"/>
    <w:panose1 w:val="02010609030101010101"/>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0"/>
    <w:family w:val="auto"/>
    <w:pitch w:val="variable"/>
    <w:sig w:usb0="00000A87" w:usb1="00000000" w:usb2="00000000" w:usb3="00000000" w:csb0="400001BF" w:csb1="DFF7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仿宋">
    <w:panose1 w:val="02010609060101010101"/>
    <w:charset w:val="86"/>
    <w:family w:val="auto"/>
    <w:pitch w:val="variable"/>
    <w:sig w:usb0="800002BF" w:usb1="38CF7CFA" w:usb2="00000016" w:usb3="00000000" w:csb0="00040001" w:csb1="00000000"/>
  </w:font>
  <w:font w:name="MT Extra">
    <w:altName w:val="Symbol"/>
    <w:panose1 w:val="05050102010205020202"/>
    <w:charset w:val="02"/>
    <w:family w:val="auto"/>
    <w:pitch w:val="variable"/>
    <w:sig w:usb0="8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115900" cy="139560"/>
              <wp:effectExtent l="0" t="0" r="0" b="0"/>
              <wp:wrapNone/>
              <wp:docPr id="1" name="文本框 1"/>
              <wp:cNvGraphicFramePr>
                <a:graphicFrameLocks noChangeAspect="0"/>
              </wp:cNvGraphicFramePr>
              <a:graphic>
                <a:graphicData uri="http://schemas.microsoft.com/office/word/2010/wordprocessingShape">
                  <wps:wsp>
                    <wps:cNvSpPr/>
                    <wps:spPr>
                      <a:xfrm rot="0">
                        <a:off x="0" y="0"/>
                        <a:ext cx="115900" cy="139560"/>
                      </a:xfrm>
                      <a:prstGeom prst="rect"/>
                      <a:noFill/>
                      <a:ln w="6350" cmpd="sng" cap="flat">
                        <a:noFill/>
                        <a:prstDash val="solid"/>
                        <a:round/>
                      </a:ln>
                    </wps:spPr>
                    <wps:txbx id="2">
                      <w:txbxContent>
                        <w:p>
                          <w:pPr>
                            <w:pStyle w:val="15"/>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9.125998pt;height:10.988999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5"/>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1517437"/>
    <w:multiLevelType w:val="singleLevel"/>
    <w:tmpl w:val="C1517437"/>
    <w:lvl w:ilvl="0">
      <w:start w:val="4"/>
      <w:numFmt w:val="chineseCounting"/>
      <w:lvlRestart w:val="0"/>
      <w:suff w:val="nothing"/>
      <w:lvlText w:val="%1、"/>
      <w:lvlJc w:val="left"/>
      <w:pPr>
        <w:ind w:left="64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TE4ZDI4ODNhYmU1NDMzYzU3Y2IxNmQxMGU4Yjg1Nm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7">
    <w:name w:val="toc 1"/>
    <w:basedOn w:val="0"/>
    <w:next w:val="0"/>
    <w:pPr>
      <w:keepNext w:val="0"/>
      <w:keepLines w:val="0"/>
      <w:widowControl w:val="0"/>
      <w:suppressLineNumbers w:val="0"/>
      <w:tabs>
        <w:tab w:val="right" w:leader="dot" w:pos="8296"/>
      </w:tabs>
      <w:spacing w:before="93" w:beforeAutospacing="0" w:after="0" w:afterAutospacing="0"/>
      <w:ind w:left="0" w:right="0"/>
      <w:jc w:val="center"/>
    </w:pPr>
    <w:rPr>
      <w:rFonts w:ascii="仿宋" w:eastAsia="仿宋" w:cs="MT Extra"/>
      <w:kern w:val="2"/>
      <w:sz w:val="28"/>
      <w:szCs w:val="28"/>
      <w:lang w:val="en-US" w:eastAsia="zh-CN"/>
    </w:rPr>
  </w:style>
  <w:style w:type="paragraph" w:styleId="18">
    <w:name w:val="table of figures"/>
    <w:basedOn w:val="0"/>
    <w:next w:val="0"/>
    <w:pPr>
      <w:keepNext w:val="0"/>
      <w:keepLines w:val="0"/>
      <w:widowControl w:val="0"/>
      <w:suppressLineNumbers w:val="0"/>
      <w:spacing w:before="0" w:beforeAutospacing="0" w:after="0" w:afterAutospacing="0"/>
      <w:ind w:leftChars="200" w:left="400" w:right="0" w:hangingChars="200" w:hanging="200"/>
      <w:jc w:val="both"/>
    </w:pPr>
    <w:rPr>
      <w:rFonts w:ascii="MT Extra" w:eastAsia="宋体" w:cs="MT Extra" w:hAnsi="MT Extra"/>
      <w:kern w:val="2"/>
      <w:sz w:val="21"/>
      <w:szCs w:val="24"/>
      <w:lang w:val="en-US" w:eastAsia="zh-CN"/>
    </w:rPr>
  </w:style>
  <w:style w:type="character" w:styleId="19">
    <w:name w:val="Hyperlink"/>
    <w:basedOn w:val="10"/>
    <w:rPr>
      <w:color w:val="0000FF"/>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193</TotalTime>
  <Application>Yozo_Office27021597764231179</Application>
  <Pages>12</Pages>
  <Words>4934</Words>
  <Characters>5446</Characters>
  <Lines>248</Lines>
  <Paragraphs>95</Paragraphs>
  <CharactersWithSpaces>5526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Administrator</cp:lastModifiedBy>
  <cp:revision>0</cp:revision>
  <dcterms:created xsi:type="dcterms:W3CDTF">2014-10-29T12:08:00Z</dcterms:created>
  <dcterms:modified xsi:type="dcterms:W3CDTF">2024-03-15T01:40:37Z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2052-12.1.0.15712</vt:lpwstr>
  </property>
  <property fmtid="{D5CDD505-2E9C-101B-9397-08002B2CF9AE}" pid="3" name="ICV">
    <vt:lpwstr>1E83EBA8474341B8AB36C57AB14D4BD6</vt:lpwstr>
  </property>
</Properties>
</file>