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eastAsia="zh-CN"/>
        </w:rPr>
        <w:t>金川县医疗保障局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2024年，我单位部门预算632万元 ，均严格按绩效管理要求实现项目绩效目标管理，其中重点项目预算6个，现将情况说明如下：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完成了2024年金川县医疗保障局本级部门预算整体绩效目标申报和6个重点项目预算绩效目标申报，并编报6个重点项目预算事前绩效评估报告。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Chars="200" w:firstLine="640"/>
        <w:textAlignment w:val="auto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hint="eastAsia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医疗保险全覆盖工作任务，强化医保基金监管堵塞制度漏洞，巩固打击欺诈骗保的高压态势，进一步简化流程，提升经办服务水平，对县药品、药店进行价格监测，推动市场主导的社会医药服务价格形成机制，建立价格信息监测和信息发布制度。负责本行业、领域的应急管理工作、对本行业、领域的安全生产工作实施监督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Chars="200" w:firstLine="640"/>
        <w:textAlignment w:val="auto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重点项目1：财政局对城乡居民基本医疗保险基金的补助（县级配套）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项目年度绩效目标：按时足额缴纳城乡居民基本医疗保险县级配套资金，确保全县参保人员及时享受医疗待遇。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</w:t>
      </w: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产出指标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（参保人政策范围内住院费用报销比例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55%、城乡居民基本医疗保险参保率=100%、重复参保人数=0人、补助全县参加城乡居民基本医疗保险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48115人、财政补贴基本医疗保险按要求及时拨付并上缴=100%）、</w:t>
      </w: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效益指标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（补助全县参加城乡居民基本医疗保险，减轻参保人员负担成效显著）、</w:t>
      </w: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成本指标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（2024年每人补助标准26.76元）和</w:t>
      </w: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满意度指标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（参保人员满意度100%）。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重点项目2：财政对失地农民医疗补助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项目年度绩效目标：1、完成被征地农民参加城乡居民基本医疗保险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补助；2、确保被征地农民能够正常享受医疗待遇。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绩效指标设置情况：细化指标7个，包括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产出指标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（符合政策对象准确率100%、资助被征地农民参加城乡居民基本医疗保险2627人/年、及时拨付率100%、）、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成本指标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（失地农村补助标准50元/人/年）、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效益指标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（有效减轻失地农民参保压力、有效保障征地农民参加城乡居民基本医疗保险15年）和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满意度指标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（补助对象满意度99%）。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重点项目3：城乡居民医疗救助（二次救助）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项目年度绩效目标：1、持续做好困难群众参保资助工作；2、重点救助对象自付医疗费用按规定年度限额内住院救助比例达到70%；年度救助对象人次符合客观需要；4、强化医疗救助规范管理。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绩效指标设置情况：细化指标13个，包括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产出指标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重点救助对象自付费用按规定年度限额内住院救助比例70%；门诊救助人次数符合救助条件对象按规定纳入资助范围100%；住院医疗费用救助比例70%；门诊医疗费用救助比例50%；“一站式”即时结算覆盖率不低于上年；资助参保人次数符合资助参保条件对象按规定纳入资助范围；住院救助人次数符合救助条件对象按规定纳入资助范围100%）、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效益指标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（对健全社会救助体系的影响成效明显；有效缓解困难群众医疗费用负担；困难群众看病就医方便程度显著提高；医疗救助对象覆盖范围稳步拓展）和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满意度指标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（救助对象满意度85%；政策知晓率大于等于80%）。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重点项目4：财政对城乡居民</w:t>
      </w:r>
      <w:r>
        <w:rPr>
          <w:rFonts w:asci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医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保补助医保专项经费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项目年度绩效目标：1.提升医保信息化水平，加强网络、信息安全、基础设施等方面建设；进一步夯实技术基础，切实保障医保信息系统高效、安全运行，提高数据采集质量和速度。2.有效提升宣传引导、经办服务、人力队伍建设等医疗保障服务能力。3.提高居民政策知晓率，巩固参保率目标。4.有效提升监管能力，加强监管体系、监管队伍建设。5.加强打击欺诈骗保工作力度，切实保障医保基金合</w:t>
      </w:r>
      <w:bookmarkStart w:id="0" w:name="_GoBack"/>
      <w:bookmarkEnd w:id="0"/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理有效使用。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绩效指标设置情况：细化指标8个，包括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产出指标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（稳定异地就医持卡结算率达80%；综合监管能力得到显著提升；稳定城乡居民基本医疗保险参保率100%；定点医药机构监督检查覆盖率100%；开展全域医保政策宣传活动1次/年以上）、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效益指标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医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保经办服务信息化支撑能力明显增强；医保重要政策知晓率99%）和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满意度指标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（参保人员对医保服务的满意度99%）。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重点项目5：财政对建档立卡户全额代缴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项目年度绩效目标：按乡村振兴局提供数据,做好分类资助参保，重点做好脱贫人口的参保动员主体责任，做好分类资助参保，按应保应保原则为贫困对象代缴医疗保险，确保贫困人口就医，杜绝因病返贫。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绩效指标设置情况：细化指标7个，包括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产出指标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（建档立卡贫困户参保率100%；建档立卡户差额代缴人数9429人；建档立卡贫困户个人缴费补助率100%、建档立卡财政差额代缴及时率100%）、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成本指标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（建档立卡贫困户个人财政补助标准9.50元/人/年）、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效益指标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（减轻建档立卡户参保压力，预防返贫）和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满意度指标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（建档立卡满意度99%）。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重点项目6：财政对离休人员医疗费补助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项目年度绩效目标：解决离休人员医疗费用，解决离休人员就医困难问题。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绩效指标设置情况：细化指标4个，包括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产出指标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（补助对象覆盖率100%、财政对离休补助3人）、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效益指标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（缓解离休人员医疗费压力）和</w:t>
      </w:r>
      <w:r>
        <w:rPr>
          <w:rFonts w:ascii="仿宋_GB2312" w:eastAsia="仿宋_GB2312" w:cs="仿宋_GB2312" w:hint="eastAsia"/>
          <w:b/>
          <w:bCs/>
          <w:color w:val="auto"/>
          <w:sz w:val="32"/>
          <w:szCs w:val="32"/>
          <w:lang w:val="en-US" w:eastAsia="zh-CN"/>
        </w:rPr>
        <w:t>满意度指标</w:t>
      </w:r>
      <w:r>
        <w:rPr>
          <w:rFonts w:ascii="仿宋_GB2312" w:eastAsia="仿宋_GB2312" w:cs="仿宋_GB2312" w:hint="eastAsia"/>
          <w:color w:val="auto"/>
          <w:sz w:val="32"/>
          <w:szCs w:val="32"/>
          <w:lang w:val="en-US" w:eastAsia="zh-CN"/>
        </w:rPr>
        <w:t>（离休人员医疗救助对象满意度99%）。</w:t>
      </w:r>
    </w:p>
    <w:p>
      <w:pPr>
        <w:rPr>
          <w:rFonts w:ascii="仿宋_GB2312" w:eastAsia="仿宋_GB2312" w:cs="仿宋_GB2312" w:hint="eastAsia"/>
          <w:color w:val="0000FF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YTE4ZDI4ODNhYmU1NDMzYzU3Y2IxNmQxMGU4Yjg1Nm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Yozo_Office27021597764231179</Application>
  <Pages>4</Pages>
  <Words>1930</Words>
  <Characters>2037</Characters>
  <Lines>89</Lines>
  <Paragraphs>26</Paragraphs>
  <CharactersWithSpaces>2039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2024-03-15T01:35:55Z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2052-12.1.0.16250</vt:lpwstr>
  </property>
  <property fmtid="{D5CDD505-2E9C-101B-9397-08002B2CF9AE}" pid="3" name="ICV">
    <vt:lpwstr>5FCF6FF1D65B4E77B5957B4F5F0F65C3</vt:lpwstr>
  </property>
</Properties>
</file>