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colors9.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charts/style9.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宋体" w:hAnsi="宋体" w:eastAsia="宋体" w:cs="宋体"/>
          <w:b/>
          <w:bCs/>
          <w:sz w:val="52"/>
          <w:szCs w:val="52"/>
        </w:rPr>
      </w:pPr>
      <w:r>
        <w:rPr>
          <w:rFonts w:hint="eastAsia" w:ascii="宋体" w:hAnsi="宋体" w:eastAsia="宋体" w:cs="宋体"/>
          <w:b/>
          <w:bCs/>
          <w:sz w:val="52"/>
          <w:szCs w:val="52"/>
        </w:rPr>
        <w:t>金川县医疗保障局</w:t>
      </w:r>
    </w:p>
    <w:p>
      <w:pPr>
        <w:spacing w:line="600" w:lineRule="exact"/>
        <w:jc w:val="center"/>
        <w:rPr>
          <w:rFonts w:hint="eastAsia" w:ascii="宋体" w:hAnsi="宋体" w:eastAsia="宋体" w:cs="宋体"/>
          <w:b/>
          <w:bCs/>
          <w:sz w:val="52"/>
          <w:szCs w:val="52"/>
        </w:rPr>
      </w:pPr>
      <w:r>
        <w:rPr>
          <w:rFonts w:hint="eastAsia" w:ascii="宋体" w:hAnsi="宋体" w:eastAsia="宋体" w:cs="宋体"/>
          <w:b/>
          <w:bCs/>
          <w:sz w:val="52"/>
          <w:szCs w:val="52"/>
        </w:rPr>
        <w:t>2022年部门决算分析报告</w:t>
      </w:r>
    </w:p>
    <w:p>
      <w:pPr>
        <w:keepNext w:val="0"/>
        <w:keepLines w:val="0"/>
        <w:pageBreakBefore w:val="0"/>
        <w:widowControl w:val="0"/>
        <w:kinsoku/>
        <w:wordWrap/>
        <w:overflowPunct/>
        <w:topLinePunct w:val="0"/>
        <w:bidi w:val="0"/>
        <w:snapToGrid/>
        <w:spacing w:line="440" w:lineRule="exact"/>
        <w:jc w:val="center"/>
        <w:textAlignment w:val="auto"/>
        <w:outlineLvl w:val="9"/>
        <w:rPr>
          <w:rFonts w:hint="eastAsia" w:ascii="宋体" w:hAnsi="宋体" w:eastAsia="宋体" w:cs="宋体"/>
          <w:b w:val="0"/>
          <w:bCs w:val="0"/>
          <w:sz w:val="21"/>
          <w:szCs w:val="21"/>
          <w:lang w:val="en-US" w:eastAsia="zh-CN"/>
        </w:rPr>
      </w:pPr>
    </w:p>
    <w:p>
      <w:pPr>
        <w:keepNext w:val="0"/>
        <w:keepLines w:val="0"/>
        <w:pageBreakBefore w:val="0"/>
        <w:widowControl w:val="0"/>
        <w:kinsoku/>
        <w:wordWrap/>
        <w:overflowPunct/>
        <w:topLinePunct w:val="0"/>
        <w:bidi w:val="0"/>
        <w:adjustRightInd w:val="0"/>
        <w:snapToGrid w:val="0"/>
        <w:spacing w:line="400" w:lineRule="exact"/>
        <w:jc w:val="center"/>
        <w:textAlignment w:val="auto"/>
        <w:outlineLvl w:val="9"/>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目录</w:t>
      </w:r>
    </w:p>
    <w:p>
      <w:pPr>
        <w:keepNext w:val="0"/>
        <w:keepLines w:val="0"/>
        <w:pageBreakBefore w:val="0"/>
        <w:widowControl w:val="0"/>
        <w:kinsoku/>
        <w:wordWrap/>
        <w:overflowPunct/>
        <w:topLinePunct w:val="0"/>
        <w:bidi w:val="0"/>
        <w:adjustRightInd w:val="0"/>
        <w:snapToGrid w:val="0"/>
        <w:spacing w:line="400" w:lineRule="exact"/>
        <w:textAlignment w:val="auto"/>
        <w:outlineLvl w:val="9"/>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第一部分 部门概况.............................................................1</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outlineLvl w:val="9"/>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一、</w:t>
      </w:r>
      <w:r>
        <w:rPr>
          <w:rFonts w:hint="eastAsia" w:ascii="宋体" w:hAnsi="宋体" w:eastAsia="宋体" w:cs="宋体"/>
          <w:b w:val="0"/>
          <w:bCs w:val="0"/>
          <w:sz w:val="21"/>
          <w:szCs w:val="21"/>
          <w:lang w:eastAsia="zh-CN"/>
        </w:rPr>
        <w:t>基本职能及主要工作</w:t>
      </w:r>
      <w:r>
        <w:rPr>
          <w:rFonts w:hint="eastAsia" w:ascii="宋体" w:hAnsi="宋体" w:eastAsia="宋体" w:cs="宋体"/>
          <w:b w:val="0"/>
          <w:bCs w:val="0"/>
          <w:sz w:val="21"/>
          <w:szCs w:val="21"/>
          <w:lang w:val="en-US" w:eastAsia="zh-CN"/>
        </w:rPr>
        <w:t>........................ ............................1</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outlineLvl w:val="9"/>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eastAsia="zh-CN"/>
        </w:rPr>
        <w:t>二、机构设置</w:t>
      </w:r>
      <w:r>
        <w:rPr>
          <w:rFonts w:hint="eastAsia" w:ascii="宋体" w:hAnsi="宋体" w:eastAsia="宋体" w:cs="宋体"/>
          <w:b w:val="0"/>
          <w:bCs w:val="0"/>
          <w:sz w:val="21"/>
          <w:szCs w:val="21"/>
          <w:lang w:val="en-US" w:eastAsia="zh-CN"/>
        </w:rPr>
        <w:t>...............................................................3</w:t>
      </w:r>
      <w:r>
        <w:rPr>
          <w:rFonts w:hint="eastAsia" w:ascii="宋体" w:hAnsi="宋体" w:eastAsia="宋体" w:cs="宋体"/>
          <w:b w:val="0"/>
          <w:bCs w:val="0"/>
          <w:sz w:val="21"/>
          <w:szCs w:val="21"/>
          <w:lang w:eastAsia="zh-CN"/>
        </w:rPr>
        <w:t>第二部分</w:t>
      </w:r>
      <w:r>
        <w:rPr>
          <w:rFonts w:hint="eastAsia" w:ascii="宋体" w:hAnsi="宋体" w:eastAsia="宋体" w:cs="宋体"/>
          <w:b w:val="0"/>
          <w:bCs w:val="0"/>
          <w:sz w:val="21"/>
          <w:szCs w:val="21"/>
          <w:lang w:val="en-US" w:eastAsia="zh-CN"/>
        </w:rPr>
        <w:t xml:space="preserve"> 2022年度部门决算情况说明............................................3</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outlineLvl w:val="9"/>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eastAsia="zh-CN"/>
        </w:rPr>
        <w:t>一、收支决算总体情况</w:t>
      </w:r>
      <w:r>
        <w:rPr>
          <w:rFonts w:hint="eastAsia" w:ascii="宋体" w:hAnsi="宋体" w:eastAsia="宋体" w:cs="宋体"/>
          <w:b w:val="0"/>
          <w:bCs w:val="0"/>
          <w:sz w:val="21"/>
          <w:szCs w:val="21"/>
          <w:lang w:val="en-US" w:eastAsia="zh-CN"/>
        </w:rPr>
        <w:t>......................................................3</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outlineLvl w:val="9"/>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eastAsia="zh-CN"/>
        </w:rPr>
        <w:t>二、财政拨款收支决算情况</w:t>
      </w:r>
      <w:r>
        <w:rPr>
          <w:rFonts w:hint="eastAsia" w:ascii="宋体" w:hAnsi="宋体" w:eastAsia="宋体" w:cs="宋体"/>
          <w:b w:val="0"/>
          <w:bCs w:val="0"/>
          <w:sz w:val="21"/>
          <w:szCs w:val="21"/>
          <w:lang w:val="en-US" w:eastAsia="zh-CN"/>
        </w:rPr>
        <w:t>..................................................4</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outlineLvl w:val="9"/>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eastAsia="zh-CN"/>
        </w:rPr>
        <w:t>三、一般公共预算财政拨款支出决算情况</w:t>
      </w:r>
      <w:r>
        <w:rPr>
          <w:rFonts w:hint="eastAsia" w:ascii="宋体" w:hAnsi="宋体" w:eastAsia="宋体" w:cs="宋体"/>
          <w:b w:val="0"/>
          <w:bCs w:val="0"/>
          <w:sz w:val="21"/>
          <w:szCs w:val="21"/>
          <w:lang w:val="en-US" w:eastAsia="zh-CN"/>
        </w:rPr>
        <w:t>......................................5</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outlineLvl w:val="9"/>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eastAsia="zh-CN"/>
        </w:rPr>
        <w:t>四、一般公共预算财政拨款基本支出决算情况</w:t>
      </w:r>
      <w:r>
        <w:rPr>
          <w:rFonts w:hint="eastAsia" w:ascii="宋体" w:hAnsi="宋体" w:eastAsia="宋体" w:cs="宋体"/>
          <w:b w:val="0"/>
          <w:bCs w:val="0"/>
          <w:sz w:val="21"/>
          <w:szCs w:val="21"/>
          <w:lang w:val="en-US" w:eastAsia="zh-CN"/>
        </w:rPr>
        <w:t>..................................11</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outlineLvl w:val="9"/>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eastAsia="zh-CN"/>
        </w:rPr>
        <w:t>五、财政拨款“三公”经费支出决算情况</w:t>
      </w:r>
      <w:r>
        <w:rPr>
          <w:rFonts w:hint="eastAsia" w:ascii="宋体" w:hAnsi="宋体" w:eastAsia="宋体" w:cs="宋体"/>
          <w:b w:val="0"/>
          <w:bCs w:val="0"/>
          <w:sz w:val="21"/>
          <w:szCs w:val="21"/>
          <w:lang w:val="en-US" w:eastAsia="zh-CN"/>
        </w:rPr>
        <w:t>.....................................12</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outlineLvl w:val="9"/>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eastAsia="zh-CN"/>
        </w:rPr>
        <w:t>六、政府性基金预算财政拨款支出决算情况</w:t>
      </w:r>
      <w:r>
        <w:rPr>
          <w:rFonts w:hint="eastAsia" w:ascii="宋体" w:hAnsi="宋体" w:eastAsia="宋体" w:cs="宋体"/>
          <w:b w:val="0"/>
          <w:bCs w:val="0"/>
          <w:sz w:val="21"/>
          <w:szCs w:val="21"/>
          <w:lang w:val="en-US" w:eastAsia="zh-CN"/>
        </w:rPr>
        <w:t>...................................13</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outlineLvl w:val="9"/>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七、其他重要事项的情况说明</w:t>
      </w:r>
      <w:r>
        <w:rPr>
          <w:rFonts w:hint="eastAsia" w:ascii="宋体" w:hAnsi="宋体" w:eastAsia="宋体" w:cs="宋体"/>
          <w:b w:val="0"/>
          <w:bCs w:val="0"/>
          <w:sz w:val="21"/>
          <w:szCs w:val="21"/>
          <w:lang w:val="en-US" w:eastAsia="zh-CN"/>
        </w:rPr>
        <w:t>...............................................13</w:t>
      </w:r>
    </w:p>
    <w:p>
      <w:pPr>
        <w:keepNext w:val="0"/>
        <w:keepLines w:val="0"/>
        <w:pageBreakBefore w:val="0"/>
        <w:widowControl w:val="0"/>
        <w:kinsoku/>
        <w:wordWrap/>
        <w:overflowPunct/>
        <w:topLinePunct w:val="0"/>
        <w:bidi w:val="0"/>
        <w:adjustRightInd w:val="0"/>
        <w:snapToGrid w:val="0"/>
        <w:spacing w:line="400" w:lineRule="exact"/>
        <w:textAlignment w:val="auto"/>
        <w:outlineLvl w:val="9"/>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eastAsia="zh-CN"/>
        </w:rPr>
        <w:t>第三部分</w:t>
      </w:r>
      <w:r>
        <w:rPr>
          <w:rFonts w:hint="eastAsia" w:ascii="宋体" w:hAnsi="宋体" w:eastAsia="宋体" w:cs="宋体"/>
          <w:b w:val="0"/>
          <w:bCs w:val="0"/>
          <w:sz w:val="21"/>
          <w:szCs w:val="21"/>
          <w:lang w:val="en-US" w:eastAsia="zh-CN"/>
        </w:rPr>
        <w:t xml:space="preserve"> </w:t>
      </w:r>
      <w:r>
        <w:rPr>
          <w:rFonts w:hint="eastAsia" w:ascii="宋体" w:hAnsi="宋体" w:eastAsia="宋体" w:cs="宋体"/>
          <w:b w:val="0"/>
          <w:bCs w:val="0"/>
          <w:sz w:val="21"/>
          <w:szCs w:val="21"/>
          <w:lang w:eastAsia="zh-CN"/>
        </w:rPr>
        <w:t>名词解释</w:t>
      </w:r>
      <w:r>
        <w:rPr>
          <w:rFonts w:hint="eastAsia" w:ascii="宋体" w:hAnsi="宋体" w:eastAsia="宋体" w:cs="宋体"/>
          <w:b w:val="0"/>
          <w:bCs w:val="0"/>
          <w:sz w:val="21"/>
          <w:szCs w:val="21"/>
          <w:lang w:val="en-US" w:eastAsia="zh-CN"/>
        </w:rPr>
        <w:t>............................................................14</w:t>
      </w:r>
    </w:p>
    <w:p>
      <w:pPr>
        <w:keepNext w:val="0"/>
        <w:keepLines w:val="0"/>
        <w:pageBreakBefore w:val="0"/>
        <w:widowControl w:val="0"/>
        <w:kinsoku/>
        <w:wordWrap/>
        <w:overflowPunct/>
        <w:topLinePunct w:val="0"/>
        <w:bidi w:val="0"/>
        <w:adjustRightInd w:val="0"/>
        <w:snapToGrid w:val="0"/>
        <w:spacing w:line="400" w:lineRule="exact"/>
        <w:textAlignment w:val="auto"/>
        <w:outlineLvl w:val="9"/>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eastAsia="zh-CN"/>
        </w:rPr>
        <w:t>第四部分</w:t>
      </w:r>
      <w:r>
        <w:rPr>
          <w:rFonts w:hint="eastAsia" w:ascii="宋体" w:hAnsi="宋体" w:eastAsia="宋体" w:cs="宋体"/>
          <w:b w:val="0"/>
          <w:bCs w:val="0"/>
          <w:sz w:val="21"/>
          <w:szCs w:val="21"/>
          <w:lang w:val="en-US" w:eastAsia="zh-CN"/>
        </w:rPr>
        <w:t xml:space="preserve"> 附件 绩效评价.......................................................17</w:t>
      </w:r>
    </w:p>
    <w:p>
      <w:pPr>
        <w:keepNext w:val="0"/>
        <w:keepLines w:val="0"/>
        <w:pageBreakBefore w:val="0"/>
        <w:widowControl w:val="0"/>
        <w:kinsoku/>
        <w:wordWrap/>
        <w:overflowPunct/>
        <w:topLinePunct w:val="0"/>
        <w:bidi w:val="0"/>
        <w:adjustRightInd w:val="0"/>
        <w:snapToGrid w:val="0"/>
        <w:spacing w:line="400" w:lineRule="exact"/>
        <w:textAlignment w:val="auto"/>
        <w:outlineLvl w:val="9"/>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第五部分 附表................................................................17</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outlineLvl w:val="9"/>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一、收入支出决算总表</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outlineLvl w:val="9"/>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二、收入决算表</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outlineLvl w:val="9"/>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三、支出决算表</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outlineLvl w:val="9"/>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val="en-US" w:eastAsia="zh-CN"/>
        </w:rPr>
        <w:t>四、</w:t>
      </w:r>
      <w:r>
        <w:rPr>
          <w:rFonts w:hint="eastAsia" w:ascii="宋体" w:hAnsi="宋体" w:eastAsia="宋体" w:cs="宋体"/>
          <w:b w:val="0"/>
          <w:bCs w:val="0"/>
          <w:sz w:val="21"/>
          <w:szCs w:val="21"/>
          <w:lang w:eastAsia="zh-CN"/>
        </w:rPr>
        <w:t>财政拨款收入支出决算总表</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outlineLvl w:val="9"/>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eastAsia="zh-CN"/>
        </w:rPr>
        <w:t>五、财政拨款收入支出决算明细表</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jc w:val="left"/>
        <w:textAlignment w:val="auto"/>
        <w:outlineLvl w:val="9"/>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val="en-US" w:eastAsia="zh-CN"/>
        </w:rPr>
        <w:t>六、</w:t>
      </w:r>
      <w:r>
        <w:rPr>
          <w:rFonts w:hint="eastAsia" w:ascii="宋体" w:hAnsi="宋体" w:eastAsia="宋体" w:cs="宋体"/>
          <w:b w:val="0"/>
          <w:bCs w:val="0"/>
          <w:sz w:val="21"/>
          <w:szCs w:val="21"/>
          <w:lang w:eastAsia="zh-CN"/>
        </w:rPr>
        <w:t>一般公共预算财政拨款支出决算表</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jc w:val="left"/>
        <w:textAlignment w:val="auto"/>
        <w:outlineLvl w:val="9"/>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七、一般公共预算财政拨款支出决算明细表</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jc w:val="left"/>
        <w:textAlignment w:val="auto"/>
        <w:outlineLvl w:val="9"/>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val="en-US" w:eastAsia="zh-CN"/>
        </w:rPr>
        <w:t>八、</w:t>
      </w:r>
      <w:r>
        <w:rPr>
          <w:rFonts w:hint="eastAsia" w:ascii="宋体" w:hAnsi="宋体" w:eastAsia="宋体" w:cs="宋体"/>
          <w:b w:val="0"/>
          <w:bCs w:val="0"/>
          <w:sz w:val="21"/>
          <w:szCs w:val="21"/>
          <w:lang w:eastAsia="zh-CN"/>
        </w:rPr>
        <w:t>一般公共预算财政拨款基本支出决算表</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jc w:val="left"/>
        <w:textAlignment w:val="auto"/>
        <w:outlineLvl w:val="9"/>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九、一般公共预算财政拨款项目支出决算表</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jc w:val="left"/>
        <w:textAlignment w:val="auto"/>
        <w:outlineLvl w:val="9"/>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十、政府性基金预算财政拨款支出决算表</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jc w:val="left"/>
        <w:textAlignment w:val="auto"/>
        <w:outlineLvl w:val="9"/>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十一、国有资本经营预算财政拨款收入支出决算表</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jc w:val="left"/>
        <w:textAlignment w:val="auto"/>
        <w:outlineLvl w:val="9"/>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十二、</w:t>
      </w:r>
      <w:r>
        <w:rPr>
          <w:rFonts w:hint="eastAsia" w:ascii="宋体" w:hAnsi="宋体" w:eastAsia="宋体" w:cs="宋体"/>
          <w:b w:val="0"/>
          <w:bCs w:val="0"/>
          <w:sz w:val="21"/>
          <w:szCs w:val="21"/>
          <w:lang w:eastAsia="zh-CN"/>
        </w:rPr>
        <w:t>国有资本经营预算财政拨款支出决算表</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420" w:firstLineChars="200"/>
        <w:jc w:val="left"/>
        <w:textAlignment w:val="auto"/>
        <w:outlineLvl w:val="9"/>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十三、财政拨款“三公经费”支出决算表</w:t>
      </w:r>
    </w:p>
    <w:p>
      <w:pPr>
        <w:spacing w:line="600" w:lineRule="exact"/>
        <w:jc w:val="center"/>
        <w:rPr>
          <w:rFonts w:hint="eastAsia" w:ascii="宋体" w:hAnsi="宋体" w:eastAsia="宋体" w:cs="宋体"/>
          <w:b/>
          <w:bCs/>
          <w:sz w:val="32"/>
          <w:szCs w:val="32"/>
          <w:lang w:eastAsia="zh-CN"/>
        </w:rPr>
      </w:pPr>
    </w:p>
    <w:p>
      <w:pPr>
        <w:spacing w:line="600" w:lineRule="exact"/>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eastAsia="zh-CN"/>
        </w:rPr>
        <w:t>第一部分</w:t>
      </w:r>
      <w:r>
        <w:rPr>
          <w:rFonts w:hint="eastAsia" w:ascii="宋体" w:hAnsi="宋体" w:eastAsia="宋体" w:cs="宋体"/>
          <w:b/>
          <w:bCs/>
          <w:sz w:val="32"/>
          <w:szCs w:val="32"/>
          <w:lang w:val="en-US" w:eastAsia="zh-CN"/>
        </w:rPr>
        <w:t xml:space="preserve"> 部门概况</w:t>
      </w:r>
    </w:p>
    <w:p>
      <w:pPr>
        <w:spacing w:line="600" w:lineRule="exact"/>
        <w:ind w:firstLine="643" w:firstLineChars="200"/>
        <w:rPr>
          <w:rFonts w:ascii="宋体" w:hAnsi="宋体" w:eastAsia="宋体" w:cs="宋体"/>
          <w:b/>
          <w:bCs/>
          <w:sz w:val="32"/>
          <w:szCs w:val="32"/>
        </w:rPr>
      </w:pPr>
      <w:r>
        <w:rPr>
          <w:rFonts w:hint="eastAsia" w:ascii="宋体" w:hAnsi="宋体" w:eastAsia="宋体" w:cs="宋体"/>
          <w:b/>
          <w:bCs/>
          <w:sz w:val="32"/>
          <w:szCs w:val="32"/>
        </w:rPr>
        <w:t>一、基本职能及主要工作</w:t>
      </w:r>
    </w:p>
    <w:p>
      <w:pPr>
        <w:spacing w:line="600" w:lineRule="exact"/>
        <w:ind w:firstLine="620" w:firstLineChars="200"/>
        <w:rPr>
          <w:rFonts w:hint="default"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（一）主要职能：</w:t>
      </w:r>
    </w:p>
    <w:p>
      <w:pPr>
        <w:spacing w:line="600" w:lineRule="exact"/>
        <w:ind w:firstLine="620" w:firstLineChars="200"/>
        <w:rPr>
          <w:rFonts w:hint="default"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 xml:space="preserve">    1、负责对参保单位、职工医疗保险政策的宣传和医疗保险业务人员的培训；</w:t>
      </w:r>
    </w:p>
    <w:p>
      <w:pPr>
        <w:spacing w:line="600" w:lineRule="exact"/>
        <w:ind w:firstLine="620" w:firstLineChars="200"/>
        <w:rPr>
          <w:rFonts w:hint="default"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2、负责承办全县党政机关、事业单位、省、州、县企业的医疗保险参保登记、变更登记及参保职工医疗保险转移事项；</w:t>
      </w:r>
    </w:p>
    <w:p>
      <w:pPr>
        <w:spacing w:line="600" w:lineRule="exact"/>
        <w:ind w:firstLine="620" w:firstLineChars="200"/>
        <w:rPr>
          <w:rFonts w:hint="default"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3、负责对各参保单位、灵活就业人员的基础资料进行审核，制定各单位的基金征缴计划，具体征收、管理和支付基本医疗保险基金、大病补充保险基金和公务员医疗补助金；</w:t>
      </w:r>
    </w:p>
    <w:p>
      <w:pPr>
        <w:spacing w:line="600" w:lineRule="exact"/>
        <w:ind w:firstLine="620" w:firstLineChars="200"/>
        <w:rPr>
          <w:rFonts w:hint="default"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4、编制医疗保险基金收支预、决算报告，定期对基金收支情况进行分析、预测和内部审计，并向有关部门提供基金运行情况报告；</w:t>
      </w:r>
    </w:p>
    <w:p>
      <w:pPr>
        <w:spacing w:line="600" w:lineRule="exact"/>
        <w:ind w:firstLine="620" w:firstLineChars="200"/>
        <w:rPr>
          <w:rFonts w:hint="default"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5、负责对参保人员建立、管理个人账户及个人账户的结算转移，核拨退休人员的个人账户资金；</w:t>
      </w:r>
    </w:p>
    <w:p>
      <w:pPr>
        <w:spacing w:line="600" w:lineRule="exact"/>
        <w:ind w:firstLine="620" w:firstLineChars="200"/>
        <w:rPr>
          <w:rFonts w:hint="default"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6、配合有关部门审核确定定点医院、定点零售药店资格，签订定点协议，并对两定医疗机构进行监管；</w:t>
      </w:r>
    </w:p>
    <w:p>
      <w:pPr>
        <w:spacing w:line="600" w:lineRule="exact"/>
        <w:ind w:firstLine="620" w:firstLineChars="200"/>
        <w:rPr>
          <w:rFonts w:hint="default"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7、负责参保人员各项医疗保险待遇的审核和医疗费用支付工作；</w:t>
      </w:r>
    </w:p>
    <w:p>
      <w:pPr>
        <w:spacing w:line="600" w:lineRule="exact"/>
        <w:ind w:firstLine="620" w:firstLineChars="200"/>
        <w:rPr>
          <w:rFonts w:hint="default"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8、开展对参保单位办理参保登记和缴费基数。职工人数、财务状况等的稽核工作；</w:t>
      </w:r>
    </w:p>
    <w:p>
      <w:pPr>
        <w:spacing w:line="600" w:lineRule="exact"/>
        <w:ind w:firstLine="620" w:firstLineChars="200"/>
        <w:rPr>
          <w:rFonts w:hint="default"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9、负责全县机关事业单位和县属企业的老红军、离休干部以及革命伤残军人的医疗费用统筹管理。</w:t>
      </w:r>
    </w:p>
    <w:p>
      <w:pPr>
        <w:spacing w:line="600" w:lineRule="exact"/>
        <w:ind w:firstLine="620" w:firstLineChars="200"/>
        <w:rPr>
          <w:rFonts w:hint="default"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（二）2022年重点工作完成情况。</w:t>
      </w:r>
    </w:p>
    <w:p>
      <w:pPr>
        <w:spacing w:line="60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以制度为核心，以监管为重点，确保了基金安全。有条不紊开展稽核工作。加强了医疗保险经办能力、2022年我局继续坚持积极稳妥，收入预算与经济发展相协调；坚持民生优先，继续加大民生投入；坚持厉行节约，努力降低行政成本；坚持改革创新，着力提高财政绩效，全面完成2022年各项工作，取得了实效。</w:t>
      </w:r>
    </w:p>
    <w:p>
      <w:pPr>
        <w:spacing w:line="600" w:lineRule="exact"/>
        <w:ind w:firstLine="643" w:firstLineChars="200"/>
        <w:rPr>
          <w:rFonts w:hint="eastAsia" w:ascii="宋体" w:hAnsi="宋体" w:eastAsia="宋体" w:cs="宋体"/>
          <w:b/>
          <w:bCs/>
          <w:sz w:val="32"/>
          <w:szCs w:val="32"/>
          <w:lang w:eastAsia="zh-CN"/>
        </w:rPr>
      </w:pPr>
      <w:r>
        <w:rPr>
          <w:rFonts w:hint="eastAsia" w:ascii="宋体" w:hAnsi="宋体" w:eastAsia="宋体" w:cs="宋体"/>
          <w:b/>
          <w:bCs/>
          <w:sz w:val="32"/>
          <w:szCs w:val="32"/>
        </w:rPr>
        <w:t>二、</w:t>
      </w:r>
      <w:r>
        <w:rPr>
          <w:rFonts w:hint="eastAsia" w:ascii="宋体" w:hAnsi="宋体" w:eastAsia="宋体" w:cs="宋体"/>
          <w:b/>
          <w:bCs/>
          <w:sz w:val="32"/>
          <w:szCs w:val="32"/>
          <w:lang w:eastAsia="zh-CN"/>
        </w:rPr>
        <w:t>机构设置</w:t>
      </w:r>
    </w:p>
    <w:p>
      <w:pPr>
        <w:spacing w:line="60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1、机构情况：金川县医疗保障局属独立编制机构和核算的行政单位。</w:t>
      </w:r>
    </w:p>
    <w:p>
      <w:pPr>
        <w:spacing w:line="60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2、人员情况：人员编制数21人，其中：公务员4人，参公9人（机关工勤1人），事业8人。2022年末实有在职职工21人,公务员4人， 参公8人（机关工勤1人），事业9人，退休0人。</w:t>
      </w:r>
    </w:p>
    <w:p>
      <w:pPr>
        <w:spacing w:line="600" w:lineRule="exact"/>
        <w:jc w:val="center"/>
        <w:rPr>
          <w:rFonts w:hint="eastAsia" w:ascii="宋体" w:hAnsi="宋体" w:eastAsia="宋体" w:cs="宋体"/>
          <w:b/>
          <w:bCs w:val="0"/>
          <w:sz w:val="44"/>
          <w:szCs w:val="44"/>
          <w:lang w:eastAsia="zh-CN"/>
        </w:rPr>
      </w:pPr>
    </w:p>
    <w:p>
      <w:pPr>
        <w:spacing w:line="600" w:lineRule="exact"/>
        <w:jc w:val="center"/>
        <w:rPr>
          <w:rFonts w:hint="eastAsia" w:ascii="宋体" w:hAnsi="宋体" w:eastAsia="宋体" w:cs="宋体"/>
          <w:b/>
          <w:bCs w:val="0"/>
          <w:sz w:val="32"/>
          <w:szCs w:val="32"/>
          <w:lang w:val="en-US" w:eastAsia="zh-CN"/>
        </w:rPr>
      </w:pPr>
      <w:r>
        <w:rPr>
          <w:rFonts w:hint="eastAsia" w:ascii="宋体" w:hAnsi="宋体" w:eastAsia="宋体" w:cs="宋体"/>
          <w:b/>
          <w:bCs w:val="0"/>
          <w:sz w:val="32"/>
          <w:szCs w:val="32"/>
          <w:lang w:eastAsia="zh-CN"/>
        </w:rPr>
        <w:t>第二部分</w:t>
      </w:r>
      <w:r>
        <w:rPr>
          <w:rFonts w:hint="eastAsia" w:ascii="宋体" w:hAnsi="宋体" w:eastAsia="宋体" w:cs="宋体"/>
          <w:b/>
          <w:bCs w:val="0"/>
          <w:sz w:val="32"/>
          <w:szCs w:val="32"/>
          <w:lang w:val="en-US" w:eastAsia="zh-CN"/>
        </w:rPr>
        <w:t xml:space="preserve">  2022年度部门决算情况说明</w:t>
      </w:r>
    </w:p>
    <w:p>
      <w:pPr>
        <w:spacing w:line="600" w:lineRule="exact"/>
        <w:ind w:firstLine="723" w:firstLineChars="200"/>
        <w:rPr>
          <w:rFonts w:hint="eastAsia" w:ascii="宋体" w:hAnsi="宋体" w:eastAsia="宋体" w:cs="宋体"/>
          <w:b/>
          <w:bCs/>
          <w:sz w:val="36"/>
          <w:szCs w:val="36"/>
          <w:lang w:eastAsia="zh-CN"/>
        </w:rPr>
      </w:pPr>
    </w:p>
    <w:p>
      <w:pPr>
        <w:spacing w:line="600" w:lineRule="exact"/>
        <w:ind w:firstLine="643" w:firstLineChars="200"/>
        <w:rPr>
          <w:rFonts w:ascii="宋体" w:hAnsi="宋体" w:eastAsia="宋体" w:cs="宋体"/>
          <w:b/>
          <w:bCs/>
          <w:sz w:val="32"/>
          <w:szCs w:val="32"/>
        </w:rPr>
      </w:pPr>
      <w:r>
        <w:rPr>
          <w:rFonts w:hint="eastAsia" w:ascii="宋体" w:hAnsi="宋体" w:eastAsia="宋体" w:cs="宋体"/>
          <w:b/>
          <w:bCs/>
          <w:sz w:val="32"/>
          <w:szCs w:val="32"/>
          <w:lang w:eastAsia="zh-CN"/>
        </w:rPr>
        <w:t>一</w:t>
      </w:r>
      <w:r>
        <w:rPr>
          <w:rFonts w:hint="eastAsia" w:ascii="宋体" w:hAnsi="宋体" w:eastAsia="宋体" w:cs="宋体"/>
          <w:b/>
          <w:bCs/>
          <w:sz w:val="32"/>
          <w:szCs w:val="32"/>
        </w:rPr>
        <w:t>、收支决算总体情况</w:t>
      </w:r>
    </w:p>
    <w:p>
      <w:pPr>
        <w:spacing w:line="60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2022年医疗保障局本年收入合计870.41万元，其中：财政拨款收入870.41万元，占100%；事业收入0万元；经营收入0万元；附属单位上缴收入0万元；其他收入0万元。</w:t>
      </w:r>
    </w:p>
    <w:p>
      <w:pPr>
        <w:ind w:firstLine="640" w:firstLineChars="200"/>
        <w:jc w:val="center"/>
        <w:rPr>
          <w:rFonts w:ascii="宋体" w:hAnsi="宋体" w:eastAsia="宋体" w:cs="宋体"/>
          <w:sz w:val="32"/>
          <w:szCs w:val="32"/>
        </w:rPr>
      </w:pPr>
      <w:r>
        <w:rPr>
          <w:rFonts w:hint="eastAsia" w:ascii="宋体" w:hAnsi="宋体" w:eastAsia="宋体" w:cs="宋体"/>
          <w:sz w:val="32"/>
          <w:szCs w:val="32"/>
        </w:rPr>
        <w:object>
          <v:shape id="_x0000_i1025" o:spt="75" type="#_x0000_t75" style="height:200.1pt;width:352.05pt;" o:ole="t" filled="f" o:preferrelative="t" stroked="f" coordsize="21600,21600">
            <v:path/>
            <v:fill on="f" focussize="0,0"/>
            <v:stroke on="f"/>
            <v:imagedata r:id="rId6" o:title=""/>
            <o:lock v:ext="edit" aspectratio="t"/>
            <w10:wrap type="none"/>
            <w10:anchorlock/>
          </v:shape>
          <o:OLEObject Type="Embed" ProgID="MSGraph.Chart.8" ShapeID="_x0000_i1025" DrawAspect="Content" ObjectID="_1468075725" r:id="rId5">
            <o:LockedField>false</o:LockedField>
          </o:OLEObject>
        </w:object>
      </w:r>
    </w:p>
    <w:p>
      <w:pPr>
        <w:spacing w:line="60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2022年医疗保障局本年支出</w:t>
      </w:r>
      <w:r>
        <w:rPr>
          <w:rFonts w:hint="eastAsia" w:ascii="仿宋_GB2312" w:hAnsi="宋体" w:eastAsia="仿宋_GB2312" w:cs="仿宋_GB2312"/>
          <w:color w:val="000000"/>
          <w:kern w:val="0"/>
          <w:sz w:val="31"/>
          <w:szCs w:val="31"/>
          <w:lang w:val="en-US" w:eastAsia="zh-CN" w:bidi="ar"/>
        </w:rPr>
        <w:t>合计870.41万元，其中：基本支出447.96万元；项目支出422.45万元（基金支出12.07万元）。</w:t>
      </w:r>
    </w:p>
    <w:p>
      <w:pPr>
        <w:ind w:firstLine="640" w:firstLineChars="200"/>
        <w:jc w:val="center"/>
        <w:rPr>
          <w:rFonts w:ascii="宋体" w:hAnsi="宋体" w:eastAsia="宋体" w:cs="宋体"/>
          <w:sz w:val="32"/>
          <w:szCs w:val="32"/>
        </w:rPr>
      </w:pPr>
      <w:r>
        <w:rPr>
          <w:rFonts w:hint="eastAsia" w:ascii="宋体" w:hAnsi="宋体" w:eastAsia="宋体" w:cs="宋体"/>
          <w:sz w:val="32"/>
          <w:szCs w:val="32"/>
        </w:rPr>
        <w:object>
          <v:shape id="_x0000_i1026" o:spt="75" type="#_x0000_t75" style="height:222.85pt;width:351.2pt;" o:ole="t" filled="f" o:preferrelative="t" stroked="f" coordsize="21600,21600">
            <v:path/>
            <v:fill on="f" focussize="0,0"/>
            <v:stroke on="f"/>
            <v:imagedata r:id="rId8" o:title=""/>
            <o:lock v:ext="edit" aspectratio="t"/>
            <w10:wrap type="none"/>
            <w10:anchorlock/>
          </v:shape>
          <o:OLEObject Type="Embed" ProgID="MSGraph.Chart.8" ShapeID="_x0000_i1026" DrawAspect="Content" ObjectID="_1468075726" r:id="rId7">
            <o:LockedField>false</o:LockedField>
          </o:OLEObject>
        </w:object>
      </w:r>
    </w:p>
    <w:p>
      <w:pPr>
        <w:spacing w:line="600" w:lineRule="exact"/>
        <w:ind w:firstLine="643" w:firstLineChars="200"/>
        <w:rPr>
          <w:rFonts w:ascii="宋体" w:hAnsi="宋体" w:eastAsia="宋体" w:cs="宋体"/>
          <w:b/>
          <w:bCs/>
          <w:sz w:val="32"/>
          <w:szCs w:val="32"/>
        </w:rPr>
      </w:pPr>
      <w:r>
        <w:rPr>
          <w:rFonts w:hint="eastAsia" w:ascii="宋体" w:hAnsi="宋体" w:eastAsia="宋体" w:cs="宋体"/>
          <w:b/>
          <w:bCs/>
          <w:sz w:val="32"/>
          <w:szCs w:val="32"/>
          <w:lang w:eastAsia="zh-CN"/>
        </w:rPr>
        <w:t>二</w:t>
      </w:r>
      <w:r>
        <w:rPr>
          <w:rFonts w:hint="eastAsia" w:ascii="宋体" w:hAnsi="宋体" w:eastAsia="宋体" w:cs="宋体"/>
          <w:b/>
          <w:bCs/>
          <w:sz w:val="32"/>
          <w:szCs w:val="32"/>
        </w:rPr>
        <w:t>、财政拨款收支决算情况</w:t>
      </w:r>
    </w:p>
    <w:p>
      <w:pPr>
        <w:spacing w:line="60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医疗保障局2022年度财政拨款总决算870.41万元，与2021年度财政拨款支出总决算1819.92万元相比，减少949.51万元，下降52.17%。</w:t>
      </w:r>
    </w:p>
    <w:p>
      <w:pPr>
        <w:ind w:firstLine="723" w:firstLineChars="200"/>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drawing>
          <wp:inline distT="0" distB="0" distL="114300" distR="114300">
            <wp:extent cx="5080000" cy="2268855"/>
            <wp:effectExtent l="4445" t="4445" r="20955" b="1270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ind w:firstLine="643" w:firstLineChars="200"/>
        <w:rPr>
          <w:rFonts w:ascii="宋体" w:hAnsi="宋体" w:eastAsia="宋体" w:cs="宋体"/>
          <w:b/>
          <w:bCs/>
          <w:sz w:val="32"/>
          <w:szCs w:val="32"/>
        </w:rPr>
      </w:pPr>
      <w:r>
        <w:rPr>
          <w:rFonts w:hint="eastAsia" w:ascii="宋体" w:hAnsi="宋体" w:eastAsia="宋体" w:cs="宋体"/>
          <w:b/>
          <w:bCs/>
          <w:sz w:val="32"/>
          <w:szCs w:val="32"/>
          <w:lang w:eastAsia="zh-CN"/>
        </w:rPr>
        <w:t>三</w:t>
      </w:r>
      <w:r>
        <w:rPr>
          <w:rFonts w:hint="eastAsia" w:ascii="宋体" w:hAnsi="宋体" w:eastAsia="宋体" w:cs="宋体"/>
          <w:b/>
          <w:bCs/>
          <w:sz w:val="32"/>
          <w:szCs w:val="32"/>
        </w:rPr>
        <w:t>、一般公共预算财政拨款支出决算情况</w:t>
      </w:r>
    </w:p>
    <w:p>
      <w:pPr>
        <w:spacing w:line="60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（一）一般公共预算财政拨款支出决算总体情况</w:t>
      </w:r>
    </w:p>
    <w:p>
      <w:pPr>
        <w:spacing w:line="60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医疗保障局2022年度一般公共预算财政拨款支出870.41万元，占本年支出合计的100%。与2021年一般公共预算财政拨款支出1819.92万元相比，减少949.51万元，下降52.17%。</w:t>
      </w:r>
    </w:p>
    <w:p>
      <w:pPr>
        <w:ind w:firstLine="640" w:firstLineChars="200"/>
        <w:rPr>
          <w:rFonts w:ascii="宋体" w:hAnsi="宋体" w:eastAsia="宋体" w:cs="宋体"/>
          <w:sz w:val="32"/>
          <w:szCs w:val="32"/>
        </w:rPr>
      </w:pPr>
    </w:p>
    <w:p>
      <w:pPr>
        <w:ind w:firstLine="640" w:firstLineChars="200"/>
        <w:rPr>
          <w:rFonts w:hint="eastAsia" w:ascii="宋体" w:hAnsi="宋体" w:eastAsia="宋体" w:cs="宋体"/>
          <w:sz w:val="32"/>
          <w:szCs w:val="32"/>
          <w:lang w:eastAsia="zh-CN"/>
        </w:rPr>
      </w:pPr>
      <w:r>
        <w:rPr>
          <w:rFonts w:hint="eastAsia" w:ascii="宋体" w:hAnsi="宋体" w:eastAsia="宋体" w:cs="宋体"/>
          <w:sz w:val="32"/>
          <w:szCs w:val="32"/>
          <w:lang w:eastAsia="zh-CN"/>
        </w:rPr>
        <w:drawing>
          <wp:inline distT="0" distB="0" distL="114300" distR="114300">
            <wp:extent cx="5080000" cy="3082925"/>
            <wp:effectExtent l="4445" t="4445" r="20955" b="1778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numPr>
          <w:ilvl w:val="0"/>
          <w:numId w:val="1"/>
        </w:numPr>
        <w:spacing w:line="600" w:lineRule="exact"/>
        <w:ind w:firstLine="320" w:firstLineChars="100"/>
        <w:rPr>
          <w:rFonts w:ascii="宋体" w:hAnsi="宋体" w:eastAsia="宋体" w:cs="宋体"/>
          <w:sz w:val="32"/>
          <w:szCs w:val="32"/>
        </w:rPr>
      </w:pPr>
      <w:r>
        <w:rPr>
          <w:rFonts w:hint="eastAsia" w:ascii="宋体" w:hAnsi="宋体" w:eastAsia="宋体" w:cs="宋体"/>
          <w:sz w:val="32"/>
          <w:szCs w:val="32"/>
        </w:rPr>
        <w:t>一般公共预算财政拨款支出决算具体情况</w:t>
      </w:r>
    </w:p>
    <w:p>
      <w:pPr>
        <w:spacing w:line="600" w:lineRule="exact"/>
        <w:ind w:firstLine="640" w:firstLineChars="200"/>
        <w:rPr>
          <w:rFonts w:ascii="宋体" w:hAnsi="宋体" w:eastAsia="宋体" w:cs="宋体"/>
          <w:sz w:val="32"/>
          <w:szCs w:val="32"/>
        </w:rPr>
      </w:pPr>
      <w:r>
        <w:rPr>
          <w:rStyle w:val="10"/>
          <w:rFonts w:hint="eastAsia" w:ascii="宋体" w:hAnsi="宋体" w:eastAsia="宋体" w:cs="宋体"/>
          <w:b w:val="0"/>
          <w:sz w:val="32"/>
          <w:szCs w:val="32"/>
        </w:rPr>
        <w:t>1.</w:t>
      </w:r>
      <w:r>
        <w:rPr>
          <w:rFonts w:hint="eastAsia" w:ascii="仿宋_GB2312" w:hAnsi="宋体" w:eastAsia="仿宋_GB2312" w:cs="仿宋_GB2312"/>
          <w:color w:val="000000"/>
          <w:kern w:val="0"/>
          <w:sz w:val="31"/>
          <w:szCs w:val="31"/>
          <w:lang w:val="en-US" w:eastAsia="zh-CN" w:bidi="ar"/>
        </w:rPr>
        <w:t>社会保障和就业:</w:t>
      </w:r>
    </w:p>
    <w:p>
      <w:pPr>
        <w:spacing w:line="600" w:lineRule="exact"/>
        <w:ind w:left="420" w:leftChars="200"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社会保障和就业支出208（类）行政事业单位离退休05（款）机关事业单位基本养老保险缴费05（项）：2022年决算数为35.51万元，完成预算100%，决算数大于预算数的主要原因是：养老保险基数调整，保险费增加。</w:t>
      </w:r>
    </w:p>
    <w:p>
      <w:pPr>
        <w:spacing w:line="600" w:lineRule="exact"/>
        <w:ind w:left="420" w:leftChars="200"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社会保障和就业支出208（类）行政事业单位离退休05（款）机关事业单位职业年金缴费06（项）：2022年决算数为17.75万元，完成预算100%，决算数大于预算数的主要原因是：职业年金基数调整，保险费增加。</w:t>
      </w:r>
    </w:p>
    <w:p>
      <w:pPr>
        <w:ind w:firstLine="640" w:firstLineChars="200"/>
        <w:rPr>
          <w:rStyle w:val="10"/>
          <w:rFonts w:hint="eastAsia" w:ascii="宋体" w:hAnsi="宋体" w:eastAsia="宋体" w:cs="宋体"/>
          <w:b w:val="0"/>
          <w:sz w:val="32"/>
          <w:szCs w:val="32"/>
          <w:lang w:eastAsia="zh-CN"/>
        </w:rPr>
      </w:pPr>
      <w:r>
        <w:rPr>
          <w:rStyle w:val="10"/>
          <w:rFonts w:hint="eastAsia" w:ascii="宋体" w:hAnsi="宋体" w:eastAsia="宋体" w:cs="宋体"/>
          <w:b w:val="0"/>
          <w:sz w:val="32"/>
          <w:szCs w:val="32"/>
          <w:lang w:eastAsia="zh-CN"/>
        </w:rPr>
        <w:drawing>
          <wp:inline distT="0" distB="0" distL="114300" distR="114300">
            <wp:extent cx="5158105" cy="2814955"/>
            <wp:effectExtent l="4445" t="4445" r="19050" b="1905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ascii="宋体" w:hAnsi="宋体" w:eastAsia="宋体" w:cs="宋体"/>
          <w:sz w:val="32"/>
          <w:szCs w:val="32"/>
        </w:rPr>
      </w:pPr>
      <w:r>
        <w:rPr>
          <w:rStyle w:val="10"/>
          <w:rFonts w:hint="eastAsia" w:ascii="宋体" w:hAnsi="宋体" w:eastAsia="宋体" w:cs="宋体"/>
          <w:b w:val="0"/>
          <w:sz w:val="32"/>
          <w:szCs w:val="32"/>
        </w:rPr>
        <w:t>2.卫生健康支出:</w:t>
      </w:r>
    </w:p>
    <w:p>
      <w:pPr>
        <w:spacing w:line="600" w:lineRule="exact"/>
        <w:ind w:left="420" w:leftChars="200"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卫生健康支出210（类）行政事业单位医疗11（款）行政单位医疗01（项）： 2022年决算数为9.50万元，完成预算100%，决算数大于预算数的主要原因是：职工医保基数调整，保险费增加。</w:t>
      </w:r>
    </w:p>
    <w:p>
      <w:pPr>
        <w:spacing w:line="600" w:lineRule="exact"/>
        <w:ind w:left="420" w:leftChars="200"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卫生健康支出210（类）行政事业单位医疗11（款）事业单位医疗02（项）：2022年决算数为6.83万元，完成预算100%，决算数大于预算数的主要原因是：公务员医疗补助标准提高，保险费增加。</w:t>
      </w:r>
    </w:p>
    <w:p>
      <w:pPr>
        <w:spacing w:line="600" w:lineRule="exact"/>
        <w:ind w:left="420" w:leftChars="200"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卫生健康支出210（类）行政事业单位医疗11（款）公务员医疗补助03（项）：2022年决算数为2.39万元，完成预算100%，决算数大于预算数的主要原因是：公务员医疗补助标准提高，保险费增加。</w:t>
      </w:r>
    </w:p>
    <w:p>
      <w:pPr>
        <w:spacing w:line="600" w:lineRule="exact"/>
        <w:ind w:left="420" w:leftChars="200"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卫生健康支出210（类）行政事业单位医疗11（款）其他行政事业单位医疗支出99（项）：2022年决算数为1.96万元，完成预算100%，决算数大于预算数的主要原因是：公务员医疗补助标准提高，保险费增加。</w:t>
      </w:r>
    </w:p>
    <w:p>
      <w:pPr>
        <w:spacing w:line="600" w:lineRule="exact"/>
        <w:ind w:left="420" w:leftChars="200"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卫生健康支出210（类）医疗救助13（款）城乡医疗救助01（项）：2022年决算数为319.52万元，完成预算100%，决算数大于预算数的主要原因是：中央、省、州转移资金增加；财政兜底2021年城乡医疗救助缺口资金。</w:t>
      </w:r>
    </w:p>
    <w:p>
      <w:pPr>
        <w:spacing w:line="600" w:lineRule="exact"/>
        <w:ind w:left="420" w:leftChars="200"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卫生健康支出210（类）医疗保障管理事务15（款）行政运行01（项）：2022年决算数为186.77万元，完成预算100%，决算数大于预算数的主要原因是：基本工资、基础性绩效奖等增加，支出增加。</w:t>
      </w:r>
    </w:p>
    <w:p>
      <w:pPr>
        <w:spacing w:line="600" w:lineRule="exact"/>
        <w:ind w:left="420" w:leftChars="200"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卫生健康支出210（类）医疗保障管理事务15（款）医疗保障经办事务06（项）：2022年决算数为30.26万元，完成预算100%，决算数大于预算数的主要原因是：追加2021年城乡居民基本医疗保险工作经费。</w:t>
      </w:r>
    </w:p>
    <w:p>
      <w:pPr>
        <w:spacing w:line="600" w:lineRule="exact"/>
        <w:ind w:left="420" w:leftChars="200"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卫生健康支出210（类）医疗保障管理事务15（款）事业运行50（项）：2022年决算数为156.80万元，完成预算100%，决算数大于预算数的主要原因是：基本工资、基础性绩效奖等增加，支出增加。</w:t>
      </w:r>
    </w:p>
    <w:p>
      <w:pPr>
        <w:spacing w:line="600" w:lineRule="exact"/>
        <w:ind w:left="420" w:leftChars="200" w:firstLine="640" w:firstLineChars="200"/>
        <w:rPr>
          <w:rFonts w:ascii="宋体" w:hAnsi="宋体" w:eastAsia="宋体" w:cs="宋体"/>
          <w:sz w:val="32"/>
          <w:szCs w:val="32"/>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32"/>
          <w:szCs w:val="32"/>
          <w:lang w:eastAsia="zh-CN"/>
        </w:rPr>
      </w:pPr>
      <w:r>
        <w:rPr>
          <w:rFonts w:hint="eastAsia" w:ascii="宋体" w:hAnsi="宋体" w:eastAsia="宋体" w:cs="宋体"/>
          <w:sz w:val="32"/>
          <w:szCs w:val="32"/>
          <w:lang w:eastAsia="zh-CN"/>
        </w:rPr>
        <w:drawing>
          <wp:inline distT="0" distB="0" distL="114300" distR="114300">
            <wp:extent cx="4465320" cy="2381250"/>
            <wp:effectExtent l="4445" t="4445" r="6985" b="14605"/>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left="420" w:leftChars="200"/>
        <w:rPr>
          <w:rFonts w:ascii="宋体" w:hAnsi="宋体" w:eastAsia="宋体" w:cs="宋体"/>
          <w:sz w:val="32"/>
          <w:szCs w:val="32"/>
        </w:rPr>
      </w:pPr>
      <w:r>
        <w:rPr>
          <w:rFonts w:hint="eastAsia" w:ascii="宋体" w:hAnsi="宋体" w:eastAsia="宋体" w:cs="宋体"/>
          <w:sz w:val="32"/>
          <w:szCs w:val="32"/>
        </w:rPr>
        <w:t>3.农林水支出：</w:t>
      </w:r>
    </w:p>
    <w:p>
      <w:pPr>
        <w:spacing w:line="600" w:lineRule="exact"/>
        <w:ind w:left="420" w:leftChars="200" w:firstLine="620" w:firstLineChars="200"/>
        <w:rPr>
          <w:rFonts w:ascii="宋体" w:hAnsi="宋体" w:eastAsia="宋体" w:cs="宋体"/>
          <w:sz w:val="32"/>
          <w:szCs w:val="32"/>
        </w:rPr>
      </w:pPr>
      <w:r>
        <w:rPr>
          <w:rFonts w:hint="eastAsia" w:ascii="仿宋_GB2312" w:hAnsi="宋体" w:eastAsia="仿宋_GB2312" w:cs="仿宋_GB2312"/>
          <w:color w:val="000000"/>
          <w:kern w:val="0"/>
          <w:sz w:val="31"/>
          <w:szCs w:val="31"/>
          <w:lang w:val="en-US" w:eastAsia="zh-CN" w:bidi="ar"/>
        </w:rPr>
        <w:t>农林水支出213（类）巩固脱贫衔接乡村振兴05（款）其他巩固脱贫衔接乡村振兴支出99（项）：2022年决算数为59.42万元，完成预算100%，主要用于建档立卡财政代缴城乡医保的支出。</w:t>
      </w:r>
    </w:p>
    <w:p>
      <w:pPr>
        <w:keepNext w:val="0"/>
        <w:keepLines w:val="0"/>
        <w:pageBreakBefore w:val="0"/>
        <w:widowControl w:val="0"/>
        <w:kinsoku/>
        <w:wordWrap/>
        <w:overflowPunct/>
        <w:topLinePunct w:val="0"/>
        <w:autoSpaceDE/>
        <w:autoSpaceDN/>
        <w:bidi w:val="0"/>
        <w:adjustRightInd/>
        <w:snapToGrid/>
        <w:spacing w:line="240" w:lineRule="auto"/>
        <w:ind w:left="420" w:leftChars="200"/>
        <w:textAlignment w:val="auto"/>
        <w:rPr>
          <w:rFonts w:hint="eastAsia" w:ascii="宋体" w:hAnsi="宋体" w:eastAsia="宋体" w:cs="宋体"/>
          <w:sz w:val="32"/>
          <w:szCs w:val="32"/>
          <w:lang w:eastAsia="zh-CN"/>
        </w:rPr>
      </w:pPr>
      <w:r>
        <w:rPr>
          <w:rFonts w:hint="eastAsia" w:ascii="宋体" w:hAnsi="宋体" w:eastAsia="宋体" w:cs="宋体"/>
          <w:sz w:val="32"/>
          <w:szCs w:val="32"/>
          <w:lang w:eastAsia="zh-CN"/>
        </w:rPr>
        <w:drawing>
          <wp:inline distT="0" distB="0" distL="114300" distR="114300">
            <wp:extent cx="4175125" cy="2225675"/>
            <wp:effectExtent l="4445" t="4445" r="11430" b="17780"/>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firstLineChars="200"/>
        <w:rPr>
          <w:rFonts w:ascii="宋体" w:hAnsi="宋体" w:eastAsia="宋体" w:cs="宋体"/>
          <w:sz w:val="32"/>
          <w:szCs w:val="32"/>
        </w:rPr>
      </w:pPr>
      <w:r>
        <w:rPr>
          <w:rStyle w:val="10"/>
          <w:rFonts w:hint="eastAsia" w:ascii="宋体" w:hAnsi="宋体" w:eastAsia="宋体" w:cs="宋体"/>
          <w:b w:val="0"/>
          <w:sz w:val="32"/>
          <w:szCs w:val="32"/>
        </w:rPr>
        <w:t>4.住房保障支出:</w:t>
      </w:r>
    </w:p>
    <w:p>
      <w:pPr>
        <w:spacing w:line="60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住房保障支出221（类）住房改革支出02（款）住房公积金01（项）： 2022年决算数为6.51万元，完成预算100%，主要用于职工缴纳住房公积金。</w:t>
      </w:r>
    </w:p>
    <w:p>
      <w:pPr>
        <w:rPr>
          <w:rFonts w:hint="eastAsia" w:ascii="宋体" w:hAnsi="宋体" w:eastAsia="宋体" w:cs="宋体"/>
          <w:sz w:val="32"/>
          <w:szCs w:val="32"/>
          <w:lang w:eastAsia="zh-CN"/>
        </w:rPr>
      </w:pPr>
      <w:r>
        <w:rPr>
          <w:rFonts w:hint="eastAsia" w:ascii="宋体" w:hAnsi="宋体" w:eastAsia="宋体" w:cs="宋体"/>
          <w:sz w:val="32"/>
          <w:szCs w:val="32"/>
          <w:lang w:eastAsia="zh-CN"/>
        </w:rPr>
        <w:drawing>
          <wp:inline distT="0" distB="0" distL="114300" distR="114300">
            <wp:extent cx="4361815" cy="2495550"/>
            <wp:effectExtent l="4445" t="4445" r="15240"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ind w:firstLine="640" w:firstLineChars="200"/>
        <w:rPr>
          <w:rFonts w:ascii="宋体" w:hAnsi="宋体" w:eastAsia="宋体" w:cs="宋体"/>
          <w:kern w:val="0"/>
          <w:sz w:val="32"/>
          <w:szCs w:val="32"/>
        </w:rPr>
      </w:pPr>
      <w:r>
        <w:rPr>
          <w:rFonts w:hint="eastAsia" w:ascii="宋体" w:hAnsi="宋体" w:eastAsia="宋体" w:cs="宋体"/>
          <w:sz w:val="32"/>
          <w:szCs w:val="32"/>
        </w:rPr>
        <w:t>5.教育支出：</w:t>
      </w:r>
    </w:p>
    <w:p>
      <w:pPr>
        <w:spacing w:line="60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教育支出208（类）进修及培训05（款）培训支出03（项）:2022年决算数为0.18万元，完成预算100%，主要用于医疗保险医疗缴费综合业务、专门性财政管理工作的项目支出。</w:t>
      </w:r>
    </w:p>
    <w:p>
      <w:pPr>
        <w:ind w:left="480"/>
        <w:rPr>
          <w:rFonts w:hint="eastAsia" w:ascii="宋体" w:hAnsi="宋体" w:eastAsia="宋体" w:cs="宋体"/>
          <w:sz w:val="32"/>
          <w:szCs w:val="32"/>
          <w:lang w:eastAsia="zh-CN"/>
        </w:rPr>
      </w:pPr>
      <w:r>
        <w:rPr>
          <w:rFonts w:hint="eastAsia" w:ascii="宋体" w:hAnsi="宋体" w:eastAsia="宋体" w:cs="宋体"/>
          <w:sz w:val="32"/>
          <w:szCs w:val="32"/>
          <w:lang w:eastAsia="zh-CN"/>
        </w:rPr>
        <w:drawing>
          <wp:inline distT="0" distB="0" distL="114300" distR="114300">
            <wp:extent cx="4344035" cy="2260600"/>
            <wp:effectExtent l="4445" t="4445" r="13970" b="2095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ind w:left="480"/>
        <w:rPr>
          <w:rFonts w:ascii="宋体" w:hAnsi="宋体" w:eastAsia="宋体" w:cs="宋体"/>
          <w:sz w:val="32"/>
          <w:szCs w:val="32"/>
        </w:rPr>
      </w:pPr>
      <w:r>
        <w:rPr>
          <w:rFonts w:hint="eastAsia" w:ascii="宋体" w:hAnsi="宋体" w:eastAsia="宋体" w:cs="宋体"/>
          <w:sz w:val="32"/>
          <w:szCs w:val="32"/>
        </w:rPr>
        <w:t>6.其他支出</w:t>
      </w:r>
    </w:p>
    <w:p>
      <w:pPr>
        <w:spacing w:line="60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其他支出229（类）彩票公益金安排的支出60（款） 用于城乡医疗救助的彩票公益金支出13（项）:2022年决算数为12.07万元。主要用于：城乡医疗救助支出。</w:t>
      </w:r>
    </w:p>
    <w:p>
      <w:pPr>
        <w:ind w:firstLine="640" w:firstLineChars="200"/>
        <w:rPr>
          <w:rFonts w:hint="eastAsia" w:ascii="宋体" w:hAnsi="宋体" w:eastAsia="宋体" w:cs="宋体"/>
          <w:sz w:val="32"/>
          <w:szCs w:val="32"/>
          <w:lang w:eastAsia="zh-CN"/>
        </w:rPr>
      </w:pPr>
      <w:r>
        <w:rPr>
          <w:rFonts w:hint="eastAsia" w:ascii="宋体" w:hAnsi="宋体" w:eastAsia="宋体" w:cs="宋体"/>
          <w:sz w:val="32"/>
          <w:szCs w:val="32"/>
          <w:lang w:eastAsia="zh-CN"/>
        </w:rPr>
        <w:drawing>
          <wp:inline distT="0" distB="0" distL="114300" distR="114300">
            <wp:extent cx="4300220" cy="2314575"/>
            <wp:effectExtent l="5080" t="5080" r="19050" b="4445"/>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ind w:left="480"/>
        <w:rPr>
          <w:rFonts w:ascii="宋体" w:hAnsi="宋体" w:eastAsia="宋体" w:cs="宋体"/>
          <w:sz w:val="32"/>
          <w:szCs w:val="32"/>
        </w:rPr>
      </w:pPr>
    </w:p>
    <w:p>
      <w:pPr>
        <w:spacing w:line="600" w:lineRule="exact"/>
        <w:ind w:firstLine="643" w:firstLineChars="200"/>
        <w:rPr>
          <w:rFonts w:ascii="宋体" w:hAnsi="宋体" w:eastAsia="宋体" w:cs="宋体"/>
          <w:b/>
          <w:bCs/>
          <w:sz w:val="32"/>
          <w:szCs w:val="32"/>
        </w:rPr>
      </w:pPr>
      <w:r>
        <w:rPr>
          <w:rFonts w:hint="eastAsia" w:ascii="宋体" w:hAnsi="宋体" w:eastAsia="宋体" w:cs="宋体"/>
          <w:b/>
          <w:bCs/>
          <w:sz w:val="32"/>
          <w:szCs w:val="32"/>
          <w:lang w:eastAsia="zh-CN"/>
        </w:rPr>
        <w:t>四</w:t>
      </w:r>
      <w:r>
        <w:rPr>
          <w:rFonts w:hint="eastAsia" w:ascii="宋体" w:hAnsi="宋体" w:eastAsia="宋体" w:cs="宋体"/>
          <w:b/>
          <w:bCs/>
          <w:sz w:val="32"/>
          <w:szCs w:val="32"/>
        </w:rPr>
        <w:t>、一般公共预算财政拨款基本支出决算情况</w:t>
      </w:r>
    </w:p>
    <w:p>
      <w:pPr>
        <w:spacing w:line="60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医疗保障局2022年一般公共预算财政拨款基本支出447.96万元，其中：人员经费432.37万元，主要包括：基本工资89.27万元、津贴补贴75.35万元、奖金76.39万元、绩效工资29.78万元、机关事业单位基本养老保险缴费35.51万元、职业年金缴费17.75万元、职工基本医疗保险缴费16.34万元、公务员医疗补助2.39万元、其他社会保障缴费6.14万元、生活补助0.90万元、奖励金52.11万元、住房公积金30.44万元。</w:t>
      </w:r>
    </w:p>
    <w:p>
      <w:pPr>
        <w:spacing w:line="60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公用</w:t>
      </w:r>
      <w:r>
        <w:rPr>
          <w:rFonts w:hint="eastAsia" w:ascii="仿宋_GB2312" w:hAnsi="宋体" w:eastAsia="仿宋_GB2312" w:cs="仿宋_GB2312"/>
          <w:color w:val="000000"/>
          <w:kern w:val="0"/>
          <w:sz w:val="31"/>
          <w:szCs w:val="31"/>
          <w:lang w:val="en-US" w:eastAsia="zh-CN" w:bidi="ar"/>
        </w:rPr>
        <w:t>经费15.59万元，主要包括：办公费2.89万元、印刷费1.27万元、咨询费1万元、水费0.61万元、电费1.50万元、邮电费3.99万元、差旅费3.25万元、福利费0.15万元、公务用车运行维护费0.93万元。</w:t>
      </w:r>
    </w:p>
    <w:p>
      <w:pPr>
        <w:spacing w:line="60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医疗保障局2022年一般公共预算财政拨款项目支出422.45万元(政府性基金支出12.07万元)。</w:t>
      </w:r>
    </w:p>
    <w:p>
      <w:pPr>
        <w:spacing w:line="600" w:lineRule="exact"/>
        <w:ind w:firstLine="640"/>
        <w:rPr>
          <w:rFonts w:ascii="宋体" w:hAnsi="宋体" w:eastAsia="宋体" w:cs="宋体"/>
          <w:b/>
          <w:bCs/>
          <w:sz w:val="32"/>
          <w:szCs w:val="32"/>
        </w:rPr>
      </w:pPr>
      <w:r>
        <w:rPr>
          <w:rFonts w:hint="eastAsia" w:ascii="宋体" w:hAnsi="宋体" w:eastAsia="宋体" w:cs="宋体"/>
          <w:b/>
          <w:bCs/>
          <w:sz w:val="32"/>
          <w:szCs w:val="32"/>
          <w:lang w:eastAsia="zh-CN"/>
        </w:rPr>
        <w:t>五</w:t>
      </w:r>
      <w:r>
        <w:rPr>
          <w:rFonts w:hint="eastAsia" w:ascii="宋体" w:hAnsi="宋体" w:eastAsia="宋体" w:cs="宋体"/>
          <w:b/>
          <w:bCs/>
          <w:sz w:val="32"/>
          <w:szCs w:val="32"/>
        </w:rPr>
        <w:t>、财政拨款“三公”经费支出决算情况</w:t>
      </w:r>
    </w:p>
    <w:p>
      <w:pPr>
        <w:spacing w:line="60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（一）“三公”经费财政拨款支出决算总体情况说明</w:t>
      </w:r>
    </w:p>
    <w:p>
      <w:pPr>
        <w:spacing w:line="60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金川县医疗保障事务中心2022年度“三公”经费财政拨款支出决算为0.93万元，完成预算26.59%，其中：因公出国（境）费支出0万元；公务用车购置及运行维护费支出决算为0.93万元，完成预算26.59%；公务接待费支出决算为0万元，完成预算0%。</w:t>
      </w:r>
    </w:p>
    <w:p>
      <w:pPr>
        <w:spacing w:line="60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2022年度“三公”经费财政拨款支出决算数比2021年增加/减少0万元，增加/减少0%，其中：无因公出国（境）费支出0万元；公务用车购置及运行维护费支出决算减少0万元。</w:t>
      </w:r>
    </w:p>
    <w:p>
      <w:pPr>
        <w:spacing w:line="60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（二）“三公”经费财政拨款支出决算具体情况说明</w:t>
      </w:r>
    </w:p>
    <w:p>
      <w:pPr>
        <w:spacing w:line="60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2022年度“三公”经费财政拨款支出决算中，无因公出国（境）费；公务用车购置及运行维护费支出决算0.93万元，占100%；公务接待费支出决算0万元，占0%。具体情况如下：</w:t>
      </w:r>
    </w:p>
    <w:p>
      <w:pPr>
        <w:keepNext w:val="0"/>
        <w:keepLines w:val="0"/>
        <w:pageBreakBefore w:val="0"/>
        <w:widowControl w:val="0"/>
        <w:kinsoku/>
        <w:wordWrap/>
        <w:overflowPunct/>
        <w:topLinePunct w:val="0"/>
        <w:autoSpaceDE/>
        <w:autoSpaceDN/>
        <w:bidi w:val="0"/>
        <w:adjustRightInd/>
        <w:snapToGrid/>
        <w:spacing w:line="240" w:lineRule="auto"/>
        <w:ind w:firstLine="641"/>
        <w:textAlignment w:val="auto"/>
        <w:rPr>
          <w:rFonts w:hint="eastAsia" w:ascii="宋体" w:hAnsi="宋体" w:eastAsia="宋体" w:cs="宋体"/>
          <w:bCs/>
          <w:sz w:val="32"/>
          <w:szCs w:val="32"/>
          <w:lang w:eastAsia="zh-CN"/>
        </w:rPr>
      </w:pPr>
      <w:r>
        <w:rPr>
          <w:rFonts w:hint="eastAsia" w:ascii="宋体" w:hAnsi="宋体" w:eastAsia="宋体" w:cs="宋体"/>
          <w:bCs/>
          <w:sz w:val="32"/>
          <w:szCs w:val="32"/>
          <w:lang w:eastAsia="zh-CN"/>
        </w:rPr>
        <w:drawing>
          <wp:inline distT="0" distB="0" distL="114300" distR="114300">
            <wp:extent cx="4533265" cy="2172970"/>
            <wp:effectExtent l="4445" t="4445" r="15240" b="13335"/>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spacing w:line="60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1.因公出国（境）经费</w:t>
      </w:r>
    </w:p>
    <w:p>
      <w:pPr>
        <w:spacing w:line="60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2022年无因公出国（境）费。</w:t>
      </w:r>
    </w:p>
    <w:p>
      <w:pPr>
        <w:spacing w:line="60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2.公务用车购置及运行维护费</w:t>
      </w:r>
    </w:p>
    <w:p>
      <w:pPr>
        <w:spacing w:line="60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2022年公务用车购置及运行维护费0.93万元,其中：无公务用车购置支出0万元；公务用车运行维护费支出0.93万元。主要用于开展各项财政工作所需的公务用车燃料费、维修费、过路过桥费、保险费等支出。</w:t>
      </w:r>
    </w:p>
    <w:p>
      <w:pPr>
        <w:spacing w:line="60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3.公务接待费</w:t>
      </w:r>
    </w:p>
    <w:p>
      <w:pPr>
        <w:spacing w:line="60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2022年公务接待费0万元。</w:t>
      </w:r>
    </w:p>
    <w:p>
      <w:pPr>
        <w:spacing w:line="600" w:lineRule="exact"/>
        <w:ind w:firstLine="640"/>
        <w:rPr>
          <w:rFonts w:ascii="宋体" w:hAnsi="宋体" w:eastAsia="宋体" w:cs="宋体"/>
          <w:b/>
          <w:bCs/>
          <w:sz w:val="32"/>
          <w:szCs w:val="32"/>
        </w:rPr>
      </w:pPr>
      <w:r>
        <w:rPr>
          <w:rFonts w:hint="eastAsia" w:ascii="宋体" w:hAnsi="宋体" w:eastAsia="宋体" w:cs="宋体"/>
          <w:b/>
          <w:bCs/>
          <w:sz w:val="32"/>
          <w:szCs w:val="32"/>
          <w:lang w:eastAsia="zh-CN"/>
        </w:rPr>
        <w:t>六</w:t>
      </w:r>
      <w:r>
        <w:rPr>
          <w:rFonts w:hint="eastAsia" w:ascii="宋体" w:hAnsi="宋体" w:eastAsia="宋体" w:cs="宋体"/>
          <w:b/>
          <w:bCs/>
          <w:sz w:val="32"/>
          <w:szCs w:val="32"/>
        </w:rPr>
        <w:t>、政府性基金预算财政拨款支出决算情况</w:t>
      </w:r>
    </w:p>
    <w:p>
      <w:pPr>
        <w:spacing w:line="60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医疗保障局2022年政府性基金预算财政拨款支出12.07万元。</w:t>
      </w:r>
    </w:p>
    <w:p>
      <w:pPr>
        <w:spacing w:line="600" w:lineRule="exact"/>
        <w:ind w:firstLine="643" w:firstLineChars="200"/>
        <w:rPr>
          <w:rFonts w:ascii="宋体" w:hAnsi="宋体" w:eastAsia="宋体" w:cs="宋体"/>
          <w:b/>
          <w:bCs/>
          <w:sz w:val="32"/>
          <w:szCs w:val="32"/>
        </w:rPr>
      </w:pPr>
      <w:r>
        <w:rPr>
          <w:rFonts w:hint="eastAsia" w:ascii="宋体" w:hAnsi="宋体" w:eastAsia="宋体" w:cs="宋体"/>
          <w:b/>
          <w:bCs/>
          <w:sz w:val="32"/>
          <w:szCs w:val="32"/>
          <w:lang w:eastAsia="zh-CN"/>
        </w:rPr>
        <w:t>七</w:t>
      </w:r>
      <w:r>
        <w:rPr>
          <w:rFonts w:hint="eastAsia" w:ascii="宋体" w:hAnsi="宋体" w:eastAsia="宋体" w:cs="宋体"/>
          <w:b/>
          <w:bCs/>
          <w:sz w:val="32"/>
          <w:szCs w:val="32"/>
        </w:rPr>
        <w:t>、其他重要事项的情况说明</w:t>
      </w:r>
    </w:p>
    <w:p>
      <w:pPr>
        <w:spacing w:line="60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（一）机关运行经费支出情况</w:t>
      </w:r>
    </w:p>
    <w:p>
      <w:pPr>
        <w:spacing w:line="60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2022年度，医保局机关运行经费支出9.76万元。</w:t>
      </w:r>
    </w:p>
    <w:p>
      <w:pPr>
        <w:autoSpaceDE w:val="0"/>
        <w:autoSpaceDN w:val="0"/>
        <w:adjustRightInd w:val="0"/>
        <w:spacing w:line="600" w:lineRule="exact"/>
        <w:ind w:firstLine="620" w:firstLineChars="200"/>
        <w:jc w:val="left"/>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（二）政府采购支出情况</w:t>
      </w:r>
    </w:p>
    <w:p>
      <w:pPr>
        <w:autoSpaceDE w:val="0"/>
        <w:autoSpaceDN w:val="0"/>
        <w:adjustRightInd w:val="0"/>
        <w:spacing w:line="600" w:lineRule="exact"/>
        <w:ind w:firstLine="620" w:firstLineChars="200"/>
        <w:jc w:val="left"/>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2022年度，金川县医保局采购支出总额0万元。</w:t>
      </w:r>
    </w:p>
    <w:p>
      <w:pPr>
        <w:autoSpaceDE w:val="0"/>
        <w:autoSpaceDN w:val="0"/>
        <w:adjustRightInd w:val="0"/>
        <w:spacing w:line="600" w:lineRule="exact"/>
        <w:ind w:firstLine="620" w:firstLineChars="200"/>
        <w:jc w:val="left"/>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（三）国有资产占有使用情况</w:t>
      </w:r>
    </w:p>
    <w:p>
      <w:pPr>
        <w:autoSpaceDE w:val="0"/>
        <w:autoSpaceDN w:val="0"/>
        <w:adjustRightInd w:val="0"/>
        <w:spacing w:line="600" w:lineRule="exact"/>
        <w:ind w:firstLine="620" w:firstLineChars="200"/>
        <w:jc w:val="left"/>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截至2022年12月31日，金川县医疗保障事务中心无公务用车，年初公务用车1辆，于2022年6月报废。</w:t>
      </w:r>
    </w:p>
    <w:p>
      <w:pPr>
        <w:autoSpaceDE w:val="0"/>
        <w:autoSpaceDN w:val="0"/>
        <w:adjustRightInd w:val="0"/>
        <w:spacing w:line="600" w:lineRule="exact"/>
        <w:ind w:firstLine="620" w:firstLineChars="200"/>
        <w:jc w:val="left"/>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（四）预算绩效情况</w:t>
      </w:r>
    </w:p>
    <w:p>
      <w:pPr>
        <w:spacing w:line="600" w:lineRule="atLeas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1.绩效目标管理情况。</w:t>
      </w:r>
    </w:p>
    <w:p>
      <w:pPr>
        <w:spacing w:line="600" w:lineRule="atLeas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按照预算绩效管理要求，本部门对2022年一般公共预算项目支出开展了绩效目标管理，共编制绩效目标，涉及财政资金合计870.41万元，覆盖率达到100%。</w:t>
      </w:r>
    </w:p>
    <w:p>
      <w:pPr>
        <w:spacing w:line="600" w:lineRule="atLeas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2.部门整体支出绩效自评开展情况。</w:t>
      </w:r>
    </w:p>
    <w:p>
      <w:pPr>
        <w:spacing w:line="600" w:lineRule="atLeas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按照预算绩效管理要求，本部门对2022年整体支出开展绩效自评，存在的问题：一是预算经费支出进度缓；二是部门预算、决算上报效率有待提高。下一步改进措施：一是加快完善部门财务规章制度建设；二是加强会计核算和财务管理能力；三是加强与县财政局相关科室对接工作，提升工作效率。</w:t>
      </w:r>
    </w:p>
    <w:p>
      <w:pPr>
        <w:numPr>
          <w:ilvl w:val="0"/>
          <w:numId w:val="2"/>
        </w:numPr>
        <w:autoSpaceDE w:val="0"/>
        <w:autoSpaceDN w:val="0"/>
        <w:adjustRightInd w:val="0"/>
        <w:spacing w:line="600" w:lineRule="exact"/>
        <w:jc w:val="center"/>
        <w:rPr>
          <w:rFonts w:hint="eastAsia" w:ascii="宋体" w:hAnsi="宋体" w:eastAsia="宋体" w:cs="宋体"/>
          <w:b/>
          <w:bCs/>
          <w:sz w:val="32"/>
          <w:szCs w:val="32"/>
          <w:lang w:eastAsia="zh-CN"/>
        </w:rPr>
      </w:pPr>
      <w:r>
        <w:rPr>
          <w:rFonts w:hint="eastAsia" w:ascii="宋体" w:hAnsi="宋体" w:eastAsia="宋体" w:cs="宋体"/>
          <w:b/>
          <w:bCs/>
          <w:sz w:val="32"/>
          <w:szCs w:val="32"/>
        </w:rPr>
        <w:t>名词解释</w:t>
      </w:r>
    </w:p>
    <w:p>
      <w:pPr>
        <w:pStyle w:val="11"/>
        <w:widowControl/>
        <w:spacing w:line="560" w:lineRule="exact"/>
        <w:ind w:firstLine="620" w:firstLineChars="200"/>
        <w:rPr>
          <w:rFonts w:hint="default"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 xml:space="preserve">1.财政拨款收入指州级财政当年拨付的资金。 </w:t>
      </w:r>
    </w:p>
    <w:p>
      <w:pPr>
        <w:pStyle w:val="11"/>
        <w:widowControl/>
        <w:spacing w:line="560" w:lineRule="exact"/>
        <w:ind w:firstLine="620" w:firstLineChars="200"/>
        <w:rPr>
          <w:rFonts w:hint="default"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 xml:space="preserve">2.年初结转和结余指以前年度尚未完成、结转到本年按有关规定继续使用的资金。 </w:t>
      </w:r>
    </w:p>
    <w:p>
      <w:pPr>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3.社会保障和就业208（类）行政事业单位离退休05（款）机关事业单位基本养老保险缴费支出05（项）指机关事业单位实施养老保险制度由单位缴纳的基本养老保险费支出。</w:t>
      </w:r>
    </w:p>
    <w:p>
      <w:pPr>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4.社会保障和就业208（类）行政事业单位离退休05（款）机关事业单位职业年金缴费支出06（项）指机关事业单位实施养老保险制度由单位缴纳的职业年金支出。</w:t>
      </w:r>
    </w:p>
    <w:p>
      <w:pPr>
        <w:pStyle w:val="11"/>
        <w:widowControl/>
        <w:spacing w:line="56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5.卫生健康支出210（类）行政事业单位医疗11（款）行政单位医疗01（项）指行政单位实施医疗保险制度由单位缴纳的医疗保险支出。</w:t>
      </w:r>
    </w:p>
    <w:p>
      <w:pPr>
        <w:pStyle w:val="11"/>
        <w:widowControl/>
        <w:spacing w:line="56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6.卫生健康支出210（类）行政事业单位医疗11（款）事业单位医疗02（项）指事业单位实施医疗保险制度由单位缴纳的医疗保险支出。</w:t>
      </w:r>
    </w:p>
    <w:p>
      <w:pPr>
        <w:pStyle w:val="11"/>
        <w:widowControl/>
        <w:spacing w:line="56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7.卫生健康支出210（类）行政事业单位医疗11（款）公务员医疗补助03（项）：指行政单位实施公务员医疗保险制度由单位缴纳的公务员医疗保险支出。</w:t>
      </w:r>
    </w:p>
    <w:p>
      <w:pPr>
        <w:pStyle w:val="11"/>
        <w:widowControl/>
        <w:spacing w:line="56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8.卫生健康支出210（类）行政事业单位医疗11（款）其他行政事业单位医疗支出99（项）：指事业单位实施公务员医疗保险制度由单位缴纳的公务员医疗保险支出。</w:t>
      </w:r>
    </w:p>
    <w:p>
      <w:pPr>
        <w:pStyle w:val="11"/>
        <w:widowControl/>
        <w:spacing w:line="56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9.卫生健康支出210（类）医疗救助13（款）城乡医疗救助01（项）指用于城乡医疗救助资金支出。</w:t>
      </w:r>
    </w:p>
    <w:p>
      <w:pPr>
        <w:pStyle w:val="11"/>
        <w:widowControl/>
        <w:spacing w:line="56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10.卫生健康支出210（类）医疗保障管理事务15（款）行政运行01（项）：行政单位实施基本工资、津贴补贴等工资福利支出；事业单位日常公用经费支出等。</w:t>
      </w:r>
    </w:p>
    <w:p>
      <w:pPr>
        <w:pStyle w:val="11"/>
        <w:widowControl/>
        <w:spacing w:line="56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11.卫生健康支出210（类）医疗保障管理事务15（款）医疗保障经办事务06（项）：单位日常公用经费支出等。</w:t>
      </w:r>
    </w:p>
    <w:p>
      <w:pPr>
        <w:pStyle w:val="11"/>
        <w:widowControl/>
        <w:spacing w:line="56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12.卫生健康支出210（类）医疗保障管理事务15（款）事业运行50（项）指事业单位实施基本工资、津贴补贴等工资福利支出；事业单位日常公用经费支出等。</w:t>
      </w:r>
    </w:p>
    <w:p>
      <w:pPr>
        <w:pStyle w:val="11"/>
        <w:widowControl/>
        <w:spacing w:line="56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13.农林水支出213（类）巩固脱贫衔接乡村振兴05（款）其他巩固脱贫衔接乡村振兴支出99（项）：2022年决算数为59.42万元，完成预算100%，主要用于建档立卡财政代缴城乡医保的支出。</w:t>
      </w:r>
    </w:p>
    <w:p>
      <w:pPr>
        <w:pStyle w:val="11"/>
        <w:widowControl/>
        <w:spacing w:line="56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14.住房保障支出221（类）住房改革支出02（款）住房公积金01（项）指反映行政事业单位按人力资源和社会保障部、财政部规定的基本工资和津贴补贴以及规定比例为职工缴纳的住房公积金。</w:t>
      </w:r>
    </w:p>
    <w:p>
      <w:pPr>
        <w:pStyle w:val="11"/>
        <w:widowControl/>
        <w:spacing w:line="56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15.教育支出208（类）进修及培训05（款）培训支出03（项）指单位医疗保险医疗缴费综合业务、专门性财政管理工作的项目支出。</w:t>
      </w:r>
    </w:p>
    <w:p>
      <w:pPr>
        <w:pStyle w:val="11"/>
        <w:widowControl/>
        <w:spacing w:line="56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16.其他支出229（类）彩票公益金安排的支出60（款） 用于城乡医疗救助的彩票公益金支出13（项）指用于城乡医疗救助的彩票公益金的支出。</w:t>
      </w:r>
    </w:p>
    <w:p>
      <w:pPr>
        <w:pStyle w:val="11"/>
        <w:widowControl/>
        <w:spacing w:line="56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17.年末结转和结余：指本年度或以前年度预算安排、因客观条件发生变化无法按原计划实施，需延迟到以后年度按有关规定继续使用的资金。</w:t>
      </w:r>
    </w:p>
    <w:p>
      <w:pPr>
        <w:pStyle w:val="11"/>
        <w:widowControl/>
        <w:spacing w:line="56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18.基本支出：指为保障机构正常运转、完成日常工作任务而发生的人员支出和公用支出。</w:t>
      </w:r>
    </w:p>
    <w:p>
      <w:pPr>
        <w:pStyle w:val="11"/>
        <w:widowControl/>
        <w:spacing w:line="560" w:lineRule="exact"/>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19.项目支出：指在基本支出之外为完成特定行政任务和事业发展目标所发生的支出。</w:t>
      </w:r>
    </w:p>
    <w:p>
      <w:pPr>
        <w:pStyle w:val="11"/>
        <w:widowControl/>
        <w:spacing w:line="560" w:lineRule="exact"/>
        <w:ind w:firstLine="620" w:firstLineChars="200"/>
        <w:rPr>
          <w:rFonts w:hint="default"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20.“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7"/>
        <w:keepNext w:val="0"/>
        <w:keepLines w:val="0"/>
        <w:widowControl/>
        <w:suppressLineNumbers w:val="0"/>
        <w:ind w:left="0" w:firstLine="640"/>
        <w:rPr>
          <w:rFonts w:hint="eastAsia" w:ascii="仿宋_GB2312" w:eastAsia="仿宋_GB2312" w:cs="仿宋_GB2312"/>
          <w:color w:val="000000"/>
          <w:sz w:val="31"/>
          <w:szCs w:val="31"/>
          <w:lang w:val="en-US" w:eastAsia="zh-CN"/>
        </w:rPr>
      </w:pPr>
      <w:r>
        <w:rPr>
          <w:rFonts w:hint="eastAsia" w:ascii="仿宋_GB2312" w:eastAsia="仿宋_GB2312" w:cs="仿宋_GB2312"/>
          <w:color w:val="000000"/>
          <w:sz w:val="31"/>
          <w:szCs w:val="31"/>
          <w:lang w:val="en-US" w:eastAsia="zh-CN"/>
        </w:rPr>
        <w:t>21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eastAsia="zh-CN"/>
        </w:rPr>
        <w:t>第四部分</w:t>
      </w:r>
      <w:r>
        <w:rPr>
          <w:rFonts w:hint="eastAsia" w:ascii="宋体" w:hAnsi="宋体" w:eastAsia="宋体" w:cs="宋体"/>
          <w:b/>
          <w:bCs/>
          <w:sz w:val="32"/>
          <w:szCs w:val="32"/>
          <w:lang w:val="en-US" w:eastAsia="zh-CN"/>
        </w:rPr>
        <w:t xml:space="preserve"> 附件</w:t>
      </w:r>
    </w:p>
    <w:p>
      <w:pPr>
        <w:pStyle w:val="7"/>
        <w:keepNext w:val="0"/>
        <w:keepLines w:val="0"/>
        <w:widowControl/>
        <w:suppressLineNumbers w:val="0"/>
        <w:ind w:firstLine="620" w:firstLineChars="200"/>
        <w:rPr>
          <w:rFonts w:hint="eastAsia" w:ascii="仿宋_GB2312" w:eastAsia="仿宋_GB2312" w:cs="仿宋_GB2312"/>
          <w:color w:val="000000"/>
          <w:sz w:val="31"/>
          <w:szCs w:val="31"/>
          <w:lang w:val="en-US" w:eastAsia="zh-CN"/>
        </w:rPr>
      </w:pPr>
      <w:r>
        <w:rPr>
          <w:rFonts w:hint="eastAsia" w:ascii="仿宋_GB2312" w:eastAsia="仿宋_GB2312" w:cs="仿宋_GB2312"/>
          <w:color w:val="000000"/>
          <w:sz w:val="31"/>
          <w:szCs w:val="31"/>
          <w:lang w:val="en-US" w:eastAsia="zh-CN"/>
        </w:rPr>
        <w:t>附件</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金川县医疗保障局</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color w:val="auto"/>
          <w:kern w:val="2"/>
          <w:sz w:val="32"/>
          <w:szCs w:val="32"/>
          <w:lang w:val="en-US" w:eastAsia="en-US" w:bidi="ar-SA"/>
        </w:rPr>
      </w:pPr>
      <w:r>
        <w:rPr>
          <w:rFonts w:hint="eastAsia" w:ascii="仿宋_GB2312" w:hAnsi="宋体" w:eastAsia="仿宋_GB2312" w:cs="仿宋_GB2312"/>
          <w:color w:val="000000"/>
          <w:kern w:val="0"/>
          <w:sz w:val="31"/>
          <w:szCs w:val="31"/>
          <w:lang w:val="en-US" w:eastAsia="zh-CN" w:bidi="ar"/>
        </w:rPr>
        <w:t>2022年整体支出绩效评价报告</w:t>
      </w:r>
    </w:p>
    <w:p>
      <w:pPr>
        <w:pStyle w:val="7"/>
        <w:keepNext w:val="0"/>
        <w:keepLines w:val="0"/>
        <w:widowControl/>
        <w:suppressLineNumbers w:val="0"/>
        <w:ind w:left="0" w:firstLine="640"/>
        <w:rPr>
          <w:rFonts w:hint="eastAsia" w:ascii="黑体" w:hAnsi="宋体" w:eastAsia="黑体" w:cs="黑体"/>
          <w:color w:val="000000"/>
          <w:sz w:val="31"/>
          <w:szCs w:val="31"/>
        </w:rPr>
      </w:pPr>
    </w:p>
    <w:p>
      <w:pPr>
        <w:pStyle w:val="7"/>
        <w:keepNext w:val="0"/>
        <w:keepLines w:val="0"/>
        <w:widowControl/>
        <w:suppressLineNumbers w:val="0"/>
        <w:ind w:left="0" w:firstLine="640"/>
      </w:pPr>
      <w:r>
        <w:rPr>
          <w:rFonts w:hint="eastAsia" w:ascii="黑体" w:hAnsi="宋体" w:eastAsia="黑体" w:cs="黑体"/>
          <w:color w:val="000000"/>
          <w:sz w:val="31"/>
          <w:szCs w:val="31"/>
        </w:rPr>
        <w:t>一、部门（单位）概况</w:t>
      </w:r>
    </w:p>
    <w:p>
      <w:pPr>
        <w:pStyle w:val="7"/>
        <w:keepNext w:val="0"/>
        <w:keepLines w:val="0"/>
        <w:widowControl/>
        <w:suppressLineNumbers w:val="0"/>
        <w:ind w:left="0" w:firstLine="640"/>
        <w:rPr>
          <w:rFonts w:hint="eastAsia" w:ascii="仿宋_GB2312" w:eastAsia="仿宋_GB2312" w:cs="仿宋_GB2312"/>
          <w:color w:val="000000"/>
          <w:sz w:val="31"/>
          <w:szCs w:val="31"/>
        </w:rPr>
      </w:pPr>
      <w:r>
        <w:rPr>
          <w:rFonts w:hint="eastAsia" w:ascii="仿宋_GB2312" w:eastAsia="仿宋_GB2312" w:cs="仿宋_GB2312"/>
          <w:color w:val="000000"/>
          <w:sz w:val="31"/>
          <w:szCs w:val="31"/>
        </w:rPr>
        <w:t>（一）机构组成。</w:t>
      </w:r>
    </w:p>
    <w:p>
      <w:pPr>
        <w:pStyle w:val="7"/>
        <w:keepNext w:val="0"/>
        <w:keepLines w:val="0"/>
        <w:widowControl/>
        <w:suppressLineNumbers w:val="0"/>
        <w:ind w:left="0" w:firstLine="640"/>
        <w:rPr>
          <w:rFonts w:hint="eastAsia" w:ascii="仿宋_GB2312" w:eastAsia="仿宋_GB2312" w:cs="仿宋_GB2312"/>
          <w:color w:val="000000"/>
          <w:sz w:val="31"/>
          <w:szCs w:val="31"/>
          <w:lang w:val="en-US" w:eastAsia="zh-CN"/>
        </w:rPr>
      </w:pPr>
      <w:r>
        <w:rPr>
          <w:rFonts w:hint="eastAsia" w:ascii="仿宋_GB2312" w:eastAsia="仿宋_GB2312" w:cs="仿宋_GB2312"/>
          <w:color w:val="000000"/>
          <w:sz w:val="31"/>
          <w:szCs w:val="31"/>
          <w:lang w:val="en-US" w:eastAsia="zh-CN"/>
        </w:rPr>
        <w:t>我单位为一级预算行政单位，执行政府单位会计制度。</w:t>
      </w:r>
    </w:p>
    <w:p>
      <w:pPr>
        <w:pStyle w:val="7"/>
        <w:keepNext w:val="0"/>
        <w:keepLines w:val="0"/>
        <w:widowControl/>
        <w:suppressLineNumbers w:val="0"/>
        <w:ind w:left="0" w:firstLine="640"/>
        <w:rPr>
          <w:rFonts w:hint="eastAsia" w:ascii="仿宋_GB2312" w:eastAsia="仿宋_GB2312" w:cs="仿宋_GB2312"/>
          <w:color w:val="000000"/>
          <w:sz w:val="31"/>
          <w:szCs w:val="31"/>
        </w:rPr>
      </w:pPr>
      <w:r>
        <w:rPr>
          <w:rFonts w:hint="eastAsia" w:ascii="仿宋_GB2312" w:eastAsia="仿宋_GB2312" w:cs="仿宋_GB2312"/>
          <w:color w:val="000000"/>
          <w:sz w:val="31"/>
          <w:szCs w:val="31"/>
        </w:rPr>
        <w:t>（二）机构职能。</w:t>
      </w:r>
    </w:p>
    <w:p>
      <w:pPr>
        <w:pStyle w:val="7"/>
        <w:keepNext w:val="0"/>
        <w:keepLines w:val="0"/>
        <w:widowControl/>
        <w:suppressLineNumbers w:val="0"/>
        <w:ind w:left="0" w:firstLine="640"/>
        <w:rPr>
          <w:rFonts w:hint="eastAsia" w:ascii="仿宋_GB2312" w:eastAsia="仿宋_GB2312" w:cs="仿宋_GB2312"/>
          <w:color w:val="000000"/>
          <w:sz w:val="31"/>
          <w:szCs w:val="31"/>
          <w:lang w:val="en-US" w:eastAsia="zh-CN"/>
        </w:rPr>
      </w:pPr>
      <w:r>
        <w:rPr>
          <w:rFonts w:hint="eastAsia" w:ascii="仿宋_GB2312" w:eastAsia="仿宋_GB2312" w:cs="仿宋_GB2312"/>
          <w:color w:val="000000"/>
          <w:sz w:val="31"/>
          <w:szCs w:val="31"/>
          <w:lang w:val="en-US" w:eastAsia="zh-CN"/>
        </w:rPr>
        <w:t>金川县医疗保障局的主要职能职责是：</w:t>
      </w:r>
    </w:p>
    <w:p>
      <w:pPr>
        <w:pStyle w:val="7"/>
        <w:keepNext w:val="0"/>
        <w:keepLines w:val="0"/>
        <w:widowControl/>
        <w:suppressLineNumbers w:val="0"/>
        <w:ind w:left="0" w:firstLine="640"/>
        <w:rPr>
          <w:rFonts w:hint="eastAsia" w:ascii="仿宋_GB2312" w:eastAsia="仿宋_GB2312" w:cs="仿宋_GB2312"/>
          <w:color w:val="000000"/>
          <w:sz w:val="31"/>
          <w:szCs w:val="31"/>
          <w:lang w:val="en-US" w:eastAsia="zh-CN"/>
        </w:rPr>
      </w:pPr>
      <w:r>
        <w:rPr>
          <w:rFonts w:hint="eastAsia" w:ascii="仿宋_GB2312" w:eastAsia="仿宋_GB2312" w:cs="仿宋_GB2312"/>
          <w:color w:val="000000"/>
          <w:sz w:val="31"/>
          <w:szCs w:val="31"/>
          <w:lang w:val="en-US" w:eastAsia="zh-CN"/>
        </w:rPr>
        <w:t xml:space="preserve">    1、负责对参保单位、职工医疗保险政策的宣传和医疗保险业务人员的培训；</w:t>
      </w:r>
    </w:p>
    <w:p>
      <w:pPr>
        <w:pStyle w:val="7"/>
        <w:keepNext w:val="0"/>
        <w:keepLines w:val="0"/>
        <w:widowControl/>
        <w:suppressLineNumbers w:val="0"/>
        <w:ind w:left="0" w:firstLine="640"/>
        <w:rPr>
          <w:rFonts w:hint="eastAsia" w:ascii="仿宋_GB2312" w:eastAsia="仿宋_GB2312" w:cs="仿宋_GB2312"/>
          <w:color w:val="000000"/>
          <w:sz w:val="31"/>
          <w:szCs w:val="31"/>
          <w:lang w:val="en-US" w:eastAsia="zh-CN"/>
        </w:rPr>
      </w:pPr>
      <w:r>
        <w:rPr>
          <w:rFonts w:hint="eastAsia" w:ascii="仿宋_GB2312" w:eastAsia="仿宋_GB2312" w:cs="仿宋_GB2312"/>
          <w:color w:val="000000"/>
          <w:sz w:val="31"/>
          <w:szCs w:val="31"/>
          <w:lang w:val="en-US" w:eastAsia="zh-CN"/>
        </w:rPr>
        <w:t>2、负责承办全县党政机关、事业单位、省、州、县企业的医疗保险参保登记、变更登记及参保职工医疗保险转移事项；</w:t>
      </w:r>
    </w:p>
    <w:p>
      <w:pPr>
        <w:pStyle w:val="7"/>
        <w:keepNext w:val="0"/>
        <w:keepLines w:val="0"/>
        <w:widowControl/>
        <w:suppressLineNumbers w:val="0"/>
        <w:ind w:left="0" w:firstLine="640"/>
        <w:rPr>
          <w:rFonts w:hint="eastAsia" w:ascii="仿宋_GB2312" w:eastAsia="仿宋_GB2312" w:cs="仿宋_GB2312"/>
          <w:color w:val="000000"/>
          <w:sz w:val="31"/>
          <w:szCs w:val="31"/>
          <w:lang w:val="en-US" w:eastAsia="zh-CN"/>
        </w:rPr>
      </w:pPr>
      <w:r>
        <w:rPr>
          <w:rFonts w:hint="eastAsia" w:ascii="仿宋_GB2312" w:eastAsia="仿宋_GB2312" w:cs="仿宋_GB2312"/>
          <w:color w:val="000000"/>
          <w:sz w:val="31"/>
          <w:szCs w:val="31"/>
          <w:lang w:val="en-US" w:eastAsia="zh-CN"/>
        </w:rPr>
        <w:t>3、负责对各参保单位、灵活就业人员的基础资料进行审核，制定各单位的基金征缴计划，具体征收、管理和支付基本医疗保险基金、大病补充保险基金和公务员医疗补助金；</w:t>
      </w:r>
    </w:p>
    <w:p>
      <w:pPr>
        <w:pStyle w:val="7"/>
        <w:keepNext w:val="0"/>
        <w:keepLines w:val="0"/>
        <w:widowControl/>
        <w:suppressLineNumbers w:val="0"/>
        <w:ind w:left="0" w:firstLine="640"/>
        <w:rPr>
          <w:rFonts w:hint="eastAsia" w:ascii="仿宋_GB2312" w:eastAsia="仿宋_GB2312" w:cs="仿宋_GB2312"/>
          <w:color w:val="000000"/>
          <w:sz w:val="31"/>
          <w:szCs w:val="31"/>
          <w:lang w:val="en-US" w:eastAsia="zh-CN"/>
        </w:rPr>
      </w:pPr>
      <w:r>
        <w:rPr>
          <w:rFonts w:hint="eastAsia" w:ascii="仿宋_GB2312" w:eastAsia="仿宋_GB2312" w:cs="仿宋_GB2312"/>
          <w:color w:val="000000"/>
          <w:sz w:val="31"/>
          <w:szCs w:val="31"/>
          <w:lang w:val="en-US" w:eastAsia="zh-CN"/>
        </w:rPr>
        <w:t>4、编制医疗保险基金收支预、决算报告，定期对基金收支情况进行分析、预测和内部审计，并向有关部门提供基金运行情况报告；</w:t>
      </w:r>
    </w:p>
    <w:p>
      <w:pPr>
        <w:pStyle w:val="7"/>
        <w:keepNext w:val="0"/>
        <w:keepLines w:val="0"/>
        <w:widowControl/>
        <w:suppressLineNumbers w:val="0"/>
        <w:ind w:left="0" w:firstLine="640"/>
        <w:rPr>
          <w:rFonts w:hint="eastAsia" w:ascii="仿宋_GB2312" w:eastAsia="仿宋_GB2312" w:cs="仿宋_GB2312"/>
          <w:color w:val="000000"/>
          <w:sz w:val="31"/>
          <w:szCs w:val="31"/>
          <w:lang w:val="en-US" w:eastAsia="zh-CN"/>
        </w:rPr>
      </w:pPr>
      <w:r>
        <w:rPr>
          <w:rFonts w:hint="eastAsia" w:ascii="仿宋_GB2312" w:eastAsia="仿宋_GB2312" w:cs="仿宋_GB2312"/>
          <w:color w:val="000000"/>
          <w:sz w:val="31"/>
          <w:szCs w:val="31"/>
          <w:lang w:val="en-US" w:eastAsia="zh-CN"/>
        </w:rPr>
        <w:t>5、负责对参保人员建立、管理个人账户及个人账户的结算转移，核拨退休人员的个人账户资金；</w:t>
      </w:r>
    </w:p>
    <w:p>
      <w:pPr>
        <w:pStyle w:val="7"/>
        <w:keepNext w:val="0"/>
        <w:keepLines w:val="0"/>
        <w:widowControl/>
        <w:suppressLineNumbers w:val="0"/>
        <w:ind w:left="0" w:firstLine="640"/>
        <w:rPr>
          <w:rFonts w:hint="eastAsia" w:ascii="仿宋_GB2312" w:eastAsia="仿宋_GB2312" w:cs="仿宋_GB2312"/>
          <w:color w:val="000000"/>
          <w:sz w:val="31"/>
          <w:szCs w:val="31"/>
          <w:lang w:val="en-US" w:eastAsia="zh-CN"/>
        </w:rPr>
      </w:pPr>
      <w:r>
        <w:rPr>
          <w:rFonts w:hint="eastAsia" w:ascii="仿宋_GB2312" w:eastAsia="仿宋_GB2312" w:cs="仿宋_GB2312"/>
          <w:color w:val="000000"/>
          <w:sz w:val="31"/>
          <w:szCs w:val="31"/>
          <w:lang w:val="en-US" w:eastAsia="zh-CN"/>
        </w:rPr>
        <w:t>6、配合有关部门审核确定定点医院、定点零售药店资格，签订定点协议，并对两定医疗机构进行监管；</w:t>
      </w:r>
    </w:p>
    <w:p>
      <w:pPr>
        <w:pStyle w:val="7"/>
        <w:keepNext w:val="0"/>
        <w:keepLines w:val="0"/>
        <w:widowControl/>
        <w:suppressLineNumbers w:val="0"/>
        <w:ind w:left="0" w:firstLine="640"/>
        <w:rPr>
          <w:rFonts w:hint="eastAsia" w:ascii="仿宋_GB2312" w:eastAsia="仿宋_GB2312" w:cs="仿宋_GB2312"/>
          <w:color w:val="000000"/>
          <w:sz w:val="31"/>
          <w:szCs w:val="31"/>
          <w:lang w:val="en-US" w:eastAsia="zh-CN"/>
        </w:rPr>
      </w:pPr>
      <w:r>
        <w:rPr>
          <w:rFonts w:hint="eastAsia" w:ascii="仿宋_GB2312" w:eastAsia="仿宋_GB2312" w:cs="仿宋_GB2312"/>
          <w:color w:val="000000"/>
          <w:sz w:val="31"/>
          <w:szCs w:val="31"/>
          <w:lang w:val="en-US" w:eastAsia="zh-CN"/>
        </w:rPr>
        <w:t>7、负责参保人员各项医疗保险待遇的审核和医疗费用支付工作；</w:t>
      </w:r>
    </w:p>
    <w:p>
      <w:pPr>
        <w:pStyle w:val="7"/>
        <w:keepNext w:val="0"/>
        <w:keepLines w:val="0"/>
        <w:widowControl/>
        <w:suppressLineNumbers w:val="0"/>
        <w:ind w:left="0" w:firstLine="640"/>
        <w:rPr>
          <w:rFonts w:hint="eastAsia" w:ascii="仿宋_GB2312" w:eastAsia="仿宋_GB2312" w:cs="仿宋_GB2312"/>
          <w:color w:val="000000"/>
          <w:sz w:val="31"/>
          <w:szCs w:val="31"/>
          <w:lang w:val="en-US" w:eastAsia="zh-CN"/>
        </w:rPr>
      </w:pPr>
      <w:r>
        <w:rPr>
          <w:rFonts w:hint="eastAsia" w:ascii="仿宋_GB2312" w:eastAsia="仿宋_GB2312" w:cs="仿宋_GB2312"/>
          <w:color w:val="000000"/>
          <w:sz w:val="31"/>
          <w:szCs w:val="31"/>
          <w:lang w:val="en-US" w:eastAsia="zh-CN"/>
        </w:rPr>
        <w:t>8、开展对参保单位办理参保登记和缴费基数。职工人数、财务状况等的稽核工作；</w:t>
      </w:r>
    </w:p>
    <w:p>
      <w:pPr>
        <w:pStyle w:val="7"/>
        <w:keepNext w:val="0"/>
        <w:keepLines w:val="0"/>
        <w:widowControl/>
        <w:suppressLineNumbers w:val="0"/>
        <w:ind w:left="0" w:firstLine="640"/>
        <w:rPr>
          <w:rFonts w:hint="eastAsia" w:ascii="仿宋_GB2312" w:eastAsia="仿宋_GB2312" w:cs="仿宋_GB2312"/>
          <w:color w:val="000000"/>
          <w:sz w:val="31"/>
          <w:szCs w:val="31"/>
          <w:lang w:val="en-US" w:eastAsia="zh-CN"/>
        </w:rPr>
      </w:pPr>
      <w:r>
        <w:rPr>
          <w:rFonts w:hint="eastAsia" w:ascii="仿宋_GB2312" w:eastAsia="仿宋_GB2312" w:cs="仿宋_GB2312"/>
          <w:color w:val="000000"/>
          <w:sz w:val="31"/>
          <w:szCs w:val="31"/>
          <w:lang w:val="en-US" w:eastAsia="zh-CN"/>
        </w:rPr>
        <w:t>9、负责全县机关事业单位和县属企业的老红军、离休干部以及革命伤残军人的医疗费用统筹管理。</w:t>
      </w:r>
    </w:p>
    <w:p>
      <w:pPr>
        <w:pStyle w:val="7"/>
        <w:keepNext w:val="0"/>
        <w:keepLines w:val="0"/>
        <w:widowControl/>
        <w:suppressLineNumbers w:val="0"/>
        <w:ind w:left="0" w:firstLine="640"/>
        <w:rPr>
          <w:rFonts w:hint="eastAsia" w:ascii="仿宋_GB2312" w:eastAsia="仿宋_GB2312" w:cs="仿宋_GB2312"/>
          <w:color w:val="000000"/>
          <w:sz w:val="31"/>
          <w:szCs w:val="31"/>
        </w:rPr>
      </w:pPr>
      <w:r>
        <w:rPr>
          <w:rFonts w:hint="eastAsia" w:ascii="仿宋_GB2312" w:eastAsia="仿宋_GB2312" w:cs="仿宋_GB2312"/>
          <w:color w:val="000000"/>
          <w:sz w:val="31"/>
          <w:szCs w:val="31"/>
        </w:rPr>
        <w:t>（三）人员概况。</w:t>
      </w:r>
    </w:p>
    <w:p>
      <w:pPr>
        <w:pStyle w:val="7"/>
        <w:keepNext w:val="0"/>
        <w:keepLines w:val="0"/>
        <w:widowControl/>
        <w:suppressLineNumbers w:val="0"/>
        <w:ind w:left="0" w:firstLine="640"/>
        <w:rPr>
          <w:rFonts w:hint="eastAsia" w:ascii="仿宋_GB2312" w:eastAsia="仿宋_GB2312" w:cs="仿宋_GB2312"/>
          <w:color w:val="000000"/>
          <w:sz w:val="31"/>
          <w:szCs w:val="31"/>
          <w:lang w:val="en-US" w:eastAsia="zh-CN"/>
        </w:rPr>
      </w:pPr>
      <w:r>
        <w:rPr>
          <w:rFonts w:hint="eastAsia" w:ascii="仿宋_GB2312" w:eastAsia="仿宋_GB2312" w:cs="仿宋_GB2312"/>
          <w:color w:val="000000"/>
          <w:sz w:val="31"/>
          <w:szCs w:val="31"/>
          <w:lang w:val="en-US" w:eastAsia="zh-CN"/>
        </w:rPr>
        <w:t>我局人员编制21人（机关人员4人，参照公务员法管理人员9人，事业人员8人），2022在编在职21人（机关人员4人，参公9人（机关工勤1人），事业人员9人）。</w:t>
      </w:r>
    </w:p>
    <w:p>
      <w:pPr>
        <w:pStyle w:val="7"/>
        <w:keepNext w:val="0"/>
        <w:keepLines w:val="0"/>
        <w:widowControl/>
        <w:suppressLineNumbers w:val="0"/>
        <w:ind w:left="0" w:firstLine="640"/>
      </w:pPr>
      <w:r>
        <w:rPr>
          <w:rFonts w:hint="eastAsia" w:ascii="黑体" w:hAnsi="宋体" w:eastAsia="黑体" w:cs="黑体"/>
          <w:color w:val="000000"/>
          <w:sz w:val="31"/>
          <w:szCs w:val="31"/>
        </w:rPr>
        <w:t>二、部门财政资金收支情况</w:t>
      </w:r>
    </w:p>
    <w:p>
      <w:pPr>
        <w:pStyle w:val="7"/>
        <w:keepNext w:val="0"/>
        <w:keepLines w:val="0"/>
        <w:widowControl/>
        <w:suppressLineNumbers w:val="0"/>
        <w:ind w:left="0" w:firstLine="640"/>
        <w:rPr>
          <w:rFonts w:hint="eastAsia" w:ascii="仿宋_GB2312" w:eastAsia="仿宋_GB2312" w:cs="仿宋_GB2312"/>
          <w:color w:val="000000"/>
          <w:sz w:val="31"/>
          <w:szCs w:val="31"/>
        </w:rPr>
      </w:pPr>
      <w:r>
        <w:rPr>
          <w:rFonts w:hint="eastAsia" w:ascii="仿宋_GB2312" w:eastAsia="仿宋_GB2312" w:cs="仿宋_GB2312"/>
          <w:color w:val="000000"/>
          <w:sz w:val="31"/>
          <w:szCs w:val="31"/>
        </w:rPr>
        <w:t>（一）部门财政资金收入情况。</w:t>
      </w:r>
    </w:p>
    <w:p>
      <w:pPr>
        <w:pStyle w:val="7"/>
        <w:keepNext w:val="0"/>
        <w:keepLines w:val="0"/>
        <w:widowControl/>
        <w:suppressLineNumbers w:val="0"/>
        <w:ind w:left="0" w:firstLine="640"/>
        <w:rPr>
          <w:rFonts w:hint="eastAsia" w:ascii="仿宋_GB2312" w:eastAsia="仿宋_GB2312" w:cs="仿宋_GB2312"/>
          <w:color w:val="000000"/>
          <w:sz w:val="31"/>
          <w:szCs w:val="31"/>
        </w:rPr>
      </w:pPr>
      <w:r>
        <w:rPr>
          <w:rFonts w:hint="eastAsia" w:ascii="仿宋_GB2312" w:eastAsia="仿宋_GB2312" w:cs="仿宋_GB2312"/>
          <w:color w:val="000000"/>
          <w:sz w:val="31"/>
          <w:szCs w:val="31"/>
          <w:lang w:val="en-US" w:eastAsia="zh-CN"/>
        </w:rPr>
        <w:t>2022年度财政拨款收入总决算</w:t>
      </w:r>
      <w:r>
        <w:rPr>
          <w:rFonts w:hint="eastAsia" w:ascii="仿宋_GB2312" w:eastAsia="仿宋_GB2312" w:cs="仿宋_GB2312"/>
          <w:color w:val="000000"/>
          <w:sz w:val="31"/>
          <w:szCs w:val="31"/>
        </w:rPr>
        <w:t>870.41</w:t>
      </w:r>
      <w:r>
        <w:rPr>
          <w:rFonts w:hint="eastAsia" w:ascii="仿宋_GB2312" w:eastAsia="仿宋_GB2312" w:cs="仿宋_GB2312"/>
          <w:color w:val="000000"/>
          <w:sz w:val="31"/>
          <w:szCs w:val="31"/>
          <w:lang w:val="en-US" w:eastAsia="zh-CN"/>
        </w:rPr>
        <w:t>万元：一般公共预算财政拨款收入</w:t>
      </w:r>
      <w:r>
        <w:rPr>
          <w:rFonts w:hint="eastAsia" w:ascii="仿宋_GB2312" w:eastAsia="仿宋_GB2312" w:cs="仿宋_GB2312"/>
          <w:color w:val="000000"/>
          <w:sz w:val="31"/>
          <w:szCs w:val="31"/>
        </w:rPr>
        <w:t>870.41</w:t>
      </w:r>
      <w:r>
        <w:rPr>
          <w:rFonts w:hint="eastAsia" w:ascii="仿宋_GB2312" w:eastAsia="仿宋_GB2312" w:cs="仿宋_GB2312"/>
          <w:color w:val="000000"/>
          <w:sz w:val="31"/>
          <w:szCs w:val="31"/>
          <w:lang w:val="en-US" w:eastAsia="zh-CN"/>
        </w:rPr>
        <w:t>万元，占总收入的100%；政府性基金预算财政拨款收入0元，占总收入的0%。</w:t>
      </w:r>
    </w:p>
    <w:p>
      <w:pPr>
        <w:pStyle w:val="7"/>
        <w:keepNext w:val="0"/>
        <w:keepLines w:val="0"/>
        <w:widowControl/>
        <w:suppressLineNumbers w:val="0"/>
        <w:ind w:left="0" w:firstLine="640"/>
        <w:rPr>
          <w:rFonts w:hint="eastAsia" w:ascii="仿宋_GB2312" w:eastAsia="仿宋_GB2312" w:cs="仿宋_GB2312"/>
          <w:color w:val="000000"/>
          <w:sz w:val="31"/>
          <w:szCs w:val="31"/>
        </w:rPr>
      </w:pPr>
      <w:r>
        <w:rPr>
          <w:rFonts w:hint="eastAsia" w:ascii="仿宋_GB2312" w:eastAsia="仿宋_GB2312" w:cs="仿宋_GB2312"/>
          <w:color w:val="000000"/>
          <w:sz w:val="31"/>
          <w:szCs w:val="31"/>
        </w:rPr>
        <w:t>部门财政资金支出情况。</w:t>
      </w:r>
    </w:p>
    <w:p>
      <w:pPr>
        <w:pStyle w:val="7"/>
        <w:keepNext w:val="0"/>
        <w:keepLines w:val="0"/>
        <w:widowControl/>
        <w:suppressLineNumbers w:val="0"/>
        <w:ind w:left="0" w:firstLine="640"/>
        <w:rPr>
          <w:rFonts w:hint="eastAsia" w:ascii="仿宋_GB2312" w:eastAsia="仿宋_GB2312" w:cs="仿宋_GB2312"/>
          <w:color w:val="000000"/>
          <w:sz w:val="31"/>
          <w:szCs w:val="31"/>
          <w:lang w:val="en-US" w:eastAsia="zh-CN"/>
        </w:rPr>
      </w:pPr>
      <w:r>
        <w:rPr>
          <w:rFonts w:hint="eastAsia" w:ascii="仿宋_GB2312" w:eastAsia="仿宋_GB2312" w:cs="仿宋_GB2312"/>
          <w:color w:val="000000"/>
          <w:sz w:val="31"/>
          <w:szCs w:val="31"/>
          <w:lang w:val="en-US" w:eastAsia="zh-CN"/>
        </w:rPr>
        <w:t>2022年度财政拨款总决算支出合计870.41万元，其中：基本支出447.96万元，占51.47 %；项目支出422.45万元(政府性基金支出12.07万元)，占48.53%。</w:t>
      </w:r>
    </w:p>
    <w:p>
      <w:pPr>
        <w:pStyle w:val="7"/>
        <w:keepNext w:val="0"/>
        <w:keepLines w:val="0"/>
        <w:widowControl/>
        <w:suppressLineNumbers w:val="0"/>
        <w:ind w:left="0" w:firstLine="640"/>
        <w:rPr>
          <w:rFonts w:hint="eastAsia" w:ascii="仿宋_GB2312" w:eastAsia="仿宋_GB2312" w:cs="仿宋_GB2312"/>
          <w:color w:val="000000"/>
          <w:sz w:val="31"/>
          <w:szCs w:val="31"/>
          <w:lang w:val="en-US" w:eastAsia="zh-CN"/>
        </w:rPr>
      </w:pPr>
      <w:r>
        <w:rPr>
          <w:rFonts w:hint="eastAsia" w:ascii="仿宋_GB2312" w:eastAsia="仿宋_GB2312" w:cs="仿宋_GB2312"/>
          <w:color w:val="000000"/>
          <w:sz w:val="31"/>
          <w:szCs w:val="31"/>
          <w:lang w:val="en-US" w:eastAsia="zh-CN"/>
        </w:rPr>
        <w:t>医疗保障局2022年一般公共预算财政拨款基本支出447.96万元，其中：人员经费432.37万元，主要包括：基本工资89.27万元、津贴补贴75.35万元、奖金76.39万元、绩效工资29.78万元、机关事业单位基本养老保险缴费35.51万元、职业年金缴费17.75万元、职工基本医疗保险缴费16.34万元、公务员医疗补助2.39万元、其他社会保障缴费6.14万元、生活补助0.90万元、奖励金52.11万元、住房公积金30.44万元。</w:t>
      </w:r>
    </w:p>
    <w:p>
      <w:pPr>
        <w:pStyle w:val="7"/>
        <w:keepNext w:val="0"/>
        <w:keepLines w:val="0"/>
        <w:widowControl/>
        <w:suppressLineNumbers w:val="0"/>
        <w:ind w:left="0" w:firstLine="640"/>
        <w:rPr>
          <w:rFonts w:hint="eastAsia" w:ascii="仿宋_GB2312" w:eastAsia="仿宋_GB2312" w:cs="仿宋_GB2312"/>
          <w:color w:val="000000"/>
          <w:sz w:val="31"/>
          <w:szCs w:val="31"/>
          <w:lang w:val="en-US" w:eastAsia="zh-CN"/>
        </w:rPr>
      </w:pPr>
      <w:r>
        <w:rPr>
          <w:rFonts w:hint="eastAsia" w:ascii="仿宋_GB2312" w:eastAsia="仿宋_GB2312" w:cs="仿宋_GB2312"/>
          <w:color w:val="000000"/>
          <w:sz w:val="31"/>
          <w:szCs w:val="31"/>
          <w:lang w:val="en-US" w:eastAsia="zh-CN"/>
        </w:rPr>
        <w:t>公用经费15.59万元，主要包括：办公费2.89万元、印刷费1.27万元、咨询费1万元、水费0.61万元、电费1.50万元、邮电费3.99万元、差旅费3.25万元、福利费0.15万元、公务用车运行维护费0.93万元。</w:t>
      </w:r>
    </w:p>
    <w:p>
      <w:pPr>
        <w:pStyle w:val="7"/>
        <w:keepNext w:val="0"/>
        <w:keepLines w:val="0"/>
        <w:widowControl/>
        <w:suppressLineNumbers w:val="0"/>
        <w:ind w:left="0" w:firstLine="640"/>
        <w:rPr>
          <w:rFonts w:hint="eastAsia" w:ascii="仿宋_GB2312" w:eastAsia="仿宋_GB2312" w:cs="仿宋_GB2312"/>
          <w:color w:val="000000"/>
          <w:sz w:val="31"/>
          <w:szCs w:val="31"/>
          <w:lang w:val="en-US" w:eastAsia="zh-CN"/>
        </w:rPr>
      </w:pPr>
      <w:r>
        <w:rPr>
          <w:rFonts w:hint="eastAsia" w:ascii="仿宋_GB2312" w:eastAsia="仿宋_GB2312" w:cs="仿宋_GB2312"/>
          <w:color w:val="000000"/>
          <w:sz w:val="31"/>
          <w:szCs w:val="31"/>
          <w:lang w:val="en-US" w:eastAsia="zh-CN"/>
        </w:rPr>
        <w:t>医疗保障局2022年一般公共预算财政拨款项目支出422.45万元，主要包括：培训费1.18万元、城乡医疗救助资金319.52万元、其他巩固脱贫衔接乡村振兴支出59.42万元、医疗保障经办事务30.26万元、城乡医疗救助的彩票公益金支出12.07万元。</w:t>
      </w:r>
    </w:p>
    <w:p>
      <w:pPr>
        <w:pStyle w:val="7"/>
        <w:keepNext w:val="0"/>
        <w:keepLines w:val="0"/>
        <w:widowControl/>
        <w:numPr>
          <w:ilvl w:val="0"/>
          <w:numId w:val="3"/>
        </w:numPr>
        <w:suppressLineNumbers w:val="0"/>
        <w:ind w:left="0" w:firstLine="640"/>
        <w:rPr>
          <w:rFonts w:hint="eastAsia" w:ascii="黑体" w:hAnsi="宋体" w:eastAsia="黑体" w:cs="黑体"/>
          <w:color w:val="000000"/>
          <w:sz w:val="31"/>
          <w:szCs w:val="31"/>
        </w:rPr>
      </w:pPr>
      <w:r>
        <w:rPr>
          <w:rFonts w:hint="eastAsia" w:ascii="黑体" w:hAnsi="宋体" w:eastAsia="黑体" w:cs="黑体"/>
          <w:color w:val="000000"/>
          <w:sz w:val="31"/>
          <w:szCs w:val="31"/>
        </w:rPr>
        <w:t>部门整体预算绩效管理情况</w:t>
      </w:r>
    </w:p>
    <w:p>
      <w:pPr>
        <w:pStyle w:val="7"/>
        <w:keepNext w:val="0"/>
        <w:keepLines w:val="0"/>
        <w:widowControl/>
        <w:suppressLineNumbers w:val="0"/>
        <w:ind w:left="0" w:firstLine="640"/>
        <w:rPr>
          <w:rFonts w:hint="eastAsia" w:ascii="仿宋_GB2312" w:eastAsia="仿宋_GB2312" w:cs="仿宋_GB2312"/>
          <w:color w:val="000000"/>
          <w:sz w:val="31"/>
          <w:szCs w:val="31"/>
        </w:rPr>
      </w:pPr>
      <w:r>
        <w:rPr>
          <w:rFonts w:hint="eastAsia" w:ascii="仿宋_GB2312" w:eastAsia="仿宋_GB2312" w:cs="仿宋_GB2312"/>
          <w:color w:val="000000"/>
          <w:sz w:val="31"/>
          <w:szCs w:val="31"/>
        </w:rPr>
        <w:t>（一）部门预算管理。</w:t>
      </w:r>
    </w:p>
    <w:p>
      <w:pPr>
        <w:pStyle w:val="7"/>
        <w:keepNext w:val="0"/>
        <w:keepLines w:val="0"/>
        <w:widowControl/>
        <w:suppressLineNumbers w:val="0"/>
        <w:ind w:left="0" w:firstLine="640"/>
        <w:rPr>
          <w:rFonts w:hint="eastAsia" w:ascii="仿宋_GB2312" w:eastAsia="仿宋_GB2312" w:cs="仿宋_GB2312"/>
          <w:color w:val="000000"/>
          <w:sz w:val="31"/>
          <w:szCs w:val="31"/>
          <w:lang w:val="en-US" w:eastAsia="zh-CN"/>
        </w:rPr>
      </w:pPr>
      <w:r>
        <w:rPr>
          <w:rFonts w:hint="eastAsia" w:ascii="仿宋_GB2312" w:eastAsia="仿宋_GB2312" w:cs="仿宋_GB2312"/>
          <w:color w:val="000000"/>
          <w:sz w:val="31"/>
          <w:szCs w:val="31"/>
          <w:lang w:val="en-US" w:eastAsia="zh-CN"/>
        </w:rPr>
        <w:t>项目申报严格按照上级要求，明确绩效目标，提高项目发挥作用。并</w:t>
      </w:r>
      <w:r>
        <w:rPr>
          <w:rFonts w:hint="eastAsia" w:ascii="仿宋_GB2312" w:eastAsia="仿宋_GB2312" w:cs="仿宋_GB2312"/>
          <w:color w:val="000000"/>
          <w:sz w:val="31"/>
          <w:szCs w:val="31"/>
          <w:lang w:val="zh-CN" w:eastAsia="zh-CN"/>
        </w:rPr>
        <w:t>根据财政局统一要求编制了我局整体绩效目标报告及项目整体绩效目标表，并报县财政局。</w:t>
      </w:r>
    </w:p>
    <w:p>
      <w:pPr>
        <w:pStyle w:val="7"/>
        <w:keepNext w:val="0"/>
        <w:keepLines w:val="0"/>
        <w:widowControl/>
        <w:suppressLineNumbers w:val="0"/>
        <w:ind w:left="0" w:firstLine="640"/>
        <w:rPr>
          <w:rFonts w:hint="eastAsia" w:ascii="仿宋_GB2312" w:eastAsia="仿宋_GB2312" w:cs="仿宋_GB2312"/>
          <w:color w:val="000000"/>
          <w:sz w:val="31"/>
          <w:szCs w:val="31"/>
        </w:rPr>
      </w:pPr>
      <w:r>
        <w:rPr>
          <w:rFonts w:hint="eastAsia" w:ascii="仿宋_GB2312" w:eastAsia="仿宋_GB2312" w:cs="仿宋_GB2312"/>
          <w:color w:val="000000"/>
          <w:sz w:val="31"/>
          <w:szCs w:val="31"/>
        </w:rPr>
        <w:t>（二）结果应用情况。</w:t>
      </w:r>
    </w:p>
    <w:p>
      <w:pPr>
        <w:pStyle w:val="7"/>
        <w:keepNext w:val="0"/>
        <w:keepLines w:val="0"/>
        <w:widowControl/>
        <w:suppressLineNumbers w:val="0"/>
        <w:ind w:left="0" w:firstLine="640"/>
        <w:rPr>
          <w:rFonts w:hint="eastAsia" w:ascii="仿宋_GB2312" w:eastAsia="仿宋_GB2312" w:cs="仿宋_GB2312"/>
          <w:color w:val="000000"/>
          <w:sz w:val="31"/>
          <w:szCs w:val="31"/>
          <w:lang w:val="zh-CN" w:eastAsia="zh-CN"/>
        </w:rPr>
      </w:pPr>
      <w:r>
        <w:rPr>
          <w:rFonts w:hint="eastAsia" w:ascii="仿宋_GB2312" w:eastAsia="仿宋_GB2312" w:cs="仿宋_GB2312"/>
          <w:color w:val="000000"/>
          <w:sz w:val="31"/>
          <w:szCs w:val="31"/>
          <w:lang w:val="zh-CN" w:eastAsia="zh-CN"/>
        </w:rPr>
        <w:t>在预算分配执行上严格按照“三公”经费使用规定而进行编制，在执行进度上，由于部分资金到位迟，另外又要根据当年项目资金实施方案要求以及地方实施的实际开展情况避免的风险评估而编制预算，因此目前进度缓慢，但目前实施方案和预算已规划完成，下一步会进一步加快资金支付进度。</w:t>
      </w:r>
    </w:p>
    <w:p>
      <w:pPr>
        <w:pStyle w:val="7"/>
        <w:keepNext w:val="0"/>
        <w:keepLines w:val="0"/>
        <w:widowControl/>
        <w:suppressLineNumbers w:val="0"/>
        <w:ind w:left="0" w:firstLine="640"/>
        <w:rPr>
          <w:rFonts w:hint="eastAsia" w:ascii="仿宋_GB2312" w:eastAsia="仿宋_GB2312" w:cs="仿宋_GB2312"/>
          <w:color w:val="000000"/>
          <w:sz w:val="31"/>
          <w:szCs w:val="31"/>
          <w:lang w:val="zh-CN" w:eastAsia="zh-CN"/>
        </w:rPr>
      </w:pPr>
      <w:r>
        <w:rPr>
          <w:rFonts w:hint="eastAsia" w:ascii="仿宋_GB2312" w:eastAsia="仿宋_GB2312" w:cs="仿宋_GB2312"/>
          <w:color w:val="000000"/>
          <w:sz w:val="31"/>
          <w:szCs w:val="31"/>
          <w:lang w:val="zh-CN" w:eastAsia="zh-CN"/>
        </w:rPr>
        <w:t>中心无政府债务，另外执行的非税收入收费已取消，无非税收入；在项目实施采购类方面会严格按照政府采购流程进行采购，涉及办公设备和专用设备购置，进行资产财务入账资产管理登记，按时进行单位财务信息公开，接受财政和审计监督。</w:t>
      </w:r>
    </w:p>
    <w:p>
      <w:pPr>
        <w:pStyle w:val="7"/>
        <w:keepNext w:val="0"/>
        <w:keepLines w:val="0"/>
        <w:widowControl/>
        <w:suppressLineNumbers w:val="0"/>
        <w:ind w:left="0" w:firstLine="640"/>
        <w:rPr>
          <w:rFonts w:hint="eastAsia" w:ascii="仿宋_GB2312" w:eastAsia="仿宋_GB2312" w:cs="仿宋_GB2312"/>
          <w:color w:val="000000"/>
          <w:sz w:val="31"/>
          <w:szCs w:val="31"/>
          <w:lang w:val="zh-CN" w:eastAsia="zh-CN"/>
        </w:rPr>
      </w:pPr>
      <w:r>
        <w:rPr>
          <w:rFonts w:hint="eastAsia" w:ascii="仿宋_GB2312" w:eastAsia="仿宋_GB2312" w:cs="仿宋_GB2312"/>
          <w:color w:val="000000"/>
          <w:sz w:val="31"/>
          <w:szCs w:val="31"/>
          <w:lang w:val="zh-CN" w:eastAsia="zh-CN"/>
        </w:rPr>
        <w:t>我</w:t>
      </w:r>
      <w:r>
        <w:rPr>
          <w:rFonts w:hint="eastAsia" w:ascii="仿宋_GB2312" w:eastAsia="仿宋_GB2312" w:cs="仿宋_GB2312"/>
          <w:color w:val="000000"/>
          <w:sz w:val="31"/>
          <w:szCs w:val="31"/>
          <w:lang w:val="en-US" w:eastAsia="zh-CN"/>
        </w:rPr>
        <w:t>单位</w:t>
      </w:r>
      <w:r>
        <w:rPr>
          <w:rFonts w:hint="eastAsia" w:ascii="仿宋_GB2312" w:eastAsia="仿宋_GB2312" w:cs="仿宋_GB2312"/>
          <w:color w:val="000000"/>
          <w:sz w:val="31"/>
          <w:szCs w:val="31"/>
          <w:lang w:val="zh-CN" w:eastAsia="zh-CN"/>
        </w:rPr>
        <w:t>按照规定完全履行职责，整体评价良好，服务对象基本满意从预算执行来情况看，预算资金覆盖我</w:t>
      </w:r>
      <w:r>
        <w:rPr>
          <w:rFonts w:hint="eastAsia" w:ascii="仿宋_GB2312" w:eastAsia="仿宋_GB2312" w:cs="仿宋_GB2312"/>
          <w:color w:val="000000"/>
          <w:sz w:val="31"/>
          <w:szCs w:val="31"/>
          <w:lang w:val="en-US" w:eastAsia="zh-CN"/>
        </w:rPr>
        <w:t>单位</w:t>
      </w:r>
      <w:r>
        <w:rPr>
          <w:rFonts w:hint="eastAsia" w:ascii="仿宋_GB2312" w:eastAsia="仿宋_GB2312" w:cs="仿宋_GB2312"/>
          <w:color w:val="000000"/>
          <w:sz w:val="31"/>
          <w:szCs w:val="31"/>
          <w:lang w:val="zh-CN" w:eastAsia="zh-CN"/>
        </w:rPr>
        <w:t>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pStyle w:val="7"/>
        <w:keepNext w:val="0"/>
        <w:keepLines w:val="0"/>
        <w:widowControl/>
        <w:suppressLineNumbers w:val="0"/>
        <w:ind w:left="0" w:firstLine="640"/>
      </w:pPr>
      <w:r>
        <w:rPr>
          <w:rFonts w:hint="eastAsia" w:ascii="黑体" w:hAnsi="宋体" w:eastAsia="黑体" w:cs="黑体"/>
          <w:color w:val="000000"/>
          <w:sz w:val="31"/>
          <w:szCs w:val="31"/>
        </w:rPr>
        <w:t>四、评价结论及建议</w:t>
      </w:r>
    </w:p>
    <w:p>
      <w:pPr>
        <w:pStyle w:val="7"/>
        <w:keepNext w:val="0"/>
        <w:keepLines w:val="0"/>
        <w:widowControl/>
        <w:suppressLineNumbers w:val="0"/>
        <w:ind w:left="0" w:firstLine="640"/>
        <w:rPr>
          <w:rFonts w:hint="eastAsia" w:ascii="仿宋_GB2312" w:eastAsia="仿宋_GB2312" w:cs="仿宋_GB2312"/>
          <w:color w:val="000000"/>
          <w:sz w:val="31"/>
          <w:szCs w:val="31"/>
        </w:rPr>
      </w:pPr>
      <w:r>
        <w:rPr>
          <w:rFonts w:hint="eastAsia" w:ascii="仿宋_GB2312" w:eastAsia="仿宋_GB2312" w:cs="仿宋_GB2312"/>
          <w:color w:val="000000"/>
          <w:sz w:val="31"/>
          <w:szCs w:val="31"/>
        </w:rPr>
        <w:t>（一）评价结论。</w:t>
      </w:r>
    </w:p>
    <w:p>
      <w:pPr>
        <w:pStyle w:val="7"/>
        <w:keepNext w:val="0"/>
        <w:keepLines w:val="0"/>
        <w:widowControl/>
        <w:suppressLineNumbers w:val="0"/>
        <w:ind w:left="0" w:firstLine="640"/>
        <w:rPr>
          <w:rFonts w:hint="eastAsia" w:ascii="仿宋_GB2312" w:eastAsia="仿宋_GB2312" w:cs="仿宋_GB2312"/>
          <w:color w:val="000000"/>
          <w:sz w:val="31"/>
          <w:szCs w:val="31"/>
        </w:rPr>
      </w:pPr>
      <w:r>
        <w:rPr>
          <w:rFonts w:hint="eastAsia" w:ascii="仿宋_GB2312" w:hAnsi="宋体" w:eastAsia="仿宋_GB2312" w:cs="仿宋_GB2312"/>
          <w:color w:val="000000"/>
          <w:kern w:val="0"/>
          <w:sz w:val="31"/>
          <w:szCs w:val="31"/>
          <w:lang w:val="en-US" w:eastAsia="zh-CN" w:bidi="ar"/>
        </w:rPr>
        <w:t>我单位</w:t>
      </w:r>
      <w:r>
        <w:rPr>
          <w:rFonts w:hint="eastAsia" w:ascii="仿宋_GB2312" w:hAnsi="宋体" w:eastAsia="仿宋_GB2312" w:cs="仿宋_GB2312"/>
          <w:color w:val="000000"/>
          <w:kern w:val="0"/>
          <w:sz w:val="31"/>
          <w:szCs w:val="31"/>
          <w:lang w:val="zh-CN" w:eastAsia="zh-CN" w:bidi="ar"/>
        </w:rPr>
        <w:t>扎扎实实地做好</w:t>
      </w:r>
      <w:r>
        <w:rPr>
          <w:rFonts w:hint="eastAsia" w:ascii="仿宋_GB2312" w:hAnsi="宋体" w:eastAsia="仿宋_GB2312" w:cs="仿宋_GB2312"/>
          <w:color w:val="000000"/>
          <w:kern w:val="0"/>
          <w:sz w:val="31"/>
          <w:szCs w:val="31"/>
          <w:lang w:val="en-US" w:eastAsia="zh-CN" w:bidi="ar"/>
        </w:rPr>
        <w:t>了</w:t>
      </w:r>
      <w:r>
        <w:rPr>
          <w:rFonts w:hint="eastAsia" w:ascii="仿宋_GB2312" w:hAnsi="宋体" w:eastAsia="仿宋_GB2312" w:cs="仿宋_GB2312"/>
          <w:color w:val="000000"/>
          <w:kern w:val="0"/>
          <w:sz w:val="31"/>
          <w:szCs w:val="31"/>
          <w:lang w:val="zh-CN" w:eastAsia="zh-CN" w:bidi="ar"/>
        </w:rPr>
        <w:t>各项</w:t>
      </w:r>
      <w:r>
        <w:rPr>
          <w:rFonts w:hint="eastAsia" w:ascii="仿宋_GB2312" w:hAnsi="宋体" w:eastAsia="仿宋_GB2312" w:cs="仿宋_GB2312"/>
          <w:color w:val="000000"/>
          <w:kern w:val="0"/>
          <w:sz w:val="31"/>
          <w:szCs w:val="31"/>
          <w:lang w:val="en-US" w:eastAsia="zh-CN" w:bidi="ar"/>
        </w:rPr>
        <w:t>医保</w:t>
      </w:r>
      <w:r>
        <w:rPr>
          <w:rFonts w:hint="eastAsia" w:ascii="仿宋_GB2312" w:hAnsi="宋体" w:eastAsia="仿宋_GB2312" w:cs="仿宋_GB2312"/>
          <w:color w:val="000000"/>
          <w:kern w:val="0"/>
          <w:sz w:val="31"/>
          <w:szCs w:val="31"/>
          <w:lang w:val="zh-CN" w:eastAsia="zh-CN" w:bidi="ar"/>
        </w:rPr>
        <w:t>工作，部门预算执行情况良好，无不良记录及违规违纪行为，预算支出和决算支出情况相符。</w:t>
      </w:r>
      <w:r>
        <w:rPr>
          <w:rFonts w:hint="eastAsia" w:ascii="宋体" w:hAnsi="宋体" w:cs="宋体"/>
          <w:bCs/>
          <w:color w:val="000000" w:themeColor="text1"/>
          <w:kern w:val="0"/>
          <w:sz w:val="32"/>
          <w:szCs w:val="32"/>
          <w:lang w:val="en-US" w:eastAsia="zh-CN" w:bidi="ar-SA"/>
        </w:rPr>
        <w:t xml:space="preserve"> </w:t>
      </w:r>
    </w:p>
    <w:p>
      <w:pPr>
        <w:pStyle w:val="7"/>
        <w:keepNext w:val="0"/>
        <w:keepLines w:val="0"/>
        <w:widowControl/>
        <w:numPr>
          <w:ilvl w:val="0"/>
          <w:numId w:val="0"/>
        </w:numPr>
        <w:suppressLineNumbers w:val="0"/>
        <w:ind w:left="640" w:leftChars="0"/>
        <w:rPr>
          <w:rFonts w:hint="eastAsia" w:ascii="仿宋_GB2312" w:eastAsia="仿宋_GB2312" w:cs="仿宋_GB2312"/>
          <w:color w:val="000000"/>
          <w:sz w:val="31"/>
          <w:szCs w:val="31"/>
        </w:rPr>
      </w:pPr>
      <w:r>
        <w:rPr>
          <w:rFonts w:hint="eastAsia" w:ascii="仿宋_GB2312" w:eastAsia="仿宋_GB2312" w:cs="仿宋_GB2312"/>
          <w:color w:val="000000"/>
          <w:sz w:val="31"/>
          <w:szCs w:val="31"/>
          <w:lang w:eastAsia="zh-CN"/>
        </w:rPr>
        <w:t>（</w:t>
      </w:r>
      <w:r>
        <w:rPr>
          <w:rFonts w:hint="eastAsia" w:ascii="仿宋_GB2312" w:eastAsia="仿宋_GB2312" w:cs="仿宋_GB2312"/>
          <w:color w:val="000000"/>
          <w:sz w:val="31"/>
          <w:szCs w:val="31"/>
          <w:lang w:val="en-US" w:eastAsia="zh-CN"/>
        </w:rPr>
        <w:t>二</w:t>
      </w:r>
      <w:r>
        <w:rPr>
          <w:rFonts w:hint="eastAsia" w:ascii="仿宋_GB2312" w:eastAsia="仿宋_GB2312" w:cs="仿宋_GB2312"/>
          <w:color w:val="000000"/>
          <w:sz w:val="31"/>
          <w:szCs w:val="31"/>
          <w:lang w:eastAsia="zh-CN"/>
        </w:rPr>
        <w:t>）</w:t>
      </w:r>
      <w:r>
        <w:rPr>
          <w:rFonts w:hint="eastAsia" w:ascii="仿宋_GB2312" w:eastAsia="仿宋_GB2312" w:cs="仿宋_GB2312"/>
          <w:color w:val="000000"/>
          <w:sz w:val="31"/>
          <w:szCs w:val="31"/>
        </w:rPr>
        <w:t>存在问题。</w:t>
      </w:r>
    </w:p>
    <w:p>
      <w:pPr>
        <w:pStyle w:val="7"/>
        <w:keepNext w:val="0"/>
        <w:keepLines w:val="0"/>
        <w:widowControl/>
        <w:numPr>
          <w:ilvl w:val="0"/>
          <w:numId w:val="0"/>
        </w:numPr>
        <w:suppressLineNumbers w:val="0"/>
        <w:ind w:firstLine="620" w:firstLineChars="200"/>
        <w:rPr>
          <w:rFonts w:hint="eastAsia" w:ascii="仿宋_GB2312" w:eastAsia="仿宋_GB2312" w:cs="仿宋_GB2312"/>
          <w:color w:val="000000"/>
          <w:sz w:val="31"/>
          <w:szCs w:val="31"/>
        </w:rPr>
      </w:pPr>
      <w:r>
        <w:rPr>
          <w:rFonts w:hint="eastAsia" w:ascii="仿宋_GB2312" w:hAnsi="宋体" w:eastAsia="仿宋_GB2312" w:cs="仿宋_GB2312"/>
          <w:color w:val="000000"/>
          <w:kern w:val="0"/>
          <w:sz w:val="31"/>
          <w:szCs w:val="31"/>
          <w:lang w:val="zh-CN" w:eastAsia="zh-CN" w:bidi="ar"/>
        </w:rPr>
        <w:t>一是预算经费支出进度较缓，项目预算处理效率还需继续提升；二是</w:t>
      </w:r>
      <w:r>
        <w:rPr>
          <w:rFonts w:hint="eastAsia" w:ascii="仿宋_GB2312" w:hAnsi="宋体" w:eastAsia="仿宋_GB2312" w:cs="仿宋_GB2312"/>
          <w:color w:val="000000"/>
          <w:kern w:val="0"/>
          <w:sz w:val="31"/>
          <w:szCs w:val="31"/>
          <w:lang w:val="en-US" w:eastAsia="zh-CN" w:bidi="ar"/>
        </w:rPr>
        <w:t>因各医疗机构大型检查设备及诊疗项目的不断增加和应用，导致医疗费用呈增长较快的趋势</w:t>
      </w:r>
      <w:r>
        <w:rPr>
          <w:rFonts w:hint="eastAsia" w:ascii="仿宋_GB2312" w:hAnsi="宋体" w:eastAsia="仿宋_GB2312" w:cs="仿宋_GB2312"/>
          <w:color w:val="000000"/>
          <w:kern w:val="0"/>
          <w:sz w:val="31"/>
          <w:szCs w:val="31"/>
          <w:lang w:val="zh-CN" w:eastAsia="zh-CN" w:bidi="ar"/>
        </w:rPr>
        <w:t>。三</w:t>
      </w:r>
      <w:r>
        <w:rPr>
          <w:rFonts w:hint="eastAsia" w:ascii="仿宋_GB2312" w:hAnsi="宋体" w:eastAsia="仿宋_GB2312" w:cs="仿宋_GB2312"/>
          <w:color w:val="000000"/>
          <w:kern w:val="0"/>
          <w:sz w:val="31"/>
          <w:szCs w:val="31"/>
          <w:lang w:val="en-US" w:eastAsia="zh-CN" w:bidi="ar"/>
        </w:rPr>
        <w:t>是县级医疗机构业务水平不高，不能满足患者日益增长的医疗需求，到州外就诊住院人次增加，医疗费用相对增加。</w:t>
      </w:r>
    </w:p>
    <w:p>
      <w:pPr>
        <w:numPr>
          <w:ilvl w:val="0"/>
          <w:numId w:val="4"/>
        </w:numPr>
        <w:ind w:left="0" w:leftChars="0" w:firstLine="640" w:firstLineChars="0"/>
        <w:rPr>
          <w:rFonts w:hint="eastAsia" w:ascii="仿宋_GB2312" w:eastAsia="仿宋_GB2312" w:cs="仿宋_GB2312"/>
          <w:color w:val="000000"/>
          <w:sz w:val="31"/>
          <w:szCs w:val="31"/>
        </w:rPr>
      </w:pPr>
      <w:r>
        <w:rPr>
          <w:rFonts w:hint="eastAsia" w:ascii="仿宋_GB2312" w:eastAsia="仿宋_GB2312" w:cs="仿宋_GB2312"/>
          <w:color w:val="000000"/>
          <w:sz w:val="31"/>
          <w:szCs w:val="31"/>
        </w:rPr>
        <w:t>改进建议</w:t>
      </w:r>
    </w:p>
    <w:p>
      <w:pPr>
        <w:keepNext w:val="0"/>
        <w:keepLines w:val="0"/>
        <w:pageBreakBefore w:val="0"/>
        <w:kinsoku/>
        <w:wordWrap/>
        <w:overflowPunct/>
        <w:topLinePunct w:val="0"/>
        <w:autoSpaceDE/>
        <w:autoSpaceDN/>
        <w:bidi w:val="0"/>
        <w:adjustRightInd w:val="0"/>
        <w:snapToGrid w:val="0"/>
        <w:spacing w:after="95" w:afterLines="30" w:line="600" w:lineRule="atLeast"/>
        <w:ind w:firstLine="620" w:firstLineChars="200"/>
        <w:textAlignment w:val="auto"/>
        <w:rPr>
          <w:rFonts w:hint="eastAsia" w:ascii="仿宋_GB2312" w:hAnsi="宋体" w:eastAsia="仿宋_GB2312" w:cs="仿宋_GB2312"/>
          <w:color w:val="000000"/>
          <w:kern w:val="0"/>
          <w:sz w:val="31"/>
          <w:szCs w:val="31"/>
          <w:lang w:val="zh-CN" w:eastAsia="zh-CN" w:bidi="ar"/>
        </w:rPr>
      </w:pPr>
      <w:r>
        <w:rPr>
          <w:rFonts w:hint="eastAsia" w:ascii="仿宋_GB2312" w:hAnsi="宋体" w:eastAsia="仿宋_GB2312" w:cs="仿宋_GB2312"/>
          <w:color w:val="000000"/>
          <w:kern w:val="0"/>
          <w:sz w:val="31"/>
          <w:szCs w:val="31"/>
          <w:lang w:val="zh-CN" w:eastAsia="zh-CN" w:bidi="ar"/>
        </w:rPr>
        <w:t>加快完成机关财务管理规章制度建设、加强会计核算和财务管理能力，及时与财政局相关科室对接工作，提升工作效率。</w:t>
      </w:r>
    </w:p>
    <w:p>
      <w:pPr>
        <w:jc w:val="center"/>
        <w:rPr>
          <w:rFonts w:hint="eastAsia" w:ascii="宋体" w:hAnsi="宋体" w:eastAsia="宋体" w:cs="宋体"/>
          <w:b/>
          <w:bCs/>
          <w:sz w:val="32"/>
          <w:szCs w:val="32"/>
          <w:lang w:val="en-US" w:eastAsia="zh-CN"/>
        </w:rPr>
      </w:pPr>
    </w:p>
    <w:p>
      <w:pPr>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eastAsia="zh-CN"/>
        </w:rPr>
        <w:t>第五部分</w:t>
      </w:r>
      <w:r>
        <w:rPr>
          <w:rFonts w:hint="eastAsia" w:ascii="宋体" w:hAnsi="宋体" w:eastAsia="宋体" w:cs="宋体"/>
          <w:b/>
          <w:bCs/>
          <w:sz w:val="32"/>
          <w:szCs w:val="32"/>
          <w:lang w:val="en-US" w:eastAsia="zh-CN"/>
        </w:rPr>
        <w:t xml:space="preserve"> 附表</w:t>
      </w:r>
    </w:p>
    <w:p>
      <w:pPr>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一、收入支出决算总表</w:t>
      </w:r>
    </w:p>
    <w:p>
      <w:pPr>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二、收入决算表</w:t>
      </w:r>
    </w:p>
    <w:p>
      <w:pPr>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三、支出决算表</w:t>
      </w:r>
    </w:p>
    <w:p>
      <w:pPr>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四、财政拨款收入支出决算总表</w:t>
      </w:r>
    </w:p>
    <w:p>
      <w:pPr>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五、财政拨款收入支出决算明细表</w:t>
      </w:r>
    </w:p>
    <w:p>
      <w:pPr>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六、一般公共预算财政拨款支出决算表</w:t>
      </w:r>
    </w:p>
    <w:p>
      <w:pPr>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七、一般公共预算财政拨款支出决算明细表</w:t>
      </w:r>
    </w:p>
    <w:p>
      <w:pPr>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八、一般公共预算财政拨款基本支出决算表</w:t>
      </w:r>
    </w:p>
    <w:p>
      <w:pPr>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九、一般公共预算财政拨款项目支出决算表</w:t>
      </w:r>
    </w:p>
    <w:p>
      <w:pPr>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十、政府性基金预算财政拨款支出决算表</w:t>
      </w:r>
    </w:p>
    <w:p>
      <w:pPr>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十一、国有资本经营预算财政拨款收入支出决算表</w:t>
      </w:r>
    </w:p>
    <w:p>
      <w:pPr>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十二、国有资本经营预算财政拨款支出决算表</w:t>
      </w:r>
    </w:p>
    <w:p>
      <w:pPr>
        <w:ind w:firstLine="620" w:firstLineChars="200"/>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十三、财政拨款“三公经</w:t>
      </w:r>
      <w:bookmarkStart w:id="0" w:name="_GoBack"/>
      <w:bookmarkEnd w:id="0"/>
      <w:r>
        <w:rPr>
          <w:rFonts w:hint="eastAsia" w:ascii="仿宋_GB2312" w:hAnsi="宋体" w:eastAsia="仿宋_GB2312" w:cs="仿宋_GB2312"/>
          <w:color w:val="000000"/>
          <w:kern w:val="0"/>
          <w:sz w:val="31"/>
          <w:szCs w:val="31"/>
          <w:lang w:val="en-US" w:eastAsia="zh-CN" w:bidi="ar"/>
        </w:rPr>
        <w:t>费”支出决算表</w:t>
      </w:r>
    </w:p>
    <w:p>
      <w:pPr>
        <w:rPr>
          <w:rFonts w:hint="eastAsia" w:ascii="仿宋_GB2312" w:hAnsi="宋体" w:eastAsia="仿宋_GB2312" w:cs="仿宋_GB2312"/>
          <w:color w:val="000000"/>
          <w:kern w:val="0"/>
          <w:sz w:val="31"/>
          <w:szCs w:val="31"/>
          <w:lang w:val="en-US" w:eastAsia="zh-CN" w:bidi="ar"/>
        </w:rPr>
      </w:pPr>
    </w:p>
    <w:p>
      <w:pPr>
        <w:rPr>
          <w:rFonts w:hint="eastAsia" w:ascii="宋体" w:hAnsi="宋体" w:eastAsia="宋体" w:cs="宋体"/>
          <w:kern w:val="0"/>
          <w:sz w:val="32"/>
          <w:szCs w:val="32"/>
        </w:rPr>
      </w:pPr>
    </w:p>
    <w:p>
      <w:pPr>
        <w:ind w:firstLine="640" w:firstLineChars="200"/>
        <w:rPr>
          <w:rFonts w:hint="eastAsia" w:ascii="宋体" w:hAnsi="宋体" w:eastAsia="宋体" w:cs="宋体"/>
          <w:kern w:val="0"/>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pPr>
                  <w:pStyle w:val="4"/>
                </w:pPr>
                <w:r>
                  <w:fldChar w:fldCharType="begin"/>
                </w:r>
                <w:r>
                  <w:instrText xml:space="preserve"> PAGE  \* MERGEFORMAT </w:instrText>
                </w:r>
                <w:r>
                  <w:fldChar w:fldCharType="separate"/>
                </w:r>
                <w:r>
                  <w:t>7</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131327"/>
    <w:multiLevelType w:val="singleLevel"/>
    <w:tmpl w:val="D4131327"/>
    <w:lvl w:ilvl="0" w:tentative="0">
      <w:start w:val="3"/>
      <w:numFmt w:val="chineseCounting"/>
      <w:suff w:val="space"/>
      <w:lvlText w:val="第%1部分"/>
      <w:lvlJc w:val="left"/>
      <w:rPr>
        <w:rFonts w:hint="eastAsia"/>
      </w:rPr>
    </w:lvl>
  </w:abstractNum>
  <w:abstractNum w:abstractNumId="1">
    <w:nsid w:val="0DF44018"/>
    <w:multiLevelType w:val="singleLevel"/>
    <w:tmpl w:val="0DF44018"/>
    <w:lvl w:ilvl="0" w:tentative="0">
      <w:start w:val="3"/>
      <w:numFmt w:val="chineseCounting"/>
      <w:suff w:val="nothing"/>
      <w:lvlText w:val="%1、"/>
      <w:lvlJc w:val="left"/>
      <w:rPr>
        <w:rFonts w:hint="eastAsia"/>
      </w:rPr>
    </w:lvl>
  </w:abstractNum>
  <w:abstractNum w:abstractNumId="2">
    <w:nsid w:val="1B380611"/>
    <w:multiLevelType w:val="multilevel"/>
    <w:tmpl w:val="1B380611"/>
    <w:lvl w:ilvl="0" w:tentative="0">
      <w:start w:val="2"/>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4445EF3E"/>
    <w:multiLevelType w:val="singleLevel"/>
    <w:tmpl w:val="4445EF3E"/>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docVars>
    <w:docVar w:name="commondata" w:val="eyJoZGlkIjoiYTE4ZDI4ODNhYmU1NDMzYzU3Y2IxNmQxMGU4Yjg1NmUifQ=="/>
  </w:docVars>
  <w:rsids>
    <w:rsidRoot w:val="0011706B"/>
    <w:rsid w:val="000B55D3"/>
    <w:rsid w:val="0011706B"/>
    <w:rsid w:val="001541E3"/>
    <w:rsid w:val="00A32E2F"/>
    <w:rsid w:val="00E80524"/>
    <w:rsid w:val="030038E1"/>
    <w:rsid w:val="09C666CC"/>
    <w:rsid w:val="14501B4C"/>
    <w:rsid w:val="20281085"/>
    <w:rsid w:val="22356CBE"/>
    <w:rsid w:val="2AE626C1"/>
    <w:rsid w:val="2BCD18F9"/>
    <w:rsid w:val="2F415E54"/>
    <w:rsid w:val="2FB14083"/>
    <w:rsid w:val="321877EA"/>
    <w:rsid w:val="33E17E54"/>
    <w:rsid w:val="341E0917"/>
    <w:rsid w:val="3B8B29BF"/>
    <w:rsid w:val="3F7931F7"/>
    <w:rsid w:val="40542AF7"/>
    <w:rsid w:val="435B6F9A"/>
    <w:rsid w:val="4554545B"/>
    <w:rsid w:val="457039DC"/>
    <w:rsid w:val="4CB24D62"/>
    <w:rsid w:val="4D8B5889"/>
    <w:rsid w:val="4E2977C4"/>
    <w:rsid w:val="4EAA1A98"/>
    <w:rsid w:val="5BD02B3D"/>
    <w:rsid w:val="5D247F9E"/>
    <w:rsid w:val="65474BE1"/>
    <w:rsid w:val="674C0AD9"/>
    <w:rsid w:val="693C209C"/>
    <w:rsid w:val="6B6C36BD"/>
    <w:rsid w:val="6F676E4E"/>
    <w:rsid w:val="738F4E84"/>
    <w:rsid w:val="78882890"/>
    <w:rsid w:val="7FC562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0"/>
    <w:pPr>
      <w:spacing w:beforeLines="30"/>
    </w:pPr>
    <w:rPr>
      <w:rFonts w:hint="eastAsia" w:ascii="仿宋_GB2312" w:hAnsi="Times New Roman" w:eastAsia="仿宋_GB2312" w:cs="Times New Roman"/>
      <w:kern w:val="0"/>
      <w:sz w:val="30"/>
    </w:rPr>
  </w:style>
  <w:style w:type="paragraph" w:styleId="3">
    <w:name w:val="Balloon Text"/>
    <w:basedOn w:val="1"/>
    <w:link w:val="18"/>
    <w:qFormat/>
    <w:uiPriority w:val="0"/>
    <w:rPr>
      <w:sz w:val="18"/>
      <w:szCs w:val="18"/>
    </w:rPr>
  </w:style>
  <w:style w:type="paragraph" w:styleId="4">
    <w:name w:val="footer"/>
    <w:basedOn w:val="1"/>
    <w:link w:val="14"/>
    <w:uiPriority w:val="0"/>
    <w:pPr>
      <w:tabs>
        <w:tab w:val="center" w:pos="4153"/>
        <w:tab w:val="right" w:pos="8306"/>
      </w:tabs>
      <w:snapToGrid w:val="0"/>
      <w:jc w:val="left"/>
    </w:pPr>
    <w:rPr>
      <w:sz w:val="18"/>
    </w:rPr>
  </w:style>
  <w:style w:type="paragraph" w:styleId="5">
    <w:name w:val="header"/>
    <w:basedOn w:val="1"/>
    <w:link w:val="1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table of figures"/>
    <w:basedOn w:val="1"/>
    <w:next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before="100" w:beforeAutospacing="1" w:after="100" w:afterAutospacing="1" w:line="240" w:lineRule="auto"/>
      <w:ind w:left="400" w:leftChars="200" w:right="0" w:hanging="200" w:hangingChars="200"/>
      <w:jc w:val="both"/>
      <w:textAlignment w:val="auto"/>
      <w:outlineLvl w:val="9"/>
    </w:pPr>
    <w:rPr>
      <w:rFonts w:ascii="Calibri" w:hAnsi="Calibri" w:eastAsia="宋体" w:cs="Times New Roman"/>
      <w:snapToGrid/>
      <w:color w:val="auto"/>
      <w:spacing w:val="0"/>
      <w:w w:val="100"/>
      <w:kern w:val="2"/>
      <w:position w:val="0"/>
      <w:sz w:val="21"/>
      <w:szCs w:val="21"/>
      <w:u w:val="none" w:color="auto"/>
      <w:vertAlign w:val="baseline"/>
      <w:lang w:val="en-US" w:eastAsia="zh-CN" w:bidi="ar-SA"/>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10">
    <w:name w:val="Strong"/>
    <w:basedOn w:val="9"/>
    <w:qFormat/>
    <w:uiPriority w:val="0"/>
    <w:rPr>
      <w:b/>
    </w:rPr>
  </w:style>
  <w:style w:type="paragraph" w:customStyle="1" w:styleId="11">
    <w:name w:val="Default"/>
    <w:basedOn w:val="1"/>
    <w:qFormat/>
    <w:uiPriority w:val="0"/>
    <w:pPr>
      <w:autoSpaceDE w:val="0"/>
      <w:autoSpaceDN w:val="0"/>
      <w:adjustRightInd w:val="0"/>
      <w:jc w:val="left"/>
    </w:pPr>
    <w:rPr>
      <w:rFonts w:hint="eastAsia" w:ascii="仿宋" w:hAnsi="Calibri" w:eastAsia="仿宋" w:cs="Times New Roman"/>
      <w:color w:val="000000"/>
      <w:kern w:val="0"/>
      <w:sz w:val="24"/>
    </w:rPr>
  </w:style>
  <w:style w:type="character" w:customStyle="1" w:styleId="12">
    <w:name w:val="正文文本 Char"/>
    <w:basedOn w:val="9"/>
    <w:link w:val="2"/>
    <w:qFormat/>
    <w:uiPriority w:val="0"/>
    <w:rPr>
      <w:rFonts w:hint="eastAsia" w:ascii="仿宋_GB2312" w:hAnsi="Times New Roman" w:eastAsia="仿宋_GB2312" w:cs="仿宋_GB2312"/>
      <w:sz w:val="30"/>
      <w:szCs w:val="24"/>
    </w:rPr>
  </w:style>
  <w:style w:type="character" w:customStyle="1" w:styleId="13">
    <w:name w:val="页脚 字符1"/>
    <w:basedOn w:val="9"/>
    <w:qFormat/>
    <w:uiPriority w:val="0"/>
    <w:rPr>
      <w:rFonts w:hint="default" w:ascii="Times New Roman" w:hAnsi="Times New Roman" w:cs="Times New Roman"/>
      <w:kern w:val="2"/>
      <w:sz w:val="18"/>
      <w:szCs w:val="18"/>
    </w:rPr>
  </w:style>
  <w:style w:type="character" w:customStyle="1" w:styleId="14">
    <w:name w:val="页脚 Char"/>
    <w:basedOn w:val="9"/>
    <w:link w:val="4"/>
    <w:qFormat/>
    <w:uiPriority w:val="0"/>
    <w:rPr>
      <w:sz w:val="18"/>
      <w:szCs w:val="18"/>
    </w:rPr>
  </w:style>
  <w:style w:type="character" w:customStyle="1" w:styleId="15">
    <w:name w:val="页眉 Char"/>
    <w:basedOn w:val="9"/>
    <w:link w:val="5"/>
    <w:qFormat/>
    <w:uiPriority w:val="0"/>
    <w:rPr>
      <w:sz w:val="18"/>
      <w:szCs w:val="18"/>
    </w:rPr>
  </w:style>
  <w:style w:type="character" w:customStyle="1" w:styleId="16">
    <w:name w:val="正文文本 字符1"/>
    <w:basedOn w:val="9"/>
    <w:qFormat/>
    <w:uiPriority w:val="0"/>
    <w:rPr>
      <w:rFonts w:hint="default" w:ascii="Times New Roman" w:hAnsi="Times New Roman" w:cs="Times New Roman"/>
      <w:kern w:val="2"/>
      <w:sz w:val="21"/>
      <w:szCs w:val="24"/>
    </w:rPr>
  </w:style>
  <w:style w:type="character" w:customStyle="1" w:styleId="17">
    <w:name w:val="页眉 字符1"/>
    <w:basedOn w:val="9"/>
    <w:uiPriority w:val="0"/>
    <w:rPr>
      <w:rFonts w:hint="default" w:ascii="Times New Roman" w:hAnsi="Times New Roman" w:cs="Times New Roman"/>
      <w:kern w:val="2"/>
      <w:sz w:val="18"/>
      <w:szCs w:val="18"/>
    </w:rPr>
  </w:style>
  <w:style w:type="character" w:customStyle="1" w:styleId="18">
    <w:name w:val="批注框文本 Char"/>
    <w:basedOn w:val="9"/>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2.emf"/><Relationship Id="rId7" Type="http://schemas.openxmlformats.org/officeDocument/2006/relationships/oleObject" Target="embeddings/oleObject2.bin"/><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hart" Target="charts/chart9.xml"/><Relationship Id="rId16" Type="http://schemas.openxmlformats.org/officeDocument/2006/relationships/chart" Target="charts/chart8.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package" Target="../embeddings/Workbook8.xlsx"/></Relationships>
</file>

<file path=word/charts/_rels/chart6.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package" Target="../embeddings/Workbook9.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8.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9.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Sheet1!$A$2:$A$3</c:f>
              <c:strCache>
                <c:ptCount val="2"/>
                <c:pt idx="0">
                  <c:v>2021年财政拨款支出</c:v>
                </c:pt>
                <c:pt idx="1">
                  <c:v>2022年财政拨款支出</c:v>
                </c:pt>
              </c:strCache>
            </c:strRef>
          </c:cat>
          <c:val>
            <c:numRef>
              <c:f>Sheet1!$B$2:$B$3</c:f>
              <c:numCache>
                <c:formatCode>General</c:formatCode>
                <c:ptCount val="2"/>
                <c:pt idx="0">
                  <c:v>1819.92</c:v>
                </c:pt>
                <c:pt idx="1">
                  <c:v>870.41</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2021年财政拨款支出</c:v>
                </c:pt>
                <c:pt idx="1">
                  <c:v>2022年财政拨款支出</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2021年财政拨款支出</c:v>
                </c:pt>
                <c:pt idx="1">
                  <c:v>2022年财政拨款支出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617958008"/>
        <c:axId val="27936513"/>
      </c:barChart>
      <c:catAx>
        <c:axId val="61795800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7936513"/>
        <c:crosses val="autoZero"/>
        <c:auto val="1"/>
        <c:lblAlgn val="ctr"/>
        <c:lblOffset val="100"/>
        <c:noMultiLvlLbl val="0"/>
      </c:catAx>
      <c:valAx>
        <c:axId val="2793651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7958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2021年决算</c:v>
                </c:pt>
              </c:strCache>
            </c:strRef>
          </c:tx>
          <c:spPr>
            <a:solidFill>
              <a:schemeClr val="accent1"/>
            </a:solidFill>
            <a:ln>
              <a:noFill/>
            </a:ln>
            <a:effectLst/>
          </c:spPr>
          <c:invertIfNegative val="0"/>
          <c:dLbls>
            <c:delete val="1"/>
          </c:dLbls>
          <c:cat>
            <c:strRef>
              <c:f>Sheet1!$A$2:$A$5</c:f>
              <c:strCache>
                <c:ptCount val="4"/>
                <c:pt idx="0">
                  <c:v>教育支出</c:v>
                </c:pt>
                <c:pt idx="1">
                  <c:v>节能环保支出</c:v>
                </c:pt>
                <c:pt idx="2">
                  <c:v>社会保障和就业支出</c:v>
                </c:pt>
                <c:pt idx="3">
                  <c:v>卫生健康支出</c:v>
                </c:pt>
              </c:strCache>
            </c:strRef>
          </c:cat>
          <c:val>
            <c:numRef>
              <c:f>Sheet1!$B$2:$B$5</c:f>
              <c:numCache>
                <c:formatCode>General</c:formatCode>
                <c:ptCount val="4"/>
                <c:pt idx="0">
                  <c:v>4.3</c:v>
                </c:pt>
                <c:pt idx="1">
                  <c:v>2.5</c:v>
                </c:pt>
                <c:pt idx="2">
                  <c:v>3.5</c:v>
                </c:pt>
                <c:pt idx="3">
                  <c:v>4.5</c:v>
                </c:pt>
              </c:numCache>
            </c:numRef>
          </c:val>
        </c:ser>
        <c:ser>
          <c:idx val="1"/>
          <c:order val="1"/>
          <c:tx>
            <c:strRef>
              <c:f>Sheet1!$C$1</c:f>
              <c:strCache>
                <c:ptCount val="1"/>
                <c:pt idx="0">
                  <c:v>2022年决算</c:v>
                </c:pt>
              </c:strCache>
            </c:strRef>
          </c:tx>
          <c:spPr>
            <a:solidFill>
              <a:schemeClr val="accent2"/>
            </a:solidFill>
            <a:ln>
              <a:noFill/>
            </a:ln>
            <a:effectLst/>
          </c:spPr>
          <c:invertIfNegative val="0"/>
          <c:dLbls>
            <c:delete val="1"/>
          </c:dLbls>
          <c:cat>
            <c:strRef>
              <c:f>Sheet1!$A$2:$A$5</c:f>
              <c:strCache>
                <c:ptCount val="4"/>
                <c:pt idx="0">
                  <c:v>教育支出</c:v>
                </c:pt>
                <c:pt idx="1">
                  <c:v>节能环保支出</c:v>
                </c:pt>
                <c:pt idx="2">
                  <c:v>社会保障和就业支出</c:v>
                </c:pt>
                <c:pt idx="3">
                  <c:v>卫生健康支出</c:v>
                </c:pt>
              </c:strCache>
            </c:strRef>
          </c:cat>
          <c:val>
            <c:numRef>
              <c:f>Sheet1!$C$2:$C$5</c:f>
              <c:numCache>
                <c:formatCode>General</c:formatCode>
                <c:ptCount val="4"/>
                <c:pt idx="0">
                  <c:v>2.4</c:v>
                </c:pt>
                <c:pt idx="1">
                  <c:v>4.4</c:v>
                </c:pt>
                <c:pt idx="2">
                  <c:v>1.8</c:v>
                </c:pt>
                <c:pt idx="3">
                  <c:v>2.8</c:v>
                </c:pt>
              </c:numCache>
            </c:numRef>
          </c:val>
        </c:ser>
        <c:dLbls>
          <c:showLegendKey val="0"/>
          <c:showVal val="0"/>
          <c:showCatName val="0"/>
          <c:showSerName val="0"/>
          <c:showPercent val="0"/>
          <c:showBubbleSize val="0"/>
        </c:dLbls>
        <c:gapWidth val="219"/>
        <c:overlap val="-27"/>
        <c:axId val="497336660"/>
        <c:axId val="442659050"/>
      </c:barChart>
      <c:catAx>
        <c:axId val="49733666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2659050"/>
        <c:crosses val="autoZero"/>
        <c:auto val="1"/>
        <c:lblAlgn val="ctr"/>
        <c:lblOffset val="100"/>
        <c:noMultiLvlLbl val="0"/>
      </c:catAx>
      <c:valAx>
        <c:axId val="44265905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733666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社会保障和就业支出占比</a:t>
            </a:r>
          </a:p>
        </c:rich>
      </c:tx>
      <c:layout/>
      <c:overlay val="0"/>
      <c:spPr>
        <a:noFill/>
        <a:ln>
          <a:noFill/>
        </a:ln>
        <a:effectLst/>
      </c:spPr>
    </c:title>
    <c:autoTitleDeleted val="0"/>
    <c:plotArea>
      <c:layout/>
      <c:pieChart>
        <c:varyColors val="1"/>
        <c:ser>
          <c:idx val="0"/>
          <c:order val="0"/>
          <c:tx>
            <c:strRef>
              <c:f>Sheet1!$B$1</c:f>
              <c:strCache>
                <c:ptCount val="1"/>
                <c:pt idx="0">
                  <c:v>支出</c:v>
                </c:pt>
              </c:strCache>
            </c:strRef>
          </c:tx>
          <c:spPr/>
          <c:explosion val="0"/>
          <c:dPt>
            <c:idx val="0"/>
            <c:bubble3D val="0"/>
            <c:spPr>
              <a:solidFill>
                <a:schemeClr val="accent2"/>
              </a:solidFill>
              <a:ln w="19050">
                <a:solidFill>
                  <a:schemeClr val="lt1"/>
                </a:solidFill>
              </a:ln>
              <a:effectLst/>
            </c:spPr>
          </c:dPt>
          <c:dPt>
            <c:idx val="1"/>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社会保障和就业支出</c:v>
                </c:pt>
                <c:pt idx="1">
                  <c:v>总支出</c:v>
                </c:pt>
              </c:strCache>
            </c:strRef>
          </c:cat>
          <c:val>
            <c:numRef>
              <c:f>Sheet1!$B$2:$B$3</c:f>
              <c:numCache>
                <c:formatCode>General</c:formatCode>
                <c:ptCount val="2"/>
                <c:pt idx="0">
                  <c:v>53.26</c:v>
                </c:pt>
                <c:pt idx="1">
                  <c:v>870.41</c:v>
                </c:pt>
              </c:numCache>
            </c:numRef>
          </c:val>
        </c:ser>
        <c:dLbls>
          <c:showLegendKey val="0"/>
          <c:showVal val="1"/>
          <c:showCatName val="1"/>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医疗卫生与计划生育支出占比</a:t>
            </a:r>
          </a:p>
        </c:rich>
      </c:tx>
      <c:layout/>
      <c:overlay val="0"/>
      <c:spPr>
        <a:noFill/>
        <a:ln>
          <a:noFill/>
        </a:ln>
        <a:effectLst/>
      </c:spPr>
    </c:title>
    <c:autoTitleDeleted val="0"/>
    <c:plotArea>
      <c:layout/>
      <c:pieChart>
        <c:varyColors val="1"/>
        <c:ser>
          <c:idx val="0"/>
          <c:order val="0"/>
          <c:tx>
            <c:strRef>
              <c:f>Sheet1!$B$1</c:f>
              <c:strCache>
                <c:ptCount val="1"/>
                <c:pt idx="0">
                  <c:v>支出金额</c:v>
                </c:pt>
              </c:strCache>
            </c:strRef>
          </c:tx>
          <c:spPr/>
          <c:explosion val="0"/>
          <c:dPt>
            <c:idx val="0"/>
            <c:bubble3D val="0"/>
            <c:spPr>
              <a:solidFill>
                <a:schemeClr val="accent2"/>
              </a:solidFill>
              <a:ln w="19050">
                <a:solidFill>
                  <a:schemeClr val="lt1"/>
                </a:solidFill>
              </a:ln>
              <a:effectLst/>
            </c:spPr>
          </c:dPt>
          <c:dPt>
            <c:idx val="1"/>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医疗卫生与计划生育支出</c:v>
                </c:pt>
                <c:pt idx="1">
                  <c:v>总支出</c:v>
                </c:pt>
              </c:strCache>
            </c:strRef>
          </c:cat>
          <c:val>
            <c:numRef>
              <c:f>Sheet1!$B$2:$B$3</c:f>
              <c:numCache>
                <c:formatCode>General</c:formatCode>
                <c:ptCount val="2"/>
                <c:pt idx="0">
                  <c:v>100</c:v>
                </c:pt>
                <c:pt idx="1">
                  <c:v>870.41</c:v>
                </c:pt>
              </c:numCache>
            </c:numRef>
          </c:val>
        </c:ser>
        <c:dLbls>
          <c:showLegendKey val="0"/>
          <c:showVal val="1"/>
          <c:showCatName val="1"/>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农林水支出占比</a:t>
            </a:r>
          </a:p>
        </c:rich>
      </c:tx>
      <c:layout/>
      <c:overlay val="0"/>
      <c:spPr>
        <a:noFill/>
        <a:ln>
          <a:noFill/>
        </a:ln>
        <a:effectLst/>
      </c:spPr>
    </c:title>
    <c:autoTitleDeleted val="0"/>
    <c:plotArea>
      <c:layout/>
      <c:pieChart>
        <c:varyColors val="1"/>
        <c:ser>
          <c:idx val="0"/>
          <c:order val="0"/>
          <c:tx>
            <c:strRef>
              <c:f>Sheet1!$B$1</c:f>
              <c:strCache>
                <c:ptCount val="1"/>
                <c:pt idx="0">
                  <c:v>支出</c:v>
                </c:pt>
              </c:strCache>
            </c:strRef>
          </c:tx>
          <c:spPr/>
          <c:explosion val="0"/>
          <c:dPt>
            <c:idx val="0"/>
            <c:bubble3D val="0"/>
            <c:spPr>
              <a:solidFill>
                <a:schemeClr val="accent2"/>
              </a:solidFill>
              <a:ln w="19050">
                <a:solidFill>
                  <a:schemeClr val="lt1"/>
                </a:solidFill>
              </a:ln>
              <a:effectLst/>
            </c:spPr>
          </c:dPt>
          <c:dPt>
            <c:idx val="1"/>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农林水支出</c:v>
                </c:pt>
                <c:pt idx="1">
                  <c:v>总支出</c:v>
                </c:pt>
              </c:strCache>
            </c:strRef>
          </c:cat>
          <c:val>
            <c:numRef>
              <c:f>Sheet1!$B$2:$B$3</c:f>
              <c:numCache>
                <c:formatCode>General</c:formatCode>
                <c:ptCount val="2"/>
                <c:pt idx="0">
                  <c:v>59.42</c:v>
                </c:pt>
                <c:pt idx="1">
                  <c:v>870.41</c:v>
                </c:pt>
              </c:numCache>
            </c:numRef>
          </c:val>
        </c:ser>
        <c:dLbls>
          <c:showLegendKey val="0"/>
          <c:showVal val="1"/>
          <c:showCatName val="1"/>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住房保障支出占比</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2"/>
              </a:solidFill>
              <a:ln w="19050">
                <a:solidFill>
                  <a:schemeClr val="lt1"/>
                </a:solidFill>
              </a:ln>
              <a:effectLst/>
            </c:spPr>
          </c:dPt>
          <c:dPt>
            <c:idx val="1"/>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住房保障支出</c:v>
                </c:pt>
                <c:pt idx="1">
                  <c:v>总支出</c:v>
                </c:pt>
              </c:strCache>
            </c:strRef>
          </c:cat>
          <c:val>
            <c:numRef>
              <c:f>Sheet1!$B$2:$B$3</c:f>
              <c:numCache>
                <c:formatCode>General</c:formatCode>
                <c:ptCount val="2"/>
                <c:pt idx="0">
                  <c:v>6.51</c:v>
                </c:pt>
                <c:pt idx="1">
                  <c:v>807.41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教育支出占比</a:t>
            </a:r>
          </a:p>
        </c:rich>
      </c:tx>
      <c:layout/>
      <c:overlay val="0"/>
      <c:spPr>
        <a:noFill/>
        <a:ln>
          <a:noFill/>
        </a:ln>
        <a:effectLst/>
      </c:spPr>
    </c:title>
    <c:autoTitleDeleted val="0"/>
    <c:plotArea>
      <c:layout/>
      <c:pieChart>
        <c:varyColors val="1"/>
        <c:ser>
          <c:idx val="0"/>
          <c:order val="0"/>
          <c:tx>
            <c:strRef>
              <c:f>Sheet1!$B$1</c:f>
              <c:strCache>
                <c:ptCount val="1"/>
                <c:pt idx="0">
                  <c:v>教育支出2</c:v>
                </c:pt>
              </c:strCache>
            </c:strRef>
          </c:tx>
          <c:spPr/>
          <c:explosion val="0"/>
          <c:dPt>
            <c:idx val="0"/>
            <c:bubble3D val="0"/>
            <c:spPr>
              <a:solidFill>
                <a:schemeClr val="accent1"/>
              </a:solidFill>
              <a:ln w="19050">
                <a:solidFill>
                  <a:schemeClr val="lt1"/>
                </a:solidFill>
              </a:ln>
              <a:effectLst/>
            </c:spPr>
          </c:dPt>
          <c:dPt>
            <c:idx val="1"/>
            <c:bubble3D val="0"/>
            <c:spPr>
              <a:solidFill>
                <a:schemeClr val="accent1"/>
              </a:solidFill>
              <a:ln w="19050">
                <a:solidFill>
                  <a:schemeClr val="lt1"/>
                </a:solidFill>
              </a:ln>
              <a:effectLst/>
            </c:spPr>
          </c:dPt>
          <c:dLbls>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总支出 870.41</a:t>
                    </a:r>
                  </a:p>
                </c:rich>
              </c:tx>
              <c:dLblPos val="bestFit"/>
              <c:showLegendKey val="0"/>
              <c:showVal val="1"/>
              <c:showCatName val="0"/>
              <c:showSerName val="1"/>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1"/>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教育支出</c:v>
                </c:pt>
                <c:pt idx="1">
                  <c:v>总支出</c:v>
                </c:pt>
              </c:strCache>
            </c:strRef>
          </c:cat>
          <c:val>
            <c:numRef>
              <c:f>Sheet1!$B$2:$B$3</c:f>
              <c:numCache>
                <c:formatCode>General</c:formatCode>
                <c:ptCount val="2"/>
                <c:pt idx="0">
                  <c:v>0.18</c:v>
                </c:pt>
                <c:pt idx="1">
                  <c:v>870.41</c:v>
                </c:pt>
              </c:numCache>
            </c:numRef>
          </c:val>
        </c:ser>
        <c:dLbls>
          <c:showLegendKey val="0"/>
          <c:showVal val="1"/>
          <c:showCatName val="0"/>
          <c:showSerName val="1"/>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其他支出占比</a:t>
            </a:r>
          </a:p>
        </c:rich>
      </c:tx>
      <c:layout/>
      <c:overlay val="0"/>
      <c:spPr>
        <a:noFill/>
        <a:ln>
          <a:noFill/>
        </a:ln>
        <a:effectLst/>
      </c:spPr>
    </c:title>
    <c:autoTitleDeleted val="0"/>
    <c:plotArea>
      <c:layout/>
      <c:pieChart>
        <c:varyColors val="1"/>
        <c:ser>
          <c:idx val="0"/>
          <c:order val="0"/>
          <c:tx>
            <c:strRef>
              <c:f>Sheet1!$B$1</c:f>
              <c:strCache>
                <c:ptCount val="1"/>
                <c:pt idx="0">
                  <c:v>支出</c:v>
                </c:pt>
              </c:strCache>
            </c:strRef>
          </c:tx>
          <c:spPr/>
          <c:explosion val="0"/>
          <c:dPt>
            <c:idx val="0"/>
            <c:bubble3D val="0"/>
            <c:spPr>
              <a:solidFill>
                <a:schemeClr val="accent2"/>
              </a:solidFill>
              <a:ln w="19050">
                <a:solidFill>
                  <a:schemeClr val="lt1"/>
                </a:solidFill>
              </a:ln>
              <a:effectLst/>
            </c:spPr>
          </c:dPt>
          <c:dPt>
            <c:idx val="1"/>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其他支出</c:v>
                </c:pt>
                <c:pt idx="1">
                  <c:v>总支出</c:v>
                </c:pt>
              </c:strCache>
            </c:strRef>
          </c:cat>
          <c:val>
            <c:numRef>
              <c:f>Sheet1!$B$2:$B$3</c:f>
              <c:numCache>
                <c:formatCode>General</c:formatCode>
                <c:ptCount val="2"/>
                <c:pt idx="0">
                  <c:v>12.07</c:v>
                </c:pt>
                <c:pt idx="1">
                  <c:v>870.41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三公经费支出情况对比</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2021年</c:v>
                </c:pt>
              </c:strCache>
            </c:strRef>
          </c:tx>
          <c:spPr>
            <a:solidFill>
              <a:schemeClr val="accent1"/>
            </a:solidFill>
            <a:ln>
              <a:noFill/>
            </a:ln>
            <a:effectLst/>
          </c:spPr>
          <c:invertIfNegative val="0"/>
          <c:dLbls>
            <c:delete val="1"/>
          </c:dLbls>
          <c:cat>
            <c:strRef>
              <c:f>Sheet1!$A$2:$A$4</c:f>
              <c:strCache>
                <c:ptCount val="3"/>
                <c:pt idx="0">
                  <c:v>公务用车运行维护费</c:v>
                </c:pt>
                <c:pt idx="1">
                  <c:v>因公出国（境）费</c:v>
                </c:pt>
                <c:pt idx="2">
                  <c:v>公务接待费</c:v>
                </c:pt>
              </c:strCache>
            </c:strRef>
          </c:cat>
          <c:val>
            <c:numRef>
              <c:f>Sheet1!$B$2:$B$4</c:f>
              <c:numCache>
                <c:formatCode>General</c:formatCode>
                <c:ptCount val="3"/>
                <c:pt idx="0">
                  <c:v>3.28</c:v>
                </c:pt>
                <c:pt idx="1">
                  <c:v>0</c:v>
                </c:pt>
                <c:pt idx="2">
                  <c:v>0</c:v>
                </c:pt>
              </c:numCache>
            </c:numRef>
          </c:val>
        </c:ser>
        <c:ser>
          <c:idx val="1"/>
          <c:order val="1"/>
          <c:tx>
            <c:strRef>
              <c:f>Sheet1!$C$1</c:f>
              <c:strCache>
                <c:ptCount val="1"/>
                <c:pt idx="0">
                  <c:v>2022年</c:v>
                </c:pt>
              </c:strCache>
            </c:strRef>
          </c:tx>
          <c:spPr>
            <a:solidFill>
              <a:schemeClr val="accent2"/>
            </a:solidFill>
            <a:ln>
              <a:noFill/>
            </a:ln>
            <a:effectLst/>
          </c:spPr>
          <c:invertIfNegative val="0"/>
          <c:dLbls>
            <c:delete val="1"/>
          </c:dLbls>
          <c:cat>
            <c:strRef>
              <c:f>Sheet1!$A$2:$A$4</c:f>
              <c:strCache>
                <c:ptCount val="3"/>
                <c:pt idx="0">
                  <c:v>公务用车运行维护费</c:v>
                </c:pt>
                <c:pt idx="1">
                  <c:v>因公出国（境）费</c:v>
                </c:pt>
                <c:pt idx="2">
                  <c:v>公务接待费</c:v>
                </c:pt>
              </c:strCache>
            </c:strRef>
          </c:cat>
          <c:val>
            <c:numRef>
              <c:f>Sheet1!$C$2:$C$4</c:f>
              <c:numCache>
                <c:formatCode>General</c:formatCode>
                <c:ptCount val="3"/>
                <c:pt idx="0">
                  <c:v>0.93</c:v>
                </c:pt>
                <c:pt idx="1">
                  <c:v>0</c:v>
                </c:pt>
                <c:pt idx="2">
                  <c:v>0</c:v>
                </c:pt>
              </c:numCache>
            </c:numRef>
          </c:val>
        </c:ser>
        <c:dLbls>
          <c:showLegendKey val="0"/>
          <c:showVal val="0"/>
          <c:showCatName val="0"/>
          <c:showSerName val="0"/>
          <c:showPercent val="0"/>
          <c:showBubbleSize val="0"/>
        </c:dLbls>
        <c:gapWidth val="219"/>
        <c:overlap val="-27"/>
        <c:axId val="377485596"/>
        <c:axId val="557196926"/>
      </c:barChart>
      <c:catAx>
        <c:axId val="3774855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7196926"/>
        <c:crosses val="autoZero"/>
        <c:auto val="1"/>
        <c:lblAlgn val="ctr"/>
        <c:lblOffset val="100"/>
        <c:noMultiLvlLbl val="0"/>
      </c:catAx>
      <c:valAx>
        <c:axId val="55719692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7748559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800773-4F2F-42F0-A822-95A122987C80}">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22</Pages>
  <Words>7315</Words>
  <Characters>8799</Characters>
  <Lines>6</Lines>
  <Paragraphs>11</Paragraphs>
  <TotalTime>14</TotalTime>
  <ScaleCrop>false</ScaleCrop>
  <LinksUpToDate>false</LinksUpToDate>
  <CharactersWithSpaces>8831</CharactersWithSpaces>
  <Application>WPS Office_11.1.0.14309_F1E327BC-269C-435d-A152-05C5408002CA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2023-02-10T08:12:00Z</dcterms:created>
  <dc:creator>LENOVO</dc:creator>
  <cp:lastModifiedBy>LENOVO</cp:lastModifiedBy>
  <cp:lastPrinted>2023-08-30T10:40:00Z</cp:lastPrinted>
  <dcterms:modified xsi:type="dcterms:W3CDTF">2023-08-31T08:10:02Z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269634A430D84463B0EF497843CBBCFE</vt:lpwstr>
  </property>
</Properties>
</file>