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b/>
          <w:bCs/>
          <w:color w:val="000000"/>
          <w:sz w:val="72"/>
          <w:szCs w:val="72"/>
        </w:rPr>
      </w:pPr>
    </w:p>
    <w:p>
      <w:pPr>
        <w:adjustRightInd w:val="0"/>
        <w:snapToGrid w:val="0"/>
        <w:spacing w:line="360" w:lineRule="auto"/>
        <w:jc w:val="center"/>
        <w:outlineLvl w:val="0"/>
        <w:rPr>
          <w:rFonts w:hint="eastAsia" w:ascii="华文中宋" w:eastAsia="华文中宋" w:cs="华文中宋"/>
          <w:b/>
          <w:bCs/>
          <w:color w:val="000000"/>
          <w:sz w:val="72"/>
          <w:szCs w:val="72"/>
        </w:rPr>
      </w:pPr>
      <w:bookmarkStart w:id="1" w:name="_Toc15377425"/>
      <w:bookmarkStart w:id="2" w:name="_Toc15396597"/>
      <w:bookmarkStart w:id="3" w:name="_Toc15378441"/>
      <w:bookmarkStart w:id="4" w:name="_Toc15396475"/>
      <w:bookmarkStart w:id="5" w:name="_Toc15377193"/>
      <w:r>
        <w:rPr>
          <w:rFonts w:hint="eastAsia" w:ascii="华文中宋" w:eastAsia="华文中宋" w:cs="华文中宋"/>
          <w:b/>
          <w:bCs/>
          <w:color w:val="000000"/>
          <w:sz w:val="72"/>
          <w:szCs w:val="72"/>
        </w:rPr>
        <w:t>202</w:t>
      </w:r>
      <w:r>
        <w:rPr>
          <w:rFonts w:hint="eastAsia" w:ascii="华文中宋" w:eastAsia="华文中宋" w:cs="华文中宋"/>
          <w:b/>
          <w:bCs/>
          <w:color w:val="000000"/>
          <w:sz w:val="72"/>
          <w:szCs w:val="72"/>
          <w:lang w:val="en-US" w:eastAsia="zh-CN"/>
        </w:rPr>
        <w:t>1</w:t>
      </w:r>
      <w:r>
        <w:rPr>
          <w:rFonts w:hint="eastAsia" w:ascii="华文中宋" w:eastAsia="华文中宋" w:cs="华文中宋"/>
          <w:b/>
          <w:bCs/>
          <w:color w:val="000000"/>
          <w:sz w:val="72"/>
          <w:szCs w:val="72"/>
        </w:rPr>
        <w:t>年度</w:t>
      </w:r>
      <w:bookmarkEnd w:id="1"/>
      <w:bookmarkEnd w:id="2"/>
      <w:bookmarkEnd w:id="3"/>
      <w:bookmarkEnd w:id="4"/>
      <w:bookmarkEnd w:id="5"/>
    </w:p>
    <w:p>
      <w:pPr>
        <w:widowControl/>
        <w:jc w:val="center"/>
        <w:rPr>
          <w:rFonts w:hint="eastAsia" w:ascii="华文中宋" w:eastAsia="华文中宋" w:cs="华文中宋"/>
          <w:b/>
          <w:bCs/>
          <w:color w:val="000000"/>
          <w:sz w:val="72"/>
          <w:szCs w:val="72"/>
        </w:rPr>
      </w:pPr>
      <w:bookmarkStart w:id="6" w:name="_Toc15378442"/>
      <w:bookmarkStart w:id="7" w:name="_Toc15377194"/>
      <w:bookmarkStart w:id="8" w:name="_Toc15377426"/>
      <w:bookmarkStart w:id="9" w:name="_Toc15396476"/>
      <w:bookmarkStart w:id="10" w:name="_Toc15396598"/>
      <w:r>
        <w:rPr>
          <w:rFonts w:hint="eastAsia" w:ascii="华文中宋" w:eastAsia="华文中宋" w:cs="华文中宋"/>
          <w:b/>
          <w:bCs/>
          <w:color w:val="000000"/>
          <w:sz w:val="72"/>
          <w:szCs w:val="72"/>
        </w:rPr>
        <w:t>四川省阿坝州</w:t>
      </w:r>
      <w:bookmarkEnd w:id="0"/>
      <w:bookmarkStart w:id="11" w:name="_Toc15306268"/>
      <w:r>
        <w:rPr>
          <w:rFonts w:hint="eastAsia" w:ascii="华文中宋" w:eastAsia="华文中宋" w:cs="华文中宋"/>
          <w:b/>
          <w:bCs/>
          <w:color w:val="000000"/>
          <w:sz w:val="72"/>
          <w:szCs w:val="72"/>
        </w:rPr>
        <w:t>金川县医疗保障局部门决算</w:t>
      </w:r>
      <w:bookmarkEnd w:id="6"/>
      <w:bookmarkEnd w:id="7"/>
      <w:bookmarkEnd w:id="8"/>
      <w:bookmarkEnd w:id="9"/>
      <w:bookmarkEnd w:id="10"/>
      <w:bookmarkEnd w:id="11"/>
    </w:p>
    <w:p>
      <w:pPr>
        <w:widowControl/>
        <w:jc w:val="center"/>
        <w:rPr>
          <w:rFonts w:hint="eastAsia" w:ascii="华文中宋" w:eastAsia="华文中宋" w:cs="华文中宋"/>
          <w:b/>
          <w:bCs/>
          <w:color w:val="000000"/>
          <w:sz w:val="72"/>
          <w:szCs w:val="72"/>
        </w:rPr>
      </w:pPr>
    </w:p>
    <w:p>
      <w:pPr>
        <w:widowControl/>
        <w:jc w:val="center"/>
        <w:rPr>
          <w:rFonts w:hint="eastAsia" w:ascii="华文中宋" w:eastAsia="华文中宋" w:cs="华文中宋"/>
          <w:b/>
          <w:bCs/>
          <w:color w:val="000000"/>
          <w:sz w:val="72"/>
          <w:szCs w:val="72"/>
        </w:rPr>
      </w:pPr>
    </w:p>
    <w:p>
      <w:pPr>
        <w:widowControl/>
        <w:jc w:val="center"/>
        <w:rPr>
          <w:rFonts w:hint="eastAsia" w:ascii="华文中宋" w:eastAsia="华文中宋" w:cs="华文中宋"/>
          <w:b/>
          <w:bCs/>
          <w:color w:val="000000"/>
          <w:sz w:val="72"/>
          <w:szCs w:val="72"/>
        </w:rPr>
      </w:pPr>
    </w:p>
    <w:p>
      <w:pPr>
        <w:widowControl/>
        <w:jc w:val="center"/>
        <w:rPr>
          <w:rFonts w:hint="eastAsia" w:ascii="华文中宋" w:eastAsia="华文中宋" w:cs="华文中宋"/>
          <w:b/>
          <w:bCs/>
          <w:color w:val="000000"/>
          <w:sz w:val="72"/>
          <w:szCs w:val="72"/>
        </w:rPr>
      </w:pPr>
    </w:p>
    <w:p>
      <w:pPr>
        <w:widowControl/>
        <w:jc w:val="center"/>
        <w:rPr>
          <w:rFonts w:hint="eastAsia" w:ascii="华文中宋" w:eastAsia="华文中宋" w:cs="华文中宋"/>
          <w:b/>
          <w:bCs/>
          <w:color w:val="000000"/>
          <w:sz w:val="72"/>
          <w:szCs w:val="72"/>
        </w:rPr>
      </w:pPr>
    </w:p>
    <w:p>
      <w:pPr>
        <w:widowControl/>
        <w:jc w:val="center"/>
        <w:rPr>
          <w:rFonts w:hint="eastAsia" w:ascii="华文中宋" w:eastAsia="华文中宋" w:cs="华文中宋"/>
          <w:b/>
          <w:bCs/>
          <w:color w:val="000000"/>
          <w:sz w:val="72"/>
          <w:szCs w:val="72"/>
        </w:rPr>
      </w:pPr>
    </w:p>
    <w:p>
      <w:pPr>
        <w:pStyle w:val="2"/>
        <w:rPr>
          <w:rFonts w:hint="eastAsia" w:ascii="华文中宋" w:eastAsia="华文中宋" w:cs="华文中宋"/>
          <w:b/>
          <w:bCs/>
          <w:color w:val="000000"/>
          <w:sz w:val="72"/>
          <w:szCs w:val="72"/>
        </w:rPr>
      </w:pPr>
    </w:p>
    <w:p>
      <w:pPr>
        <w:rPr>
          <w:rFonts w:hint="eastAsia" w:ascii="华文中宋" w:eastAsia="华文中宋" w:cs="华文中宋"/>
          <w:b/>
          <w:bCs/>
          <w:color w:val="000000"/>
          <w:sz w:val="72"/>
          <w:szCs w:val="72"/>
        </w:rPr>
      </w:pPr>
    </w:p>
    <w:p>
      <w:pPr>
        <w:pStyle w:val="2"/>
        <w:rPr>
          <w:rFonts w:hint="eastAsia"/>
        </w:rPr>
      </w:pPr>
    </w:p>
    <w:p>
      <w:pPr>
        <w:widowControl/>
        <w:jc w:val="center"/>
        <w:rPr>
          <w:rFonts w:ascii="黑体" w:eastAsia="黑体"/>
          <w:color w:val="000000"/>
          <w:sz w:val="48"/>
          <w:szCs w:val="48"/>
        </w:rPr>
      </w:pPr>
      <w:r>
        <w:rPr>
          <w:rFonts w:hint="eastAsia" w:ascii="黑体" w:eastAsia="黑体"/>
          <w:color w:val="000000"/>
          <w:sz w:val="48"/>
          <w:szCs w:val="48"/>
        </w:rPr>
        <w:t>目录</w:t>
      </w:r>
    </w:p>
    <w:p>
      <w:pPr>
        <w:widowControl/>
        <w:jc w:val="center"/>
        <w:rPr>
          <w:rFonts w:ascii="黑体" w:eastAsia="黑体" w:cs="Arial"/>
          <w:sz w:val="28"/>
          <w:szCs w:val="28"/>
        </w:rPr>
      </w:pP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pPr>
        <w:pStyle w:val="9"/>
      </w:pPr>
      <w:r>
        <w:rPr>
          <w:rFonts w:hint="eastAsia"/>
        </w:rPr>
        <w:t>公开时间：202</w:t>
      </w:r>
      <w:r>
        <w:rPr>
          <w:rFonts w:hint="eastAsia"/>
          <w:lang w:val="en-US" w:eastAsia="zh-CN"/>
        </w:rPr>
        <w:t>2</w:t>
      </w:r>
      <w:r>
        <w:rPr>
          <w:rFonts w:hint="eastAsia"/>
        </w:rPr>
        <w:t>年8月</w:t>
      </w:r>
      <w:r>
        <w:t>20</w:t>
      </w:r>
      <w:r>
        <w:rPr>
          <w:rFonts w:hint="eastAsia"/>
        </w:rPr>
        <w:t>日</w:t>
      </w:r>
    </w:p>
    <w:p/>
    <w:p/>
    <w:p>
      <w:pPr>
        <w:pStyle w:val="9"/>
        <w:rPr>
          <w:rFonts w:cs="Arial"/>
        </w:rPr>
      </w:pPr>
      <w:r>
        <w:fldChar w:fldCharType="begin"/>
      </w:r>
      <w:r>
        <w:instrText xml:space="preserve"> HYPERLINK \l "_Toc15396599" </w:instrText>
      </w:r>
      <w:r>
        <w:fldChar w:fldCharType="separate"/>
      </w:r>
      <w:r>
        <w:rPr>
          <w:rFonts w:hint="eastAsia"/>
        </w:rPr>
        <w:t>第一部分</w:t>
      </w:r>
      <w:r>
        <w:t xml:space="preserve"> </w:t>
      </w:r>
      <w:r>
        <w:rPr>
          <w:rFonts w:hint="eastAsia"/>
        </w:rPr>
        <w:t>部门概况</w:t>
      </w:r>
      <w:r>
        <w:tab/>
      </w:r>
      <w:r>
        <w:rPr>
          <w:rFonts w:hint="eastAsia"/>
          <w:lang w:val="en-US" w:eastAsia="zh-CN"/>
        </w:rPr>
        <w:t>3</w:t>
      </w:r>
      <w:r>
        <w:rPr>
          <w:rFonts w:hint="eastAsia"/>
        </w:rPr>
        <w:fldChar w:fldCharType="end"/>
      </w:r>
    </w:p>
    <w:p>
      <w:pPr>
        <w:pStyle w:val="10"/>
        <w:rPr>
          <w:rFonts w:ascii="仿宋" w:eastAsia="仿宋" w:cs="Arial"/>
          <w:sz w:val="28"/>
          <w:szCs w:val="28"/>
        </w:rPr>
      </w:pPr>
      <w:r>
        <w:fldChar w:fldCharType="begin"/>
      </w:r>
      <w:r>
        <w:instrText xml:space="preserve"> HYPERLINK \l "_Toc15396600" </w:instrText>
      </w:r>
      <w:r>
        <w:fldChar w:fldCharType="separate"/>
      </w:r>
      <w:r>
        <w:rPr>
          <w:rFonts w:hint="eastAsia" w:ascii="仿宋" w:eastAsia="仿宋"/>
          <w:sz w:val="28"/>
          <w:szCs w:val="28"/>
        </w:rPr>
        <w:t>一、基本职能及主要工作</w:t>
      </w:r>
      <w:r>
        <w:rPr>
          <w:rFonts w:ascii="仿宋" w:eastAsia="仿宋"/>
          <w:sz w:val="28"/>
          <w:szCs w:val="28"/>
        </w:rPr>
        <w:tab/>
      </w:r>
      <w:r>
        <w:rPr>
          <w:rFonts w:hint="eastAsia" w:ascii="仿宋" w:eastAsia="仿宋"/>
          <w:sz w:val="28"/>
          <w:szCs w:val="28"/>
          <w:lang w:val="en-US" w:eastAsia="zh-CN"/>
        </w:rPr>
        <w:t>3</w:t>
      </w:r>
      <w:r>
        <w:rPr>
          <w:rFonts w:hint="eastAsia" w:ascii="仿宋" w:eastAsia="仿宋"/>
          <w:sz w:val="28"/>
          <w:szCs w:val="28"/>
        </w:rPr>
        <w:fldChar w:fldCharType="end"/>
      </w:r>
    </w:p>
    <w:p>
      <w:pPr>
        <w:pStyle w:val="10"/>
        <w:rPr>
          <w:rFonts w:ascii="仿宋" w:eastAsia="仿宋" w:cs="Arial"/>
          <w:sz w:val="28"/>
          <w:szCs w:val="28"/>
        </w:rPr>
      </w:pPr>
      <w:r>
        <w:fldChar w:fldCharType="begin"/>
      </w:r>
      <w:r>
        <w:instrText xml:space="preserve"> HYPERLINK \l "_Toc15396601" </w:instrText>
      </w:r>
      <w:r>
        <w:fldChar w:fldCharType="separate"/>
      </w:r>
      <w:r>
        <w:rPr>
          <w:rFonts w:hint="eastAsia" w:ascii="仿宋" w:eastAsia="仿宋"/>
          <w:sz w:val="28"/>
          <w:szCs w:val="28"/>
        </w:rPr>
        <w:t>二、机构设置</w:t>
      </w:r>
      <w:r>
        <w:rPr>
          <w:rFonts w:ascii="仿宋" w:eastAsia="仿宋"/>
          <w:sz w:val="28"/>
          <w:szCs w:val="28"/>
        </w:rPr>
        <w:tab/>
      </w:r>
      <w:r>
        <w:rPr>
          <w:rFonts w:hint="eastAsia" w:ascii="仿宋" w:eastAsia="仿宋"/>
          <w:sz w:val="28"/>
          <w:szCs w:val="28"/>
          <w:lang w:val="en-US" w:eastAsia="zh-CN"/>
        </w:rPr>
        <w:t>4</w:t>
      </w:r>
      <w:r>
        <w:rPr>
          <w:rFonts w:hint="eastAsia" w:ascii="仿宋" w:eastAsia="仿宋"/>
          <w:sz w:val="28"/>
          <w:szCs w:val="28"/>
        </w:rPr>
        <w:fldChar w:fldCharType="end"/>
      </w:r>
    </w:p>
    <w:p>
      <w:pPr>
        <w:pStyle w:val="9"/>
      </w:pPr>
      <w:r>
        <w:fldChar w:fldCharType="begin"/>
      </w:r>
      <w:r>
        <w:instrText xml:space="preserve"> HYPERLINK \l "_Toc15396602" </w:instrText>
      </w:r>
      <w:r>
        <w:fldChar w:fldCharType="separate"/>
      </w:r>
      <w:r>
        <w:rPr>
          <w:rFonts w:hint="eastAsia"/>
        </w:rPr>
        <w:t>第二部分</w:t>
      </w:r>
      <w:r>
        <w:t xml:space="preserve"> </w:t>
      </w:r>
      <w:r>
        <w:rPr>
          <w:rFonts w:hint="eastAsia"/>
        </w:rPr>
        <w:t>部门决算情况说明</w:t>
      </w:r>
      <w:r>
        <w:tab/>
      </w:r>
      <w:r>
        <w:rPr>
          <w:rFonts w:hint="eastAsia"/>
          <w:lang w:val="en-US" w:eastAsia="zh-CN"/>
        </w:rPr>
        <w:t>4</w:t>
      </w:r>
      <w:r>
        <w:rPr>
          <w:rFonts w:hint="eastAsia"/>
        </w:rPr>
        <w:fldChar w:fldCharType="end"/>
      </w:r>
    </w:p>
    <w:p>
      <w:pPr>
        <w:pStyle w:val="10"/>
        <w:rPr>
          <w:rFonts w:ascii="仿宋" w:eastAsia="仿宋" w:cs="Arial"/>
          <w:sz w:val="28"/>
          <w:szCs w:val="28"/>
        </w:rPr>
      </w:pPr>
      <w:r>
        <w:fldChar w:fldCharType="begin"/>
      </w:r>
      <w:r>
        <w:instrText xml:space="preserve"> HYPERLINK \l "_Toc15396603" </w:instrText>
      </w:r>
      <w:r>
        <w:fldChar w:fldCharType="separate"/>
      </w:r>
      <w:r>
        <w:rPr>
          <w:rFonts w:hint="eastAsia" w:ascii="仿宋" w:eastAsia="仿宋"/>
          <w:bCs/>
          <w:sz w:val="28"/>
          <w:szCs w:val="28"/>
        </w:rPr>
        <w:t>一、</w:t>
      </w:r>
      <w:r>
        <w:rPr>
          <w:rFonts w:hint="eastAsia" w:ascii="仿宋" w:eastAsia="仿宋"/>
          <w:sz w:val="28"/>
          <w:szCs w:val="28"/>
        </w:rPr>
        <w:t>收</w:t>
      </w:r>
      <w:r>
        <w:rPr>
          <w:rFonts w:hint="eastAsia" w:ascii="仿宋" w:eastAsia="仿宋"/>
          <w:bCs/>
          <w:sz w:val="28"/>
          <w:szCs w:val="28"/>
        </w:rPr>
        <w:t>入支出决算总体情况说明</w:t>
      </w:r>
      <w:r>
        <w:rPr>
          <w:rFonts w:ascii="仿宋" w:eastAsia="仿宋"/>
          <w:sz w:val="28"/>
          <w:szCs w:val="28"/>
        </w:rPr>
        <w:tab/>
      </w:r>
      <w:r>
        <w:rPr>
          <w:rFonts w:hint="eastAsia" w:ascii="仿宋" w:eastAsia="仿宋"/>
          <w:sz w:val="28"/>
          <w:szCs w:val="28"/>
          <w:lang w:val="en-US" w:eastAsia="zh-CN"/>
        </w:rPr>
        <w:t>4</w:t>
      </w:r>
      <w:r>
        <w:rPr>
          <w:rFonts w:hint="eastAsia" w:ascii="仿宋" w:eastAsia="仿宋"/>
          <w:sz w:val="28"/>
          <w:szCs w:val="28"/>
        </w:rPr>
        <w:fldChar w:fldCharType="end"/>
      </w:r>
    </w:p>
    <w:p>
      <w:pPr>
        <w:pStyle w:val="10"/>
        <w:rPr>
          <w:rFonts w:hint="eastAsia" w:ascii="仿宋" w:eastAsia="仿宋" w:cs="Arial"/>
          <w:sz w:val="28"/>
          <w:szCs w:val="28"/>
          <w:lang w:val="en-US" w:eastAsia="zh-CN"/>
        </w:rPr>
      </w:pPr>
      <w:r>
        <w:fldChar w:fldCharType="begin"/>
      </w:r>
      <w:r>
        <w:instrText xml:space="preserve"> HYPERLINK \l "_Toc15396604" </w:instrText>
      </w:r>
      <w:r>
        <w:fldChar w:fldCharType="separate"/>
      </w:r>
      <w:r>
        <w:rPr>
          <w:rFonts w:hint="eastAsia" w:ascii="仿宋" w:eastAsia="仿宋"/>
          <w:bCs/>
          <w:sz w:val="28"/>
          <w:szCs w:val="28"/>
        </w:rPr>
        <w:t>二、</w:t>
      </w:r>
      <w:r>
        <w:rPr>
          <w:rFonts w:hint="eastAsia" w:ascii="仿宋" w:eastAsia="仿宋"/>
          <w:sz w:val="28"/>
          <w:szCs w:val="28"/>
        </w:rPr>
        <w:t>收</w:t>
      </w:r>
      <w:r>
        <w:rPr>
          <w:rFonts w:hint="eastAsia" w:ascii="仿宋" w:eastAsia="仿宋"/>
          <w:bCs/>
          <w:sz w:val="28"/>
          <w:szCs w:val="28"/>
        </w:rPr>
        <w:t>入决算情况说明</w:t>
      </w:r>
      <w:r>
        <w:rPr>
          <w:rFonts w:ascii="仿宋" w:eastAsia="仿宋"/>
          <w:sz w:val="28"/>
          <w:szCs w:val="28"/>
        </w:rPr>
        <w:tab/>
      </w:r>
      <w:r>
        <w:rPr>
          <w:rFonts w:hint="eastAsia" w:ascii="仿宋" w:eastAsia="仿宋"/>
          <w:sz w:val="28"/>
          <w:szCs w:val="28"/>
          <w:lang w:val="en-US" w:eastAsia="zh-CN"/>
        </w:rPr>
        <w:t>5</w:t>
      </w:r>
      <w:r>
        <w:rPr>
          <w:rFonts w:hint="eastAsia" w:ascii="仿宋" w:eastAsia="仿宋"/>
          <w:sz w:val="28"/>
          <w:szCs w:val="28"/>
        </w:rPr>
        <w:fldChar w:fldCharType="end"/>
      </w:r>
    </w:p>
    <w:p>
      <w:pPr>
        <w:pStyle w:val="10"/>
        <w:rPr>
          <w:rFonts w:ascii="仿宋" w:eastAsia="仿宋" w:cs="Arial"/>
          <w:sz w:val="28"/>
          <w:szCs w:val="28"/>
        </w:rPr>
      </w:pPr>
      <w:r>
        <w:fldChar w:fldCharType="begin"/>
      </w:r>
      <w:r>
        <w:instrText xml:space="preserve"> HYPERLINK \l "_Toc15396605" </w:instrText>
      </w:r>
      <w:r>
        <w:fldChar w:fldCharType="separate"/>
      </w:r>
      <w:r>
        <w:rPr>
          <w:rFonts w:hint="eastAsia" w:ascii="仿宋" w:eastAsia="仿宋"/>
          <w:bCs/>
          <w:sz w:val="28"/>
          <w:szCs w:val="28"/>
        </w:rPr>
        <w:t>三、</w:t>
      </w:r>
      <w:r>
        <w:rPr>
          <w:rFonts w:hint="eastAsia" w:ascii="仿宋" w:eastAsia="仿宋"/>
          <w:sz w:val="28"/>
          <w:szCs w:val="28"/>
        </w:rPr>
        <w:t>支</w:t>
      </w:r>
      <w:r>
        <w:rPr>
          <w:rFonts w:hint="eastAsia" w:ascii="仿宋" w:eastAsia="仿宋"/>
          <w:bCs/>
          <w:sz w:val="28"/>
          <w:szCs w:val="28"/>
        </w:rPr>
        <w:t>出决算情况说明</w:t>
      </w:r>
      <w:r>
        <w:rPr>
          <w:rFonts w:ascii="仿宋" w:eastAsia="仿宋"/>
          <w:sz w:val="28"/>
          <w:szCs w:val="28"/>
        </w:rPr>
        <w:tab/>
      </w:r>
      <w:r>
        <w:rPr>
          <w:rFonts w:hint="eastAsia" w:ascii="仿宋" w:eastAsia="仿宋"/>
          <w:sz w:val="28"/>
          <w:szCs w:val="28"/>
          <w:lang w:val="en-US" w:eastAsia="zh-CN"/>
        </w:rPr>
        <w:t>5</w:t>
      </w:r>
      <w:r>
        <w:rPr>
          <w:rFonts w:hint="eastAsia" w:ascii="仿宋" w:eastAsia="仿宋"/>
          <w:sz w:val="28"/>
          <w:szCs w:val="28"/>
        </w:rPr>
        <w:fldChar w:fldCharType="end"/>
      </w:r>
    </w:p>
    <w:p>
      <w:pPr>
        <w:pStyle w:val="10"/>
        <w:rPr>
          <w:rFonts w:ascii="仿宋" w:eastAsia="仿宋" w:cs="Arial"/>
          <w:sz w:val="28"/>
          <w:szCs w:val="28"/>
        </w:rPr>
      </w:pPr>
      <w:r>
        <w:fldChar w:fldCharType="begin"/>
      </w:r>
      <w:r>
        <w:instrText xml:space="preserve"> HYPERLINK \l "_Toc15396606" </w:instrText>
      </w:r>
      <w:r>
        <w:fldChar w:fldCharType="separate"/>
      </w:r>
      <w:r>
        <w:rPr>
          <w:rFonts w:hint="eastAsia" w:ascii="仿宋" w:eastAsia="仿宋"/>
          <w:sz w:val="28"/>
          <w:szCs w:val="28"/>
        </w:rPr>
        <w:t>四、财</w:t>
      </w:r>
      <w:r>
        <w:rPr>
          <w:rFonts w:hint="eastAsia" w:ascii="仿宋" w:eastAsia="仿宋"/>
          <w:bCs/>
          <w:sz w:val="28"/>
          <w:szCs w:val="28"/>
        </w:rPr>
        <w:t>政拨款收入支出决算总体情况说明</w:t>
      </w:r>
      <w:r>
        <w:rPr>
          <w:rFonts w:ascii="仿宋" w:eastAsia="仿宋"/>
          <w:sz w:val="28"/>
          <w:szCs w:val="28"/>
        </w:rPr>
        <w:tab/>
      </w:r>
      <w:r>
        <w:rPr>
          <w:rFonts w:hint="eastAsia" w:ascii="仿宋" w:eastAsia="仿宋"/>
          <w:sz w:val="28"/>
          <w:szCs w:val="28"/>
          <w:lang w:val="en-US" w:eastAsia="zh-CN"/>
        </w:rPr>
        <w:t>6</w:t>
      </w:r>
      <w:r>
        <w:rPr>
          <w:rFonts w:hint="eastAsia" w:ascii="仿宋" w:eastAsia="仿宋"/>
          <w:sz w:val="28"/>
          <w:szCs w:val="28"/>
        </w:rPr>
        <w:fldChar w:fldCharType="end"/>
      </w:r>
    </w:p>
    <w:p>
      <w:pPr>
        <w:pStyle w:val="10"/>
        <w:rPr>
          <w:rFonts w:ascii="仿宋" w:eastAsia="仿宋" w:cs="Arial"/>
          <w:sz w:val="28"/>
          <w:szCs w:val="28"/>
        </w:rPr>
      </w:pPr>
      <w:r>
        <w:fldChar w:fldCharType="begin"/>
      </w:r>
      <w:r>
        <w:instrText xml:space="preserve"> HYPERLINK \l "_Toc15396607" </w:instrText>
      </w:r>
      <w:r>
        <w:fldChar w:fldCharType="separate"/>
      </w:r>
      <w:r>
        <w:rPr>
          <w:rFonts w:hint="eastAsia" w:ascii="仿宋" w:eastAsia="仿宋"/>
          <w:sz w:val="28"/>
          <w:szCs w:val="28"/>
        </w:rPr>
        <w:t>五、一</w:t>
      </w:r>
      <w:r>
        <w:rPr>
          <w:rFonts w:hint="eastAsia" w:ascii="仿宋" w:eastAsia="仿宋"/>
          <w:bCs/>
          <w:sz w:val="28"/>
          <w:szCs w:val="28"/>
        </w:rPr>
        <w:t>般公共预算财政拨款支出决算情况说明</w:t>
      </w:r>
      <w:r>
        <w:rPr>
          <w:rFonts w:ascii="仿宋" w:eastAsia="仿宋"/>
          <w:sz w:val="28"/>
          <w:szCs w:val="28"/>
        </w:rPr>
        <w:tab/>
      </w:r>
      <w:r>
        <w:rPr>
          <w:rFonts w:hint="eastAsia" w:ascii="仿宋" w:eastAsia="仿宋"/>
          <w:sz w:val="28"/>
          <w:szCs w:val="28"/>
          <w:lang w:val="en-US" w:eastAsia="zh-CN"/>
        </w:rPr>
        <w:t>7</w:t>
      </w:r>
      <w:r>
        <w:rPr>
          <w:rFonts w:hint="eastAsia" w:ascii="仿宋" w:eastAsia="仿宋"/>
          <w:sz w:val="28"/>
          <w:szCs w:val="28"/>
        </w:rPr>
        <w:fldChar w:fldCharType="end"/>
      </w:r>
    </w:p>
    <w:p>
      <w:pPr>
        <w:pStyle w:val="10"/>
        <w:rPr>
          <w:rFonts w:hint="eastAsia" w:ascii="仿宋" w:eastAsia="仿宋" w:cs="Arial"/>
          <w:sz w:val="28"/>
          <w:szCs w:val="28"/>
          <w:lang w:val="en-US" w:eastAsia="zh-CN"/>
        </w:rPr>
      </w:pPr>
      <w:r>
        <w:fldChar w:fldCharType="begin"/>
      </w:r>
      <w:r>
        <w:instrText xml:space="preserve"> HYPERLINK \l "_Toc15396608" </w:instrText>
      </w:r>
      <w:r>
        <w:fldChar w:fldCharType="separate"/>
      </w:r>
      <w:r>
        <w:rPr>
          <w:rFonts w:hint="eastAsia" w:ascii="仿宋" w:eastAsia="仿宋"/>
          <w:sz w:val="28"/>
          <w:szCs w:val="28"/>
        </w:rPr>
        <w:t>六、一</w:t>
      </w:r>
      <w:r>
        <w:rPr>
          <w:rFonts w:hint="eastAsia" w:ascii="仿宋" w:eastAsia="仿宋"/>
          <w:bCs/>
          <w:sz w:val="28"/>
          <w:szCs w:val="28"/>
        </w:rPr>
        <w:t>般公共预算财政拨款基本支出决算情况说明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lang w:val="en-US" w:eastAsia="zh-CN"/>
        </w:rPr>
        <w:t>1</w:t>
      </w:r>
    </w:p>
    <w:p>
      <w:pPr>
        <w:pStyle w:val="10"/>
        <w:rPr>
          <w:rFonts w:hint="eastAsia" w:ascii="仿宋" w:eastAsia="仿宋" w:cs="Arial"/>
          <w:sz w:val="28"/>
          <w:szCs w:val="28"/>
          <w:lang w:val="en-US" w:eastAsia="zh-CN"/>
        </w:rPr>
      </w:pPr>
      <w:r>
        <w:fldChar w:fldCharType="begin"/>
      </w:r>
      <w:r>
        <w:instrText xml:space="preserve"> HYPERLINK \l "_Toc15396609" </w:instrText>
      </w:r>
      <w:r>
        <w:fldChar w:fldCharType="separate"/>
      </w:r>
      <w:r>
        <w:rPr>
          <w:rFonts w:hint="eastAsia" w:ascii="仿宋" w:eastAsia="仿宋"/>
          <w:sz w:val="28"/>
          <w:szCs w:val="28"/>
        </w:rPr>
        <w:t>七、</w:t>
      </w:r>
      <w:r>
        <w:rPr>
          <w:rFonts w:ascii="仿宋" w:eastAsia="仿宋"/>
          <w:sz w:val="28"/>
          <w:szCs w:val="28"/>
        </w:rPr>
        <w:t>“</w:t>
      </w:r>
      <w:r>
        <w:rPr>
          <w:rFonts w:hint="eastAsia" w:ascii="仿宋" w:eastAsia="仿宋"/>
          <w:bCs/>
          <w:sz w:val="28"/>
          <w:szCs w:val="28"/>
        </w:rPr>
        <w:t>三公”经费财政拨款支出决算情况说明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lang w:val="en-US" w:eastAsia="zh-CN"/>
        </w:rPr>
        <w:t>2</w:t>
      </w:r>
    </w:p>
    <w:p>
      <w:pPr>
        <w:pStyle w:val="10"/>
        <w:rPr>
          <w:rFonts w:hint="eastAsia" w:ascii="仿宋" w:eastAsia="仿宋" w:cs="Arial"/>
          <w:sz w:val="28"/>
          <w:szCs w:val="28"/>
          <w:lang w:val="en-US" w:eastAsia="zh-CN"/>
        </w:rPr>
      </w:pPr>
      <w:r>
        <w:fldChar w:fldCharType="begin"/>
      </w:r>
      <w:r>
        <w:instrText xml:space="preserve"> HYPERLINK \l "_Toc15396610" </w:instrText>
      </w:r>
      <w:r>
        <w:fldChar w:fldCharType="separate"/>
      </w:r>
      <w:r>
        <w:rPr>
          <w:rFonts w:hint="eastAsia" w:ascii="仿宋" w:eastAsia="仿宋"/>
          <w:sz w:val="28"/>
          <w:szCs w:val="28"/>
        </w:rPr>
        <w:t>八、</w:t>
      </w:r>
      <w:r>
        <w:rPr>
          <w:rFonts w:hint="eastAsia" w:ascii="仿宋" w:eastAsia="仿宋"/>
          <w:bCs/>
          <w:sz w:val="28"/>
          <w:szCs w:val="28"/>
        </w:rPr>
        <w:t>政府性基金预算支出决算情况说明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lang w:val="en-US" w:eastAsia="zh-CN"/>
        </w:rPr>
        <w:t>4</w:t>
      </w:r>
    </w:p>
    <w:p>
      <w:pPr>
        <w:pStyle w:val="10"/>
        <w:rPr>
          <w:rFonts w:hint="eastAsia" w:ascii="仿宋" w:eastAsia="仿宋"/>
          <w:sz w:val="28"/>
          <w:szCs w:val="28"/>
          <w:lang w:val="en-US" w:eastAsia="zh-CN"/>
        </w:rPr>
      </w:pPr>
      <w:r>
        <w:fldChar w:fldCharType="begin"/>
      </w:r>
      <w:r>
        <w:instrText xml:space="preserve"> HYPERLINK \l "_Toc15396611" </w:instrText>
      </w:r>
      <w:r>
        <w:fldChar w:fldCharType="separate"/>
      </w:r>
      <w:r>
        <w:rPr>
          <w:rFonts w:hint="eastAsia" w:ascii="仿宋" w:eastAsia="仿宋"/>
          <w:bCs/>
          <w:sz w:val="28"/>
          <w:szCs w:val="28"/>
        </w:rPr>
        <w:t>九、</w:t>
      </w:r>
      <w:r>
        <w:rPr>
          <w:rFonts w:hint="eastAsia" w:ascii="仿宋" w:eastAsia="仿宋"/>
          <w:sz w:val="28"/>
          <w:szCs w:val="28"/>
        </w:rPr>
        <w:t xml:space="preserve"> 国</w:t>
      </w:r>
      <w:r>
        <w:rPr>
          <w:rFonts w:hint="eastAsia" w:ascii="仿宋" w:eastAsia="仿宋"/>
          <w:bCs/>
          <w:sz w:val="28"/>
          <w:szCs w:val="28"/>
        </w:rPr>
        <w:t>有资本经营预算支出决算情况说明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lang w:val="en-US" w:eastAsia="zh-CN"/>
        </w:rPr>
        <w:t>4</w:t>
      </w:r>
    </w:p>
    <w:p>
      <w:pPr>
        <w:pStyle w:val="10"/>
        <w:rPr>
          <w:rStyle w:val="14"/>
          <w:rFonts w:hint="eastAsia" w:ascii="仿宋" w:eastAsia="仿宋"/>
          <w:bCs/>
          <w:sz w:val="28"/>
          <w:szCs w:val="28"/>
          <w:lang w:val="en-US" w:eastAsia="zh-CN"/>
        </w:rPr>
      </w:pPr>
      <w:r>
        <w:rPr>
          <w:rStyle w:val="14"/>
          <w:rFonts w:hint="eastAsia" w:ascii="仿宋" w:eastAsia="仿宋"/>
          <w:bCs/>
          <w:sz w:val="28"/>
          <w:szCs w:val="28"/>
        </w:rPr>
        <w:t xml:space="preserve"> 十、预算绩效情况说明</w:t>
      </w:r>
      <w:r>
        <w:rPr>
          <w:rFonts w:ascii="仿宋" w:eastAsia="仿宋"/>
          <w:sz w:val="28"/>
          <w:szCs w:val="28"/>
        </w:rPr>
        <w:tab/>
      </w:r>
      <w:r>
        <w:rPr>
          <w:rStyle w:val="14"/>
          <w:rFonts w:hint="eastAsia" w:ascii="仿宋" w:eastAsia="仿宋"/>
          <w:bCs/>
          <w:sz w:val="28"/>
          <w:szCs w:val="28"/>
        </w:rPr>
        <w:t>1</w:t>
      </w:r>
      <w:r>
        <w:rPr>
          <w:rStyle w:val="14"/>
          <w:rFonts w:hint="eastAsia" w:ascii="仿宋" w:eastAsia="仿宋"/>
          <w:bCs/>
          <w:sz w:val="28"/>
          <w:szCs w:val="28"/>
          <w:lang w:val="en-US" w:eastAsia="zh-CN"/>
        </w:rPr>
        <w:t>4</w:t>
      </w:r>
    </w:p>
    <w:p>
      <w:pPr>
        <w:pStyle w:val="10"/>
        <w:rPr>
          <w:rFonts w:hint="eastAsia" w:ascii="仿宋" w:eastAsia="仿宋" w:cs="Arial"/>
          <w:sz w:val="28"/>
          <w:szCs w:val="28"/>
          <w:lang w:val="en-US" w:eastAsia="zh-CN"/>
        </w:rPr>
      </w:pPr>
      <w:r>
        <w:rPr>
          <w:rStyle w:val="14"/>
          <w:rFonts w:hint="eastAsia" w:ascii="仿宋" w:eastAsia="仿宋"/>
          <w:bCs/>
          <w:sz w:val="28"/>
          <w:szCs w:val="28"/>
        </w:rPr>
        <w:t xml:space="preserve"> 十一、</w:t>
      </w:r>
      <w:r>
        <w:rPr>
          <w:rFonts w:hint="eastAsia" w:ascii="仿宋" w:eastAsia="仿宋"/>
          <w:bCs/>
          <w:sz w:val="28"/>
          <w:szCs w:val="28"/>
        </w:rPr>
        <w:t>其他重要事项的情况说明</w:t>
      </w:r>
      <w:r>
        <w:rPr>
          <w:rFonts w:ascii="仿宋" w:eastAsia="仿宋"/>
          <w:sz w:val="28"/>
          <w:szCs w:val="28"/>
        </w:rPr>
        <w:tab/>
      </w:r>
      <w:r>
        <w:rPr>
          <w:rStyle w:val="14"/>
          <w:rFonts w:hint="eastAsia" w:ascii="仿宋" w:eastAsia="仿宋"/>
          <w:bCs/>
          <w:sz w:val="28"/>
          <w:szCs w:val="28"/>
        </w:rPr>
        <w:t>1</w:t>
      </w:r>
      <w:r>
        <w:rPr>
          <w:rStyle w:val="14"/>
          <w:rFonts w:hint="eastAsia" w:ascii="仿宋" w:eastAsia="仿宋"/>
          <w:bCs/>
          <w:sz w:val="28"/>
          <w:szCs w:val="28"/>
          <w:lang w:val="en-US" w:eastAsia="zh-CN"/>
        </w:rPr>
        <w:t>7</w:t>
      </w:r>
    </w:p>
    <w:p>
      <w:pPr>
        <w:pStyle w:val="9"/>
        <w:rPr>
          <w:color w:val="000000"/>
          <w:sz w:val="24"/>
        </w:rPr>
      </w:pPr>
      <w:r>
        <w:fldChar w:fldCharType="begin"/>
      </w:r>
      <w:r>
        <w:instrText xml:space="preserve"> HYPERLINK \l "_Toc15396613" </w:instrText>
      </w:r>
      <w:r>
        <w:fldChar w:fldCharType="separate"/>
      </w:r>
      <w:r>
        <w:rPr>
          <w:rFonts w:hint="eastAsia"/>
          <w:bCs/>
          <w:kern w:val="44"/>
        </w:rPr>
        <w:t>第三部分</w:t>
      </w:r>
      <w:r>
        <w:rPr>
          <w:rFonts w:hint="eastAsia"/>
        </w:rPr>
        <w:t xml:space="preserve"> 名</w:t>
      </w:r>
      <w:r>
        <w:rPr>
          <w:rFonts w:hint="eastAsia"/>
          <w:bCs/>
          <w:kern w:val="44"/>
        </w:rPr>
        <w:t>词解释</w:t>
      </w:r>
      <w:r>
        <w:tab/>
      </w:r>
      <w:r>
        <w:rPr>
          <w:rFonts w:hint="eastAsia" w:ascii="仿宋" w:eastAsia="仿宋"/>
          <w:bCs/>
          <w:sz w:val="28"/>
          <w:szCs w:val="28"/>
        </w:rPr>
        <w:t>1</w:t>
      </w:r>
      <w:r>
        <w:rPr>
          <w:rFonts w:hint="eastAsia" w:ascii="仿宋" w:eastAsia="仿宋"/>
          <w:bCs/>
          <w:sz w:val="28"/>
          <w:szCs w:val="28"/>
          <w:lang w:val="en-US" w:eastAsia="zh-CN"/>
        </w:rPr>
        <w:t>8</w:t>
      </w:r>
      <w:r>
        <w:rPr>
          <w:rFonts w:hint="eastAsia"/>
        </w:rPr>
        <w:fldChar w:fldCharType="end"/>
      </w:r>
      <w:r>
        <w:rPr>
          <w:color w:val="000000"/>
          <w:sz w:val="24"/>
        </w:rPr>
        <w:fldChar w:fldCharType="end"/>
      </w:r>
    </w:p>
    <w:p>
      <w:pPr>
        <w:pStyle w:val="19"/>
        <w:keepNext w:val="0"/>
        <w:keepLines w:val="0"/>
        <w:widowControl/>
        <w:suppressLineNumbers w:val="0"/>
        <w:spacing w:line="580" w:lineRule="exact"/>
        <w:rPr>
          <w:rFonts w:hint="eastAsia" w:ascii="仿宋" w:eastAsia="仿宋" w:cs="宋体"/>
          <w:bCs/>
          <w:color w:val="auto"/>
          <w:kern w:val="44"/>
          <w:szCs w:val="28"/>
          <w:lang w:val="en-US" w:eastAsia="zh-CN"/>
        </w:rPr>
      </w:pPr>
      <w:r>
        <w:rPr>
          <w:rFonts w:hint="eastAsia" w:ascii="仿宋" w:eastAsia="仿宋"/>
          <w:bCs/>
          <w:color w:val="auto"/>
          <w:kern w:val="44"/>
          <w:szCs w:val="28"/>
        </w:rPr>
        <w:t xml:space="preserve">第四部分 </w:t>
      </w:r>
      <w:r>
        <w:rPr>
          <w:rFonts w:hint="eastAsia" w:ascii="仿宋" w:eastAsia="仿宋" w:cs="宋体"/>
          <w:bCs/>
          <w:color w:val="auto"/>
          <w:kern w:val="44"/>
          <w:szCs w:val="28"/>
          <w:lang w:val="en-US" w:eastAsia="zh-CN"/>
        </w:rPr>
        <w:t>金川县医疗保障局2021年部门整体支出绩效报告</w:t>
      </w:r>
      <w:r>
        <w:rPr>
          <w:rFonts w:ascii="仿宋" w:eastAsia="仿宋" w:cs="宋体"/>
          <w:bCs/>
          <w:color w:val="auto"/>
          <w:kern w:val="44"/>
          <w:szCs w:val="28"/>
          <w:lang w:val="en-US" w:eastAsia="zh-CN"/>
        </w:rPr>
        <w:t>……20</w:t>
      </w:r>
    </w:p>
    <w:p/>
    <w:p>
      <w:pPr>
        <w:pStyle w:val="3"/>
        <w:jc w:val="center"/>
        <w:rPr>
          <w:rFonts w:ascii="黑体" w:eastAsia="黑体"/>
          <w:color w:val="000000"/>
          <w:sz w:val="32"/>
          <w:szCs w:val="32"/>
        </w:rPr>
      </w:pPr>
      <w:r>
        <w:rPr>
          <w:rFonts w:hint="eastAsia" w:ascii="黑体" w:eastAsia="黑体"/>
          <w:b w:val="0"/>
        </w:rPr>
        <w:t xml:space="preserve">第一部分 </w:t>
      </w:r>
      <w:r>
        <w:rPr>
          <w:rStyle w:val="15"/>
          <w:rFonts w:hint="eastAsia" w:ascii="黑体" w:eastAsia="黑体"/>
          <w:b w:val="0"/>
          <w:bCs w:val="0"/>
        </w:rPr>
        <w:t>部门概况</w:t>
      </w:r>
    </w:p>
    <w:p>
      <w:pPr>
        <w:pStyle w:val="4"/>
        <w:spacing w:before="0" w:after="0" w:line="240" w:lineRule="auto"/>
        <w:ind w:left="640" w:hanging="640" w:hangingChars="200"/>
        <w:rPr>
          <w:rStyle w:val="16"/>
          <w:rFonts w:ascii="黑体" w:eastAsia="黑体"/>
          <w:b w:val="0"/>
          <w:bCs w:val="0"/>
        </w:rPr>
      </w:pPr>
      <w:bookmarkStart w:id="12" w:name="_Toc15396600"/>
      <w:bookmarkStart w:id="13" w:name="_Toc15377197"/>
      <w:r>
        <w:rPr>
          <w:rFonts w:hint="eastAsia" w:ascii="黑体" w:eastAsia="黑体"/>
          <w:b w:val="0"/>
          <w:color w:val="000000"/>
        </w:rPr>
        <w:t>一、基</w:t>
      </w:r>
      <w:r>
        <w:rPr>
          <w:rStyle w:val="16"/>
          <w:rFonts w:hint="eastAsia" w:ascii="黑体" w:eastAsia="黑体"/>
          <w:b w:val="0"/>
          <w:bCs w:val="0"/>
        </w:rPr>
        <w:t>本职能及主要工作</w:t>
      </w:r>
      <w:bookmarkEnd w:id="12"/>
      <w:bookmarkEnd w:id="13"/>
      <w:bookmarkStart w:id="14" w:name="_Toc15377198"/>
      <w:bookmarkStart w:id="15" w:name="_Toc15378445"/>
    </w:p>
    <w:p>
      <w:pPr>
        <w:pStyle w:val="4"/>
        <w:spacing w:before="0" w:after="0" w:line="240" w:lineRule="auto"/>
        <w:ind w:left="642" w:leftChars="153" w:hanging="321" w:hangingChars="100"/>
        <w:rPr>
          <w:rFonts w:ascii="楷体" w:eastAsia="楷体" w:cs="楷体"/>
          <w:color w:val="000000"/>
        </w:rPr>
      </w:pPr>
      <w:r>
        <w:rPr>
          <w:rFonts w:hint="eastAsia" w:ascii="楷体" w:eastAsia="楷体" w:cs="楷体"/>
          <w:color w:val="000000"/>
        </w:rPr>
        <w:t>（一）主要职能</w:t>
      </w:r>
      <w:bookmarkEnd w:id="14"/>
      <w:bookmarkEnd w:id="15"/>
    </w:p>
    <w:p>
      <w:pPr>
        <w:pStyle w:val="6"/>
        <w:keepNext w:val="0"/>
        <w:keepLines w:val="0"/>
        <w:widowControl/>
        <w:suppressLineNumbers w:val="0"/>
        <w:adjustRightInd w:val="0"/>
        <w:spacing w:before="94" w:beforeLines="30" w:beforeAutospacing="0" w:after="0" w:afterAutospacing="0"/>
        <w:ind w:left="0" w:right="0"/>
        <w:rPr>
          <w:rFonts w:hint="eastAsia" w:ascii="宋体" w:eastAsia="宋体" w:cs="宋体"/>
          <w:bCs/>
          <w:sz w:val="32"/>
          <w:szCs w:val="32"/>
          <w:lang w:val="en-US"/>
        </w:rPr>
      </w:pPr>
      <w:r>
        <w:rPr>
          <w:rFonts w:hint="eastAsia" w:ascii="宋体" w:eastAsia="宋体" w:cs="宋体"/>
          <w:bCs/>
          <w:sz w:val="32"/>
          <w:szCs w:val="32"/>
          <w:lang w:val="en-US"/>
        </w:rPr>
        <w:t xml:space="preserve">    1</w:t>
      </w:r>
      <w:r>
        <w:rPr>
          <w:rFonts w:hint="eastAsia" w:ascii="宋体" w:eastAsia="宋体" w:cs="宋体"/>
          <w:bCs/>
          <w:sz w:val="32"/>
          <w:szCs w:val="32"/>
          <w:lang w:eastAsia="zh-CN"/>
        </w:rPr>
        <w:t>、负责对参保单位、职工医疗保险政策的宣传和医疗保险业务人员的培训；</w:t>
      </w:r>
    </w:p>
    <w:p>
      <w:pPr>
        <w:pStyle w:val="6"/>
        <w:keepNext w:val="0"/>
        <w:keepLines w:val="0"/>
        <w:widowControl/>
        <w:suppressLineNumbers w:val="0"/>
        <w:adjustRightInd w:val="0"/>
        <w:spacing w:before="94" w:beforeLines="30" w:beforeAutospacing="0" w:after="0" w:afterAutospacing="0" w:line="600" w:lineRule="exact"/>
        <w:ind w:left="0" w:right="0" w:firstLine="668" w:firstLineChars="209"/>
        <w:rPr>
          <w:rFonts w:hint="eastAsia" w:ascii="宋体" w:eastAsia="宋体" w:cs="宋体"/>
          <w:bCs/>
          <w:sz w:val="32"/>
          <w:szCs w:val="32"/>
          <w:lang w:val="en-US"/>
        </w:rPr>
      </w:pPr>
      <w:r>
        <w:rPr>
          <w:rFonts w:hint="eastAsia" w:ascii="宋体" w:eastAsia="宋体" w:cs="宋体"/>
          <w:bCs/>
          <w:sz w:val="32"/>
          <w:szCs w:val="32"/>
          <w:lang w:val="en-US"/>
        </w:rPr>
        <w:t>2</w:t>
      </w:r>
      <w:r>
        <w:rPr>
          <w:rFonts w:hint="eastAsia" w:ascii="宋体" w:eastAsia="宋体" w:cs="宋体"/>
          <w:bCs/>
          <w:sz w:val="32"/>
          <w:szCs w:val="32"/>
          <w:lang w:eastAsia="zh-CN"/>
        </w:rPr>
        <w:t>、负责承办全县党政机关、事业单位、省、州、县企业的医疗保险参保登记、变更登记及参保职工医疗保险转移事项；</w:t>
      </w:r>
    </w:p>
    <w:p>
      <w:pPr>
        <w:pStyle w:val="6"/>
        <w:keepNext w:val="0"/>
        <w:keepLines w:val="0"/>
        <w:widowControl/>
        <w:suppressLineNumbers w:val="0"/>
        <w:adjustRightInd w:val="0"/>
        <w:spacing w:before="94" w:beforeLines="30" w:beforeAutospacing="0" w:after="0" w:afterAutospacing="0" w:line="600" w:lineRule="exact"/>
        <w:ind w:left="0" w:right="0" w:firstLine="668" w:firstLineChars="209"/>
        <w:rPr>
          <w:rFonts w:hint="eastAsia" w:ascii="宋体" w:eastAsia="宋体" w:cs="宋体"/>
          <w:bCs/>
          <w:sz w:val="32"/>
          <w:szCs w:val="32"/>
          <w:lang w:val="en-US"/>
        </w:rPr>
      </w:pPr>
      <w:r>
        <w:rPr>
          <w:rFonts w:hint="eastAsia" w:ascii="宋体" w:eastAsia="宋体" w:cs="宋体"/>
          <w:bCs/>
          <w:sz w:val="32"/>
          <w:szCs w:val="32"/>
          <w:lang w:val="en-US"/>
        </w:rPr>
        <w:t>3</w:t>
      </w:r>
      <w:r>
        <w:rPr>
          <w:rFonts w:hint="eastAsia" w:ascii="宋体" w:eastAsia="宋体" w:cs="宋体"/>
          <w:bCs/>
          <w:sz w:val="32"/>
          <w:szCs w:val="32"/>
          <w:lang w:eastAsia="zh-CN"/>
        </w:rPr>
        <w:t>、负责对各参保单位、灵活就业人员的基础资料进行审核，制定各单位的基金征缴计划，具体征收、管理和支付基本医疗保险基金、大病补充保险基金和公务员医疗补助金；</w:t>
      </w:r>
    </w:p>
    <w:p>
      <w:pPr>
        <w:pStyle w:val="6"/>
        <w:keepNext w:val="0"/>
        <w:keepLines w:val="0"/>
        <w:widowControl/>
        <w:suppressLineNumbers w:val="0"/>
        <w:adjustRightInd w:val="0"/>
        <w:spacing w:before="94" w:beforeLines="30" w:beforeAutospacing="0" w:after="0" w:afterAutospacing="0" w:line="600" w:lineRule="exact"/>
        <w:ind w:left="0" w:right="0" w:firstLine="668" w:firstLineChars="209"/>
        <w:rPr>
          <w:rFonts w:hint="eastAsia" w:ascii="宋体" w:eastAsia="宋体" w:cs="宋体"/>
          <w:bCs/>
          <w:sz w:val="32"/>
          <w:szCs w:val="32"/>
          <w:lang w:val="en-US"/>
        </w:rPr>
      </w:pPr>
      <w:r>
        <w:rPr>
          <w:rFonts w:hint="eastAsia" w:ascii="宋体" w:eastAsia="宋体" w:cs="宋体"/>
          <w:bCs/>
          <w:sz w:val="32"/>
          <w:szCs w:val="32"/>
          <w:lang w:val="en-US"/>
        </w:rPr>
        <w:t>4</w:t>
      </w:r>
      <w:r>
        <w:rPr>
          <w:rFonts w:hint="eastAsia" w:ascii="宋体" w:eastAsia="宋体" w:cs="宋体"/>
          <w:bCs/>
          <w:sz w:val="32"/>
          <w:szCs w:val="32"/>
          <w:lang w:eastAsia="zh-CN"/>
        </w:rPr>
        <w:t>、编制医疗保险基金收支预、决算报告，定期对基金收支情况进行分析、预测和内部审计，并向有关部门提供基金运行情况报告；</w:t>
      </w:r>
    </w:p>
    <w:p>
      <w:pPr>
        <w:pStyle w:val="6"/>
        <w:keepNext w:val="0"/>
        <w:keepLines w:val="0"/>
        <w:widowControl/>
        <w:suppressLineNumbers w:val="0"/>
        <w:adjustRightInd w:val="0"/>
        <w:spacing w:before="94" w:beforeLines="30" w:beforeAutospacing="0" w:after="0" w:afterAutospacing="0" w:line="600" w:lineRule="exact"/>
        <w:ind w:left="0" w:right="0" w:firstLine="668" w:firstLineChars="209"/>
        <w:rPr>
          <w:rFonts w:hint="eastAsia" w:ascii="宋体" w:eastAsia="宋体" w:cs="宋体"/>
          <w:bCs/>
          <w:sz w:val="32"/>
          <w:szCs w:val="32"/>
          <w:lang w:val="en-US"/>
        </w:rPr>
      </w:pPr>
      <w:r>
        <w:rPr>
          <w:rFonts w:hint="eastAsia" w:ascii="宋体" w:eastAsia="宋体" w:cs="宋体"/>
          <w:bCs/>
          <w:sz w:val="32"/>
          <w:szCs w:val="32"/>
          <w:lang w:val="en-US"/>
        </w:rPr>
        <w:t>5</w:t>
      </w:r>
      <w:r>
        <w:rPr>
          <w:rFonts w:hint="eastAsia" w:ascii="宋体" w:eastAsia="宋体" w:cs="宋体"/>
          <w:bCs/>
          <w:sz w:val="32"/>
          <w:szCs w:val="32"/>
          <w:lang w:eastAsia="zh-CN"/>
        </w:rPr>
        <w:t>、负责对参保人员建立、管理个人账户及个人账户的结算转移，核拨退休人员的个人账户资金；</w:t>
      </w:r>
    </w:p>
    <w:p>
      <w:pPr>
        <w:pStyle w:val="6"/>
        <w:keepNext w:val="0"/>
        <w:keepLines w:val="0"/>
        <w:widowControl/>
        <w:suppressLineNumbers w:val="0"/>
        <w:adjustRightInd w:val="0"/>
        <w:spacing w:before="94" w:beforeLines="30" w:beforeAutospacing="0" w:after="0" w:afterAutospacing="0" w:line="600" w:lineRule="exact"/>
        <w:ind w:left="0" w:right="0" w:firstLine="668" w:firstLineChars="209"/>
        <w:rPr>
          <w:rFonts w:hint="eastAsia" w:ascii="宋体" w:eastAsia="宋体" w:cs="宋体"/>
          <w:bCs/>
          <w:sz w:val="32"/>
          <w:szCs w:val="32"/>
          <w:lang w:eastAsia="zh-CN"/>
        </w:rPr>
      </w:pPr>
      <w:r>
        <w:rPr>
          <w:rFonts w:hint="eastAsia" w:ascii="宋体" w:eastAsia="宋体" w:cs="宋体"/>
          <w:bCs/>
          <w:sz w:val="32"/>
          <w:szCs w:val="32"/>
          <w:lang w:val="en-US"/>
        </w:rPr>
        <w:t>6</w:t>
      </w:r>
      <w:r>
        <w:rPr>
          <w:rFonts w:hint="eastAsia" w:ascii="宋体" w:eastAsia="宋体" w:cs="宋体"/>
          <w:bCs/>
          <w:sz w:val="32"/>
          <w:szCs w:val="32"/>
          <w:lang w:eastAsia="zh-CN"/>
        </w:rPr>
        <w:t>、配合有关部门审核确定定点医院、定点零售药店资格，签订定点协议，并对两定医疗机构进行监管；</w:t>
      </w:r>
    </w:p>
    <w:p>
      <w:pPr>
        <w:pStyle w:val="6"/>
        <w:keepNext w:val="0"/>
        <w:keepLines w:val="0"/>
        <w:widowControl/>
        <w:suppressLineNumbers w:val="0"/>
        <w:adjustRightInd w:val="0"/>
        <w:spacing w:before="94" w:beforeLines="30" w:beforeAutospacing="0" w:after="0" w:afterAutospacing="0" w:line="600" w:lineRule="exact"/>
        <w:ind w:left="0" w:right="0" w:firstLine="668" w:firstLineChars="209"/>
        <w:rPr>
          <w:rFonts w:hint="eastAsia" w:ascii="宋体" w:eastAsia="宋体" w:cs="宋体"/>
          <w:bCs/>
          <w:sz w:val="32"/>
          <w:szCs w:val="32"/>
          <w:lang w:val="en-US"/>
        </w:rPr>
      </w:pPr>
      <w:r>
        <w:rPr>
          <w:rFonts w:hint="eastAsia" w:ascii="宋体" w:eastAsia="宋体" w:cs="宋体"/>
          <w:bCs/>
          <w:sz w:val="32"/>
          <w:szCs w:val="32"/>
          <w:lang w:val="en-US"/>
        </w:rPr>
        <w:t>7</w:t>
      </w:r>
      <w:r>
        <w:rPr>
          <w:rFonts w:hint="eastAsia" w:ascii="宋体" w:eastAsia="宋体" w:cs="宋体"/>
          <w:bCs/>
          <w:sz w:val="32"/>
          <w:szCs w:val="32"/>
          <w:lang w:eastAsia="zh-CN"/>
        </w:rPr>
        <w:t>、负责参保人员各项医疗保险待遇的审核和医疗费用支付工作；</w:t>
      </w:r>
    </w:p>
    <w:p>
      <w:pPr>
        <w:pStyle w:val="6"/>
        <w:keepNext w:val="0"/>
        <w:keepLines w:val="0"/>
        <w:widowControl/>
        <w:suppressLineNumbers w:val="0"/>
        <w:adjustRightInd w:val="0"/>
        <w:spacing w:before="94" w:beforeLines="30" w:beforeAutospacing="0" w:after="0" w:afterAutospacing="0" w:line="600" w:lineRule="exact"/>
        <w:ind w:left="0" w:right="0" w:firstLine="668" w:firstLineChars="209"/>
        <w:rPr>
          <w:rFonts w:hint="eastAsia" w:ascii="宋体" w:eastAsia="宋体" w:cs="宋体"/>
          <w:bCs/>
          <w:sz w:val="32"/>
          <w:szCs w:val="32"/>
          <w:lang w:val="en-US"/>
        </w:rPr>
      </w:pPr>
      <w:r>
        <w:rPr>
          <w:rFonts w:hint="eastAsia" w:ascii="宋体" w:eastAsia="宋体" w:cs="宋体"/>
          <w:bCs/>
          <w:sz w:val="32"/>
          <w:szCs w:val="32"/>
          <w:lang w:val="en-US"/>
        </w:rPr>
        <w:t>8</w:t>
      </w:r>
      <w:r>
        <w:rPr>
          <w:rFonts w:hint="eastAsia" w:ascii="宋体" w:eastAsia="宋体" w:cs="宋体"/>
          <w:bCs/>
          <w:sz w:val="32"/>
          <w:szCs w:val="32"/>
          <w:lang w:eastAsia="zh-CN"/>
        </w:rPr>
        <w:t>、开展对参保单位办理参保登记和缴费基数。职工人数、财务状况等的稽核工作；</w:t>
      </w:r>
    </w:p>
    <w:p>
      <w:pPr>
        <w:pStyle w:val="6"/>
        <w:keepNext w:val="0"/>
        <w:keepLines w:val="0"/>
        <w:widowControl/>
        <w:suppressLineNumbers w:val="0"/>
        <w:adjustRightInd w:val="0"/>
        <w:spacing w:before="94" w:beforeLines="30" w:beforeAutospacing="0" w:after="0" w:afterAutospacing="0" w:line="600" w:lineRule="exact"/>
        <w:ind w:left="0" w:right="0" w:firstLine="668" w:firstLineChars="209"/>
        <w:rPr>
          <w:rFonts w:hint="eastAsia" w:ascii="宋体" w:eastAsia="宋体" w:cs="宋体"/>
          <w:bCs/>
          <w:sz w:val="32"/>
          <w:szCs w:val="32"/>
          <w:lang w:val="en-US"/>
        </w:rPr>
      </w:pPr>
      <w:r>
        <w:rPr>
          <w:rFonts w:hint="eastAsia" w:ascii="宋体" w:eastAsia="宋体" w:cs="宋体"/>
          <w:bCs/>
          <w:sz w:val="32"/>
          <w:szCs w:val="32"/>
          <w:lang w:val="en-US"/>
        </w:rPr>
        <w:t>9</w:t>
      </w:r>
      <w:r>
        <w:rPr>
          <w:rFonts w:hint="eastAsia" w:ascii="宋体" w:eastAsia="宋体" w:cs="宋体"/>
          <w:bCs/>
          <w:sz w:val="32"/>
          <w:szCs w:val="32"/>
          <w:lang w:eastAsia="zh-CN"/>
        </w:rPr>
        <w:t>、负责全县机关事业单位和县属企业的老红军、离休干部以及革命伤残军人的医疗费用统筹管理。</w:t>
      </w:r>
    </w:p>
    <w:p>
      <w:pPr>
        <w:pStyle w:val="4"/>
        <w:spacing w:before="0" w:after="0" w:line="240" w:lineRule="auto"/>
        <w:ind w:firstLine="643" w:firstLineChars="200"/>
        <w:rPr>
          <w:rFonts w:ascii="楷体" w:eastAsia="楷体" w:cs="楷体"/>
          <w:color w:val="000000"/>
        </w:rPr>
      </w:pPr>
      <w:r>
        <w:rPr>
          <w:rFonts w:hint="eastAsia" w:ascii="楷体" w:eastAsia="楷体" w:cs="楷体"/>
          <w:color w:val="000000"/>
        </w:rPr>
        <w:t>（二）202</w:t>
      </w:r>
      <w:r>
        <w:rPr>
          <w:rFonts w:hint="eastAsia" w:ascii="楷体" w:eastAsia="楷体" w:cs="楷体"/>
          <w:color w:val="000000"/>
          <w:lang w:val="en-US" w:eastAsia="zh-CN"/>
        </w:rPr>
        <w:t>1</w:t>
      </w:r>
      <w:r>
        <w:rPr>
          <w:rFonts w:hint="eastAsia" w:ascii="楷体" w:eastAsia="楷体" w:cs="楷体"/>
          <w:color w:val="000000"/>
        </w:rPr>
        <w:t>年重点工作完成情况</w:t>
      </w:r>
    </w:p>
    <w:p>
      <w:pPr>
        <w:keepNext w:val="0"/>
        <w:keepLines w:val="0"/>
        <w:widowControl w:val="0"/>
        <w:suppressLineNumbers w:val="0"/>
        <w:spacing w:before="0" w:beforeAutospacing="0" w:after="0" w:afterAutospacing="0"/>
        <w:ind w:left="0" w:right="0" w:firstLine="627" w:firstLineChars="196"/>
        <w:jc w:val="both"/>
        <w:rPr>
          <w:rFonts w:hint="eastAsia" w:ascii="宋体" w:eastAsia="宋体" w:cs="宋体"/>
          <w:bCs/>
          <w:sz w:val="32"/>
          <w:szCs w:val="32"/>
          <w:lang w:val="en-US"/>
        </w:rPr>
      </w:pPr>
      <w:r>
        <w:rPr>
          <w:rFonts w:hint="eastAsia" w:ascii="宋体" w:eastAsia="宋体" w:cs="宋体"/>
          <w:bCs/>
          <w:kern w:val="2"/>
          <w:sz w:val="32"/>
          <w:szCs w:val="32"/>
          <w:lang w:val="en-US" w:eastAsia="zh-CN"/>
        </w:rPr>
        <w:t>落实了全县职工体检工作。以制度为核心，以监管为重点，确保了基金安全。有条不紊开展稽核工作。加强了医疗保险经办能力、</w:t>
      </w:r>
      <w:r>
        <w:rPr>
          <w:rFonts w:hint="eastAsia" w:ascii="宋体" w:eastAsia="宋体" w:cs="宋体"/>
          <w:kern w:val="2"/>
          <w:sz w:val="32"/>
          <w:szCs w:val="32"/>
          <w:lang w:val="en-US" w:eastAsia="zh-CN"/>
        </w:rPr>
        <w:t>2021年我局继续坚持积极稳妥，收入预算与经济发展相协调；坚持民生优先，继续加大民生投入；坚持厉行节约，努力降低行政成本；坚持改革创新，着力提高财政绩效，全面完成2021年各项工作，取得了实效。</w:t>
      </w:r>
    </w:p>
    <w:p>
      <w:pPr>
        <w:spacing w:line="578" w:lineRule="exact"/>
        <w:ind w:firstLine="640" w:firstLineChars="200"/>
        <w:rPr>
          <w:rStyle w:val="16"/>
          <w:b w:val="0"/>
          <w:bCs w:val="0"/>
        </w:rPr>
      </w:pPr>
      <w:r>
        <w:rPr>
          <w:rStyle w:val="16"/>
          <w:rFonts w:hint="eastAsia" w:ascii="黑体" w:eastAsia="黑体"/>
          <w:b w:val="0"/>
          <w:bCs w:val="0"/>
        </w:rPr>
        <w:t>二、机构设置</w:t>
      </w:r>
    </w:p>
    <w:p>
      <w:pPr>
        <w:keepNext w:val="0"/>
        <w:keepLines w:val="0"/>
        <w:widowControl w:val="0"/>
        <w:suppressLineNumbers w:val="0"/>
        <w:spacing w:before="0" w:beforeAutospacing="0" w:after="0" w:afterAutospacing="0" w:line="576" w:lineRule="exact"/>
        <w:ind w:left="0" w:right="0" w:firstLine="640" w:firstLineChars="200"/>
        <w:jc w:val="both"/>
        <w:rPr>
          <w:rFonts w:hint="eastAsia" w:ascii="宋体" w:eastAsia="宋体" w:cs="宋体"/>
          <w:sz w:val="32"/>
          <w:szCs w:val="32"/>
          <w:lang w:val="en-US"/>
        </w:rPr>
      </w:pPr>
      <w:r>
        <w:rPr>
          <w:rFonts w:hint="eastAsia" w:ascii="宋体" w:eastAsia="宋体" w:cs="宋体"/>
          <w:bCs/>
          <w:color w:val="auto"/>
          <w:kern w:val="2"/>
          <w:sz w:val="32"/>
          <w:szCs w:val="32"/>
          <w:shd w:val="clear" w:color="auto" w:fill="FFFFFF"/>
          <w:lang w:val="en-US" w:eastAsia="zh-CN"/>
        </w:rPr>
        <w:t>1、机构情况：</w:t>
      </w:r>
      <w:r>
        <w:rPr>
          <w:rFonts w:hint="eastAsia" w:ascii="宋体" w:eastAsia="宋体" w:cs="宋体"/>
          <w:bCs/>
          <w:kern w:val="2"/>
          <w:sz w:val="32"/>
          <w:szCs w:val="32"/>
          <w:lang w:val="en-US" w:eastAsia="zh-CN"/>
        </w:rPr>
        <w:t>金川县医疗保障局属独立编制机构和核算的行政单位。</w:t>
      </w:r>
    </w:p>
    <w:p>
      <w:pPr>
        <w:keepNext w:val="0"/>
        <w:keepLines w:val="0"/>
        <w:widowControl w:val="0"/>
        <w:suppressLineNumbers w:val="0"/>
        <w:spacing w:before="0" w:beforeAutospacing="0" w:after="0" w:afterAutospacing="0" w:line="600" w:lineRule="exact"/>
        <w:ind w:left="0" w:right="0" w:firstLine="640" w:firstLineChars="200"/>
        <w:jc w:val="both"/>
        <w:rPr>
          <w:rFonts w:hint="eastAsia"/>
          <w:lang w:val="en-US"/>
        </w:rPr>
      </w:pPr>
      <w:r>
        <w:rPr>
          <w:rFonts w:hint="eastAsia" w:ascii="宋体" w:eastAsia="宋体" w:cs="宋体"/>
          <w:bCs/>
          <w:kern w:val="2"/>
          <w:sz w:val="32"/>
          <w:szCs w:val="32"/>
          <w:lang w:val="en-US" w:eastAsia="zh-CN"/>
        </w:rPr>
        <w:t>2、人员情况：人员编制数21人，其中：公务员4人，参公9人（机关工勤1人），事业8人。2021年末实有在职职工23人</w:t>
      </w:r>
      <w:r>
        <w:rPr>
          <w:rFonts w:hint="eastAsia" w:ascii="宋体" w:cs="宋体"/>
          <w:bCs/>
          <w:kern w:val="2"/>
          <w:sz w:val="32"/>
          <w:szCs w:val="32"/>
          <w:lang w:val="en-US" w:eastAsia="zh-CN"/>
        </w:rPr>
        <w:t>，</w:t>
      </w:r>
      <w:r>
        <w:rPr>
          <w:rFonts w:hint="eastAsia" w:ascii="宋体" w:eastAsia="宋体" w:cs="宋体"/>
          <w:bCs/>
          <w:kern w:val="2"/>
          <w:sz w:val="32"/>
          <w:szCs w:val="32"/>
          <w:lang w:val="en-US" w:eastAsia="zh-CN"/>
        </w:rPr>
        <w:t>公务员4人，参公9人（机关工勤1人），事业10人，退休0人。</w:t>
      </w:r>
    </w:p>
    <w:p>
      <w:pPr>
        <w:pStyle w:val="3"/>
        <w:ind w:right="440"/>
        <w:jc w:val="right"/>
      </w:pPr>
      <w:r>
        <w:rPr>
          <w:rFonts w:hint="eastAsia" w:ascii="黑体" w:eastAsia="黑体"/>
          <w:b w:val="0"/>
          <w:color w:val="000000"/>
        </w:rPr>
        <w:t>第二部分</w:t>
      </w:r>
      <w:r>
        <w:rPr>
          <w:rFonts w:hint="eastAsia" w:ascii="黑体" w:eastAsia="黑体"/>
          <w:color w:val="000000"/>
        </w:rPr>
        <w:t xml:space="preserve"> </w:t>
      </w:r>
      <w:r>
        <w:rPr>
          <w:rStyle w:val="15"/>
          <w:rFonts w:hint="eastAsia" w:ascii="黑体" w:eastAsia="黑体"/>
          <w:b w:val="0"/>
          <w:bCs w:val="0"/>
        </w:rPr>
        <w:t>2020年度部门决算情况说明</w:t>
      </w:r>
    </w:p>
    <w:p>
      <w:pPr>
        <w:keepNext w:val="0"/>
        <w:keepLines w:val="0"/>
        <w:widowControl w:val="0"/>
        <w:suppressLineNumbers w:val="0"/>
        <w:spacing w:before="0" w:beforeAutospacing="0" w:after="0" w:afterAutospacing="0"/>
        <w:ind w:left="0" w:right="0" w:firstLine="640" w:firstLineChars="200"/>
        <w:jc w:val="both"/>
        <w:rPr>
          <w:rStyle w:val="16"/>
          <w:rFonts w:hint="eastAsia" w:ascii="黑体" w:eastAsia="黑体"/>
          <w:b w:val="0"/>
        </w:rPr>
      </w:pPr>
      <w:bookmarkStart w:id="16" w:name="_Toc15396603"/>
      <w:bookmarkStart w:id="17" w:name="_Toc15377205"/>
      <w:r>
        <w:rPr>
          <w:rFonts w:hint="eastAsia" w:ascii="黑体" w:eastAsia="黑体"/>
          <w:color w:val="000000"/>
          <w:sz w:val="32"/>
          <w:szCs w:val="32"/>
          <w:lang w:val="en-US" w:eastAsia="zh-CN"/>
        </w:rPr>
        <w:t>一、</w:t>
      </w:r>
      <w:r>
        <w:rPr>
          <w:rFonts w:hint="eastAsia" w:ascii="黑体" w:eastAsia="黑体"/>
          <w:color w:val="000000"/>
          <w:sz w:val="32"/>
          <w:szCs w:val="32"/>
        </w:rPr>
        <w:t>收</w:t>
      </w:r>
      <w:r>
        <w:rPr>
          <w:rStyle w:val="16"/>
          <w:rFonts w:hint="eastAsia" w:ascii="黑体" w:eastAsia="黑体"/>
          <w:b w:val="0"/>
        </w:rPr>
        <w:t>入支出决算总体情况说明</w:t>
      </w:r>
      <w:bookmarkEnd w:id="16"/>
      <w:bookmarkEnd w:id="17"/>
    </w:p>
    <w:p>
      <w:pPr>
        <w:keepNext w:val="0"/>
        <w:keepLines w:val="0"/>
        <w:widowControl w:val="0"/>
        <w:suppressLineNumbers w:val="0"/>
        <w:spacing w:before="0" w:beforeAutospacing="0" w:after="0" w:afterAutospacing="0"/>
        <w:ind w:left="0" w:right="0" w:firstLine="640" w:firstLineChars="200"/>
        <w:jc w:val="both"/>
        <w:rPr>
          <w:rFonts w:hint="eastAsia" w:ascii="宋体" w:eastAsia="宋体" w:cs="宋体"/>
          <w:b/>
          <w:bCs/>
          <w:sz w:val="36"/>
          <w:szCs w:val="36"/>
          <w:lang w:val="en-US"/>
        </w:rPr>
      </w:pPr>
      <w:r>
        <w:rPr>
          <w:rFonts w:hint="eastAsia" w:ascii="宋体" w:eastAsia="宋体" w:cs="宋体"/>
          <w:kern w:val="2"/>
          <w:sz w:val="32"/>
          <w:szCs w:val="32"/>
          <w:lang w:val="en-US" w:eastAsia="zh-CN"/>
        </w:rPr>
        <w:t>医疗保障局2021年度财政拨款总决算</w:t>
      </w:r>
      <w:r>
        <w:rPr>
          <w:rFonts w:hint="eastAsia" w:ascii="宋体" w:eastAsia="宋体" w:cs="宋体"/>
          <w:bCs/>
          <w:kern w:val="2"/>
          <w:sz w:val="32"/>
          <w:szCs w:val="32"/>
          <w:lang w:val="en-US" w:eastAsia="zh-CN"/>
        </w:rPr>
        <w:t>1819.92</w:t>
      </w:r>
      <w:r>
        <w:rPr>
          <w:rFonts w:hint="eastAsia" w:ascii="宋体" w:eastAsia="宋体" w:cs="宋体"/>
          <w:kern w:val="2"/>
          <w:sz w:val="32"/>
          <w:szCs w:val="32"/>
          <w:lang w:val="en-US" w:eastAsia="zh-CN"/>
        </w:rPr>
        <w:t>万元，与2020年度财政拨款支出总决算1172.33万元相比，增加647.59万元，上升55.24%。</w:t>
      </w:r>
    </w:p>
    <w:p>
      <w:pPr>
        <w:keepNext w:val="0"/>
        <w:keepLines w:val="0"/>
        <w:widowControl w:val="0"/>
        <w:suppressLineNumbers w:val="0"/>
        <w:spacing w:before="0" w:beforeAutospacing="0" w:after="0" w:afterAutospacing="0"/>
        <w:ind w:left="0" w:right="0" w:firstLine="420" w:firstLineChars="200"/>
        <w:jc w:val="both"/>
        <w:rPr>
          <w:rStyle w:val="16"/>
          <w:rFonts w:hint="eastAsia" w:ascii="黑体" w:eastAsia="黑体"/>
          <w:b w:val="0"/>
        </w:rPr>
      </w:pPr>
      <w:r>
        <w:drawing>
          <wp:inline distT="0" distB="0" distL="114300" distR="114300">
            <wp:extent cx="4572000" cy="2781300"/>
            <wp:effectExtent l="0" t="0" r="0" b="0"/>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pPr>
        <w:spacing w:line="600" w:lineRule="exact"/>
        <w:ind w:firstLine="640" w:firstLineChars="200"/>
        <w:rPr>
          <w:rStyle w:val="16"/>
          <w:rFonts w:ascii="黑体" w:eastAsia="黑体"/>
          <w:b w:val="0"/>
        </w:rPr>
      </w:pPr>
      <w:r>
        <w:rPr>
          <w:rFonts w:hint="eastAsia" w:ascii="黑体" w:eastAsia="黑体"/>
          <w:color w:val="000000"/>
          <w:sz w:val="32"/>
          <w:szCs w:val="32"/>
          <w:lang w:val="en-US" w:eastAsia="zh-CN"/>
        </w:rPr>
        <w:t>二</w:t>
      </w:r>
      <w:r>
        <w:rPr>
          <w:rFonts w:hint="eastAsia" w:ascii="黑体" w:eastAsia="黑体"/>
          <w:color w:val="000000"/>
          <w:sz w:val="32"/>
          <w:szCs w:val="32"/>
        </w:rPr>
        <w:t>、收入决</w:t>
      </w:r>
      <w:r>
        <w:rPr>
          <w:rStyle w:val="16"/>
          <w:rFonts w:hint="eastAsia" w:ascii="黑体" w:eastAsia="黑体"/>
          <w:b w:val="0"/>
        </w:rPr>
        <w:t>算情况说明</w:t>
      </w:r>
    </w:p>
    <w:p>
      <w:pPr>
        <w:keepNext w:val="0"/>
        <w:keepLines w:val="0"/>
        <w:widowControl w:val="0"/>
        <w:suppressLineNumbers w:val="0"/>
        <w:spacing w:before="0" w:beforeAutospacing="0" w:after="0" w:afterAutospacing="0"/>
        <w:ind w:left="0" w:right="0" w:firstLine="640" w:firstLineChars="200"/>
        <w:jc w:val="both"/>
        <w:rPr>
          <w:rFonts w:hint="eastAsia" w:ascii="宋体" w:eastAsia="宋体" w:cs="宋体"/>
          <w:sz w:val="32"/>
          <w:szCs w:val="32"/>
          <w:lang w:val="en-US"/>
        </w:rPr>
      </w:pPr>
      <w:r>
        <w:rPr>
          <w:rFonts w:hint="eastAsia" w:ascii="宋体" w:eastAsia="宋体" w:cs="宋体"/>
          <w:kern w:val="2"/>
          <w:sz w:val="32"/>
          <w:szCs w:val="32"/>
          <w:lang w:val="en-US" w:eastAsia="zh-CN"/>
        </w:rPr>
        <w:t>2021年医疗保障局本年收入合计1819.92万元，其中：财政拨款收入</w:t>
      </w:r>
      <w:r>
        <w:rPr>
          <w:rFonts w:hint="eastAsia" w:ascii="宋体" w:eastAsia="宋体" w:cs="宋体"/>
          <w:bCs/>
          <w:kern w:val="2"/>
          <w:sz w:val="32"/>
          <w:szCs w:val="32"/>
          <w:lang w:val="en-US" w:eastAsia="zh-CN"/>
        </w:rPr>
        <w:t>1819.92</w:t>
      </w:r>
      <w:r>
        <w:rPr>
          <w:rFonts w:hint="eastAsia" w:ascii="宋体" w:eastAsia="宋体" w:cs="宋体"/>
          <w:kern w:val="2"/>
          <w:sz w:val="32"/>
          <w:szCs w:val="32"/>
          <w:lang w:val="en-US" w:eastAsia="zh-CN"/>
        </w:rPr>
        <w:t>万元，占100%；事业收入0万元；经营收入0万元；附属单位上缴收入0万元；其他收入0万元。</w:t>
      </w:r>
    </w:p>
    <w:p>
      <w:pPr>
        <w:keepNext w:val="0"/>
        <w:keepLines w:val="0"/>
        <w:widowControl w:val="0"/>
        <w:suppressLineNumbers w:val="0"/>
        <w:spacing w:before="0" w:beforeAutospacing="0" w:after="0" w:afterAutospacing="0"/>
        <w:ind w:left="0" w:right="0" w:firstLine="640" w:firstLineChars="200"/>
        <w:jc w:val="center"/>
        <w:rPr>
          <w:rFonts w:hint="eastAsia" w:ascii="宋体" w:eastAsia="宋体" w:cs="宋体"/>
          <w:sz w:val="32"/>
          <w:szCs w:val="32"/>
          <w:lang w:val="en-US"/>
        </w:rPr>
      </w:pPr>
      <w:r>
        <w:rPr>
          <w:rFonts w:hint="eastAsia" w:ascii="宋体" w:eastAsia="宋体" w:cs="宋体"/>
          <w:kern w:val="2"/>
          <w:sz w:val="32"/>
          <w:szCs w:val="32"/>
          <w:lang w:val="en-US" w:eastAsia="zh-CN"/>
        </w:rPr>
        <w:object>
          <v:shape id="_x0000_i1025" o:spt="75" alt="image1" type="#_x0000_t75" style="height:214.8pt;width:375.75pt;" o:ole="t" filled="f" o:preferrelative="t" stroked="f" coordsize="21600,21600">
            <v:path/>
            <v:fill on="f" focussize="0,0"/>
            <v:stroke on="f"/>
            <v:imagedata r:id="rId7" o:title="image1"/>
            <o:lock v:ext="edit" aspectratio="t"/>
            <w10:wrap type="none"/>
            <w10:anchorlock/>
          </v:shape>
          <o:OLEObject Type="Embed" ProgID="Package" ShapeID="_x0000_i1025" DrawAspect="Content" ObjectID="_1468075725" r:id="rId6">
            <o:LockedField>false</o:LockedField>
          </o:OLEObject>
        </w:object>
      </w:r>
    </w:p>
    <w:p>
      <w:pPr>
        <w:keepNext w:val="0"/>
        <w:keepLines w:val="0"/>
        <w:widowControl w:val="0"/>
        <w:suppressLineNumbers w:val="0"/>
        <w:spacing w:before="0" w:beforeAutospacing="0" w:after="0" w:afterAutospacing="0" w:line="600" w:lineRule="exact"/>
        <w:ind w:right="0" w:firstLine="640" w:firstLineChars="200"/>
        <w:jc w:val="both"/>
        <w:rPr>
          <w:rFonts w:hint="eastAsia" w:ascii="宋体" w:eastAsia="宋体" w:cs="宋体"/>
          <w:kern w:val="2"/>
          <w:sz w:val="32"/>
          <w:szCs w:val="32"/>
          <w:lang w:val="en-US" w:eastAsia="zh-CN"/>
        </w:rPr>
      </w:pPr>
      <w:r>
        <w:rPr>
          <w:rFonts w:hint="eastAsia" w:ascii="黑体" w:eastAsia="黑体"/>
          <w:color w:val="000000"/>
          <w:sz w:val="32"/>
          <w:szCs w:val="32"/>
          <w:lang w:val="en-US" w:eastAsia="zh-CN"/>
        </w:rPr>
        <w:t>三</w:t>
      </w:r>
      <w:r>
        <w:rPr>
          <w:rFonts w:hint="eastAsia" w:ascii="黑体" w:eastAsia="黑体"/>
          <w:color w:val="000000"/>
          <w:sz w:val="32"/>
          <w:szCs w:val="32"/>
        </w:rPr>
        <w:t>、支出决</w:t>
      </w:r>
      <w:r>
        <w:rPr>
          <w:rStyle w:val="16"/>
          <w:rFonts w:hint="eastAsia" w:ascii="黑体" w:eastAsia="黑体"/>
          <w:b w:val="0"/>
        </w:rPr>
        <w:t>算情况说明</w:t>
      </w:r>
    </w:p>
    <w:p>
      <w:pPr>
        <w:keepNext w:val="0"/>
        <w:keepLines w:val="0"/>
        <w:widowControl w:val="0"/>
        <w:suppressLineNumbers w:val="0"/>
        <w:spacing w:before="0" w:beforeAutospacing="0" w:after="0" w:afterAutospacing="0"/>
        <w:ind w:left="0" w:right="0" w:firstLine="640" w:firstLineChars="200"/>
        <w:jc w:val="both"/>
        <w:rPr>
          <w:rFonts w:hint="eastAsia" w:ascii="宋体" w:eastAsia="宋体" w:cs="宋体"/>
          <w:sz w:val="32"/>
          <w:szCs w:val="32"/>
          <w:lang w:val="en-US"/>
        </w:rPr>
      </w:pPr>
      <w:r>
        <w:rPr>
          <w:rFonts w:hint="eastAsia" w:ascii="宋体" w:eastAsia="宋体" w:cs="宋体"/>
          <w:kern w:val="2"/>
          <w:sz w:val="32"/>
          <w:szCs w:val="32"/>
          <w:lang w:val="en-US" w:eastAsia="zh-CN"/>
        </w:rPr>
        <w:t>2021年医疗保障局本年支出合计1819.92万元，其中：基本支出608.29万元；项目支出1211.63万元（</w:t>
      </w:r>
      <w:r>
        <w:rPr>
          <w:rFonts w:hint="eastAsia" w:ascii="宋体" w:cs="宋体"/>
          <w:kern w:val="2"/>
          <w:sz w:val="32"/>
          <w:szCs w:val="32"/>
          <w:lang w:val="en-US" w:eastAsia="zh-CN"/>
        </w:rPr>
        <w:t>政府性</w:t>
      </w:r>
      <w:r>
        <w:rPr>
          <w:rFonts w:hint="eastAsia" w:ascii="宋体" w:eastAsia="宋体" w:cs="宋体"/>
          <w:kern w:val="2"/>
          <w:sz w:val="32"/>
          <w:szCs w:val="32"/>
          <w:lang w:val="en-US" w:eastAsia="zh-CN"/>
        </w:rPr>
        <w:t>基金支出45.79万元）。</w:t>
      </w:r>
    </w:p>
    <w:p>
      <w:pPr>
        <w:keepNext w:val="0"/>
        <w:keepLines w:val="0"/>
        <w:widowControl w:val="0"/>
        <w:suppressLineNumbers w:val="0"/>
        <w:spacing w:before="0" w:beforeAutospacing="0" w:after="0" w:afterAutospacing="0"/>
        <w:ind w:left="0" w:right="0" w:firstLine="640" w:firstLineChars="200"/>
        <w:jc w:val="center"/>
        <w:rPr>
          <w:rFonts w:hint="eastAsia" w:ascii="宋体" w:eastAsia="宋体" w:cs="宋体"/>
          <w:sz w:val="32"/>
          <w:szCs w:val="32"/>
          <w:lang w:val="en-US"/>
        </w:rPr>
      </w:pPr>
      <w:r>
        <w:rPr>
          <w:rFonts w:hint="eastAsia" w:ascii="宋体" w:eastAsia="宋体" w:cs="宋体"/>
          <w:kern w:val="2"/>
          <w:sz w:val="32"/>
          <w:szCs w:val="32"/>
          <w:lang w:val="en-US" w:eastAsia="zh-CN"/>
        </w:rPr>
        <w:object>
          <v:shape id="_x0000_i1026" o:spt="75" alt="image2" type="#_x0000_t75" style="height:203.25pt;width:369.75pt;" o:ole="t" filled="f" o:preferrelative="t" stroked="f" coordsize="21600,21600">
            <v:path/>
            <v:fill on="f" focussize="0,0"/>
            <v:stroke on="f"/>
            <v:imagedata r:id="rId9" o:title="image2"/>
            <o:lock v:ext="edit" aspectratio="t"/>
            <w10:wrap type="none"/>
            <w10:anchorlock/>
          </v:shape>
          <o:OLEObject Type="Embed" ProgID="Package" ShapeID="_x0000_i1026" DrawAspect="Content" ObjectID="_1468075726" r:id="rId8">
            <o:LockedField>false</o:LockedField>
          </o:OLEObject>
        </w:object>
      </w:r>
    </w:p>
    <w:p>
      <w:pPr>
        <w:keepNext w:val="0"/>
        <w:keepLines w:val="0"/>
        <w:widowControl w:val="0"/>
        <w:numPr>
          <w:ilvl w:val="0"/>
          <w:numId w:val="1"/>
        </w:numPr>
        <w:suppressLineNumbers w:val="0"/>
        <w:spacing w:before="0" w:beforeAutospacing="0" w:after="0" w:afterAutospacing="0" w:line="600" w:lineRule="exact"/>
        <w:ind w:left="0" w:right="0" w:firstLine="640" w:firstLineChars="200"/>
        <w:jc w:val="both"/>
        <w:rPr>
          <w:rStyle w:val="16"/>
          <w:rFonts w:hint="eastAsia" w:ascii="黑体" w:eastAsia="黑体"/>
          <w:b w:val="0"/>
        </w:rPr>
      </w:pPr>
      <w:r>
        <w:rPr>
          <w:rFonts w:hint="eastAsia" w:ascii="黑体" w:eastAsia="黑体"/>
          <w:color w:val="000000"/>
          <w:sz w:val="32"/>
          <w:szCs w:val="32"/>
          <w:lang w:val="en-US" w:eastAsia="zh-CN"/>
        </w:rPr>
        <w:t>财政拨款收入决算总体</w:t>
      </w:r>
      <w:r>
        <w:rPr>
          <w:rStyle w:val="16"/>
          <w:rFonts w:hint="eastAsia" w:ascii="黑体" w:eastAsia="黑体"/>
          <w:b w:val="0"/>
        </w:rPr>
        <w:t>情况说明</w:t>
      </w:r>
    </w:p>
    <w:p>
      <w:pPr>
        <w:keepNext w:val="0"/>
        <w:keepLines w:val="0"/>
        <w:widowControl w:val="0"/>
        <w:suppressLineNumbers w:val="0"/>
        <w:spacing w:before="0" w:beforeAutospacing="0" w:after="0" w:afterAutospacing="0"/>
        <w:ind w:left="0" w:right="0" w:firstLine="640" w:firstLineChars="200"/>
        <w:jc w:val="both"/>
        <w:rPr>
          <w:rFonts w:hint="eastAsia" w:ascii="宋体" w:eastAsia="宋体" w:cs="宋体"/>
          <w:kern w:val="2"/>
          <w:sz w:val="32"/>
          <w:szCs w:val="32"/>
          <w:lang w:val="en-US" w:eastAsia="zh-CN"/>
        </w:rPr>
      </w:pPr>
      <w:r>
        <w:rPr>
          <w:rFonts w:hint="eastAsia" w:ascii="宋体" w:eastAsia="宋体" w:cs="宋体"/>
          <w:kern w:val="2"/>
          <w:sz w:val="32"/>
          <w:szCs w:val="32"/>
          <w:lang w:val="en-US" w:eastAsia="zh-CN"/>
        </w:rPr>
        <w:t>202</w:t>
      </w:r>
      <w:r>
        <w:rPr>
          <w:rFonts w:hint="eastAsia" w:ascii="宋体" w:cs="宋体"/>
          <w:kern w:val="2"/>
          <w:sz w:val="32"/>
          <w:szCs w:val="32"/>
          <w:lang w:val="en-US" w:eastAsia="zh-CN"/>
        </w:rPr>
        <w:t>1</w:t>
      </w:r>
      <w:r>
        <w:rPr>
          <w:rFonts w:hint="eastAsia" w:ascii="宋体" w:eastAsia="宋体" w:cs="宋体"/>
          <w:kern w:val="2"/>
          <w:sz w:val="32"/>
          <w:szCs w:val="32"/>
          <w:lang w:val="en-US" w:eastAsia="zh-CN"/>
        </w:rPr>
        <w:t>年财政拨款收入</w:t>
      </w:r>
      <w:r>
        <w:rPr>
          <w:rFonts w:hint="eastAsia" w:ascii="宋体" w:cs="宋体"/>
          <w:kern w:val="2"/>
          <w:sz w:val="32"/>
          <w:szCs w:val="32"/>
          <w:lang w:val="en-US" w:eastAsia="zh-CN"/>
        </w:rPr>
        <w:t>1819.92</w:t>
      </w:r>
      <w:r>
        <w:rPr>
          <w:rFonts w:hint="eastAsia" w:ascii="宋体" w:eastAsia="宋体" w:cs="宋体"/>
          <w:kern w:val="2"/>
          <w:sz w:val="32"/>
          <w:szCs w:val="32"/>
          <w:lang w:val="en-US" w:eastAsia="zh-CN"/>
        </w:rPr>
        <w:t>万元。与20</w:t>
      </w:r>
      <w:r>
        <w:rPr>
          <w:rFonts w:hint="eastAsia" w:ascii="宋体" w:cs="宋体"/>
          <w:kern w:val="2"/>
          <w:sz w:val="32"/>
          <w:szCs w:val="32"/>
          <w:lang w:val="en-US" w:eastAsia="zh-CN"/>
        </w:rPr>
        <w:t>20</w:t>
      </w:r>
      <w:r>
        <w:rPr>
          <w:rFonts w:hint="eastAsia" w:ascii="宋体" w:eastAsia="宋体" w:cs="宋体"/>
          <w:kern w:val="2"/>
          <w:sz w:val="32"/>
          <w:szCs w:val="32"/>
          <w:lang w:val="en-US" w:eastAsia="zh-CN"/>
        </w:rPr>
        <w:t>年财政拨款收入1172.33万元</w:t>
      </w:r>
      <w:r>
        <w:rPr>
          <w:rFonts w:hint="eastAsia" w:ascii="宋体" w:cs="宋体"/>
          <w:kern w:val="2"/>
          <w:sz w:val="32"/>
          <w:szCs w:val="32"/>
          <w:lang w:val="en-US" w:eastAsia="zh-CN"/>
        </w:rPr>
        <w:t>相</w:t>
      </w:r>
      <w:r>
        <w:rPr>
          <w:rFonts w:hint="eastAsia" w:ascii="宋体" w:eastAsia="宋体" w:cs="宋体"/>
          <w:kern w:val="2"/>
          <w:sz w:val="32"/>
          <w:szCs w:val="32"/>
          <w:lang w:val="en-US" w:eastAsia="zh-CN"/>
        </w:rPr>
        <w:t>比，一般公共预算财政拨款收入较上年增加647.59万元，上升55.24%。增加的主要原因是202</w:t>
      </w:r>
      <w:r>
        <w:rPr>
          <w:rFonts w:hint="eastAsia" w:ascii="宋体" w:cs="宋体"/>
          <w:kern w:val="2"/>
          <w:sz w:val="32"/>
          <w:szCs w:val="32"/>
          <w:lang w:val="en-US" w:eastAsia="zh-CN"/>
        </w:rPr>
        <w:t>1</w:t>
      </w:r>
      <w:r>
        <w:rPr>
          <w:rFonts w:hint="eastAsia" w:ascii="宋体" w:eastAsia="宋体" w:cs="宋体"/>
          <w:kern w:val="2"/>
          <w:sz w:val="32"/>
          <w:szCs w:val="32"/>
          <w:lang w:val="en-US" w:eastAsia="zh-CN"/>
        </w:rPr>
        <w:t>年人员有所变动，体检人数增加。</w:t>
      </w:r>
    </w:p>
    <w:p>
      <w:pPr>
        <w:pStyle w:val="2"/>
        <w:rPr>
          <w:rFonts w:hint="eastAsia" w:ascii="宋体" w:eastAsia="宋体" w:cs="宋体"/>
          <w:kern w:val="2"/>
          <w:sz w:val="32"/>
          <w:szCs w:val="32"/>
          <w:lang w:val="en-US" w:eastAsia="zh-CN"/>
        </w:rPr>
      </w:pPr>
      <w:r>
        <w:drawing>
          <wp:inline distT="0" distB="0" distL="114300" distR="114300">
            <wp:extent cx="4572000" cy="2781300"/>
            <wp:effectExtent l="0" t="0" r="0" b="0"/>
            <wp:docPr id="9"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rPr>
          <w:rFonts w:hint="eastAsia"/>
          <w:lang w:val="en-US" w:eastAsia="zh-CN"/>
        </w:rPr>
      </w:pPr>
    </w:p>
    <w:p>
      <w:pPr>
        <w:keepNext w:val="0"/>
        <w:keepLines w:val="0"/>
        <w:widowControl w:val="0"/>
        <w:suppressLineNumbers w:val="0"/>
        <w:spacing w:before="0" w:beforeAutospacing="0" w:after="0" w:afterAutospacing="0" w:line="600" w:lineRule="exact"/>
        <w:ind w:left="0" w:right="0" w:firstLine="640" w:firstLineChars="200"/>
        <w:jc w:val="both"/>
        <w:rPr>
          <w:rFonts w:hint="eastAsia"/>
          <w:lang w:val="en-US" w:eastAsia="zh-CN"/>
        </w:rPr>
      </w:pPr>
      <w:r>
        <w:rPr>
          <w:rFonts w:hint="eastAsia" w:ascii="黑体" w:eastAsia="黑体"/>
          <w:color w:val="000000"/>
          <w:sz w:val="32"/>
          <w:szCs w:val="32"/>
          <w:lang w:val="en-US" w:eastAsia="zh-CN"/>
        </w:rPr>
        <w:t>五、财政拨款收入决算总体</w:t>
      </w:r>
      <w:r>
        <w:rPr>
          <w:rStyle w:val="16"/>
          <w:rFonts w:hint="eastAsia" w:ascii="黑体" w:eastAsia="黑体"/>
          <w:b w:val="0"/>
        </w:rPr>
        <w:t>情况说明</w:t>
      </w:r>
    </w:p>
    <w:p>
      <w:pPr>
        <w:keepNext w:val="0"/>
        <w:keepLines w:val="0"/>
        <w:widowControl w:val="0"/>
        <w:suppressLineNumbers w:val="0"/>
        <w:spacing w:before="0" w:beforeAutospacing="0" w:after="0" w:afterAutospacing="0" w:line="600" w:lineRule="exact"/>
        <w:ind w:left="0" w:right="0" w:firstLine="640" w:firstLineChars="200"/>
        <w:jc w:val="both"/>
        <w:rPr>
          <w:rFonts w:hint="eastAsia" w:ascii="宋体" w:eastAsia="宋体" w:cs="宋体"/>
          <w:sz w:val="32"/>
          <w:szCs w:val="32"/>
          <w:lang w:val="en-US"/>
        </w:rPr>
      </w:pPr>
      <w:r>
        <w:rPr>
          <w:rFonts w:hint="eastAsia" w:ascii="宋体" w:eastAsia="宋体" w:cs="宋体"/>
          <w:kern w:val="2"/>
          <w:sz w:val="32"/>
          <w:szCs w:val="32"/>
          <w:lang w:val="en-US" w:eastAsia="zh-CN"/>
        </w:rPr>
        <w:t>（一）一般公共预算财政拨款支出决算总体情况</w:t>
      </w:r>
    </w:p>
    <w:p>
      <w:pPr>
        <w:keepNext w:val="0"/>
        <w:keepLines w:val="0"/>
        <w:widowControl w:val="0"/>
        <w:suppressLineNumbers w:val="0"/>
        <w:spacing w:before="0" w:beforeAutospacing="0" w:after="0" w:afterAutospacing="0"/>
        <w:ind w:right="0" w:firstLine="420" w:firstLineChars="200"/>
        <w:jc w:val="both"/>
        <w:rPr>
          <w:rFonts w:hint="eastAsia" w:ascii="宋体" w:eastAsia="宋体" w:cs="宋体"/>
          <w:kern w:val="2"/>
          <w:sz w:val="32"/>
          <w:szCs w:val="32"/>
          <w:lang w:val="en-US" w:eastAsia="zh-CN"/>
        </w:rPr>
      </w:pPr>
      <w:r>
        <w:drawing>
          <wp:anchor distT="0" distB="0" distL="114300" distR="114300" simplePos="0" relativeHeight="251659264" behindDoc="0" locked="0" layoutInCell="1" allowOverlap="1">
            <wp:simplePos x="0" y="0"/>
            <wp:positionH relativeFrom="column">
              <wp:posOffset>137795</wp:posOffset>
            </wp:positionH>
            <wp:positionV relativeFrom="paragraph">
              <wp:posOffset>1575435</wp:posOffset>
            </wp:positionV>
            <wp:extent cx="5271135" cy="2637155"/>
            <wp:effectExtent l="0" t="0" r="0" b="0"/>
            <wp:wrapTight wrapText="bothSides">
              <wp:wrapPolygon>
                <wp:start x="-18" y="-31"/>
                <wp:lineTo x="-18" y="21578"/>
                <wp:lineTo x="21565" y="21578"/>
                <wp:lineTo x="21565" y="-31"/>
                <wp:lineTo x="-18" y="-31"/>
              </wp:wrapPolygon>
            </wp:wrapTight>
            <wp:docPr id="10"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hint="eastAsia" w:ascii="宋体" w:eastAsia="宋体" w:cs="宋体"/>
          <w:kern w:val="2"/>
          <w:sz w:val="32"/>
          <w:szCs w:val="32"/>
          <w:lang w:val="en-US" w:eastAsia="zh-CN"/>
        </w:rPr>
        <w:t>医疗保障局2021年度一般公共预算财政拨款支出1819.92万元，占本年支出合计的100%。与2020年一般公共预算财政拨款支出1172.33万元相比，增加647.59万元，上升55.24%。</w:t>
      </w:r>
    </w:p>
    <w:p>
      <w:pPr>
        <w:keepNext w:val="0"/>
        <w:keepLines w:val="0"/>
        <w:widowControl w:val="0"/>
        <w:suppressLineNumbers w:val="0"/>
        <w:spacing w:before="0" w:beforeAutospacing="0" w:after="0" w:afterAutospacing="0"/>
        <w:ind w:left="0" w:right="0" w:firstLine="640" w:firstLineChars="200"/>
        <w:jc w:val="both"/>
        <w:rPr>
          <w:rFonts w:hint="eastAsia" w:ascii="宋体" w:eastAsia="宋体" w:cs="宋体"/>
          <w:kern w:val="2"/>
          <w:sz w:val="32"/>
          <w:szCs w:val="32"/>
          <w:lang w:val="en-US" w:eastAsia="zh-CN"/>
        </w:rPr>
      </w:pPr>
    </w:p>
    <w:p>
      <w:pPr>
        <w:keepNext w:val="0"/>
        <w:keepLines w:val="0"/>
        <w:widowControl w:val="0"/>
        <w:numPr>
          <w:ilvl w:val="0"/>
          <w:numId w:val="2"/>
        </w:numPr>
        <w:suppressLineNumbers w:val="0"/>
        <w:spacing w:before="0" w:beforeAutospacing="0" w:after="0" w:afterAutospacing="0" w:line="600" w:lineRule="exact"/>
        <w:ind w:left="0" w:right="0" w:firstLine="320" w:firstLineChars="100"/>
        <w:jc w:val="both"/>
        <w:rPr>
          <w:rFonts w:hint="eastAsia" w:ascii="宋体" w:eastAsia="宋体" w:cs="宋体"/>
          <w:sz w:val="32"/>
          <w:szCs w:val="32"/>
          <w:lang w:val="en-US"/>
        </w:rPr>
      </w:pPr>
      <w:r>
        <w:rPr>
          <w:rFonts w:hint="eastAsia" w:ascii="宋体" w:eastAsia="宋体" w:cs="宋体"/>
          <w:kern w:val="2"/>
          <w:sz w:val="32"/>
          <w:szCs w:val="32"/>
          <w:lang w:val="en-US" w:eastAsia="zh-CN"/>
        </w:rPr>
        <w:t>一般公共预算财政拨款支出决算</w:t>
      </w:r>
      <w:r>
        <w:rPr>
          <w:rFonts w:hint="eastAsia" w:ascii="宋体" w:cs="宋体"/>
          <w:kern w:val="2"/>
          <w:sz w:val="32"/>
          <w:szCs w:val="32"/>
          <w:lang w:val="en-US" w:eastAsia="zh-CN"/>
        </w:rPr>
        <w:t>具体情况</w:t>
      </w:r>
    </w:p>
    <w:p>
      <w:pPr>
        <w:keepNext w:val="0"/>
        <w:keepLines w:val="0"/>
        <w:widowControl w:val="0"/>
        <w:suppressLineNumbers w:val="0"/>
        <w:spacing w:before="0" w:beforeAutospacing="0" w:after="0" w:afterAutospacing="0" w:line="600" w:lineRule="exact"/>
        <w:ind w:left="0" w:right="0" w:firstLine="640" w:firstLineChars="200"/>
        <w:jc w:val="both"/>
        <w:rPr>
          <w:rFonts w:hint="eastAsia" w:ascii="宋体" w:eastAsia="宋体" w:cs="宋体"/>
          <w:sz w:val="32"/>
          <w:szCs w:val="32"/>
          <w:lang w:val="en-US"/>
        </w:rPr>
      </w:pPr>
      <w:r>
        <w:rPr>
          <w:rStyle w:val="13"/>
          <w:rFonts w:hint="eastAsia" w:ascii="宋体" w:eastAsia="宋体" w:cs="宋体"/>
          <w:b w:val="0"/>
          <w:bCs w:val="0"/>
          <w:kern w:val="2"/>
          <w:sz w:val="32"/>
          <w:szCs w:val="32"/>
          <w:lang w:val="en-US" w:eastAsia="zh-CN"/>
        </w:rPr>
        <w:t>1.</w:t>
      </w:r>
      <w:r>
        <w:rPr>
          <w:rFonts w:hint="eastAsia" w:ascii="宋体" w:eastAsia="宋体" w:cs="宋体"/>
          <w:kern w:val="2"/>
          <w:sz w:val="32"/>
          <w:szCs w:val="32"/>
          <w:lang w:val="en-US" w:eastAsia="zh-CN"/>
        </w:rPr>
        <w:t>社会保障和就业</w:t>
      </w:r>
    </w:p>
    <w:p>
      <w:pPr>
        <w:keepNext w:val="0"/>
        <w:keepLines w:val="0"/>
        <w:widowControl w:val="0"/>
        <w:suppressLineNumbers w:val="0"/>
        <w:spacing w:before="0" w:beforeAutospacing="0" w:after="0" w:afterAutospacing="0" w:line="600" w:lineRule="exact"/>
        <w:ind w:right="0" w:firstLine="640" w:firstLineChars="200"/>
        <w:jc w:val="both"/>
        <w:rPr>
          <w:rFonts w:hint="eastAsia" w:ascii="宋体" w:eastAsia="宋体" w:cs="宋体"/>
          <w:sz w:val="32"/>
          <w:szCs w:val="32"/>
          <w:lang w:val="en-US"/>
        </w:rPr>
      </w:pPr>
      <w:r>
        <w:rPr>
          <w:rFonts w:hint="eastAsia" w:ascii="宋体" w:eastAsia="宋体" w:cs="宋体"/>
          <w:kern w:val="2"/>
          <w:sz w:val="32"/>
          <w:szCs w:val="32"/>
          <w:lang w:val="en-US" w:eastAsia="zh-CN"/>
        </w:rPr>
        <w:t>社会保障和就业支出208（类）行政事业单位离退休05（款）机关事业单位基本养老保险缴费05（项）：2021年决算数为32万元，完成预算100%，决算数大于预算数的主要原因是：新进1工作人员，保险费增加。</w:t>
      </w:r>
    </w:p>
    <w:p>
      <w:pPr>
        <w:keepNext w:val="0"/>
        <w:keepLines w:val="0"/>
        <w:widowControl w:val="0"/>
        <w:suppressLineNumbers w:val="0"/>
        <w:spacing w:before="0" w:beforeAutospacing="0" w:after="0" w:afterAutospacing="0" w:line="600" w:lineRule="exact"/>
        <w:ind w:left="0" w:right="0" w:firstLine="640" w:firstLineChars="200"/>
        <w:jc w:val="both"/>
        <w:rPr>
          <w:rFonts w:hint="eastAsia" w:ascii="宋体" w:eastAsia="宋体" w:cs="宋体"/>
          <w:sz w:val="32"/>
          <w:szCs w:val="32"/>
          <w:lang w:val="en-US"/>
        </w:rPr>
      </w:pPr>
      <w:r>
        <w:rPr>
          <w:rFonts w:hint="eastAsia" w:ascii="宋体" w:eastAsia="宋体" w:cs="宋体"/>
          <w:kern w:val="2"/>
          <w:sz w:val="32"/>
          <w:szCs w:val="32"/>
          <w:lang w:val="en-US" w:eastAsia="zh-CN"/>
        </w:rPr>
        <w:t>社会保障和就业支出208（类）行政事业单位离退休05（款）机关事业单位职业年金缴费06（项）：2021年决算数为15.91万元，完成预算100%，决算数大于预算数的主要原因是：新进1工作人员，保险费增加。</w:t>
      </w:r>
    </w:p>
    <w:p>
      <w:pPr>
        <w:keepNext w:val="0"/>
        <w:keepLines w:val="0"/>
        <w:widowControl w:val="0"/>
        <w:suppressLineNumbers w:val="0"/>
        <w:spacing w:before="0" w:beforeAutospacing="0" w:after="0" w:afterAutospacing="0" w:line="600" w:lineRule="exact"/>
        <w:ind w:left="0" w:right="0" w:firstLine="420" w:firstLineChars="200"/>
        <w:jc w:val="both"/>
        <w:rPr>
          <w:rFonts w:hint="eastAsia" w:ascii="宋体" w:eastAsia="宋体" w:cs="宋体"/>
          <w:b w:val="0"/>
          <w:bCs w:val="0"/>
          <w:sz w:val="32"/>
          <w:szCs w:val="32"/>
          <w:lang w:val="en-US"/>
        </w:rPr>
      </w:pPr>
      <w:r>
        <w:drawing>
          <wp:anchor distT="0" distB="0" distL="114300" distR="114300" simplePos="0" relativeHeight="251659264" behindDoc="0" locked="0" layoutInCell="1" allowOverlap="1">
            <wp:simplePos x="0" y="0"/>
            <wp:positionH relativeFrom="column">
              <wp:posOffset>132715</wp:posOffset>
            </wp:positionH>
            <wp:positionV relativeFrom="paragraph">
              <wp:posOffset>39370</wp:posOffset>
            </wp:positionV>
            <wp:extent cx="5075555" cy="2784475"/>
            <wp:effectExtent l="4445" t="4445" r="6350" b="11430"/>
            <wp:wrapSquare wrapText="bothSides"/>
            <wp:docPr id="11"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Fonts w:hint="eastAsia"/>
          <w:lang w:val="en-US" w:eastAsia="zh-CN"/>
        </w:rPr>
        <w:t xml:space="preserve">  </w:t>
      </w:r>
      <w:r>
        <w:rPr>
          <w:rStyle w:val="13"/>
          <w:rFonts w:hint="eastAsia" w:ascii="宋体" w:eastAsia="宋体" w:cs="宋体"/>
          <w:b w:val="0"/>
          <w:bCs w:val="0"/>
          <w:kern w:val="2"/>
          <w:sz w:val="32"/>
          <w:szCs w:val="32"/>
          <w:lang w:val="en-US" w:eastAsia="zh-CN"/>
        </w:rPr>
        <w:t>2.卫生健康支出:</w:t>
      </w:r>
    </w:p>
    <w:p>
      <w:pPr>
        <w:keepNext w:val="0"/>
        <w:keepLines w:val="0"/>
        <w:widowControl w:val="0"/>
        <w:suppressLineNumbers w:val="0"/>
        <w:spacing w:before="0" w:beforeAutospacing="0" w:after="0" w:afterAutospacing="0" w:line="600" w:lineRule="exact"/>
        <w:ind w:left="0" w:right="0" w:firstLine="640" w:firstLineChars="200"/>
        <w:jc w:val="both"/>
        <w:rPr>
          <w:rFonts w:ascii="宋体" w:eastAsia="宋体" w:cs="宋体"/>
          <w:kern w:val="2"/>
          <w:sz w:val="32"/>
          <w:szCs w:val="32"/>
          <w:lang w:val="en-US" w:eastAsia="zh-CN"/>
        </w:rPr>
      </w:pPr>
      <w:r>
        <w:rPr>
          <w:rFonts w:hint="eastAsia" w:ascii="宋体" w:eastAsia="宋体" w:cs="宋体"/>
          <w:kern w:val="2"/>
          <w:sz w:val="32"/>
          <w:szCs w:val="32"/>
          <w:lang w:val="en-US" w:eastAsia="zh-CN"/>
        </w:rPr>
        <w:t>卫生健康支出210（类）</w:t>
      </w:r>
      <w:r>
        <w:rPr>
          <w:rFonts w:hint="eastAsia" w:ascii="宋体" w:cs="宋体"/>
          <w:kern w:val="2"/>
          <w:sz w:val="32"/>
          <w:szCs w:val="32"/>
          <w:lang w:val="en-US" w:eastAsia="zh-CN"/>
        </w:rPr>
        <w:t>公共卫生04（款）突发公共卫生事件应急处理10（项）</w:t>
      </w:r>
      <w:r>
        <w:rPr>
          <w:rFonts w:hint="eastAsia" w:ascii="宋体" w:eastAsia="宋体" w:cs="宋体"/>
          <w:kern w:val="2"/>
          <w:sz w:val="32"/>
          <w:szCs w:val="32"/>
          <w:lang w:val="en-US" w:eastAsia="zh-CN"/>
        </w:rPr>
        <w:t>： 2021年决算数为1097.1万元，完成预算100%，主要用于政府卫生健康方面的支出。</w:t>
      </w:r>
    </w:p>
    <w:p>
      <w:pPr>
        <w:keepNext w:val="0"/>
        <w:keepLines w:val="0"/>
        <w:widowControl w:val="0"/>
        <w:suppressLineNumbers w:val="0"/>
        <w:spacing w:before="0" w:beforeAutospacing="0" w:after="0" w:afterAutospacing="0" w:line="600" w:lineRule="exact"/>
        <w:ind w:left="420" w:leftChars="200" w:right="0" w:firstLine="420" w:firstLineChars="200"/>
        <w:jc w:val="both"/>
        <w:rPr>
          <w:rFonts w:hint="eastAsia" w:ascii="宋体" w:eastAsia="宋体" w:cs="宋体"/>
          <w:kern w:val="2"/>
          <w:sz w:val="32"/>
          <w:szCs w:val="32"/>
          <w:lang w:val="en-US" w:eastAsia="zh-CN"/>
        </w:rPr>
      </w:pPr>
      <w:r>
        <w:drawing>
          <wp:anchor distT="0" distB="0" distL="114300" distR="114300" simplePos="0" relativeHeight="251659264" behindDoc="1" locked="0" layoutInCell="1" allowOverlap="1">
            <wp:simplePos x="0" y="0"/>
            <wp:positionH relativeFrom="column">
              <wp:posOffset>356870</wp:posOffset>
            </wp:positionH>
            <wp:positionV relativeFrom="paragraph">
              <wp:posOffset>175895</wp:posOffset>
            </wp:positionV>
            <wp:extent cx="4806950" cy="2794000"/>
            <wp:effectExtent l="0" t="0" r="0" b="0"/>
            <wp:wrapNone/>
            <wp:docPr id="12"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pPr>
        <w:keepNext w:val="0"/>
        <w:keepLines w:val="0"/>
        <w:widowControl w:val="0"/>
        <w:suppressLineNumbers w:val="0"/>
        <w:spacing w:before="0" w:beforeAutospacing="0" w:after="0" w:afterAutospacing="0" w:line="600" w:lineRule="exact"/>
        <w:ind w:left="420" w:leftChars="200" w:right="0" w:firstLine="640" w:firstLineChars="200"/>
        <w:jc w:val="both"/>
        <w:rPr>
          <w:rFonts w:hint="eastAsia" w:ascii="宋体" w:eastAsia="宋体" w:cs="宋体"/>
          <w:kern w:val="2"/>
          <w:sz w:val="32"/>
          <w:szCs w:val="32"/>
          <w:lang w:val="en-US" w:eastAsia="zh-CN"/>
        </w:rPr>
      </w:pPr>
    </w:p>
    <w:p>
      <w:pPr>
        <w:keepNext w:val="0"/>
        <w:keepLines w:val="0"/>
        <w:widowControl w:val="0"/>
        <w:suppressLineNumbers w:val="0"/>
        <w:spacing w:before="0" w:beforeAutospacing="0" w:after="0" w:afterAutospacing="0" w:line="600" w:lineRule="exact"/>
        <w:ind w:left="420" w:leftChars="200" w:right="0" w:firstLine="640" w:firstLineChars="200"/>
        <w:jc w:val="both"/>
        <w:rPr>
          <w:rFonts w:hint="eastAsia" w:ascii="宋体" w:eastAsia="宋体" w:cs="宋体"/>
          <w:kern w:val="2"/>
          <w:sz w:val="32"/>
          <w:szCs w:val="32"/>
          <w:lang w:val="en-US" w:eastAsia="zh-CN"/>
        </w:rPr>
      </w:pPr>
    </w:p>
    <w:p>
      <w:pPr>
        <w:keepNext w:val="0"/>
        <w:keepLines w:val="0"/>
        <w:widowControl w:val="0"/>
        <w:suppressLineNumbers w:val="0"/>
        <w:spacing w:before="0" w:beforeAutospacing="0" w:after="0" w:afterAutospacing="0" w:line="600" w:lineRule="exact"/>
        <w:ind w:left="420" w:leftChars="200" w:right="0" w:firstLine="640" w:firstLineChars="200"/>
        <w:jc w:val="both"/>
        <w:rPr>
          <w:rFonts w:hint="eastAsia" w:ascii="宋体" w:eastAsia="宋体" w:cs="宋体"/>
          <w:kern w:val="2"/>
          <w:sz w:val="32"/>
          <w:szCs w:val="32"/>
          <w:lang w:val="en-US" w:eastAsia="zh-CN"/>
        </w:rPr>
      </w:pPr>
    </w:p>
    <w:p>
      <w:pPr>
        <w:keepNext w:val="0"/>
        <w:keepLines w:val="0"/>
        <w:widowControl w:val="0"/>
        <w:suppressLineNumbers w:val="0"/>
        <w:spacing w:before="0" w:beforeAutospacing="0" w:after="0" w:afterAutospacing="0" w:line="600" w:lineRule="exact"/>
        <w:ind w:left="420" w:leftChars="200" w:right="0" w:firstLine="640" w:firstLineChars="200"/>
        <w:jc w:val="both"/>
        <w:rPr>
          <w:rFonts w:hint="eastAsia" w:ascii="宋体" w:eastAsia="宋体" w:cs="宋体"/>
          <w:kern w:val="2"/>
          <w:sz w:val="32"/>
          <w:szCs w:val="32"/>
          <w:lang w:val="en-US" w:eastAsia="zh-CN"/>
        </w:rPr>
      </w:pPr>
    </w:p>
    <w:p>
      <w:pPr>
        <w:keepNext w:val="0"/>
        <w:keepLines w:val="0"/>
        <w:widowControl w:val="0"/>
        <w:suppressLineNumbers w:val="0"/>
        <w:spacing w:before="0" w:beforeAutospacing="0" w:after="0" w:afterAutospacing="0" w:line="600" w:lineRule="exact"/>
        <w:ind w:left="420" w:leftChars="200" w:right="0" w:firstLine="640" w:firstLineChars="200"/>
        <w:jc w:val="both"/>
        <w:rPr>
          <w:rFonts w:hint="eastAsia" w:ascii="宋体" w:eastAsia="宋体" w:cs="宋体"/>
          <w:kern w:val="2"/>
          <w:sz w:val="32"/>
          <w:szCs w:val="32"/>
          <w:lang w:val="en-US" w:eastAsia="zh-CN"/>
        </w:rPr>
      </w:pPr>
    </w:p>
    <w:p>
      <w:pPr>
        <w:keepNext w:val="0"/>
        <w:keepLines w:val="0"/>
        <w:widowControl w:val="0"/>
        <w:suppressLineNumbers w:val="0"/>
        <w:spacing w:before="0" w:beforeAutospacing="0" w:after="0" w:afterAutospacing="0" w:line="600" w:lineRule="exact"/>
        <w:ind w:left="420" w:leftChars="200" w:right="0" w:firstLine="640" w:firstLineChars="200"/>
        <w:jc w:val="both"/>
        <w:rPr>
          <w:rFonts w:hint="eastAsia" w:ascii="宋体" w:eastAsia="宋体" w:cs="宋体"/>
          <w:kern w:val="2"/>
          <w:sz w:val="32"/>
          <w:szCs w:val="32"/>
          <w:lang w:val="en-US" w:eastAsia="zh-CN"/>
        </w:rPr>
      </w:pPr>
    </w:p>
    <w:p>
      <w:pPr>
        <w:keepNext w:val="0"/>
        <w:keepLines w:val="0"/>
        <w:widowControl w:val="0"/>
        <w:suppressLineNumbers w:val="0"/>
        <w:spacing w:before="0" w:beforeAutospacing="0" w:after="0" w:afterAutospacing="0" w:line="600" w:lineRule="exact"/>
        <w:ind w:left="420" w:leftChars="200" w:right="0" w:firstLine="640" w:firstLineChars="200"/>
        <w:jc w:val="both"/>
        <w:rPr>
          <w:rFonts w:hint="eastAsia" w:ascii="宋体" w:eastAsia="宋体" w:cs="宋体"/>
          <w:kern w:val="2"/>
          <w:sz w:val="32"/>
          <w:szCs w:val="32"/>
          <w:lang w:val="en-US" w:eastAsia="zh-CN"/>
        </w:rPr>
      </w:pPr>
    </w:p>
    <w:p>
      <w:pPr>
        <w:keepNext w:val="0"/>
        <w:keepLines w:val="0"/>
        <w:widowControl w:val="0"/>
        <w:suppressLineNumbers w:val="0"/>
        <w:spacing w:before="0" w:beforeAutospacing="0" w:after="0" w:afterAutospacing="0" w:line="600" w:lineRule="exact"/>
        <w:ind w:left="420" w:leftChars="200" w:right="0" w:firstLine="640" w:firstLineChars="200"/>
        <w:jc w:val="both"/>
        <w:rPr>
          <w:rFonts w:hint="eastAsia" w:ascii="宋体" w:eastAsia="宋体" w:cs="宋体"/>
          <w:kern w:val="2"/>
          <w:sz w:val="32"/>
          <w:szCs w:val="32"/>
          <w:lang w:val="en-US" w:eastAsia="zh-CN"/>
        </w:rPr>
      </w:pPr>
    </w:p>
    <w:p>
      <w:pPr>
        <w:keepNext w:val="0"/>
        <w:keepLines w:val="0"/>
        <w:widowControl w:val="0"/>
        <w:suppressLineNumbers w:val="0"/>
        <w:spacing w:before="0" w:beforeAutospacing="0" w:after="0" w:afterAutospacing="0" w:line="600" w:lineRule="exact"/>
        <w:ind w:left="420" w:leftChars="200" w:right="0" w:firstLine="640" w:firstLineChars="200"/>
        <w:jc w:val="both"/>
        <w:rPr>
          <w:rFonts w:hint="eastAsia" w:ascii="宋体" w:eastAsia="宋体" w:cs="宋体"/>
          <w:kern w:val="2"/>
          <w:sz w:val="32"/>
          <w:szCs w:val="32"/>
          <w:lang w:val="en-US" w:eastAsia="zh-CN"/>
        </w:rPr>
      </w:pPr>
      <w:r>
        <w:rPr>
          <w:rFonts w:hint="eastAsia" w:ascii="宋体" w:eastAsia="宋体" w:cs="宋体"/>
          <w:kern w:val="2"/>
          <w:sz w:val="32"/>
          <w:szCs w:val="32"/>
          <w:lang w:val="en-US" w:eastAsia="zh-CN"/>
        </w:rPr>
        <w:t>3.节能环保支出：</w:t>
      </w:r>
    </w:p>
    <w:p>
      <w:pPr>
        <w:keepNext w:val="0"/>
        <w:keepLines w:val="0"/>
        <w:widowControl w:val="0"/>
        <w:suppressLineNumbers w:val="0"/>
        <w:spacing w:before="0" w:beforeAutospacing="0" w:after="0" w:afterAutospacing="0" w:line="600" w:lineRule="exact"/>
        <w:ind w:left="420" w:leftChars="200" w:right="0"/>
        <w:jc w:val="both"/>
        <w:rPr>
          <w:rFonts w:hint="eastAsia" w:ascii="宋体" w:eastAsia="宋体" w:cs="宋体"/>
          <w:kern w:val="2"/>
          <w:sz w:val="32"/>
          <w:szCs w:val="32"/>
          <w:lang w:val="en-US" w:eastAsia="zh-CN"/>
        </w:rPr>
      </w:pPr>
      <w:r>
        <w:rPr>
          <w:rFonts w:hint="eastAsia" w:ascii="宋体" w:eastAsia="宋体" w:cs="宋体"/>
          <w:kern w:val="2"/>
          <w:sz w:val="32"/>
          <w:szCs w:val="32"/>
          <w:lang w:val="en-US" w:eastAsia="zh-CN"/>
        </w:rPr>
        <w:t xml:space="preserve">   生态环境保护行政许可211（类）自然生态环保04（款）生态环保01（项）：2021年决算数为518.78万元，完成预算100%，主要用于生态修复、农村环境保护及扶贫方面的支出。</w:t>
      </w:r>
    </w:p>
    <w:p>
      <w:pPr>
        <w:keepNext w:val="0"/>
        <w:keepLines w:val="0"/>
        <w:widowControl w:val="0"/>
        <w:suppressLineNumbers w:val="0"/>
        <w:spacing w:before="0" w:beforeAutospacing="0" w:after="0" w:afterAutospacing="0" w:line="600" w:lineRule="exact"/>
        <w:ind w:left="420" w:leftChars="200" w:right="0"/>
        <w:jc w:val="both"/>
        <w:rPr>
          <w:rFonts w:ascii="宋体" w:eastAsia="宋体" w:cs="宋体"/>
          <w:kern w:val="2"/>
          <w:sz w:val="32"/>
          <w:szCs w:val="32"/>
          <w:lang w:val="en-US" w:eastAsia="zh-CN"/>
        </w:rPr>
      </w:pPr>
      <w:r>
        <w:drawing>
          <wp:anchor distT="0" distB="0" distL="114300" distR="114300" simplePos="0" relativeHeight="251659264" behindDoc="1" locked="0" layoutInCell="1" allowOverlap="1">
            <wp:simplePos x="0" y="0"/>
            <wp:positionH relativeFrom="column">
              <wp:posOffset>432435</wp:posOffset>
            </wp:positionH>
            <wp:positionV relativeFrom="paragraph">
              <wp:posOffset>194945</wp:posOffset>
            </wp:positionV>
            <wp:extent cx="4806950" cy="2794000"/>
            <wp:effectExtent l="0" t="0" r="0" b="0"/>
            <wp:wrapNone/>
            <wp:docPr id="13"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pPr>
        <w:keepNext w:val="0"/>
        <w:keepLines w:val="0"/>
        <w:widowControl w:val="0"/>
        <w:suppressLineNumbers w:val="0"/>
        <w:spacing w:before="0" w:beforeAutospacing="0" w:after="0" w:afterAutospacing="0" w:line="600" w:lineRule="exact"/>
        <w:ind w:left="420" w:leftChars="200" w:right="0"/>
        <w:jc w:val="both"/>
        <w:rPr>
          <w:rFonts w:ascii="宋体" w:eastAsia="宋体" w:cs="宋体"/>
          <w:kern w:val="2"/>
          <w:sz w:val="32"/>
          <w:szCs w:val="32"/>
          <w:lang w:val="en-US" w:eastAsia="zh-CN"/>
        </w:rPr>
      </w:pPr>
    </w:p>
    <w:p>
      <w:pPr>
        <w:keepNext w:val="0"/>
        <w:keepLines w:val="0"/>
        <w:widowControl w:val="0"/>
        <w:suppressLineNumbers w:val="0"/>
        <w:spacing w:before="0" w:beforeAutospacing="0" w:after="0" w:afterAutospacing="0" w:line="600" w:lineRule="exact"/>
        <w:ind w:left="420" w:leftChars="200" w:right="0"/>
        <w:jc w:val="both"/>
        <w:rPr>
          <w:rFonts w:ascii="宋体" w:eastAsia="宋体" w:cs="宋体"/>
          <w:kern w:val="2"/>
          <w:sz w:val="32"/>
          <w:szCs w:val="32"/>
          <w:lang w:val="en-US" w:eastAsia="zh-CN"/>
        </w:rPr>
      </w:pPr>
    </w:p>
    <w:p>
      <w:pPr>
        <w:keepNext w:val="0"/>
        <w:keepLines w:val="0"/>
        <w:widowControl w:val="0"/>
        <w:suppressLineNumbers w:val="0"/>
        <w:spacing w:before="0" w:beforeAutospacing="0" w:after="0" w:afterAutospacing="0" w:line="600" w:lineRule="exact"/>
        <w:ind w:left="420" w:leftChars="200" w:right="0"/>
        <w:jc w:val="both"/>
        <w:rPr>
          <w:rFonts w:ascii="宋体" w:eastAsia="宋体" w:cs="宋体"/>
          <w:kern w:val="2"/>
          <w:sz w:val="32"/>
          <w:szCs w:val="32"/>
          <w:lang w:val="en-US" w:eastAsia="zh-CN"/>
        </w:rPr>
      </w:pPr>
    </w:p>
    <w:p>
      <w:pPr>
        <w:keepNext w:val="0"/>
        <w:keepLines w:val="0"/>
        <w:widowControl w:val="0"/>
        <w:suppressLineNumbers w:val="0"/>
        <w:spacing w:before="0" w:beforeAutospacing="0" w:after="0" w:afterAutospacing="0" w:line="600" w:lineRule="exact"/>
        <w:ind w:left="420" w:leftChars="200" w:right="0"/>
        <w:jc w:val="both"/>
        <w:rPr>
          <w:rFonts w:ascii="宋体" w:eastAsia="宋体" w:cs="宋体"/>
          <w:kern w:val="2"/>
          <w:sz w:val="32"/>
          <w:szCs w:val="32"/>
          <w:lang w:val="en-US" w:eastAsia="zh-CN"/>
        </w:rPr>
      </w:pPr>
    </w:p>
    <w:p>
      <w:pPr>
        <w:keepNext w:val="0"/>
        <w:keepLines w:val="0"/>
        <w:widowControl w:val="0"/>
        <w:suppressLineNumbers w:val="0"/>
        <w:spacing w:before="0" w:beforeAutospacing="0" w:after="0" w:afterAutospacing="0" w:line="600" w:lineRule="exact"/>
        <w:ind w:left="420" w:leftChars="200" w:right="0"/>
        <w:jc w:val="both"/>
        <w:rPr>
          <w:rFonts w:ascii="宋体" w:eastAsia="宋体" w:cs="宋体"/>
          <w:kern w:val="2"/>
          <w:sz w:val="32"/>
          <w:szCs w:val="32"/>
          <w:lang w:val="en-US" w:eastAsia="zh-CN"/>
        </w:rPr>
      </w:pPr>
    </w:p>
    <w:p>
      <w:pPr>
        <w:keepNext w:val="0"/>
        <w:keepLines w:val="0"/>
        <w:widowControl w:val="0"/>
        <w:suppressLineNumbers w:val="0"/>
        <w:spacing w:before="0" w:beforeAutospacing="0" w:after="0" w:afterAutospacing="0" w:line="600" w:lineRule="exact"/>
        <w:ind w:left="420" w:leftChars="200" w:right="0"/>
        <w:jc w:val="both"/>
        <w:rPr>
          <w:rFonts w:ascii="宋体" w:eastAsia="宋体" w:cs="宋体"/>
          <w:kern w:val="2"/>
          <w:sz w:val="32"/>
          <w:szCs w:val="32"/>
          <w:lang w:val="en-US" w:eastAsia="zh-CN"/>
        </w:rPr>
      </w:pPr>
    </w:p>
    <w:p>
      <w:pPr>
        <w:keepNext w:val="0"/>
        <w:keepLines w:val="0"/>
        <w:widowControl w:val="0"/>
        <w:suppressLineNumbers w:val="0"/>
        <w:spacing w:before="0" w:beforeAutospacing="0" w:after="0" w:afterAutospacing="0" w:line="600" w:lineRule="exact"/>
        <w:ind w:left="420" w:leftChars="200" w:right="0"/>
        <w:jc w:val="both"/>
        <w:rPr>
          <w:rFonts w:ascii="宋体" w:eastAsia="宋体" w:cs="宋体"/>
          <w:kern w:val="2"/>
          <w:sz w:val="32"/>
          <w:szCs w:val="32"/>
          <w:lang w:val="en-US" w:eastAsia="zh-CN"/>
        </w:rPr>
      </w:pPr>
    </w:p>
    <w:p>
      <w:pPr>
        <w:keepNext w:val="0"/>
        <w:keepLines w:val="0"/>
        <w:widowControl w:val="0"/>
        <w:suppressLineNumbers w:val="0"/>
        <w:spacing w:before="0" w:beforeAutospacing="0" w:after="0" w:afterAutospacing="0" w:line="600" w:lineRule="exact"/>
        <w:ind w:right="0"/>
        <w:jc w:val="both"/>
        <w:rPr>
          <w:rFonts w:hint="eastAsia" w:ascii="宋体" w:eastAsia="宋体" w:cs="宋体"/>
          <w:kern w:val="2"/>
          <w:sz w:val="32"/>
          <w:szCs w:val="32"/>
          <w:lang w:val="en-US" w:eastAsia="zh-CN"/>
        </w:rPr>
      </w:pPr>
    </w:p>
    <w:p>
      <w:pPr>
        <w:keepNext w:val="0"/>
        <w:keepLines w:val="0"/>
        <w:widowControl w:val="0"/>
        <w:suppressLineNumbers w:val="0"/>
        <w:spacing w:before="0" w:beforeAutospacing="0" w:after="0" w:afterAutospacing="0" w:line="600" w:lineRule="exact"/>
        <w:ind w:left="0" w:right="0" w:firstLine="960" w:firstLineChars="300"/>
        <w:jc w:val="both"/>
        <w:rPr>
          <w:rFonts w:hint="eastAsia" w:ascii="宋体" w:eastAsia="宋体" w:cs="宋体"/>
          <w:kern w:val="2"/>
          <w:sz w:val="32"/>
          <w:szCs w:val="32"/>
          <w:lang w:val="en-US" w:eastAsia="zh-CN"/>
        </w:rPr>
      </w:pPr>
      <w:r>
        <w:rPr>
          <w:rFonts w:hint="eastAsia" w:ascii="宋体" w:eastAsia="宋体" w:cs="宋体"/>
          <w:kern w:val="2"/>
          <w:sz w:val="32"/>
          <w:szCs w:val="32"/>
          <w:lang w:val="en-US" w:eastAsia="zh-CN"/>
        </w:rPr>
        <w:t>4.农林水支出：</w:t>
      </w:r>
    </w:p>
    <w:p>
      <w:pPr>
        <w:keepNext w:val="0"/>
        <w:keepLines w:val="0"/>
        <w:widowControl w:val="0"/>
        <w:suppressLineNumbers w:val="0"/>
        <w:spacing w:before="0" w:beforeAutospacing="0" w:after="0" w:afterAutospacing="0" w:line="600" w:lineRule="exact"/>
        <w:ind w:left="420" w:leftChars="200" w:right="0"/>
        <w:jc w:val="both"/>
        <w:rPr>
          <w:rFonts w:hint="eastAsia" w:ascii="宋体" w:eastAsia="宋体" w:cs="宋体"/>
          <w:kern w:val="2"/>
          <w:sz w:val="32"/>
          <w:szCs w:val="32"/>
          <w:lang w:val="en-US" w:eastAsia="zh-CN"/>
        </w:rPr>
      </w:pPr>
      <w:r>
        <w:rPr>
          <w:rFonts w:hint="eastAsia" w:ascii="宋体" w:eastAsia="宋体" w:cs="宋体"/>
          <w:kern w:val="2"/>
          <w:sz w:val="32"/>
          <w:szCs w:val="32"/>
          <w:lang w:val="en-US" w:eastAsia="zh-CN"/>
        </w:rPr>
        <w:t xml:space="preserve">   农林水支出213（类）扶贫05（款）其他扶贫支出99（项）：2021年决算数为75.73万元，完成预算100%，主要用于扶贫方面的支出。</w:t>
      </w:r>
    </w:p>
    <w:p>
      <w:pPr>
        <w:keepNext w:val="0"/>
        <w:keepLines w:val="0"/>
        <w:widowControl w:val="0"/>
        <w:suppressLineNumbers w:val="0"/>
        <w:spacing w:before="0" w:beforeAutospacing="0" w:after="0" w:afterAutospacing="0" w:line="600" w:lineRule="exact"/>
        <w:ind w:left="420" w:leftChars="200" w:right="0"/>
        <w:jc w:val="both"/>
        <w:rPr>
          <w:rFonts w:hint="eastAsia" w:ascii="宋体" w:eastAsia="宋体" w:cs="宋体"/>
          <w:kern w:val="2"/>
          <w:sz w:val="32"/>
          <w:szCs w:val="32"/>
          <w:lang w:val="en-US" w:eastAsia="zh-CN"/>
        </w:rPr>
      </w:pPr>
      <w:r>
        <w:drawing>
          <wp:anchor distT="0" distB="0" distL="114300" distR="114300" simplePos="0" relativeHeight="251659264" behindDoc="0" locked="0" layoutInCell="1" allowOverlap="1">
            <wp:simplePos x="0" y="0"/>
            <wp:positionH relativeFrom="column">
              <wp:posOffset>233045</wp:posOffset>
            </wp:positionH>
            <wp:positionV relativeFrom="paragraph">
              <wp:posOffset>109220</wp:posOffset>
            </wp:positionV>
            <wp:extent cx="4806950" cy="2794000"/>
            <wp:effectExtent l="0" t="0" r="0" b="0"/>
            <wp:wrapNone/>
            <wp:docPr id="14"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pPr>
        <w:keepNext w:val="0"/>
        <w:keepLines w:val="0"/>
        <w:widowControl w:val="0"/>
        <w:suppressLineNumbers w:val="0"/>
        <w:spacing w:before="0" w:beforeAutospacing="0" w:after="0" w:afterAutospacing="0" w:line="600" w:lineRule="exact"/>
        <w:ind w:left="0" w:right="0" w:firstLine="640" w:firstLineChars="200"/>
        <w:jc w:val="both"/>
        <w:rPr>
          <w:rFonts w:hint="eastAsia" w:ascii="宋体" w:eastAsia="宋体" w:cs="宋体"/>
          <w:sz w:val="32"/>
          <w:szCs w:val="32"/>
          <w:lang w:val="en-US"/>
        </w:rPr>
      </w:pPr>
    </w:p>
    <w:p>
      <w:pPr>
        <w:keepNext w:val="0"/>
        <w:keepLines w:val="0"/>
        <w:widowControl w:val="0"/>
        <w:suppressLineNumbers w:val="0"/>
        <w:spacing w:before="0" w:beforeAutospacing="0" w:after="0" w:afterAutospacing="0" w:line="600" w:lineRule="exact"/>
        <w:ind w:left="0" w:right="0" w:firstLine="640" w:firstLineChars="200"/>
        <w:jc w:val="both"/>
        <w:rPr>
          <w:rStyle w:val="13"/>
          <w:rFonts w:hint="eastAsia" w:ascii="宋体" w:eastAsia="宋体" w:cs="宋体"/>
          <w:b w:val="0"/>
          <w:bCs w:val="0"/>
          <w:kern w:val="2"/>
          <w:sz w:val="32"/>
          <w:szCs w:val="32"/>
          <w:lang w:val="en-US" w:eastAsia="zh-CN"/>
        </w:rPr>
      </w:pPr>
    </w:p>
    <w:p>
      <w:pPr>
        <w:keepNext w:val="0"/>
        <w:keepLines w:val="0"/>
        <w:widowControl w:val="0"/>
        <w:suppressLineNumbers w:val="0"/>
        <w:spacing w:before="0" w:beforeAutospacing="0" w:after="0" w:afterAutospacing="0" w:line="600" w:lineRule="exact"/>
        <w:ind w:left="0" w:right="0" w:firstLine="640" w:firstLineChars="200"/>
        <w:jc w:val="both"/>
        <w:rPr>
          <w:rStyle w:val="13"/>
          <w:rFonts w:hint="eastAsia" w:ascii="宋体" w:eastAsia="宋体" w:cs="宋体"/>
          <w:b w:val="0"/>
          <w:bCs w:val="0"/>
          <w:kern w:val="2"/>
          <w:sz w:val="32"/>
          <w:szCs w:val="32"/>
          <w:lang w:val="en-US" w:eastAsia="zh-CN"/>
        </w:rPr>
      </w:pPr>
    </w:p>
    <w:p>
      <w:pPr>
        <w:keepNext w:val="0"/>
        <w:keepLines w:val="0"/>
        <w:widowControl w:val="0"/>
        <w:suppressLineNumbers w:val="0"/>
        <w:spacing w:before="0" w:beforeAutospacing="0" w:after="0" w:afterAutospacing="0" w:line="600" w:lineRule="exact"/>
        <w:ind w:right="0"/>
        <w:jc w:val="both"/>
        <w:rPr>
          <w:rStyle w:val="13"/>
          <w:rFonts w:hint="eastAsia" w:ascii="宋体" w:eastAsia="宋体" w:cs="宋体"/>
          <w:b w:val="0"/>
          <w:bCs w:val="0"/>
          <w:kern w:val="2"/>
          <w:sz w:val="32"/>
          <w:szCs w:val="32"/>
          <w:lang w:val="en-US" w:eastAsia="zh-CN"/>
        </w:rPr>
      </w:pPr>
    </w:p>
    <w:p>
      <w:pPr>
        <w:keepNext w:val="0"/>
        <w:keepLines w:val="0"/>
        <w:widowControl w:val="0"/>
        <w:suppressLineNumbers w:val="0"/>
        <w:spacing w:before="0" w:beforeAutospacing="0" w:after="0" w:afterAutospacing="0" w:line="600" w:lineRule="exact"/>
        <w:ind w:right="0"/>
        <w:jc w:val="both"/>
        <w:rPr>
          <w:rStyle w:val="13"/>
          <w:rFonts w:hint="eastAsia" w:ascii="宋体" w:eastAsia="宋体" w:cs="宋体"/>
          <w:b w:val="0"/>
          <w:bCs w:val="0"/>
          <w:kern w:val="2"/>
          <w:sz w:val="32"/>
          <w:szCs w:val="32"/>
          <w:lang w:val="en-US" w:eastAsia="zh-CN"/>
        </w:rPr>
      </w:pPr>
    </w:p>
    <w:p>
      <w:pPr>
        <w:keepNext w:val="0"/>
        <w:keepLines w:val="0"/>
        <w:widowControl w:val="0"/>
        <w:suppressLineNumbers w:val="0"/>
        <w:spacing w:before="0" w:beforeAutospacing="0" w:after="0" w:afterAutospacing="0" w:line="600" w:lineRule="exact"/>
        <w:ind w:left="0" w:right="0" w:firstLine="640" w:firstLineChars="200"/>
        <w:jc w:val="both"/>
        <w:rPr>
          <w:rFonts w:hint="eastAsia" w:ascii="宋体" w:eastAsia="宋体" w:cs="宋体"/>
          <w:b w:val="0"/>
          <w:bCs w:val="0"/>
          <w:sz w:val="32"/>
          <w:szCs w:val="32"/>
          <w:lang w:val="en-US"/>
        </w:rPr>
      </w:pPr>
      <w:r>
        <w:rPr>
          <w:rStyle w:val="13"/>
          <w:rFonts w:hint="eastAsia" w:ascii="宋体" w:eastAsia="宋体" w:cs="宋体"/>
          <w:b w:val="0"/>
          <w:bCs w:val="0"/>
          <w:kern w:val="2"/>
          <w:sz w:val="32"/>
          <w:szCs w:val="32"/>
          <w:lang w:val="en-US" w:eastAsia="zh-CN"/>
        </w:rPr>
        <w:t>5.住房保障支出:</w:t>
      </w:r>
    </w:p>
    <w:p>
      <w:pPr>
        <w:keepNext w:val="0"/>
        <w:keepLines w:val="0"/>
        <w:widowControl w:val="0"/>
        <w:suppressLineNumbers w:val="0"/>
        <w:spacing w:before="0" w:beforeAutospacing="0" w:after="0" w:afterAutospacing="0" w:line="600" w:lineRule="exact"/>
        <w:ind w:left="0" w:right="0" w:firstLine="640" w:firstLineChars="200"/>
        <w:jc w:val="both"/>
        <w:rPr>
          <w:rFonts w:ascii="宋体" w:eastAsia="宋体" w:cs="宋体"/>
          <w:sz w:val="32"/>
          <w:szCs w:val="32"/>
          <w:lang w:val="en-US"/>
        </w:rPr>
      </w:pPr>
      <w:r>
        <w:rPr>
          <w:rFonts w:hint="eastAsia" w:ascii="宋体" w:eastAsia="宋体" w:cs="宋体"/>
          <w:kern w:val="2"/>
          <w:sz w:val="32"/>
          <w:szCs w:val="32"/>
          <w:lang w:val="en-US" w:eastAsia="zh-CN"/>
        </w:rPr>
        <w:t>住房保障支出221（类）住房改革支出02（款）住房公积金01（项）： 2021年决算数为31.73万元，完成预算100%，主要用于职工缴纳住房公积金。</w:t>
      </w:r>
    </w:p>
    <w:p>
      <w:pPr>
        <w:keepNext w:val="0"/>
        <w:keepLines w:val="0"/>
        <w:widowControl w:val="0"/>
        <w:suppressLineNumbers w:val="0"/>
        <w:spacing w:before="0" w:beforeAutospacing="0" w:after="0" w:afterAutospacing="0" w:line="600" w:lineRule="exact"/>
        <w:ind w:left="0" w:right="0" w:firstLine="420" w:firstLineChars="200"/>
        <w:jc w:val="both"/>
        <w:rPr>
          <w:rFonts w:hint="eastAsia" w:ascii="宋体" w:eastAsia="宋体" w:cs="宋体"/>
          <w:sz w:val="32"/>
          <w:szCs w:val="32"/>
          <w:lang w:val="en-US"/>
        </w:rPr>
      </w:pPr>
      <w:r>
        <w:drawing>
          <wp:anchor distT="0" distB="0" distL="114300" distR="114300" simplePos="0" relativeHeight="251659264" behindDoc="1" locked="0" layoutInCell="1" allowOverlap="1">
            <wp:simplePos x="0" y="0"/>
            <wp:positionH relativeFrom="column">
              <wp:posOffset>347345</wp:posOffset>
            </wp:positionH>
            <wp:positionV relativeFrom="paragraph">
              <wp:posOffset>128270</wp:posOffset>
            </wp:positionV>
            <wp:extent cx="4806950" cy="2790825"/>
            <wp:effectExtent l="0" t="0" r="0" b="0"/>
            <wp:wrapNone/>
            <wp:docPr id="15"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p>
      <w:pPr>
        <w:keepNext w:val="0"/>
        <w:keepLines w:val="0"/>
        <w:widowControl w:val="0"/>
        <w:suppressLineNumbers w:val="0"/>
        <w:spacing w:before="0" w:beforeAutospacing="0" w:after="0" w:afterAutospacing="0" w:line="600" w:lineRule="exact"/>
        <w:ind w:left="0" w:right="0" w:firstLine="640" w:firstLineChars="200"/>
        <w:jc w:val="both"/>
        <w:rPr>
          <w:rFonts w:hint="eastAsia" w:ascii="宋体" w:eastAsia="宋体" w:cs="宋体"/>
          <w:sz w:val="32"/>
          <w:szCs w:val="32"/>
          <w:lang w:val="en-US"/>
        </w:rPr>
      </w:pPr>
    </w:p>
    <w:p>
      <w:pPr>
        <w:keepNext w:val="0"/>
        <w:keepLines w:val="0"/>
        <w:widowControl w:val="0"/>
        <w:suppressLineNumbers w:val="0"/>
        <w:spacing w:before="0" w:beforeAutospacing="0" w:after="0" w:afterAutospacing="0" w:line="600" w:lineRule="exact"/>
        <w:ind w:left="0" w:right="0" w:firstLine="640" w:firstLineChars="200"/>
        <w:jc w:val="both"/>
        <w:rPr>
          <w:rFonts w:hint="eastAsia" w:ascii="宋体" w:eastAsia="宋体" w:cs="宋体"/>
          <w:sz w:val="32"/>
          <w:szCs w:val="32"/>
          <w:lang w:val="en-US"/>
        </w:rPr>
      </w:pPr>
    </w:p>
    <w:p>
      <w:pPr>
        <w:keepNext w:val="0"/>
        <w:keepLines w:val="0"/>
        <w:widowControl w:val="0"/>
        <w:suppressLineNumbers w:val="0"/>
        <w:spacing w:before="0" w:beforeAutospacing="0" w:after="0" w:afterAutospacing="0" w:line="600" w:lineRule="exact"/>
        <w:ind w:left="0" w:right="0" w:firstLine="640" w:firstLineChars="200"/>
        <w:jc w:val="both"/>
        <w:rPr>
          <w:rFonts w:hint="eastAsia" w:ascii="宋体" w:eastAsia="宋体" w:cs="宋体"/>
          <w:sz w:val="32"/>
          <w:szCs w:val="32"/>
          <w:lang w:val="en-US"/>
        </w:rPr>
      </w:pPr>
    </w:p>
    <w:p>
      <w:pPr>
        <w:keepNext w:val="0"/>
        <w:keepLines w:val="0"/>
        <w:widowControl w:val="0"/>
        <w:suppressLineNumbers w:val="0"/>
        <w:spacing w:before="0" w:beforeAutospacing="0" w:after="0" w:afterAutospacing="0"/>
        <w:ind w:right="0"/>
        <w:jc w:val="both"/>
        <w:rPr>
          <w:rFonts w:hint="eastAsia" w:ascii="宋体" w:eastAsia="宋体" w:cs="宋体"/>
          <w:kern w:val="2"/>
          <w:sz w:val="32"/>
          <w:szCs w:val="32"/>
          <w:lang w:val="en-US" w:eastAsia="zh-CN"/>
        </w:rPr>
      </w:pPr>
    </w:p>
    <w:p>
      <w:pPr>
        <w:keepNext w:val="0"/>
        <w:keepLines w:val="0"/>
        <w:widowControl w:val="0"/>
        <w:suppressLineNumbers w:val="0"/>
        <w:spacing w:before="0" w:beforeAutospacing="0" w:after="0" w:afterAutospacing="0"/>
        <w:ind w:right="0"/>
        <w:jc w:val="both"/>
        <w:rPr>
          <w:rFonts w:hint="eastAsia" w:ascii="宋体" w:eastAsia="宋体" w:cs="宋体"/>
          <w:kern w:val="2"/>
          <w:sz w:val="32"/>
          <w:szCs w:val="32"/>
          <w:lang w:val="en-US" w:eastAsia="zh-CN"/>
        </w:rPr>
      </w:pPr>
    </w:p>
    <w:p>
      <w:pPr>
        <w:keepNext w:val="0"/>
        <w:keepLines w:val="0"/>
        <w:widowControl w:val="0"/>
        <w:suppressLineNumbers w:val="0"/>
        <w:spacing w:before="0" w:beforeAutospacing="0" w:after="0" w:afterAutospacing="0"/>
        <w:ind w:left="0" w:right="0" w:firstLine="640" w:firstLineChars="200"/>
        <w:jc w:val="both"/>
        <w:rPr>
          <w:rFonts w:hint="eastAsia" w:ascii="宋体" w:eastAsia="宋体" w:cs="宋体"/>
          <w:kern w:val="2"/>
          <w:sz w:val="32"/>
          <w:szCs w:val="32"/>
          <w:lang w:val="en-US" w:eastAsia="zh-CN"/>
        </w:rPr>
      </w:pPr>
    </w:p>
    <w:p>
      <w:pPr>
        <w:keepNext w:val="0"/>
        <w:keepLines w:val="0"/>
        <w:widowControl w:val="0"/>
        <w:suppressLineNumbers w:val="0"/>
        <w:spacing w:before="0" w:beforeAutospacing="0" w:after="0" w:afterAutospacing="0"/>
        <w:ind w:left="0" w:right="0" w:firstLine="640" w:firstLineChars="200"/>
        <w:jc w:val="both"/>
        <w:rPr>
          <w:rFonts w:hint="eastAsia" w:ascii="宋体" w:eastAsia="宋体" w:cs="宋体"/>
          <w:kern w:val="2"/>
          <w:sz w:val="32"/>
          <w:szCs w:val="32"/>
          <w:lang w:val="en-US" w:eastAsia="zh-CN"/>
        </w:rPr>
      </w:pPr>
    </w:p>
    <w:p>
      <w:pPr>
        <w:keepNext w:val="0"/>
        <w:keepLines w:val="0"/>
        <w:widowControl w:val="0"/>
        <w:suppressLineNumbers w:val="0"/>
        <w:spacing w:before="0" w:beforeAutospacing="0" w:after="0" w:afterAutospacing="0"/>
        <w:ind w:left="0" w:right="0" w:firstLine="640" w:firstLineChars="200"/>
        <w:jc w:val="both"/>
        <w:rPr>
          <w:rFonts w:hint="eastAsia" w:ascii="宋体" w:eastAsia="宋体" w:cs="宋体"/>
          <w:kern w:val="0"/>
          <w:sz w:val="32"/>
          <w:szCs w:val="32"/>
          <w:lang w:val="en-US" w:eastAsia="zh-CN"/>
        </w:rPr>
      </w:pPr>
      <w:r>
        <w:rPr>
          <w:rFonts w:hint="eastAsia" w:ascii="宋体" w:eastAsia="宋体" w:cs="宋体"/>
          <w:kern w:val="2"/>
          <w:sz w:val="32"/>
          <w:szCs w:val="32"/>
          <w:lang w:val="en-US" w:eastAsia="zh-CN"/>
        </w:rPr>
        <w:t>6.教育支出：</w:t>
      </w:r>
    </w:p>
    <w:p>
      <w:pPr>
        <w:keepNext w:val="0"/>
        <w:keepLines w:val="0"/>
        <w:widowControl w:val="0"/>
        <w:suppressLineNumbers w:val="0"/>
        <w:spacing w:before="0" w:beforeAutospacing="0" w:after="0" w:afterAutospacing="0"/>
        <w:ind w:left="0" w:right="0" w:firstLine="640" w:firstLineChars="200"/>
        <w:jc w:val="both"/>
        <w:rPr>
          <w:rFonts w:hint="eastAsia" w:ascii="宋体" w:eastAsia="宋体" w:cs="宋体"/>
          <w:kern w:val="2"/>
          <w:sz w:val="32"/>
          <w:szCs w:val="32"/>
          <w:lang w:val="en-US" w:eastAsia="zh-CN"/>
        </w:rPr>
      </w:pPr>
      <w:r>
        <w:rPr>
          <w:rFonts w:hint="eastAsia" w:ascii="宋体" w:eastAsia="宋体" w:cs="宋体"/>
          <w:kern w:val="0"/>
          <w:sz w:val="32"/>
          <w:szCs w:val="32"/>
          <w:lang w:val="en-US" w:eastAsia="zh-CN"/>
        </w:rPr>
        <w:t>教育支出208</w:t>
      </w:r>
      <w:r>
        <w:rPr>
          <w:rFonts w:hint="eastAsia" w:ascii="宋体" w:eastAsia="宋体" w:cs="宋体"/>
          <w:kern w:val="2"/>
          <w:sz w:val="32"/>
          <w:szCs w:val="32"/>
          <w:lang w:val="en-US" w:eastAsia="zh-CN"/>
        </w:rPr>
        <w:t>（类）</w:t>
      </w:r>
      <w:r>
        <w:rPr>
          <w:rFonts w:hint="eastAsia" w:ascii="宋体" w:eastAsia="宋体" w:cs="宋体"/>
          <w:kern w:val="0"/>
          <w:sz w:val="32"/>
          <w:szCs w:val="32"/>
          <w:lang w:val="en-US" w:eastAsia="zh-CN"/>
        </w:rPr>
        <w:t>进修及培训05</w:t>
      </w:r>
      <w:r>
        <w:rPr>
          <w:rFonts w:hint="eastAsia" w:ascii="宋体" w:eastAsia="宋体" w:cs="宋体"/>
          <w:kern w:val="2"/>
          <w:sz w:val="32"/>
          <w:szCs w:val="32"/>
          <w:lang w:val="en-US" w:eastAsia="zh-CN"/>
        </w:rPr>
        <w:t>（款）</w:t>
      </w:r>
      <w:r>
        <w:rPr>
          <w:rFonts w:hint="eastAsia" w:ascii="宋体" w:eastAsia="宋体" w:cs="宋体"/>
          <w:kern w:val="0"/>
          <w:sz w:val="32"/>
          <w:szCs w:val="32"/>
          <w:lang w:val="en-US" w:eastAsia="zh-CN"/>
        </w:rPr>
        <w:t>培训支出03</w:t>
      </w:r>
      <w:r>
        <w:rPr>
          <w:rFonts w:hint="eastAsia" w:ascii="宋体" w:eastAsia="宋体" w:cs="宋体"/>
          <w:kern w:val="2"/>
          <w:sz w:val="32"/>
          <w:szCs w:val="32"/>
          <w:lang w:val="en-US" w:eastAsia="zh-CN"/>
        </w:rPr>
        <w:t>（项）:2021年决算数为1.2万元，完成预算100%，主要用于：局机关及参公管理事业单位医疗保险医疗缴费综合业务、专门性财政管理工作的项目支出。</w:t>
      </w:r>
    </w:p>
    <w:p>
      <w:pPr>
        <w:keepNext w:val="0"/>
        <w:keepLines w:val="0"/>
        <w:widowControl w:val="0"/>
        <w:suppressLineNumbers w:val="0"/>
        <w:spacing w:before="0" w:beforeAutospacing="0" w:after="0" w:afterAutospacing="0"/>
        <w:ind w:left="0" w:right="0" w:firstLine="420" w:firstLineChars="200"/>
        <w:jc w:val="both"/>
      </w:pPr>
      <w:r>
        <w:drawing>
          <wp:inline distT="0" distB="0" distL="114300" distR="114300">
            <wp:extent cx="4953000" cy="2762250"/>
            <wp:effectExtent l="0" t="0" r="0" b="0"/>
            <wp:docPr id="16"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pPr>
        <w:pStyle w:val="2"/>
        <w:rPr>
          <w:rFonts w:hint="eastAsia"/>
          <w:lang w:val="en-US" w:eastAsia="zh-CN"/>
        </w:rPr>
      </w:pPr>
    </w:p>
    <w:p>
      <w:pPr>
        <w:keepNext w:val="0"/>
        <w:keepLines w:val="0"/>
        <w:widowControl w:val="0"/>
        <w:numPr>
          <w:ilvl w:val="0"/>
          <w:numId w:val="3"/>
        </w:numPr>
        <w:suppressLineNumbers w:val="0"/>
        <w:spacing w:before="0" w:beforeAutospacing="0" w:after="0" w:afterAutospacing="0"/>
        <w:ind w:left="480" w:right="0" w:firstLine="0"/>
        <w:jc w:val="both"/>
        <w:rPr>
          <w:rFonts w:hint="eastAsia" w:ascii="宋体" w:eastAsia="宋体" w:cs="宋体"/>
          <w:sz w:val="32"/>
          <w:szCs w:val="32"/>
          <w:lang w:val="en-US" w:eastAsia="zh-CN"/>
        </w:rPr>
      </w:pPr>
      <w:r>
        <w:rPr>
          <w:rFonts w:hint="eastAsia" w:ascii="宋体" w:eastAsia="宋体" w:cs="宋体"/>
          <w:sz w:val="32"/>
          <w:szCs w:val="32"/>
          <w:lang w:val="en-US" w:eastAsia="zh-CN"/>
        </w:rPr>
        <w:t>其他支出</w:t>
      </w:r>
    </w:p>
    <w:p>
      <w:pPr>
        <w:keepNext w:val="0"/>
        <w:keepLines w:val="0"/>
        <w:widowControl w:val="0"/>
        <w:suppressLineNumbers w:val="0"/>
        <w:spacing w:before="0" w:beforeAutospacing="0" w:after="0" w:afterAutospacing="0"/>
        <w:ind w:left="0" w:right="0" w:firstLine="420" w:firstLineChars="200"/>
        <w:jc w:val="both"/>
        <w:rPr>
          <w:rFonts w:hint="eastAsia" w:ascii="宋体" w:eastAsia="宋体" w:cs="宋体"/>
          <w:kern w:val="2"/>
          <w:sz w:val="32"/>
          <w:szCs w:val="32"/>
          <w:lang w:val="en-US" w:eastAsia="zh-CN"/>
        </w:rPr>
      </w:pPr>
      <w:r>
        <w:drawing>
          <wp:anchor distT="0" distB="0" distL="114300" distR="114300" simplePos="0" relativeHeight="251659264" behindDoc="1" locked="0" layoutInCell="1" allowOverlap="1">
            <wp:simplePos x="0" y="0"/>
            <wp:positionH relativeFrom="column">
              <wp:posOffset>93980</wp:posOffset>
            </wp:positionH>
            <wp:positionV relativeFrom="paragraph">
              <wp:posOffset>1147445</wp:posOffset>
            </wp:positionV>
            <wp:extent cx="4815840" cy="2938145"/>
            <wp:effectExtent l="4445" t="5080" r="18415" b="9525"/>
            <wp:wrapNone/>
            <wp:docPr id="17"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r>
        <w:rPr>
          <w:rFonts w:hint="eastAsia" w:ascii="宋体" w:eastAsia="宋体" w:cs="宋体"/>
          <w:kern w:val="0"/>
          <w:sz w:val="32"/>
          <w:szCs w:val="32"/>
          <w:lang w:val="en-US" w:eastAsia="zh-CN"/>
        </w:rPr>
        <w:t>其他支出229</w:t>
      </w:r>
      <w:r>
        <w:rPr>
          <w:rFonts w:hint="eastAsia" w:ascii="宋体" w:eastAsia="宋体" w:cs="宋体"/>
          <w:kern w:val="2"/>
          <w:sz w:val="32"/>
          <w:szCs w:val="32"/>
          <w:lang w:val="en-US" w:eastAsia="zh-CN"/>
        </w:rPr>
        <w:t>（类）彩票公益金安排的支出60（款）</w:t>
      </w:r>
      <w:r>
        <w:rPr>
          <w:rFonts w:hint="eastAsia" w:ascii="宋体" w:eastAsia="宋体" w:cs="宋体"/>
          <w:kern w:val="0"/>
          <w:sz w:val="32"/>
          <w:szCs w:val="32"/>
          <w:lang w:val="en-US" w:eastAsia="zh-CN"/>
        </w:rPr>
        <w:t xml:space="preserve"> 用于城乡医疗救助的彩票公益金支出13</w:t>
      </w:r>
      <w:r>
        <w:rPr>
          <w:rFonts w:hint="eastAsia" w:ascii="宋体" w:eastAsia="宋体" w:cs="宋体"/>
          <w:kern w:val="2"/>
          <w:sz w:val="32"/>
          <w:szCs w:val="32"/>
          <w:lang w:val="en-US" w:eastAsia="zh-CN"/>
        </w:rPr>
        <w:t>（项）:2021年决算数为45.79万元。主要用于：城乡医疗救助支出。</w:t>
      </w:r>
    </w:p>
    <w:p>
      <w:pPr>
        <w:pStyle w:val="2"/>
        <w:rPr>
          <w:rFonts w:hint="eastAsia"/>
          <w:lang w:val="en-US"/>
        </w:rPr>
      </w:pPr>
    </w:p>
    <w:p>
      <w:pPr>
        <w:keepNext w:val="0"/>
        <w:keepLines w:val="0"/>
        <w:widowControl w:val="0"/>
        <w:suppressLineNumbers w:val="0"/>
        <w:spacing w:before="0" w:beforeAutospacing="0" w:after="0" w:afterAutospacing="0"/>
        <w:ind w:left="480" w:right="0"/>
        <w:jc w:val="both"/>
        <w:rPr>
          <w:rFonts w:ascii="宋体" w:eastAsia="宋体" w:cs="宋体"/>
          <w:sz w:val="32"/>
          <w:szCs w:val="32"/>
          <w:lang w:val="en-US" w:eastAsia="zh-CN"/>
        </w:rPr>
      </w:pPr>
    </w:p>
    <w:p>
      <w:pPr>
        <w:keepNext w:val="0"/>
        <w:keepLines w:val="0"/>
        <w:widowControl w:val="0"/>
        <w:suppressLineNumbers w:val="0"/>
        <w:spacing w:before="0" w:beforeAutospacing="0" w:after="0" w:afterAutospacing="0"/>
        <w:ind w:left="0" w:right="0" w:firstLine="640" w:firstLineChars="200"/>
        <w:jc w:val="both"/>
        <w:rPr>
          <w:rFonts w:hint="eastAsia" w:ascii="宋体" w:eastAsia="宋体" w:cs="宋体"/>
          <w:sz w:val="32"/>
          <w:szCs w:val="32"/>
          <w:lang w:val="en-US"/>
        </w:rPr>
      </w:pPr>
    </w:p>
    <w:p>
      <w:pPr>
        <w:keepNext w:val="0"/>
        <w:keepLines w:val="0"/>
        <w:widowControl w:val="0"/>
        <w:suppressLineNumbers w:val="0"/>
        <w:spacing w:before="0" w:beforeAutospacing="0" w:after="0" w:afterAutospacing="0"/>
        <w:ind w:left="0" w:right="0"/>
        <w:jc w:val="both"/>
        <w:rPr>
          <w:rFonts w:hint="eastAsia" w:ascii="宋体" w:eastAsia="宋体" w:cs="宋体"/>
          <w:sz w:val="32"/>
          <w:szCs w:val="32"/>
          <w:lang w:val="en-US"/>
        </w:rPr>
      </w:pPr>
    </w:p>
    <w:p>
      <w:pPr>
        <w:keepNext w:val="0"/>
        <w:keepLines w:val="0"/>
        <w:widowControl w:val="0"/>
        <w:suppressLineNumbers w:val="0"/>
        <w:spacing w:before="0" w:beforeAutospacing="0" w:after="0" w:afterAutospacing="0" w:line="600" w:lineRule="exact"/>
        <w:ind w:left="0" w:right="0" w:firstLine="723" w:firstLineChars="200"/>
        <w:jc w:val="both"/>
        <w:rPr>
          <w:rFonts w:hint="eastAsia" w:ascii="宋体" w:eastAsia="宋体" w:cs="宋体"/>
          <w:b/>
          <w:bCs/>
          <w:kern w:val="2"/>
          <w:sz w:val="36"/>
          <w:szCs w:val="36"/>
          <w:lang w:val="en-US" w:eastAsia="zh-CN"/>
        </w:rPr>
      </w:pPr>
    </w:p>
    <w:p>
      <w:pPr>
        <w:pStyle w:val="2"/>
        <w:rPr>
          <w:rFonts w:hint="eastAsia" w:ascii="宋体" w:eastAsia="宋体" w:cs="宋体"/>
          <w:b/>
          <w:bCs/>
          <w:kern w:val="2"/>
          <w:sz w:val="36"/>
          <w:szCs w:val="36"/>
          <w:lang w:val="en-US" w:eastAsia="zh-CN"/>
        </w:rPr>
      </w:pPr>
    </w:p>
    <w:p>
      <w:pPr>
        <w:rPr>
          <w:rFonts w:hint="eastAsia" w:ascii="宋体" w:eastAsia="宋体" w:cs="宋体"/>
          <w:b/>
          <w:bCs/>
          <w:kern w:val="2"/>
          <w:sz w:val="36"/>
          <w:szCs w:val="36"/>
          <w:lang w:val="en-US" w:eastAsia="zh-CN"/>
        </w:rPr>
      </w:pPr>
    </w:p>
    <w:p>
      <w:pPr>
        <w:pStyle w:val="2"/>
        <w:rPr>
          <w:rFonts w:hint="eastAsia"/>
          <w:lang w:val="en-US" w:eastAsia="zh-CN"/>
        </w:rPr>
      </w:pPr>
    </w:p>
    <w:p>
      <w:pPr>
        <w:keepNext w:val="0"/>
        <w:keepLines w:val="0"/>
        <w:widowControl w:val="0"/>
        <w:suppressLineNumbers w:val="0"/>
        <w:spacing w:before="0" w:beforeAutospacing="0" w:after="0" w:afterAutospacing="0" w:line="600" w:lineRule="exact"/>
        <w:ind w:right="0"/>
        <w:jc w:val="both"/>
        <w:rPr>
          <w:rFonts w:hint="eastAsia" w:ascii="宋体" w:eastAsia="宋体" w:cs="宋体"/>
          <w:b/>
          <w:bCs/>
          <w:kern w:val="2"/>
          <w:sz w:val="36"/>
          <w:szCs w:val="36"/>
          <w:lang w:val="en-US" w:eastAsia="zh-CN"/>
        </w:rPr>
      </w:pPr>
    </w:p>
    <w:p>
      <w:pPr>
        <w:spacing w:line="600" w:lineRule="exact"/>
        <w:ind w:firstLine="640"/>
        <w:rPr>
          <w:rFonts w:ascii="黑体" w:eastAsia="黑体"/>
          <w:color w:val="000000"/>
          <w:sz w:val="32"/>
          <w:szCs w:val="32"/>
          <w:lang w:val="en-US"/>
        </w:rPr>
      </w:pPr>
      <w:r>
        <w:rPr>
          <w:rFonts w:hint="eastAsia" w:ascii="黑体" w:eastAsia="黑体"/>
          <w:color w:val="000000"/>
          <w:sz w:val="32"/>
          <w:szCs w:val="32"/>
          <w:lang w:val="en-US" w:eastAsia="zh-CN"/>
        </w:rPr>
        <w:t>六、一般公共预算财政拨款基本支出决算情况说明</w:t>
      </w:r>
    </w:p>
    <w:p>
      <w:pPr>
        <w:spacing w:line="600" w:lineRule="exact"/>
        <w:ind w:firstLine="640" w:firstLineChars="200"/>
        <w:rPr>
          <w:rFonts w:hint="eastAsia" w:ascii="宋体" w:eastAsia="宋体" w:cs="宋体"/>
          <w:kern w:val="2"/>
          <w:sz w:val="32"/>
          <w:szCs w:val="32"/>
          <w:lang w:val="en-US" w:eastAsia="zh-CN"/>
        </w:rPr>
      </w:pPr>
      <w:r>
        <w:rPr>
          <w:rFonts w:hint="eastAsia" w:ascii="宋体" w:eastAsia="宋体" w:cs="宋体"/>
          <w:kern w:val="2"/>
          <w:sz w:val="32"/>
          <w:szCs w:val="32"/>
          <w:lang w:val="en-US" w:eastAsia="zh-CN"/>
        </w:rPr>
        <w:t>医疗保障局2021年一般公共预算财政拨款基本支出739.15万元，其中：人员经费591.16万元，主要包括：基本工资86.89万元、津贴补贴114.15万元、奖金6.9万元、机关事业单位基本养老保险缴费32.53万元、职业年金缴费16.2万元、职工基本医疗保险缴费14.39万元、公务员医疗补助4.57万元、其他社会保障缴费3.01万元、生活补助3.64万元、奖励金102.07万元、住房公积金32.7万元、其他行政事业单位医疗支出174.11万元。</w:t>
      </w:r>
    </w:p>
    <w:p>
      <w:pPr>
        <w:spacing w:line="600" w:lineRule="exact"/>
        <w:ind w:firstLine="640" w:firstLineChars="200"/>
        <w:rPr>
          <w:rFonts w:hint="eastAsia" w:ascii="宋体" w:eastAsia="宋体" w:cs="宋体"/>
          <w:kern w:val="2"/>
          <w:sz w:val="32"/>
          <w:szCs w:val="32"/>
          <w:lang w:val="en-US" w:eastAsia="zh-CN"/>
        </w:rPr>
      </w:pPr>
      <w:r>
        <w:rPr>
          <w:rFonts w:hint="eastAsia" w:ascii="宋体" w:eastAsia="宋体" w:cs="宋体"/>
          <w:kern w:val="2"/>
          <w:sz w:val="32"/>
          <w:szCs w:val="32"/>
          <w:lang w:val="en-US" w:eastAsia="zh-CN"/>
        </w:rPr>
        <w:t>公用经费17.13万元，主要包括：办公费5.5万元、印刷费1.32万元、咨询费1万元、水费0.3万元、电费1万元、邮电费1万元、取暖费0.49万元、差旅费2.24万元、维修（护）费1万元、公务用车运行维护费3.28万元。</w:t>
      </w:r>
    </w:p>
    <w:p>
      <w:pPr>
        <w:spacing w:line="600" w:lineRule="exact"/>
        <w:ind w:firstLine="640" w:firstLineChars="200"/>
        <w:rPr>
          <w:rFonts w:ascii="宋体" w:eastAsia="宋体" w:cs="宋体"/>
          <w:kern w:val="2"/>
          <w:sz w:val="32"/>
          <w:szCs w:val="32"/>
          <w:lang w:val="en-US" w:eastAsia="zh-CN"/>
        </w:rPr>
      </w:pPr>
      <w:r>
        <w:rPr>
          <w:rFonts w:hint="eastAsia" w:ascii="宋体" w:eastAsia="宋体" w:cs="宋体"/>
          <w:kern w:val="2"/>
          <w:sz w:val="32"/>
          <w:szCs w:val="32"/>
          <w:lang w:val="en-US" w:eastAsia="zh-CN"/>
        </w:rPr>
        <w:t>医疗保障局2021年一般公共预算财政拨款项目支出1211.63万元(政府性基金支出45.79万元)。</w:t>
      </w:r>
    </w:p>
    <w:p>
      <w:pPr>
        <w:spacing w:line="600" w:lineRule="exact"/>
        <w:ind w:firstLine="960" w:firstLineChars="300"/>
        <w:rPr>
          <w:rFonts w:hint="eastAsia" w:ascii="黑体" w:eastAsia="黑体"/>
          <w:color w:val="000000"/>
          <w:sz w:val="32"/>
          <w:szCs w:val="32"/>
          <w:lang w:val="en-US" w:eastAsia="zh-CN"/>
        </w:rPr>
      </w:pPr>
      <w:r>
        <w:rPr>
          <w:rFonts w:hint="eastAsia" w:ascii="黑体" w:eastAsia="黑体"/>
          <w:color w:val="000000"/>
          <w:sz w:val="32"/>
          <w:szCs w:val="32"/>
          <w:lang w:val="en-US" w:eastAsia="zh-CN"/>
        </w:rPr>
        <w:t>七、“三公”经费财政拨款支出决算情况</w:t>
      </w:r>
    </w:p>
    <w:p>
      <w:pPr>
        <w:keepNext w:val="0"/>
        <w:keepLines w:val="0"/>
        <w:widowControl w:val="0"/>
        <w:suppressLineNumbers w:val="0"/>
        <w:spacing w:before="0" w:beforeAutospacing="0" w:after="0" w:afterAutospacing="0" w:line="600" w:lineRule="exact"/>
        <w:ind w:left="0" w:right="0" w:firstLine="640"/>
        <w:jc w:val="both"/>
        <w:rPr>
          <w:rFonts w:hint="eastAsia" w:ascii="宋体" w:eastAsia="宋体" w:cs="宋体"/>
          <w:bCs/>
          <w:sz w:val="32"/>
          <w:szCs w:val="32"/>
          <w:lang w:val="en-US"/>
        </w:rPr>
      </w:pPr>
      <w:r>
        <w:rPr>
          <w:rFonts w:hint="eastAsia" w:ascii="宋体" w:eastAsia="宋体" w:cs="宋体"/>
          <w:bCs/>
          <w:kern w:val="2"/>
          <w:sz w:val="32"/>
          <w:szCs w:val="32"/>
          <w:lang w:val="en-US" w:eastAsia="zh-CN"/>
        </w:rPr>
        <w:t>（一）“三公”经费财政拨款支出决算总体情况说明</w:t>
      </w:r>
    </w:p>
    <w:p>
      <w:pPr>
        <w:keepNext w:val="0"/>
        <w:keepLines w:val="0"/>
        <w:widowControl w:val="0"/>
        <w:suppressLineNumbers w:val="0"/>
        <w:spacing w:before="0" w:beforeAutospacing="0" w:after="0" w:afterAutospacing="0" w:line="600" w:lineRule="exact"/>
        <w:ind w:left="0" w:right="0" w:firstLine="640"/>
        <w:jc w:val="both"/>
        <w:rPr>
          <w:rFonts w:hint="eastAsia" w:ascii="宋体" w:eastAsia="宋体" w:cs="宋体"/>
          <w:bCs/>
          <w:sz w:val="32"/>
          <w:szCs w:val="32"/>
          <w:lang w:val="en-US"/>
        </w:rPr>
      </w:pPr>
      <w:r>
        <w:rPr>
          <w:rFonts w:hint="eastAsia" w:ascii="宋体" w:eastAsia="宋体" w:cs="宋体"/>
          <w:bCs/>
          <w:kern w:val="2"/>
          <w:sz w:val="32"/>
          <w:szCs w:val="32"/>
          <w:lang w:val="en-US" w:eastAsia="zh-CN"/>
        </w:rPr>
        <w:t>金川县医保局2021年度“三公”经费财政拨款支出决算为3.28万元，</w:t>
      </w:r>
      <w:r>
        <w:rPr>
          <w:rFonts w:hint="eastAsia" w:ascii="宋体" w:cs="宋体"/>
          <w:bCs/>
          <w:kern w:val="2"/>
          <w:sz w:val="32"/>
          <w:szCs w:val="32"/>
          <w:lang w:val="en-US" w:eastAsia="zh-CN"/>
        </w:rPr>
        <w:t>2021年</w:t>
      </w:r>
      <w:r>
        <w:rPr>
          <w:rFonts w:hint="eastAsia" w:ascii="宋体" w:eastAsia="宋体" w:cs="宋体"/>
          <w:bCs/>
          <w:kern w:val="2"/>
          <w:sz w:val="32"/>
          <w:szCs w:val="32"/>
          <w:lang w:val="en-US" w:eastAsia="zh-CN"/>
        </w:rPr>
        <w:t>度“三公”经费</w:t>
      </w:r>
      <w:r>
        <w:rPr>
          <w:rFonts w:hint="eastAsia" w:ascii="宋体" w:cs="宋体"/>
          <w:bCs/>
          <w:kern w:val="2"/>
          <w:sz w:val="32"/>
          <w:szCs w:val="32"/>
          <w:lang w:val="en-US" w:eastAsia="zh-CN"/>
        </w:rPr>
        <w:t>预算数为3.76万元，</w:t>
      </w:r>
      <w:r>
        <w:rPr>
          <w:rFonts w:hint="eastAsia" w:ascii="宋体" w:eastAsia="宋体" w:cs="宋体"/>
          <w:bCs/>
          <w:kern w:val="2"/>
          <w:sz w:val="32"/>
          <w:szCs w:val="32"/>
          <w:lang w:val="en-US" w:eastAsia="zh-CN"/>
        </w:rPr>
        <w:t>完成预算87.23%，其中：因公出国（境）费支出0万元；公务用车购置及运行维护费支出决算为3.28万元，</w:t>
      </w:r>
      <w:r>
        <w:rPr>
          <w:rFonts w:hint="eastAsia" w:ascii="宋体" w:cs="宋体"/>
          <w:bCs/>
          <w:kern w:val="2"/>
          <w:sz w:val="32"/>
          <w:szCs w:val="32"/>
          <w:lang w:val="en-US" w:eastAsia="zh-CN"/>
        </w:rPr>
        <w:t>2021年度</w:t>
      </w:r>
      <w:r>
        <w:rPr>
          <w:rFonts w:hint="eastAsia" w:ascii="宋体" w:eastAsia="宋体" w:cs="宋体"/>
          <w:bCs/>
          <w:kern w:val="2"/>
          <w:sz w:val="32"/>
          <w:szCs w:val="32"/>
          <w:lang w:val="en-US" w:eastAsia="zh-CN"/>
        </w:rPr>
        <w:t>公务用车购置及运行维护费</w:t>
      </w:r>
      <w:r>
        <w:rPr>
          <w:rFonts w:hint="eastAsia" w:ascii="宋体" w:cs="宋体"/>
          <w:bCs/>
          <w:kern w:val="2"/>
          <w:sz w:val="32"/>
          <w:szCs w:val="32"/>
          <w:lang w:val="en-US" w:eastAsia="zh-CN"/>
        </w:rPr>
        <w:t>预算数为3.50万元，</w:t>
      </w:r>
      <w:r>
        <w:rPr>
          <w:rFonts w:hint="eastAsia" w:ascii="宋体" w:eastAsia="宋体" w:cs="宋体"/>
          <w:bCs/>
          <w:kern w:val="2"/>
          <w:sz w:val="32"/>
          <w:szCs w:val="32"/>
          <w:lang w:val="en-US" w:eastAsia="zh-CN"/>
        </w:rPr>
        <w:t>完成预算93.71%；</w:t>
      </w:r>
      <w:r>
        <w:rPr>
          <w:rFonts w:hint="eastAsia" w:ascii="宋体" w:cs="宋体"/>
          <w:bCs/>
          <w:kern w:val="2"/>
          <w:sz w:val="32"/>
          <w:szCs w:val="32"/>
          <w:lang w:val="en-US" w:eastAsia="zh-CN"/>
        </w:rPr>
        <w:t>2021年</w:t>
      </w:r>
      <w:r>
        <w:rPr>
          <w:rFonts w:hint="eastAsia" w:ascii="宋体" w:eastAsia="宋体" w:cs="宋体"/>
          <w:bCs/>
          <w:kern w:val="2"/>
          <w:sz w:val="32"/>
          <w:szCs w:val="32"/>
          <w:lang w:val="en-US" w:eastAsia="zh-CN"/>
        </w:rPr>
        <w:t>公务接待费支出决算为0万元，</w:t>
      </w:r>
      <w:r>
        <w:rPr>
          <w:rFonts w:hint="eastAsia" w:ascii="宋体" w:cs="宋体"/>
          <w:bCs/>
          <w:kern w:val="2"/>
          <w:sz w:val="32"/>
          <w:szCs w:val="32"/>
          <w:lang w:val="en-US" w:eastAsia="zh-CN"/>
        </w:rPr>
        <w:t>2021年度</w:t>
      </w:r>
      <w:r>
        <w:rPr>
          <w:rFonts w:hint="eastAsia" w:ascii="宋体" w:eastAsia="宋体" w:cs="宋体"/>
          <w:bCs/>
          <w:kern w:val="2"/>
          <w:sz w:val="32"/>
          <w:szCs w:val="32"/>
          <w:lang w:val="en-US" w:eastAsia="zh-CN"/>
        </w:rPr>
        <w:t>公务接待费</w:t>
      </w:r>
      <w:r>
        <w:rPr>
          <w:rFonts w:hint="eastAsia" w:ascii="宋体" w:cs="宋体"/>
          <w:bCs/>
          <w:kern w:val="2"/>
          <w:sz w:val="32"/>
          <w:szCs w:val="32"/>
          <w:lang w:val="en-US" w:eastAsia="zh-CN"/>
        </w:rPr>
        <w:t>预算数为0万元，</w:t>
      </w:r>
      <w:r>
        <w:rPr>
          <w:rFonts w:hint="eastAsia" w:ascii="宋体" w:eastAsia="宋体" w:cs="宋体"/>
          <w:bCs/>
          <w:kern w:val="2"/>
          <w:sz w:val="32"/>
          <w:szCs w:val="32"/>
          <w:lang w:val="en-US" w:eastAsia="zh-CN"/>
        </w:rPr>
        <w:t>完成预算100%。</w:t>
      </w:r>
    </w:p>
    <w:p>
      <w:pPr>
        <w:keepNext w:val="0"/>
        <w:keepLines w:val="0"/>
        <w:widowControl w:val="0"/>
        <w:suppressLineNumbers w:val="0"/>
        <w:spacing w:before="0" w:beforeAutospacing="0" w:after="0" w:afterAutospacing="0" w:line="600" w:lineRule="exact"/>
        <w:ind w:left="0" w:right="0" w:firstLine="640"/>
        <w:jc w:val="both"/>
        <w:rPr>
          <w:rFonts w:hint="eastAsia" w:ascii="宋体" w:eastAsia="宋体" w:cs="宋体"/>
          <w:bCs/>
          <w:kern w:val="2"/>
          <w:sz w:val="32"/>
          <w:szCs w:val="32"/>
          <w:lang w:val="en-US" w:eastAsia="zh-CN"/>
        </w:rPr>
      </w:pPr>
      <w:r>
        <w:rPr>
          <w:rFonts w:hint="eastAsia" w:ascii="宋体" w:eastAsia="宋体" w:cs="宋体"/>
          <w:bCs/>
          <w:kern w:val="2"/>
          <w:sz w:val="32"/>
          <w:szCs w:val="32"/>
          <w:lang w:val="en-US" w:eastAsia="zh-CN"/>
        </w:rPr>
        <w:t>2021年度“三公”经费财政拨款支出决算数</w:t>
      </w:r>
      <w:r>
        <w:rPr>
          <w:rFonts w:hint="eastAsia" w:ascii="宋体" w:cs="宋体"/>
          <w:bCs/>
          <w:kern w:val="2"/>
          <w:sz w:val="32"/>
          <w:szCs w:val="32"/>
          <w:lang w:val="en-US" w:eastAsia="zh-CN"/>
        </w:rPr>
        <w:t>3.28万元，2020年度</w:t>
      </w:r>
      <w:r>
        <w:rPr>
          <w:rFonts w:hint="eastAsia" w:ascii="宋体" w:eastAsia="宋体" w:cs="宋体"/>
          <w:bCs/>
          <w:kern w:val="2"/>
          <w:sz w:val="32"/>
          <w:szCs w:val="32"/>
          <w:lang w:val="en-US" w:eastAsia="zh-CN"/>
        </w:rPr>
        <w:t>“三公”经费财政拨款支出决算数</w:t>
      </w:r>
      <w:r>
        <w:rPr>
          <w:rFonts w:hint="eastAsia" w:ascii="宋体" w:cs="宋体"/>
          <w:bCs/>
          <w:kern w:val="2"/>
          <w:sz w:val="32"/>
          <w:szCs w:val="32"/>
          <w:lang w:val="en-US" w:eastAsia="zh-CN"/>
        </w:rPr>
        <w:t>3.49万元，较</w:t>
      </w:r>
      <w:r>
        <w:rPr>
          <w:rFonts w:hint="eastAsia" w:ascii="宋体" w:eastAsia="宋体" w:cs="宋体"/>
          <w:bCs/>
          <w:kern w:val="2"/>
          <w:sz w:val="32"/>
          <w:szCs w:val="32"/>
          <w:lang w:val="en-US" w:eastAsia="zh-CN"/>
        </w:rPr>
        <w:t>2020年减少0.47万元，减少12.</w:t>
      </w:r>
      <w:r>
        <w:rPr>
          <w:rFonts w:hint="eastAsia" w:ascii="宋体" w:cs="宋体"/>
          <w:bCs/>
          <w:kern w:val="2"/>
          <w:sz w:val="32"/>
          <w:szCs w:val="32"/>
          <w:lang w:val="en-US" w:eastAsia="zh-CN"/>
        </w:rPr>
        <w:t>53</w:t>
      </w:r>
      <w:r>
        <w:rPr>
          <w:rFonts w:hint="eastAsia" w:ascii="宋体" w:eastAsia="宋体" w:cs="宋体"/>
          <w:bCs/>
          <w:kern w:val="2"/>
          <w:sz w:val="32"/>
          <w:szCs w:val="32"/>
          <w:lang w:val="en-US" w:eastAsia="zh-CN"/>
        </w:rPr>
        <w:t>%，其中：公务用车购置及运行维护费支出决算减少0.</w:t>
      </w:r>
      <w:r>
        <w:rPr>
          <w:rFonts w:hint="eastAsia" w:ascii="宋体" w:cs="宋体"/>
          <w:bCs/>
          <w:kern w:val="2"/>
          <w:sz w:val="32"/>
          <w:szCs w:val="32"/>
          <w:lang w:val="en-US" w:eastAsia="zh-CN"/>
        </w:rPr>
        <w:t>21</w:t>
      </w:r>
      <w:r>
        <w:rPr>
          <w:rFonts w:hint="eastAsia" w:ascii="宋体" w:eastAsia="宋体" w:cs="宋体"/>
          <w:bCs/>
          <w:kern w:val="2"/>
          <w:sz w:val="32"/>
          <w:szCs w:val="32"/>
          <w:lang w:val="en-US" w:eastAsia="zh-CN"/>
        </w:rPr>
        <w:t>万元，公务接待费</w:t>
      </w:r>
      <w:r>
        <w:rPr>
          <w:rFonts w:hint="eastAsia" w:ascii="宋体" w:cs="宋体"/>
          <w:bCs/>
          <w:kern w:val="2"/>
          <w:sz w:val="32"/>
          <w:szCs w:val="32"/>
          <w:lang w:val="en-US" w:eastAsia="zh-CN"/>
        </w:rPr>
        <w:t>支出决算减少0.26万元，</w:t>
      </w:r>
      <w:r>
        <w:rPr>
          <w:rFonts w:hint="eastAsia" w:ascii="宋体" w:eastAsia="宋体" w:cs="宋体"/>
          <w:bCs/>
          <w:kern w:val="2"/>
          <w:sz w:val="32"/>
          <w:szCs w:val="32"/>
          <w:lang w:val="en-US" w:eastAsia="zh-CN"/>
        </w:rPr>
        <w:t>原因在于为贯彻落实中央八项规定，厉行节约。</w:t>
      </w:r>
    </w:p>
    <w:p>
      <w:pPr>
        <w:keepNext w:val="0"/>
        <w:keepLines w:val="0"/>
        <w:widowControl w:val="0"/>
        <w:suppressLineNumbers w:val="0"/>
        <w:spacing w:before="0" w:beforeAutospacing="0" w:after="0" w:afterAutospacing="0" w:line="600" w:lineRule="exact"/>
        <w:ind w:left="0" w:right="0" w:firstLine="640"/>
        <w:jc w:val="both"/>
        <w:rPr>
          <w:rFonts w:hint="eastAsia" w:ascii="宋体" w:eastAsia="宋体" w:cs="宋体"/>
          <w:bCs/>
          <w:sz w:val="32"/>
          <w:szCs w:val="32"/>
          <w:lang w:val="en-US"/>
        </w:rPr>
      </w:pPr>
      <w:r>
        <w:rPr>
          <w:rFonts w:hint="eastAsia" w:ascii="宋体" w:eastAsia="宋体" w:cs="宋体"/>
          <w:bCs/>
          <w:kern w:val="2"/>
          <w:sz w:val="32"/>
          <w:szCs w:val="32"/>
          <w:lang w:val="en-US" w:eastAsia="zh-CN"/>
        </w:rPr>
        <w:t>（二）“三公”经费财政拨款支出决算具体情况说明</w:t>
      </w:r>
    </w:p>
    <w:p>
      <w:pPr>
        <w:keepNext w:val="0"/>
        <w:keepLines w:val="0"/>
        <w:widowControl w:val="0"/>
        <w:suppressLineNumbers w:val="0"/>
        <w:spacing w:before="0" w:beforeAutospacing="0" w:after="0" w:afterAutospacing="0" w:line="600" w:lineRule="exact"/>
        <w:ind w:left="0" w:right="0" w:firstLine="640"/>
        <w:jc w:val="both"/>
        <w:rPr>
          <w:rFonts w:hint="eastAsia" w:ascii="宋体" w:eastAsia="宋体" w:cs="宋体"/>
          <w:bCs/>
          <w:kern w:val="2"/>
          <w:sz w:val="32"/>
          <w:szCs w:val="32"/>
          <w:lang w:val="en-US" w:eastAsia="zh-CN"/>
        </w:rPr>
      </w:pPr>
      <w:r>
        <w:rPr>
          <w:rFonts w:hint="eastAsia" w:ascii="宋体" w:eastAsia="宋体" w:cs="宋体"/>
          <w:bCs/>
          <w:kern w:val="2"/>
          <w:sz w:val="32"/>
          <w:szCs w:val="32"/>
          <w:lang w:val="en-US" w:eastAsia="zh-CN"/>
        </w:rPr>
        <w:t>2021年度“三公”经费财政拨款支出决算中，无因公出国（境）费；公务用车购置及运行维护费支出决算3.28万元，占100%；公务接待费支出决算0万元，占0%。具体情况如下：</w:t>
      </w:r>
    </w:p>
    <w:p>
      <w:pPr>
        <w:keepNext w:val="0"/>
        <w:keepLines w:val="0"/>
        <w:widowControl w:val="0"/>
        <w:suppressLineNumbers w:val="0"/>
        <w:spacing w:before="0" w:beforeAutospacing="0" w:after="0" w:afterAutospacing="0" w:line="600" w:lineRule="exact"/>
        <w:ind w:right="0"/>
        <w:jc w:val="both"/>
        <w:rPr>
          <w:rFonts w:hint="eastAsia" w:ascii="宋体" w:eastAsia="宋体" w:cs="宋体"/>
          <w:bCs/>
          <w:kern w:val="2"/>
          <w:sz w:val="32"/>
          <w:szCs w:val="32"/>
          <w:lang w:val="en-US" w:eastAsia="zh-CN"/>
        </w:rPr>
      </w:pPr>
      <w:r>
        <w:drawing>
          <wp:anchor distT="0" distB="0" distL="114300" distR="114300" simplePos="0" relativeHeight="251659264" behindDoc="0" locked="0" layoutInCell="1" allowOverlap="1">
            <wp:simplePos x="0" y="0"/>
            <wp:positionH relativeFrom="column">
              <wp:posOffset>476885</wp:posOffset>
            </wp:positionH>
            <wp:positionV relativeFrom="paragraph">
              <wp:posOffset>182245</wp:posOffset>
            </wp:positionV>
            <wp:extent cx="4572000" cy="2784475"/>
            <wp:effectExtent l="0" t="0" r="0" b="0"/>
            <wp:wrapTight wrapText="bothSides">
              <wp:wrapPolygon>
                <wp:start x="-6" y="-10"/>
                <wp:lineTo x="-6" y="21564"/>
                <wp:lineTo x="21593" y="21564"/>
                <wp:lineTo x="21593" y="-10"/>
                <wp:lineTo x="-6" y="-10"/>
              </wp:wrapPolygon>
            </wp:wrapTight>
            <wp:docPr id="21"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p>
    <w:p>
      <w:pPr>
        <w:keepNext w:val="0"/>
        <w:keepLines w:val="0"/>
        <w:widowControl w:val="0"/>
        <w:suppressLineNumbers w:val="0"/>
        <w:spacing w:before="0" w:beforeAutospacing="0" w:after="0" w:afterAutospacing="0" w:line="600" w:lineRule="exact"/>
        <w:ind w:left="640" w:right="0"/>
        <w:jc w:val="both"/>
        <w:rPr>
          <w:lang w:val="en-US"/>
        </w:rPr>
      </w:pPr>
      <w:r>
        <w:rPr>
          <w:rFonts w:hint="eastAsia" w:ascii="宋体" w:cs="宋体"/>
          <w:bCs/>
          <w:kern w:val="2"/>
          <w:sz w:val="32"/>
          <w:szCs w:val="32"/>
          <w:lang w:val="en-US" w:eastAsia="zh-CN"/>
        </w:rPr>
        <w:t>1.</w:t>
      </w:r>
      <w:r>
        <w:rPr>
          <w:rFonts w:hint="eastAsia" w:ascii="宋体" w:eastAsia="宋体" w:cs="宋体"/>
          <w:bCs/>
          <w:kern w:val="2"/>
          <w:sz w:val="32"/>
          <w:szCs w:val="32"/>
          <w:lang w:val="en-US" w:eastAsia="zh-CN"/>
        </w:rPr>
        <w:t>因公出国（境）经费</w:t>
      </w:r>
      <w:r>
        <w:rPr>
          <w:rFonts w:hint="eastAsia" w:ascii="宋体" w:cs="宋体"/>
          <w:bCs/>
          <w:kern w:val="2"/>
          <w:sz w:val="32"/>
          <w:szCs w:val="32"/>
          <w:lang w:val="en-US" w:eastAsia="zh-CN"/>
        </w:rPr>
        <w:t>支出</w:t>
      </w:r>
    </w:p>
    <w:p>
      <w:pPr>
        <w:keepNext w:val="0"/>
        <w:keepLines w:val="0"/>
        <w:widowControl w:val="0"/>
        <w:suppressLineNumbers w:val="0"/>
        <w:spacing w:before="0" w:beforeAutospacing="0" w:after="0" w:afterAutospacing="0" w:line="600" w:lineRule="exact"/>
        <w:ind w:left="0" w:right="0" w:firstLine="640"/>
        <w:jc w:val="both"/>
        <w:rPr>
          <w:rFonts w:hint="eastAsia" w:ascii="宋体" w:eastAsia="宋体" w:cs="宋体"/>
          <w:bCs/>
          <w:sz w:val="32"/>
          <w:szCs w:val="32"/>
          <w:lang w:val="en-US"/>
        </w:rPr>
      </w:pPr>
      <w:r>
        <w:rPr>
          <w:rFonts w:hint="eastAsia" w:ascii="宋体" w:eastAsia="宋体" w:cs="宋体"/>
          <w:bCs/>
          <w:kern w:val="2"/>
          <w:sz w:val="32"/>
          <w:szCs w:val="32"/>
          <w:lang w:val="en-US" w:eastAsia="zh-CN"/>
        </w:rPr>
        <w:t>2021年无因公出国（境）费。</w:t>
      </w:r>
    </w:p>
    <w:p>
      <w:pPr>
        <w:keepNext w:val="0"/>
        <w:keepLines w:val="0"/>
        <w:widowControl w:val="0"/>
        <w:suppressLineNumbers w:val="0"/>
        <w:spacing w:before="0" w:beforeAutospacing="0" w:after="0" w:afterAutospacing="0" w:line="600" w:lineRule="exact"/>
        <w:ind w:left="0" w:right="0" w:firstLine="640" w:firstLineChars="200"/>
        <w:jc w:val="both"/>
        <w:rPr>
          <w:rFonts w:ascii="宋体" w:eastAsia="宋体" w:cs="宋体"/>
          <w:bCs/>
          <w:sz w:val="32"/>
          <w:szCs w:val="32"/>
          <w:lang w:val="en-US"/>
        </w:rPr>
      </w:pPr>
      <w:r>
        <w:rPr>
          <w:rFonts w:hint="eastAsia" w:ascii="宋体" w:eastAsia="宋体" w:cs="宋体"/>
          <w:bCs/>
          <w:kern w:val="2"/>
          <w:sz w:val="32"/>
          <w:szCs w:val="32"/>
          <w:lang w:val="en-US" w:eastAsia="zh-CN"/>
        </w:rPr>
        <w:t>2.公务用车购置及运行维护费</w:t>
      </w:r>
      <w:r>
        <w:rPr>
          <w:rFonts w:hint="eastAsia" w:ascii="宋体" w:cs="宋体"/>
          <w:bCs/>
          <w:kern w:val="2"/>
          <w:sz w:val="32"/>
          <w:szCs w:val="32"/>
          <w:lang w:val="en-US" w:eastAsia="zh-CN"/>
        </w:rPr>
        <w:t>支出</w:t>
      </w:r>
    </w:p>
    <w:p>
      <w:pPr>
        <w:keepNext w:val="0"/>
        <w:keepLines w:val="0"/>
        <w:widowControl w:val="0"/>
        <w:suppressLineNumbers w:val="0"/>
        <w:spacing w:before="0" w:beforeAutospacing="0" w:after="0" w:afterAutospacing="0" w:line="600" w:lineRule="exact"/>
        <w:ind w:left="0" w:right="0" w:firstLine="640"/>
        <w:jc w:val="both"/>
        <w:rPr>
          <w:rFonts w:hint="eastAsia" w:ascii="宋体" w:eastAsia="宋体" w:cs="宋体"/>
          <w:sz w:val="32"/>
          <w:szCs w:val="32"/>
          <w:lang w:val="en-US"/>
        </w:rPr>
      </w:pPr>
      <w:r>
        <w:rPr>
          <w:rFonts w:hint="eastAsia" w:ascii="宋体" w:eastAsia="宋体" w:cs="宋体"/>
          <w:kern w:val="2"/>
          <w:sz w:val="32"/>
          <w:szCs w:val="32"/>
          <w:lang w:val="en-US" w:eastAsia="zh-CN"/>
        </w:rPr>
        <w:t>2021年公务用车购置及运行维护费3.</w:t>
      </w:r>
      <w:r>
        <w:rPr>
          <w:rFonts w:hint="eastAsia" w:ascii="宋体" w:cs="宋体"/>
          <w:kern w:val="2"/>
          <w:sz w:val="32"/>
          <w:szCs w:val="32"/>
          <w:lang w:val="en-US" w:eastAsia="zh-CN"/>
        </w:rPr>
        <w:t>28</w:t>
      </w:r>
      <w:r>
        <w:rPr>
          <w:rFonts w:hint="eastAsia" w:ascii="宋体" w:eastAsia="宋体" w:cs="宋体"/>
          <w:kern w:val="2"/>
          <w:sz w:val="32"/>
          <w:szCs w:val="32"/>
          <w:lang w:val="en-US" w:eastAsia="zh-CN"/>
        </w:rPr>
        <w:t>万元,其中：</w:t>
      </w:r>
    </w:p>
    <w:p>
      <w:pPr>
        <w:keepNext w:val="0"/>
        <w:keepLines w:val="0"/>
        <w:widowControl w:val="0"/>
        <w:suppressLineNumbers w:val="0"/>
        <w:spacing w:before="0" w:beforeAutospacing="0" w:after="0" w:afterAutospacing="0" w:line="600" w:lineRule="exact"/>
        <w:ind w:left="0" w:right="0"/>
        <w:jc w:val="both"/>
        <w:rPr>
          <w:rFonts w:hint="eastAsia" w:ascii="宋体" w:eastAsia="宋体" w:cs="宋体"/>
          <w:sz w:val="32"/>
          <w:szCs w:val="32"/>
          <w:lang w:val="en-US"/>
        </w:rPr>
      </w:pPr>
      <w:r>
        <w:rPr>
          <w:rFonts w:hint="eastAsia" w:ascii="宋体" w:eastAsia="宋体" w:cs="宋体"/>
          <w:kern w:val="2"/>
          <w:sz w:val="32"/>
          <w:szCs w:val="32"/>
          <w:lang w:val="en-US" w:eastAsia="zh-CN"/>
        </w:rPr>
        <w:t>无公务用车购置支出。</w:t>
      </w:r>
    </w:p>
    <w:p>
      <w:pPr>
        <w:keepNext w:val="0"/>
        <w:keepLines w:val="0"/>
        <w:widowControl w:val="0"/>
        <w:suppressLineNumbers w:val="0"/>
        <w:spacing w:before="0" w:beforeAutospacing="0" w:after="0" w:afterAutospacing="0" w:line="600" w:lineRule="exact"/>
        <w:ind w:left="0" w:right="0" w:firstLine="640"/>
        <w:jc w:val="both"/>
        <w:rPr>
          <w:rFonts w:hint="eastAsia" w:ascii="宋体" w:eastAsia="宋体" w:cs="宋体"/>
          <w:sz w:val="32"/>
          <w:szCs w:val="32"/>
          <w:lang w:val="en-US"/>
        </w:rPr>
      </w:pPr>
      <w:r>
        <w:rPr>
          <w:rFonts w:hint="eastAsia" w:ascii="宋体" w:eastAsia="宋体" w:cs="宋体"/>
          <w:kern w:val="2"/>
          <w:sz w:val="32"/>
          <w:szCs w:val="32"/>
          <w:lang w:val="en-US" w:eastAsia="zh-CN"/>
        </w:rPr>
        <w:t>公务用车运行维护费支出3.</w:t>
      </w:r>
      <w:r>
        <w:rPr>
          <w:rFonts w:hint="eastAsia" w:ascii="宋体" w:cs="宋体"/>
          <w:kern w:val="2"/>
          <w:sz w:val="32"/>
          <w:szCs w:val="32"/>
          <w:lang w:val="en-US" w:eastAsia="zh-CN"/>
        </w:rPr>
        <w:t>28</w:t>
      </w:r>
      <w:r>
        <w:rPr>
          <w:rFonts w:hint="eastAsia" w:ascii="宋体" w:eastAsia="宋体" w:cs="宋体"/>
          <w:kern w:val="2"/>
          <w:sz w:val="32"/>
          <w:szCs w:val="32"/>
          <w:lang w:val="en-US" w:eastAsia="zh-CN"/>
        </w:rPr>
        <w:t>万元。主要用于开展各项财政工作所需的公务用车燃料费、维修费、过路过桥费、保险费等支出。</w:t>
      </w:r>
    </w:p>
    <w:p>
      <w:pPr>
        <w:keepNext w:val="0"/>
        <w:keepLines w:val="0"/>
        <w:widowControl w:val="0"/>
        <w:suppressLineNumbers w:val="0"/>
        <w:spacing w:before="0" w:beforeAutospacing="0" w:after="0" w:afterAutospacing="0" w:line="600" w:lineRule="exact"/>
        <w:ind w:left="0" w:right="0" w:firstLine="640" w:firstLineChars="200"/>
        <w:jc w:val="both"/>
        <w:rPr>
          <w:rFonts w:ascii="宋体" w:eastAsia="宋体" w:cs="宋体"/>
          <w:bCs/>
          <w:sz w:val="32"/>
          <w:szCs w:val="32"/>
          <w:lang w:val="en-US"/>
        </w:rPr>
      </w:pPr>
      <w:r>
        <w:rPr>
          <w:rFonts w:hint="eastAsia" w:ascii="宋体" w:eastAsia="宋体" w:cs="宋体"/>
          <w:bCs/>
          <w:kern w:val="2"/>
          <w:sz w:val="32"/>
          <w:szCs w:val="32"/>
          <w:lang w:val="en-US" w:eastAsia="zh-CN"/>
        </w:rPr>
        <w:t>3.公务接待费</w:t>
      </w:r>
      <w:r>
        <w:rPr>
          <w:rFonts w:hint="eastAsia" w:ascii="宋体" w:cs="宋体"/>
          <w:bCs/>
          <w:kern w:val="2"/>
          <w:sz w:val="32"/>
          <w:szCs w:val="32"/>
          <w:lang w:val="en-US" w:eastAsia="zh-CN"/>
        </w:rPr>
        <w:t>支出</w:t>
      </w:r>
    </w:p>
    <w:p>
      <w:pPr>
        <w:keepNext w:val="0"/>
        <w:keepLines w:val="0"/>
        <w:widowControl w:val="0"/>
        <w:suppressLineNumbers w:val="0"/>
        <w:spacing w:before="0" w:beforeAutospacing="0" w:after="0" w:afterAutospacing="0" w:line="600" w:lineRule="exact"/>
        <w:ind w:left="0" w:right="0" w:firstLine="640" w:firstLineChars="200"/>
        <w:jc w:val="both"/>
        <w:rPr>
          <w:rFonts w:hint="eastAsia" w:ascii="宋体" w:eastAsia="宋体" w:cs="宋体"/>
          <w:sz w:val="32"/>
          <w:szCs w:val="32"/>
          <w:lang w:val="en-US"/>
        </w:rPr>
      </w:pPr>
      <w:r>
        <w:rPr>
          <w:rFonts w:hint="eastAsia" w:ascii="宋体" w:eastAsia="宋体" w:cs="宋体"/>
          <w:bCs/>
          <w:kern w:val="2"/>
          <w:sz w:val="32"/>
          <w:szCs w:val="32"/>
          <w:lang w:val="en-US" w:eastAsia="zh-CN"/>
        </w:rPr>
        <w:t>2021年公务接待费0万元。主要用于执行公务、开展业务活动开支的住宿费、用餐费等。</w:t>
      </w:r>
    </w:p>
    <w:p>
      <w:pPr>
        <w:spacing w:line="600" w:lineRule="exact"/>
        <w:ind w:firstLine="640"/>
        <w:rPr>
          <w:rFonts w:ascii="黑体" w:eastAsia="黑体"/>
          <w:color w:val="000000"/>
          <w:sz w:val="32"/>
          <w:szCs w:val="32"/>
          <w:lang w:val="en-US"/>
        </w:rPr>
      </w:pPr>
      <w:r>
        <w:rPr>
          <w:rFonts w:hint="eastAsia" w:ascii="黑体" w:eastAsia="黑体"/>
          <w:color w:val="000000"/>
          <w:sz w:val="32"/>
          <w:szCs w:val="32"/>
          <w:lang w:val="en-US" w:eastAsia="zh-CN"/>
        </w:rPr>
        <w:t>八、政府性基金预算财政拨款支出决算情况说明</w:t>
      </w:r>
    </w:p>
    <w:p>
      <w:pPr>
        <w:keepNext w:val="0"/>
        <w:keepLines w:val="0"/>
        <w:widowControl w:val="0"/>
        <w:suppressLineNumbers w:val="0"/>
        <w:spacing w:before="0" w:beforeAutospacing="0" w:after="0" w:afterAutospacing="0" w:line="600" w:lineRule="exact"/>
        <w:ind w:left="0" w:right="0" w:firstLine="640"/>
        <w:jc w:val="both"/>
        <w:rPr>
          <w:rFonts w:hint="eastAsia" w:ascii="宋体" w:eastAsia="宋体" w:cs="宋体"/>
          <w:kern w:val="2"/>
          <w:sz w:val="32"/>
          <w:szCs w:val="32"/>
          <w:lang w:val="en-US" w:eastAsia="zh-CN"/>
        </w:rPr>
      </w:pPr>
      <w:r>
        <w:rPr>
          <w:rFonts w:hint="eastAsia" w:ascii="宋体" w:eastAsia="宋体" w:cs="宋体"/>
          <w:kern w:val="2"/>
          <w:sz w:val="32"/>
          <w:szCs w:val="32"/>
          <w:lang w:val="en-US" w:eastAsia="zh-CN"/>
        </w:rPr>
        <w:t>医疗保障局2021年政府性基金预算财政拨款支出45.79万元。</w:t>
      </w:r>
    </w:p>
    <w:p>
      <w:pPr>
        <w:numPr>
          <w:ilvl w:val="0"/>
          <w:numId w:val="4"/>
        </w:numPr>
        <w:spacing w:line="600" w:lineRule="exact"/>
        <w:ind w:left="0" w:firstLine="640"/>
        <w:outlineLvl w:val="1"/>
        <w:rPr>
          <w:rStyle w:val="16"/>
          <w:rFonts w:ascii="黑体" w:eastAsia="黑体"/>
          <w:b w:val="0"/>
        </w:rPr>
      </w:pPr>
      <w:bookmarkStart w:id="18" w:name="_Toc15396611"/>
      <w:bookmarkStart w:id="19" w:name="_Toc15377219"/>
      <w:r>
        <w:rPr>
          <w:rStyle w:val="16"/>
          <w:rFonts w:hint="eastAsia" w:ascii="黑体" w:eastAsia="黑体"/>
          <w:b w:val="0"/>
        </w:rPr>
        <w:t>国有资本经营预算支出决算情况说明</w:t>
      </w:r>
      <w:bookmarkEnd w:id="18"/>
      <w:bookmarkEnd w:id="19"/>
    </w:p>
    <w:p>
      <w:pPr>
        <w:keepNext w:val="0"/>
        <w:keepLines w:val="0"/>
        <w:widowControl w:val="0"/>
        <w:suppressLineNumbers w:val="0"/>
        <w:spacing w:before="0" w:beforeAutospacing="0" w:after="0" w:afterAutospacing="0" w:line="600" w:lineRule="exact"/>
        <w:ind w:left="0" w:right="0" w:firstLine="640"/>
        <w:jc w:val="both"/>
        <w:rPr>
          <w:rFonts w:hint="eastAsia" w:ascii="宋体" w:eastAsia="宋体" w:cs="宋体"/>
          <w:kern w:val="2"/>
          <w:sz w:val="32"/>
          <w:szCs w:val="32"/>
          <w:lang w:val="en-US" w:eastAsia="zh-CN"/>
        </w:rPr>
      </w:pPr>
      <w:r>
        <w:rPr>
          <w:rFonts w:hint="eastAsia" w:ascii="宋体" w:eastAsia="宋体" w:cs="宋体"/>
          <w:kern w:val="2"/>
          <w:sz w:val="32"/>
          <w:szCs w:val="32"/>
          <w:lang w:val="en-US" w:eastAsia="zh-CN"/>
        </w:rPr>
        <w:t>医疗保障局2021年国有资本经营预算拨款支出0万元。</w:t>
      </w:r>
    </w:p>
    <w:p>
      <w:pPr>
        <w:pStyle w:val="18"/>
        <w:numPr>
          <w:ilvl w:val="0"/>
          <w:numId w:val="5"/>
        </w:numPr>
        <w:spacing w:line="580" w:lineRule="exact"/>
        <w:ind w:firstLineChars="0"/>
        <w:rPr>
          <w:rStyle w:val="16"/>
          <w:rFonts w:ascii="黑体" w:eastAsia="黑体"/>
          <w:b w:val="0"/>
        </w:rPr>
      </w:pPr>
      <w:r>
        <w:rPr>
          <w:rStyle w:val="16"/>
          <w:rFonts w:hint="eastAsia" w:ascii="黑体" w:eastAsia="黑体"/>
          <w:b w:val="0"/>
        </w:rPr>
        <w:t>预算绩效情况说明</w:t>
      </w:r>
    </w:p>
    <w:p>
      <w:pPr>
        <w:numPr>
          <w:ilvl w:val="0"/>
          <w:numId w:val="6"/>
        </w:numPr>
        <w:spacing w:line="580" w:lineRule="exact"/>
        <w:ind w:left="0" w:firstLine="643" w:firstLineChars="200"/>
        <w:rPr>
          <w:rFonts w:ascii="仿宋" w:eastAsia="仿宋" w:cs="楷体_GB2312"/>
          <w:b/>
          <w:bCs/>
          <w:sz w:val="32"/>
          <w:szCs w:val="32"/>
        </w:rPr>
      </w:pPr>
      <w:r>
        <w:rPr>
          <w:rFonts w:hint="eastAsia" w:ascii="仿宋" w:eastAsia="仿宋" w:cs="楷体_GB2312"/>
          <w:b/>
          <w:bCs/>
          <w:sz w:val="32"/>
          <w:szCs w:val="32"/>
        </w:rPr>
        <w:t>预算绩效管理工作开展情况。</w:t>
      </w:r>
    </w:p>
    <w:p>
      <w:pPr>
        <w:keepNext w:val="0"/>
        <w:keepLines w:val="0"/>
        <w:widowControl w:val="0"/>
        <w:suppressLineNumbers w:val="0"/>
        <w:spacing w:before="0" w:beforeAutospacing="0" w:after="0" w:afterAutospacing="0" w:line="600" w:lineRule="exact"/>
        <w:ind w:left="0" w:right="0" w:firstLine="640"/>
        <w:jc w:val="both"/>
        <w:rPr>
          <w:rFonts w:hint="eastAsia" w:ascii="宋体" w:eastAsia="宋体" w:cs="宋体"/>
          <w:kern w:val="2"/>
          <w:sz w:val="32"/>
          <w:szCs w:val="32"/>
          <w:lang w:val="en-US" w:eastAsia="zh-CN"/>
        </w:rPr>
      </w:pPr>
      <w:r>
        <w:rPr>
          <w:rFonts w:hint="eastAsia" w:ascii="宋体" w:eastAsia="宋体" w:cs="宋体"/>
          <w:kern w:val="2"/>
          <w:sz w:val="32"/>
          <w:szCs w:val="32"/>
          <w:lang w:val="en-US" w:eastAsia="zh-CN"/>
        </w:rPr>
        <w:t>按照预算绩效管理要求，本部门对202</w:t>
      </w:r>
      <w:r>
        <w:rPr>
          <w:rFonts w:hint="eastAsia" w:ascii="宋体" w:cs="宋体"/>
          <w:kern w:val="2"/>
          <w:sz w:val="32"/>
          <w:szCs w:val="32"/>
          <w:lang w:val="en-US" w:eastAsia="zh-CN"/>
        </w:rPr>
        <w:t>1</w:t>
      </w:r>
      <w:r>
        <w:rPr>
          <w:rFonts w:hint="eastAsia" w:ascii="宋体" w:eastAsia="宋体" w:cs="宋体"/>
          <w:kern w:val="2"/>
          <w:sz w:val="32"/>
          <w:szCs w:val="32"/>
          <w:lang w:val="en-US" w:eastAsia="zh-CN"/>
        </w:rPr>
        <w:t>年一般公共预算项目支出开展了绩效目标管理。我单位深入贯彻落实十九大关于“全面实施绩效管理”的要求，努力提升本单位绩效预算管理业务水平。主动公开绩效结果，加大资金使用效率，提升政府管理水平。及时告知各部门（科室）部门预算及项目支出进度。</w:t>
      </w:r>
    </w:p>
    <w:p>
      <w:pPr>
        <w:numPr>
          <w:ilvl w:val="0"/>
          <w:numId w:val="6"/>
        </w:numPr>
        <w:spacing w:line="580" w:lineRule="exact"/>
        <w:ind w:left="0" w:firstLine="643" w:firstLineChars="200"/>
        <w:rPr>
          <w:rFonts w:ascii="仿宋" w:eastAsia="仿宋" w:cs="楷体_GB2312"/>
          <w:b/>
          <w:bCs/>
          <w:sz w:val="32"/>
          <w:szCs w:val="32"/>
        </w:rPr>
      </w:pPr>
      <w:r>
        <w:rPr>
          <w:rFonts w:hint="eastAsia" w:ascii="仿宋" w:eastAsia="仿宋" w:cs="楷体_GB2312"/>
          <w:b/>
          <w:bCs/>
          <w:sz w:val="32"/>
          <w:szCs w:val="32"/>
        </w:rPr>
        <w:t>部门整体支出绩效自评开展情况。</w:t>
      </w:r>
    </w:p>
    <w:p>
      <w:pPr>
        <w:keepNext w:val="0"/>
        <w:keepLines w:val="0"/>
        <w:widowControl w:val="0"/>
        <w:suppressLineNumbers w:val="0"/>
        <w:spacing w:before="0" w:beforeAutospacing="0" w:after="0" w:afterAutospacing="0" w:line="600" w:lineRule="exact"/>
        <w:ind w:left="0" w:right="0" w:firstLine="640"/>
        <w:jc w:val="both"/>
        <w:rPr>
          <w:rFonts w:hint="eastAsia" w:ascii="宋体" w:eastAsia="宋体" w:cs="宋体"/>
          <w:kern w:val="2"/>
          <w:sz w:val="32"/>
          <w:szCs w:val="32"/>
          <w:lang w:val="en-US" w:eastAsia="zh-CN"/>
        </w:rPr>
      </w:pPr>
      <w:r>
        <w:rPr>
          <w:rFonts w:hint="eastAsia" w:ascii="宋体" w:eastAsia="宋体" w:cs="宋体"/>
          <w:kern w:val="2"/>
          <w:sz w:val="32"/>
          <w:szCs w:val="32"/>
          <w:lang w:val="en-US" w:eastAsia="zh-CN"/>
        </w:rPr>
        <w:t>按照预算绩效管理要求，本部门对202</w:t>
      </w:r>
      <w:r>
        <w:rPr>
          <w:rFonts w:hint="eastAsia" w:ascii="宋体" w:cs="宋体"/>
          <w:kern w:val="2"/>
          <w:sz w:val="32"/>
          <w:szCs w:val="32"/>
          <w:lang w:val="en-US" w:eastAsia="zh-CN"/>
        </w:rPr>
        <w:t>1</w:t>
      </w:r>
      <w:r>
        <w:rPr>
          <w:rFonts w:hint="eastAsia" w:ascii="宋体" w:eastAsia="宋体" w:cs="宋体"/>
          <w:kern w:val="2"/>
          <w:sz w:val="32"/>
          <w:szCs w:val="32"/>
          <w:lang w:val="en-US" w:eastAsia="zh-CN"/>
        </w:rPr>
        <w:t>年整体支出开展绩效自评，自评得分92分，存在的问题：一是预算经费支出进度缓；二是部门预算、决算上报效率有待提高。下一步改进措施：一是加快完善部门财务规章制度建设；二是加强会计核算和财务管理能力；三是加强与县财政局相关科室对接工作，提升工作效率。</w:t>
      </w:r>
    </w:p>
    <w:p>
      <w:pPr>
        <w:pStyle w:val="2"/>
        <w:ind w:left="0" w:leftChars="0" w:firstLine="0" w:firstLineChars="0"/>
      </w:pPr>
    </w:p>
    <w:p>
      <w:pPr>
        <w:jc w:val="center"/>
        <w:rPr>
          <w:rFonts w:ascii="黑体" w:eastAsia="黑体"/>
          <w:color w:val="000000"/>
          <w:sz w:val="32"/>
          <w:szCs w:val="32"/>
        </w:rPr>
      </w:pPr>
      <w:r>
        <w:rPr>
          <w:rFonts w:hint="eastAsia" w:ascii="黑体" w:eastAsia="黑体"/>
          <w:color w:val="000000"/>
          <w:sz w:val="32"/>
          <w:szCs w:val="32"/>
        </w:rPr>
        <w:t>202</w:t>
      </w:r>
      <w:r>
        <w:rPr>
          <w:rFonts w:hint="eastAsia" w:ascii="黑体" w:eastAsia="黑体"/>
          <w:color w:val="000000"/>
          <w:sz w:val="32"/>
          <w:szCs w:val="32"/>
          <w:lang w:val="en-US" w:eastAsia="zh-CN"/>
        </w:rPr>
        <w:t>1</w:t>
      </w:r>
      <w:r>
        <w:rPr>
          <w:rFonts w:hint="eastAsia" w:ascii="黑体" w:eastAsia="黑体"/>
          <w:color w:val="000000"/>
          <w:sz w:val="32"/>
          <w:szCs w:val="32"/>
        </w:rPr>
        <w:t>年部门整体支出绩效评价得分表</w:t>
      </w:r>
    </w:p>
    <w:tbl>
      <w:tblPr>
        <w:tblStyle w:val="11"/>
        <w:tblW w:w="9393" w:type="dxa"/>
        <w:tblInd w:w="-17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02"/>
        <w:gridCol w:w="2268"/>
        <w:gridCol w:w="3646"/>
        <w:gridCol w:w="177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1702"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cs="宋体"/>
                <w:b/>
                <w:bCs/>
                <w:color w:val="000000"/>
                <w:kern w:val="0"/>
                <w:sz w:val="20"/>
                <w:szCs w:val="20"/>
              </w:rPr>
            </w:pPr>
            <w:r>
              <w:rPr>
                <w:rFonts w:hint="eastAsia" w:ascii="宋体" w:cs="宋体"/>
                <w:b/>
                <w:bCs/>
                <w:color w:val="000000"/>
                <w:kern w:val="0"/>
                <w:sz w:val="20"/>
                <w:szCs w:val="20"/>
              </w:rPr>
              <w:t>一级指标</w:t>
            </w:r>
          </w:p>
        </w:tc>
        <w:tc>
          <w:tcPr>
            <w:tcW w:w="2268" w:type="dxa"/>
            <w:tcBorders>
              <w:top w:val="single" w:color="auto" w:sz="4" w:space="0"/>
              <w:left w:val="nil"/>
              <w:bottom w:val="single" w:color="auto" w:sz="4" w:space="0"/>
              <w:right w:val="single" w:color="auto" w:sz="4" w:space="0"/>
            </w:tcBorders>
            <w:noWrap/>
            <w:vAlign w:val="center"/>
          </w:tcPr>
          <w:p>
            <w:pPr>
              <w:widowControl/>
              <w:jc w:val="center"/>
              <w:rPr>
                <w:rFonts w:ascii="宋体" w:cs="宋体"/>
                <w:b/>
                <w:bCs/>
                <w:color w:val="000000"/>
                <w:kern w:val="0"/>
                <w:sz w:val="20"/>
                <w:szCs w:val="20"/>
              </w:rPr>
            </w:pPr>
            <w:r>
              <w:rPr>
                <w:rFonts w:hint="eastAsia" w:ascii="宋体" w:cs="宋体"/>
                <w:b/>
                <w:bCs/>
                <w:color w:val="000000"/>
                <w:kern w:val="0"/>
                <w:sz w:val="20"/>
                <w:szCs w:val="20"/>
              </w:rPr>
              <w:t>二级指标</w:t>
            </w:r>
          </w:p>
        </w:tc>
        <w:tc>
          <w:tcPr>
            <w:tcW w:w="3646" w:type="dxa"/>
            <w:tcBorders>
              <w:top w:val="single" w:color="auto" w:sz="4" w:space="0"/>
              <w:left w:val="nil"/>
              <w:bottom w:val="single" w:color="auto" w:sz="4" w:space="0"/>
              <w:right w:val="single" w:color="auto" w:sz="4" w:space="0"/>
            </w:tcBorders>
            <w:noWrap/>
            <w:vAlign w:val="center"/>
          </w:tcPr>
          <w:p>
            <w:pPr>
              <w:widowControl/>
              <w:jc w:val="center"/>
              <w:rPr>
                <w:rFonts w:ascii="宋体" w:cs="宋体"/>
                <w:b/>
                <w:bCs/>
                <w:color w:val="000000"/>
                <w:kern w:val="0"/>
                <w:sz w:val="20"/>
                <w:szCs w:val="20"/>
              </w:rPr>
            </w:pPr>
            <w:r>
              <w:rPr>
                <w:rFonts w:hint="eastAsia" w:ascii="宋体" w:cs="宋体"/>
                <w:b/>
                <w:bCs/>
                <w:color w:val="000000"/>
                <w:kern w:val="0"/>
                <w:sz w:val="20"/>
                <w:szCs w:val="20"/>
              </w:rPr>
              <w:t>三级指标</w:t>
            </w:r>
          </w:p>
        </w:tc>
        <w:tc>
          <w:tcPr>
            <w:tcW w:w="1777" w:type="dxa"/>
            <w:tcBorders>
              <w:top w:val="single" w:color="auto" w:sz="4" w:space="0"/>
              <w:left w:val="nil"/>
              <w:bottom w:val="single" w:color="auto" w:sz="4" w:space="0"/>
              <w:right w:val="single" w:color="auto" w:sz="4" w:space="0"/>
            </w:tcBorders>
            <w:noWrap/>
          </w:tcPr>
          <w:p>
            <w:pPr>
              <w:widowControl/>
              <w:jc w:val="center"/>
              <w:rPr>
                <w:rFonts w:ascii="宋体" w:cs="宋体"/>
                <w:b/>
                <w:bCs/>
                <w:color w:val="000000"/>
                <w:kern w:val="0"/>
                <w:sz w:val="20"/>
                <w:szCs w:val="20"/>
              </w:rPr>
            </w:pPr>
            <w:r>
              <w:rPr>
                <w:rFonts w:hint="eastAsia" w:ascii="宋体" w:cs="宋体"/>
                <w:b/>
                <w:bCs/>
                <w:color w:val="000000"/>
                <w:kern w:val="0"/>
                <w:sz w:val="20"/>
                <w:szCs w:val="20"/>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1702" w:type="dxa"/>
            <w:vMerge w:val="restart"/>
            <w:tcBorders>
              <w:top w:val="nil"/>
              <w:left w:val="single" w:color="auto" w:sz="4" w:space="0"/>
              <w:right w:val="single" w:color="auto" w:sz="4" w:space="0"/>
            </w:tcBorders>
            <w:noWrap/>
            <w:vAlign w:val="center"/>
          </w:tcPr>
          <w:p>
            <w:pPr>
              <w:widowControl/>
              <w:jc w:val="center"/>
              <w:rPr>
                <w:rFonts w:ascii="宋体" w:cs="宋体"/>
                <w:color w:val="000000"/>
                <w:kern w:val="0"/>
                <w:sz w:val="20"/>
                <w:szCs w:val="20"/>
              </w:rPr>
            </w:pPr>
            <w:r>
              <w:rPr>
                <w:rFonts w:hint="eastAsia" w:ascii="宋体" w:cs="宋体"/>
                <w:color w:val="000000"/>
                <w:kern w:val="0"/>
                <w:sz w:val="20"/>
                <w:szCs w:val="20"/>
              </w:rPr>
              <w:t>部门决策（25分）</w:t>
            </w:r>
          </w:p>
        </w:tc>
        <w:tc>
          <w:tcPr>
            <w:tcW w:w="2268" w:type="dxa"/>
            <w:vMerge w:val="restart"/>
            <w:tcBorders>
              <w:top w:val="nil"/>
              <w:left w:val="single" w:color="auto" w:sz="4" w:space="0"/>
              <w:bottom w:val="single" w:color="auto" w:sz="4" w:space="0"/>
              <w:right w:val="single" w:color="auto" w:sz="4" w:space="0"/>
            </w:tcBorders>
            <w:noWrap/>
            <w:vAlign w:val="center"/>
          </w:tcPr>
          <w:p>
            <w:pPr>
              <w:widowControl/>
              <w:jc w:val="center"/>
              <w:rPr>
                <w:rFonts w:ascii="宋体" w:cs="宋体"/>
                <w:color w:val="000000"/>
                <w:kern w:val="0"/>
                <w:sz w:val="20"/>
                <w:szCs w:val="20"/>
              </w:rPr>
            </w:pPr>
            <w:r>
              <w:rPr>
                <w:rFonts w:hint="eastAsia" w:ascii="宋体" w:cs="宋体"/>
                <w:color w:val="000000"/>
                <w:kern w:val="0"/>
                <w:sz w:val="20"/>
                <w:szCs w:val="20"/>
              </w:rPr>
              <w:t>目标任务（15分）</w:t>
            </w:r>
          </w:p>
        </w:tc>
        <w:tc>
          <w:tcPr>
            <w:tcW w:w="3646" w:type="dxa"/>
            <w:tcBorders>
              <w:top w:val="nil"/>
              <w:left w:val="nil"/>
              <w:bottom w:val="single" w:color="auto" w:sz="4" w:space="0"/>
              <w:right w:val="single" w:color="auto" w:sz="4" w:space="0"/>
            </w:tcBorders>
            <w:noWrap/>
            <w:vAlign w:val="center"/>
          </w:tcPr>
          <w:p>
            <w:pPr>
              <w:widowControl/>
              <w:jc w:val="left"/>
              <w:rPr>
                <w:rFonts w:ascii="宋体" w:cs="宋体"/>
                <w:color w:val="000000"/>
                <w:kern w:val="0"/>
                <w:sz w:val="20"/>
                <w:szCs w:val="20"/>
              </w:rPr>
            </w:pPr>
            <w:r>
              <w:rPr>
                <w:rFonts w:hint="eastAsia" w:ascii="宋体" w:cs="宋体"/>
                <w:color w:val="000000"/>
                <w:kern w:val="0"/>
                <w:sz w:val="20"/>
                <w:szCs w:val="20"/>
              </w:rPr>
              <w:t>相关性（5分）</w:t>
            </w:r>
          </w:p>
        </w:tc>
        <w:tc>
          <w:tcPr>
            <w:tcW w:w="1777" w:type="dxa"/>
            <w:tcBorders>
              <w:top w:val="nil"/>
              <w:left w:val="nil"/>
              <w:bottom w:val="single" w:color="auto" w:sz="4" w:space="0"/>
              <w:right w:val="single" w:color="auto" w:sz="4" w:space="0"/>
            </w:tcBorders>
            <w:noWrap/>
          </w:tcPr>
          <w:p>
            <w:pPr>
              <w:widowControl/>
              <w:jc w:val="center"/>
              <w:rPr>
                <w:rFonts w:ascii="宋体" w:cs="宋体"/>
                <w:color w:val="000000"/>
                <w:kern w:val="0"/>
                <w:sz w:val="20"/>
                <w:szCs w:val="20"/>
              </w:rPr>
            </w:pPr>
            <w:r>
              <w:rPr>
                <w:rFonts w:hint="eastAsia" w:ascii="宋体" w:cs="宋体"/>
                <w:color w:val="000000"/>
                <w:kern w:val="0"/>
                <w:sz w:val="20"/>
                <w:szCs w:val="20"/>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3" w:hRule="atLeast"/>
        </w:trPr>
        <w:tc>
          <w:tcPr>
            <w:tcW w:w="1702" w:type="dxa"/>
            <w:vMerge w:val="continue"/>
            <w:tcBorders>
              <w:left w:val="single" w:color="auto" w:sz="4" w:space="0"/>
              <w:right w:val="single" w:color="auto" w:sz="4" w:space="0"/>
            </w:tcBorders>
            <w:noWrap/>
            <w:vAlign w:val="center"/>
          </w:tcPr>
          <w:p/>
        </w:tc>
        <w:tc>
          <w:tcPr>
            <w:tcW w:w="2268" w:type="dxa"/>
            <w:vMerge w:val="continue"/>
            <w:tcBorders>
              <w:top w:val="nil"/>
              <w:left w:val="single" w:color="auto" w:sz="4" w:space="0"/>
              <w:bottom w:val="single" w:color="auto" w:sz="4" w:space="0"/>
              <w:right w:val="single" w:color="auto" w:sz="4" w:space="0"/>
            </w:tcBorders>
            <w:noWrap/>
            <w:vAlign w:val="center"/>
          </w:tcPr>
          <w:p/>
        </w:tc>
        <w:tc>
          <w:tcPr>
            <w:tcW w:w="3646" w:type="dxa"/>
            <w:tcBorders>
              <w:top w:val="nil"/>
              <w:left w:val="nil"/>
              <w:bottom w:val="single" w:color="auto" w:sz="4" w:space="0"/>
              <w:right w:val="single" w:color="auto" w:sz="4" w:space="0"/>
            </w:tcBorders>
            <w:noWrap/>
            <w:vAlign w:val="center"/>
          </w:tcPr>
          <w:p>
            <w:pPr>
              <w:widowControl/>
              <w:jc w:val="left"/>
              <w:rPr>
                <w:rFonts w:ascii="宋体" w:cs="宋体"/>
                <w:color w:val="000000"/>
                <w:kern w:val="0"/>
                <w:sz w:val="20"/>
                <w:szCs w:val="20"/>
              </w:rPr>
            </w:pPr>
            <w:r>
              <w:rPr>
                <w:rFonts w:hint="eastAsia" w:ascii="宋体" w:cs="宋体"/>
                <w:color w:val="000000"/>
                <w:kern w:val="0"/>
                <w:sz w:val="20"/>
                <w:szCs w:val="20"/>
              </w:rPr>
              <w:t>明确性（5分）</w:t>
            </w:r>
          </w:p>
        </w:tc>
        <w:tc>
          <w:tcPr>
            <w:tcW w:w="1777" w:type="dxa"/>
            <w:tcBorders>
              <w:top w:val="nil"/>
              <w:left w:val="nil"/>
              <w:bottom w:val="single" w:color="auto" w:sz="4" w:space="0"/>
              <w:right w:val="single" w:color="auto" w:sz="4" w:space="0"/>
            </w:tcBorders>
            <w:noWrap/>
          </w:tcPr>
          <w:p>
            <w:pPr>
              <w:widowControl/>
              <w:jc w:val="center"/>
              <w:rPr>
                <w:rFonts w:ascii="宋体" w:cs="宋体"/>
                <w:color w:val="000000"/>
                <w:kern w:val="0"/>
                <w:sz w:val="20"/>
                <w:szCs w:val="20"/>
              </w:rPr>
            </w:pPr>
            <w:r>
              <w:rPr>
                <w:rFonts w:hint="eastAsia" w:ascii="宋体" w:cs="宋体"/>
                <w:color w:val="000000"/>
                <w:kern w:val="0"/>
                <w:sz w:val="20"/>
                <w:szCs w:val="20"/>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702" w:type="dxa"/>
            <w:vMerge w:val="continue"/>
            <w:tcBorders>
              <w:left w:val="single" w:color="auto" w:sz="4" w:space="0"/>
              <w:right w:val="single" w:color="auto" w:sz="4" w:space="0"/>
            </w:tcBorders>
            <w:noWrap/>
            <w:vAlign w:val="center"/>
          </w:tcPr>
          <w:p/>
        </w:tc>
        <w:tc>
          <w:tcPr>
            <w:tcW w:w="2268" w:type="dxa"/>
            <w:vMerge w:val="continue"/>
            <w:tcBorders>
              <w:top w:val="nil"/>
              <w:left w:val="single" w:color="auto" w:sz="4" w:space="0"/>
              <w:bottom w:val="single" w:color="auto" w:sz="4" w:space="0"/>
              <w:right w:val="single" w:color="auto" w:sz="4" w:space="0"/>
            </w:tcBorders>
            <w:noWrap/>
            <w:vAlign w:val="center"/>
          </w:tcPr>
          <w:p/>
        </w:tc>
        <w:tc>
          <w:tcPr>
            <w:tcW w:w="3646" w:type="dxa"/>
            <w:tcBorders>
              <w:top w:val="nil"/>
              <w:left w:val="nil"/>
              <w:bottom w:val="single" w:color="auto" w:sz="4" w:space="0"/>
              <w:right w:val="single" w:color="auto" w:sz="4" w:space="0"/>
            </w:tcBorders>
            <w:noWrap/>
            <w:vAlign w:val="center"/>
          </w:tcPr>
          <w:p>
            <w:pPr>
              <w:widowControl/>
              <w:jc w:val="left"/>
              <w:rPr>
                <w:rFonts w:ascii="宋体" w:cs="宋体"/>
                <w:color w:val="000000"/>
                <w:kern w:val="0"/>
                <w:sz w:val="20"/>
                <w:szCs w:val="20"/>
              </w:rPr>
            </w:pPr>
            <w:r>
              <w:rPr>
                <w:rFonts w:hint="eastAsia" w:ascii="宋体" w:cs="宋体"/>
                <w:color w:val="000000"/>
                <w:kern w:val="0"/>
                <w:sz w:val="20"/>
                <w:szCs w:val="20"/>
              </w:rPr>
              <w:t>合理性（5分）</w:t>
            </w:r>
          </w:p>
        </w:tc>
        <w:tc>
          <w:tcPr>
            <w:tcW w:w="1777" w:type="dxa"/>
            <w:tcBorders>
              <w:top w:val="nil"/>
              <w:left w:val="nil"/>
              <w:bottom w:val="single" w:color="auto" w:sz="4" w:space="0"/>
              <w:right w:val="single" w:color="auto" w:sz="4" w:space="0"/>
            </w:tcBorders>
            <w:noWrap/>
          </w:tcPr>
          <w:p>
            <w:pPr>
              <w:widowControl/>
              <w:jc w:val="center"/>
              <w:rPr>
                <w:rFonts w:ascii="宋体" w:cs="宋体"/>
                <w:color w:val="000000"/>
                <w:kern w:val="0"/>
                <w:sz w:val="20"/>
                <w:szCs w:val="20"/>
              </w:rPr>
            </w:pPr>
            <w:r>
              <w:rPr>
                <w:rFonts w:hint="eastAsia" w:ascii="宋体" w:cs="宋体"/>
                <w:color w:val="000000"/>
                <w:kern w:val="0"/>
                <w:sz w:val="20"/>
                <w:szCs w:val="20"/>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9" w:hRule="atLeast"/>
        </w:trPr>
        <w:tc>
          <w:tcPr>
            <w:tcW w:w="1702" w:type="dxa"/>
            <w:vMerge w:val="continue"/>
            <w:tcBorders>
              <w:left w:val="single" w:color="auto" w:sz="4" w:space="0"/>
              <w:right w:val="single" w:color="auto" w:sz="4" w:space="0"/>
            </w:tcBorders>
            <w:noWrap/>
            <w:vAlign w:val="center"/>
          </w:tcPr>
          <w:p/>
        </w:tc>
        <w:tc>
          <w:tcPr>
            <w:tcW w:w="2268" w:type="dxa"/>
            <w:vMerge w:val="restart"/>
            <w:tcBorders>
              <w:top w:val="nil"/>
              <w:left w:val="single" w:color="auto" w:sz="4" w:space="0"/>
              <w:bottom w:val="single" w:color="auto" w:sz="4" w:space="0"/>
              <w:right w:val="single" w:color="auto" w:sz="4" w:space="0"/>
            </w:tcBorders>
            <w:noWrap/>
            <w:vAlign w:val="center"/>
          </w:tcPr>
          <w:p>
            <w:pPr>
              <w:widowControl/>
              <w:jc w:val="left"/>
              <w:rPr>
                <w:rFonts w:ascii="宋体" w:cs="宋体"/>
                <w:color w:val="000000"/>
                <w:kern w:val="0"/>
                <w:sz w:val="20"/>
                <w:szCs w:val="20"/>
              </w:rPr>
            </w:pPr>
            <w:r>
              <w:rPr>
                <w:rFonts w:hint="eastAsia" w:ascii="宋体" w:cs="宋体"/>
                <w:color w:val="000000"/>
                <w:kern w:val="0"/>
                <w:sz w:val="20"/>
                <w:szCs w:val="20"/>
              </w:rPr>
              <w:t>预算编制（10分）</w:t>
            </w:r>
          </w:p>
        </w:tc>
        <w:tc>
          <w:tcPr>
            <w:tcW w:w="3646" w:type="dxa"/>
            <w:tcBorders>
              <w:top w:val="nil"/>
              <w:left w:val="nil"/>
              <w:bottom w:val="single" w:color="auto" w:sz="4" w:space="0"/>
              <w:right w:val="single" w:color="auto" w:sz="4" w:space="0"/>
            </w:tcBorders>
            <w:noWrap/>
            <w:vAlign w:val="center"/>
          </w:tcPr>
          <w:p>
            <w:pPr>
              <w:widowControl/>
              <w:jc w:val="left"/>
              <w:rPr>
                <w:rFonts w:ascii="宋体" w:cs="宋体"/>
                <w:color w:val="000000"/>
                <w:kern w:val="0"/>
                <w:sz w:val="20"/>
                <w:szCs w:val="20"/>
              </w:rPr>
            </w:pPr>
            <w:r>
              <w:rPr>
                <w:rFonts w:hint="eastAsia" w:ascii="宋体" w:cs="宋体"/>
                <w:color w:val="000000"/>
                <w:kern w:val="0"/>
                <w:sz w:val="20"/>
                <w:szCs w:val="20"/>
              </w:rPr>
              <w:t>测算依据（5分）</w:t>
            </w:r>
          </w:p>
        </w:tc>
        <w:tc>
          <w:tcPr>
            <w:tcW w:w="1777" w:type="dxa"/>
            <w:tcBorders>
              <w:top w:val="nil"/>
              <w:left w:val="nil"/>
              <w:bottom w:val="single" w:color="auto" w:sz="4" w:space="0"/>
              <w:right w:val="single" w:color="auto" w:sz="4" w:space="0"/>
            </w:tcBorders>
            <w:noWrap/>
          </w:tcPr>
          <w:p>
            <w:pPr>
              <w:widowControl/>
              <w:jc w:val="center"/>
              <w:rPr>
                <w:rFonts w:ascii="宋体" w:cs="宋体"/>
                <w:color w:val="000000"/>
                <w:kern w:val="0"/>
                <w:sz w:val="20"/>
                <w:szCs w:val="20"/>
              </w:rPr>
            </w:pPr>
            <w:r>
              <w:rPr>
                <w:rFonts w:hint="eastAsia" w:ascii="宋体" w:cs="宋体"/>
                <w:color w:val="000000"/>
                <w:kern w:val="0"/>
                <w:sz w:val="20"/>
                <w:szCs w:val="20"/>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1" w:hRule="atLeast"/>
        </w:trPr>
        <w:tc>
          <w:tcPr>
            <w:tcW w:w="1702" w:type="dxa"/>
            <w:vMerge w:val="continue"/>
            <w:tcBorders>
              <w:left w:val="single" w:color="auto" w:sz="4" w:space="0"/>
              <w:bottom w:val="single" w:color="auto" w:sz="4" w:space="0"/>
              <w:right w:val="single" w:color="auto" w:sz="4" w:space="0"/>
            </w:tcBorders>
            <w:noWrap/>
            <w:vAlign w:val="center"/>
          </w:tcPr>
          <w:p/>
        </w:tc>
        <w:tc>
          <w:tcPr>
            <w:tcW w:w="2268" w:type="dxa"/>
            <w:vMerge w:val="continue"/>
            <w:tcBorders>
              <w:top w:val="nil"/>
              <w:left w:val="single" w:color="auto" w:sz="4" w:space="0"/>
              <w:bottom w:val="single" w:color="auto" w:sz="4" w:space="0"/>
              <w:right w:val="single" w:color="auto" w:sz="4" w:space="0"/>
            </w:tcBorders>
            <w:noWrap/>
            <w:vAlign w:val="center"/>
          </w:tcPr>
          <w:p/>
        </w:tc>
        <w:tc>
          <w:tcPr>
            <w:tcW w:w="3646" w:type="dxa"/>
            <w:tcBorders>
              <w:top w:val="nil"/>
              <w:left w:val="nil"/>
              <w:bottom w:val="single" w:color="auto" w:sz="4" w:space="0"/>
              <w:right w:val="single" w:color="auto" w:sz="4" w:space="0"/>
            </w:tcBorders>
            <w:noWrap/>
            <w:vAlign w:val="center"/>
          </w:tcPr>
          <w:p>
            <w:pPr>
              <w:widowControl/>
              <w:jc w:val="left"/>
              <w:rPr>
                <w:rFonts w:ascii="宋体" w:cs="宋体"/>
                <w:color w:val="000000"/>
                <w:kern w:val="0"/>
                <w:sz w:val="20"/>
                <w:szCs w:val="20"/>
              </w:rPr>
            </w:pPr>
            <w:r>
              <w:rPr>
                <w:rFonts w:hint="eastAsia" w:ascii="宋体" w:cs="宋体"/>
                <w:color w:val="000000"/>
                <w:kern w:val="0"/>
                <w:sz w:val="20"/>
                <w:szCs w:val="20"/>
              </w:rPr>
              <w:t>目标管理（5分）</w:t>
            </w:r>
          </w:p>
        </w:tc>
        <w:tc>
          <w:tcPr>
            <w:tcW w:w="1777" w:type="dxa"/>
            <w:tcBorders>
              <w:top w:val="nil"/>
              <w:left w:val="nil"/>
              <w:bottom w:val="single" w:color="auto" w:sz="4" w:space="0"/>
              <w:right w:val="single" w:color="auto" w:sz="4" w:space="0"/>
            </w:tcBorders>
            <w:noWrap/>
          </w:tcPr>
          <w:p>
            <w:pPr>
              <w:widowControl/>
              <w:jc w:val="center"/>
              <w:rPr>
                <w:rFonts w:ascii="宋体" w:cs="宋体"/>
                <w:color w:val="000000"/>
                <w:kern w:val="0"/>
                <w:sz w:val="20"/>
                <w:szCs w:val="20"/>
              </w:rPr>
            </w:pPr>
            <w:r>
              <w:rPr>
                <w:rFonts w:hint="eastAsia" w:ascii="宋体" w:cs="宋体"/>
                <w:color w:val="000000"/>
                <w:kern w:val="0"/>
                <w:sz w:val="20"/>
                <w:szCs w:val="20"/>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7" w:hRule="atLeast"/>
        </w:trPr>
        <w:tc>
          <w:tcPr>
            <w:tcW w:w="1702" w:type="dxa"/>
            <w:vMerge w:val="restart"/>
            <w:tcBorders>
              <w:top w:val="nil"/>
              <w:left w:val="single" w:color="auto" w:sz="4" w:space="0"/>
              <w:right w:val="single" w:color="auto" w:sz="4" w:space="0"/>
            </w:tcBorders>
            <w:noWrap/>
            <w:vAlign w:val="center"/>
          </w:tcPr>
          <w:p>
            <w:pPr>
              <w:widowControl/>
              <w:jc w:val="center"/>
              <w:rPr>
                <w:rFonts w:ascii="宋体" w:cs="宋体"/>
                <w:color w:val="000000"/>
                <w:kern w:val="0"/>
                <w:sz w:val="20"/>
                <w:szCs w:val="20"/>
              </w:rPr>
            </w:pPr>
            <w:r>
              <w:rPr>
                <w:rFonts w:hint="eastAsia" w:ascii="宋体" w:cs="宋体"/>
                <w:color w:val="000000"/>
                <w:kern w:val="0"/>
                <w:sz w:val="20"/>
                <w:szCs w:val="20"/>
              </w:rPr>
              <w:t>综合管理（30分）</w:t>
            </w:r>
          </w:p>
        </w:tc>
        <w:tc>
          <w:tcPr>
            <w:tcW w:w="2268" w:type="dxa"/>
            <w:vMerge w:val="restart"/>
            <w:tcBorders>
              <w:top w:val="nil"/>
              <w:left w:val="single" w:color="auto" w:sz="4" w:space="0"/>
              <w:bottom w:val="single" w:color="auto" w:sz="4" w:space="0"/>
              <w:right w:val="single" w:color="auto" w:sz="4" w:space="0"/>
            </w:tcBorders>
            <w:noWrap/>
            <w:vAlign w:val="center"/>
          </w:tcPr>
          <w:p>
            <w:pPr>
              <w:widowControl/>
              <w:jc w:val="left"/>
              <w:rPr>
                <w:rFonts w:ascii="宋体" w:cs="宋体"/>
                <w:color w:val="000000"/>
                <w:kern w:val="0"/>
                <w:sz w:val="20"/>
                <w:szCs w:val="20"/>
              </w:rPr>
            </w:pPr>
            <w:r>
              <w:rPr>
                <w:rFonts w:hint="eastAsia" w:ascii="宋体" w:cs="宋体"/>
                <w:color w:val="000000"/>
                <w:kern w:val="0"/>
                <w:sz w:val="20"/>
                <w:szCs w:val="20"/>
              </w:rPr>
              <w:t>专项资金分配时限（2分）</w:t>
            </w:r>
          </w:p>
        </w:tc>
        <w:tc>
          <w:tcPr>
            <w:tcW w:w="3646" w:type="dxa"/>
            <w:tcBorders>
              <w:top w:val="nil"/>
              <w:left w:val="nil"/>
              <w:bottom w:val="single" w:color="auto" w:sz="4" w:space="0"/>
              <w:right w:val="single" w:color="auto" w:sz="4" w:space="0"/>
            </w:tcBorders>
            <w:noWrap/>
            <w:vAlign w:val="center"/>
          </w:tcPr>
          <w:p>
            <w:pPr>
              <w:widowControl/>
              <w:jc w:val="left"/>
              <w:rPr>
                <w:rFonts w:ascii="宋体" w:cs="宋体"/>
                <w:color w:val="000000"/>
                <w:kern w:val="0"/>
                <w:sz w:val="20"/>
                <w:szCs w:val="20"/>
              </w:rPr>
            </w:pPr>
            <w:r>
              <w:rPr>
                <w:rFonts w:hint="eastAsia" w:ascii="宋体" w:cs="宋体"/>
                <w:color w:val="000000"/>
                <w:kern w:val="0"/>
                <w:sz w:val="20"/>
                <w:szCs w:val="20"/>
              </w:rPr>
              <w:t>省级财力专项预算分配时限（1分）</w:t>
            </w:r>
          </w:p>
        </w:tc>
        <w:tc>
          <w:tcPr>
            <w:tcW w:w="1777" w:type="dxa"/>
            <w:tcBorders>
              <w:top w:val="nil"/>
              <w:left w:val="nil"/>
              <w:bottom w:val="single" w:color="auto" w:sz="4" w:space="0"/>
              <w:right w:val="single" w:color="auto" w:sz="4" w:space="0"/>
            </w:tcBorders>
            <w:noWrap/>
          </w:tcPr>
          <w:p>
            <w:pPr>
              <w:widowControl/>
              <w:jc w:val="center"/>
              <w:rPr>
                <w:rFonts w:ascii="宋体" w:cs="宋体"/>
                <w:color w:val="000000"/>
                <w:kern w:val="0"/>
                <w:sz w:val="20"/>
                <w:szCs w:val="20"/>
              </w:rPr>
            </w:pPr>
            <w:r>
              <w:rPr>
                <w:rFonts w:hint="eastAsia" w:ascii="宋体" w:cs="宋体"/>
                <w:color w:val="000000"/>
                <w:kern w:val="0"/>
                <w:sz w:val="20"/>
                <w:szCs w:val="20"/>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3" w:hRule="atLeast"/>
        </w:trPr>
        <w:tc>
          <w:tcPr>
            <w:tcW w:w="1702" w:type="dxa"/>
            <w:vMerge w:val="continue"/>
            <w:tcBorders>
              <w:left w:val="single" w:color="auto" w:sz="4" w:space="0"/>
              <w:right w:val="single" w:color="auto" w:sz="4" w:space="0"/>
            </w:tcBorders>
            <w:noWrap/>
            <w:vAlign w:val="center"/>
          </w:tcPr>
          <w:p/>
        </w:tc>
        <w:tc>
          <w:tcPr>
            <w:tcW w:w="2268" w:type="dxa"/>
            <w:vMerge w:val="continue"/>
            <w:tcBorders>
              <w:top w:val="nil"/>
              <w:left w:val="single" w:color="auto" w:sz="4" w:space="0"/>
              <w:bottom w:val="single" w:color="auto" w:sz="4" w:space="0"/>
              <w:right w:val="single" w:color="auto" w:sz="4" w:space="0"/>
            </w:tcBorders>
            <w:noWrap/>
            <w:vAlign w:val="center"/>
          </w:tcPr>
          <w:p/>
        </w:tc>
        <w:tc>
          <w:tcPr>
            <w:tcW w:w="3646" w:type="dxa"/>
            <w:tcBorders>
              <w:top w:val="nil"/>
              <w:left w:val="nil"/>
              <w:bottom w:val="single" w:color="auto" w:sz="4" w:space="0"/>
              <w:right w:val="single" w:color="auto" w:sz="4" w:space="0"/>
            </w:tcBorders>
            <w:noWrap/>
            <w:vAlign w:val="center"/>
          </w:tcPr>
          <w:p>
            <w:pPr>
              <w:widowControl/>
              <w:jc w:val="left"/>
              <w:rPr>
                <w:rFonts w:ascii="宋体" w:cs="宋体"/>
                <w:color w:val="000000"/>
                <w:kern w:val="0"/>
                <w:sz w:val="20"/>
                <w:szCs w:val="20"/>
              </w:rPr>
            </w:pPr>
            <w:r>
              <w:rPr>
                <w:rFonts w:hint="eastAsia" w:ascii="宋体" w:cs="宋体"/>
                <w:color w:val="000000"/>
                <w:kern w:val="0"/>
                <w:sz w:val="20"/>
                <w:szCs w:val="20"/>
              </w:rPr>
              <w:t>中央专款分配合规率（1分）</w:t>
            </w:r>
          </w:p>
        </w:tc>
        <w:tc>
          <w:tcPr>
            <w:tcW w:w="1777" w:type="dxa"/>
            <w:tcBorders>
              <w:top w:val="nil"/>
              <w:left w:val="nil"/>
              <w:bottom w:val="single" w:color="auto" w:sz="4" w:space="0"/>
              <w:right w:val="single" w:color="auto" w:sz="4" w:space="0"/>
            </w:tcBorders>
            <w:noWrap/>
          </w:tcPr>
          <w:p>
            <w:pPr>
              <w:widowControl/>
              <w:jc w:val="center"/>
              <w:rPr>
                <w:rFonts w:ascii="宋体" w:cs="宋体"/>
                <w:color w:val="000000"/>
                <w:kern w:val="0"/>
                <w:sz w:val="20"/>
                <w:szCs w:val="20"/>
              </w:rPr>
            </w:pPr>
            <w:r>
              <w:rPr>
                <w:rFonts w:hint="eastAsia" w:ascii="宋体" w:cs="宋体"/>
                <w:color w:val="000000"/>
                <w:kern w:val="0"/>
                <w:sz w:val="20"/>
                <w:szCs w:val="20"/>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1702" w:type="dxa"/>
            <w:vMerge w:val="continue"/>
            <w:tcBorders>
              <w:left w:val="single" w:color="auto" w:sz="4" w:space="0"/>
              <w:right w:val="single" w:color="auto" w:sz="4" w:space="0"/>
            </w:tcBorders>
            <w:noWrap/>
            <w:vAlign w:val="center"/>
          </w:tcPr>
          <w:p/>
        </w:tc>
        <w:tc>
          <w:tcPr>
            <w:tcW w:w="2268" w:type="dxa"/>
            <w:tcBorders>
              <w:top w:val="nil"/>
              <w:left w:val="nil"/>
              <w:bottom w:val="single" w:color="auto" w:sz="4" w:space="0"/>
              <w:right w:val="single" w:color="auto" w:sz="4" w:space="0"/>
            </w:tcBorders>
            <w:noWrap/>
            <w:vAlign w:val="center"/>
          </w:tcPr>
          <w:p>
            <w:pPr>
              <w:widowControl/>
              <w:jc w:val="left"/>
              <w:rPr>
                <w:rFonts w:ascii="宋体" w:cs="宋体"/>
                <w:color w:val="000000"/>
                <w:kern w:val="0"/>
                <w:sz w:val="20"/>
                <w:szCs w:val="20"/>
              </w:rPr>
            </w:pPr>
            <w:r>
              <w:rPr>
                <w:rFonts w:hint="eastAsia" w:ascii="宋体" w:cs="宋体"/>
                <w:color w:val="000000"/>
                <w:kern w:val="0"/>
                <w:sz w:val="20"/>
                <w:szCs w:val="20"/>
              </w:rPr>
              <w:t>中期评估（2分）</w:t>
            </w:r>
          </w:p>
        </w:tc>
        <w:tc>
          <w:tcPr>
            <w:tcW w:w="3646" w:type="dxa"/>
            <w:tcBorders>
              <w:top w:val="nil"/>
              <w:left w:val="nil"/>
              <w:bottom w:val="single" w:color="auto" w:sz="4" w:space="0"/>
              <w:right w:val="single" w:color="auto" w:sz="4" w:space="0"/>
            </w:tcBorders>
            <w:noWrap/>
            <w:vAlign w:val="center"/>
          </w:tcPr>
          <w:p>
            <w:pPr>
              <w:widowControl/>
              <w:jc w:val="left"/>
              <w:rPr>
                <w:rFonts w:ascii="宋体" w:cs="宋体"/>
                <w:color w:val="000000"/>
                <w:kern w:val="0"/>
                <w:sz w:val="20"/>
                <w:szCs w:val="20"/>
              </w:rPr>
            </w:pPr>
            <w:r>
              <w:rPr>
                <w:rFonts w:hint="eastAsia" w:ascii="宋体" w:cs="宋体"/>
                <w:color w:val="000000"/>
                <w:kern w:val="0"/>
                <w:sz w:val="20"/>
                <w:szCs w:val="20"/>
              </w:rPr>
              <w:t>执行中期评估（2分）</w:t>
            </w:r>
          </w:p>
        </w:tc>
        <w:tc>
          <w:tcPr>
            <w:tcW w:w="1777" w:type="dxa"/>
            <w:tcBorders>
              <w:top w:val="nil"/>
              <w:left w:val="nil"/>
              <w:bottom w:val="single" w:color="auto" w:sz="4" w:space="0"/>
              <w:right w:val="single" w:color="auto" w:sz="4" w:space="0"/>
            </w:tcBorders>
            <w:noWrap/>
          </w:tcPr>
          <w:p>
            <w:pPr>
              <w:widowControl/>
              <w:jc w:val="center"/>
              <w:rPr>
                <w:rFonts w:ascii="宋体" w:cs="宋体"/>
                <w:color w:val="000000"/>
                <w:kern w:val="0"/>
                <w:sz w:val="20"/>
                <w:szCs w:val="20"/>
              </w:rPr>
            </w:pPr>
            <w:r>
              <w:rPr>
                <w:rFonts w:hint="eastAsia" w:ascii="宋体" w:cs="宋体"/>
                <w:color w:val="000000"/>
                <w:kern w:val="0"/>
                <w:sz w:val="20"/>
                <w:szCs w:val="20"/>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1" w:hRule="atLeast"/>
        </w:trPr>
        <w:tc>
          <w:tcPr>
            <w:tcW w:w="1702" w:type="dxa"/>
            <w:vMerge w:val="continue"/>
            <w:tcBorders>
              <w:left w:val="single" w:color="auto" w:sz="4" w:space="0"/>
              <w:right w:val="single" w:color="auto" w:sz="4" w:space="0"/>
            </w:tcBorders>
            <w:noWrap/>
            <w:vAlign w:val="center"/>
          </w:tcPr>
          <w:p/>
        </w:tc>
        <w:tc>
          <w:tcPr>
            <w:tcW w:w="2268" w:type="dxa"/>
            <w:vMerge w:val="restart"/>
            <w:tcBorders>
              <w:top w:val="nil"/>
              <w:left w:val="single" w:color="auto" w:sz="4" w:space="0"/>
              <w:bottom w:val="single" w:color="auto" w:sz="4" w:space="0"/>
              <w:right w:val="single" w:color="auto" w:sz="4" w:space="0"/>
            </w:tcBorders>
            <w:noWrap/>
            <w:vAlign w:val="center"/>
          </w:tcPr>
          <w:p>
            <w:pPr>
              <w:widowControl/>
              <w:jc w:val="left"/>
              <w:rPr>
                <w:rFonts w:ascii="宋体" w:cs="宋体"/>
                <w:color w:val="000000"/>
                <w:kern w:val="0"/>
                <w:sz w:val="20"/>
                <w:szCs w:val="20"/>
              </w:rPr>
            </w:pPr>
            <w:r>
              <w:rPr>
                <w:rFonts w:hint="eastAsia" w:ascii="宋体" w:cs="宋体"/>
                <w:color w:val="000000"/>
                <w:kern w:val="0"/>
                <w:sz w:val="20"/>
                <w:szCs w:val="20"/>
              </w:rPr>
              <w:t>绩效监控（5分）</w:t>
            </w:r>
          </w:p>
        </w:tc>
        <w:tc>
          <w:tcPr>
            <w:tcW w:w="3646" w:type="dxa"/>
            <w:tcBorders>
              <w:top w:val="nil"/>
              <w:left w:val="nil"/>
              <w:bottom w:val="single" w:color="auto" w:sz="4" w:space="0"/>
              <w:right w:val="single" w:color="auto" w:sz="4" w:space="0"/>
            </w:tcBorders>
            <w:noWrap/>
            <w:vAlign w:val="center"/>
          </w:tcPr>
          <w:p>
            <w:pPr>
              <w:widowControl/>
              <w:jc w:val="left"/>
              <w:rPr>
                <w:rFonts w:ascii="宋体" w:cs="宋体"/>
                <w:color w:val="000000"/>
                <w:kern w:val="0"/>
                <w:sz w:val="20"/>
                <w:szCs w:val="20"/>
              </w:rPr>
            </w:pPr>
            <w:r>
              <w:rPr>
                <w:rFonts w:hint="eastAsia" w:ascii="宋体" w:cs="宋体"/>
                <w:color w:val="000000"/>
                <w:kern w:val="0"/>
                <w:sz w:val="20"/>
                <w:szCs w:val="20"/>
              </w:rPr>
              <w:t>预算执行进度监控（2分）</w:t>
            </w:r>
          </w:p>
        </w:tc>
        <w:tc>
          <w:tcPr>
            <w:tcW w:w="1777" w:type="dxa"/>
            <w:tcBorders>
              <w:top w:val="nil"/>
              <w:left w:val="nil"/>
              <w:bottom w:val="single" w:color="auto" w:sz="4" w:space="0"/>
              <w:right w:val="single" w:color="auto" w:sz="4" w:space="0"/>
            </w:tcBorders>
            <w:noWrap/>
          </w:tcPr>
          <w:p>
            <w:pPr>
              <w:widowControl/>
              <w:jc w:val="center"/>
              <w:rPr>
                <w:rFonts w:ascii="宋体" w:cs="宋体"/>
                <w:color w:val="000000"/>
                <w:kern w:val="0"/>
                <w:sz w:val="20"/>
                <w:szCs w:val="20"/>
              </w:rPr>
            </w:pPr>
            <w:r>
              <w:rPr>
                <w:rFonts w:hint="eastAsia" w:ascii="宋体" w:cs="宋体"/>
                <w:color w:val="000000"/>
                <w:kern w:val="0"/>
                <w:sz w:val="20"/>
                <w:szCs w:val="20"/>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3" w:hRule="atLeast"/>
        </w:trPr>
        <w:tc>
          <w:tcPr>
            <w:tcW w:w="1702" w:type="dxa"/>
            <w:vMerge w:val="continue"/>
            <w:tcBorders>
              <w:left w:val="single" w:color="auto" w:sz="4" w:space="0"/>
              <w:right w:val="single" w:color="auto" w:sz="4" w:space="0"/>
            </w:tcBorders>
            <w:noWrap/>
            <w:vAlign w:val="center"/>
          </w:tcPr>
          <w:p/>
        </w:tc>
        <w:tc>
          <w:tcPr>
            <w:tcW w:w="2268" w:type="dxa"/>
            <w:vMerge w:val="continue"/>
            <w:tcBorders>
              <w:top w:val="nil"/>
              <w:left w:val="single" w:color="auto" w:sz="4" w:space="0"/>
              <w:bottom w:val="single" w:color="auto" w:sz="4" w:space="0"/>
              <w:right w:val="single" w:color="auto" w:sz="4" w:space="0"/>
            </w:tcBorders>
            <w:noWrap/>
            <w:vAlign w:val="center"/>
          </w:tcPr>
          <w:p/>
        </w:tc>
        <w:tc>
          <w:tcPr>
            <w:tcW w:w="3646" w:type="dxa"/>
            <w:tcBorders>
              <w:top w:val="nil"/>
              <w:left w:val="nil"/>
              <w:bottom w:val="single" w:color="auto" w:sz="4" w:space="0"/>
              <w:right w:val="single" w:color="auto" w:sz="4" w:space="0"/>
            </w:tcBorders>
            <w:noWrap/>
            <w:vAlign w:val="center"/>
          </w:tcPr>
          <w:p>
            <w:pPr>
              <w:widowControl/>
              <w:jc w:val="left"/>
              <w:rPr>
                <w:rFonts w:ascii="宋体" w:cs="宋体"/>
                <w:color w:val="000000"/>
                <w:kern w:val="0"/>
                <w:sz w:val="20"/>
                <w:szCs w:val="20"/>
              </w:rPr>
            </w:pPr>
            <w:r>
              <w:rPr>
                <w:rFonts w:hint="eastAsia" w:ascii="宋体" w:cs="宋体"/>
                <w:color w:val="000000"/>
                <w:kern w:val="0"/>
                <w:sz w:val="20"/>
                <w:szCs w:val="20"/>
              </w:rPr>
              <w:t>绩效目标动态监控（3分）</w:t>
            </w:r>
          </w:p>
        </w:tc>
        <w:tc>
          <w:tcPr>
            <w:tcW w:w="1777" w:type="dxa"/>
            <w:tcBorders>
              <w:top w:val="nil"/>
              <w:left w:val="nil"/>
              <w:bottom w:val="single" w:color="auto" w:sz="4" w:space="0"/>
              <w:right w:val="single" w:color="auto" w:sz="4" w:space="0"/>
            </w:tcBorders>
            <w:noWrap/>
          </w:tcPr>
          <w:p>
            <w:pPr>
              <w:widowControl/>
              <w:jc w:val="center"/>
              <w:rPr>
                <w:rFonts w:ascii="宋体" w:cs="宋体"/>
                <w:color w:val="000000"/>
                <w:kern w:val="0"/>
                <w:sz w:val="20"/>
                <w:szCs w:val="20"/>
              </w:rPr>
            </w:pPr>
            <w:r>
              <w:rPr>
                <w:rFonts w:hint="eastAsia" w:ascii="宋体" w:cs="宋体"/>
                <w:color w:val="000000"/>
                <w:kern w:val="0"/>
                <w:sz w:val="20"/>
                <w:szCs w:val="20"/>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5" w:hRule="atLeast"/>
        </w:trPr>
        <w:tc>
          <w:tcPr>
            <w:tcW w:w="1702" w:type="dxa"/>
            <w:vMerge w:val="continue"/>
            <w:tcBorders>
              <w:left w:val="single" w:color="auto" w:sz="4" w:space="0"/>
              <w:right w:val="single" w:color="auto" w:sz="4" w:space="0"/>
            </w:tcBorders>
            <w:noWrap/>
            <w:vAlign w:val="center"/>
          </w:tcPr>
          <w:p/>
        </w:tc>
        <w:tc>
          <w:tcPr>
            <w:tcW w:w="2268" w:type="dxa"/>
            <w:vMerge w:val="restart"/>
            <w:tcBorders>
              <w:top w:val="nil"/>
              <w:left w:val="single" w:color="auto" w:sz="4" w:space="0"/>
              <w:bottom w:val="single" w:color="auto" w:sz="4" w:space="0"/>
              <w:right w:val="single" w:color="auto" w:sz="4" w:space="0"/>
            </w:tcBorders>
            <w:noWrap/>
            <w:vAlign w:val="center"/>
          </w:tcPr>
          <w:p>
            <w:pPr>
              <w:widowControl/>
              <w:jc w:val="left"/>
              <w:rPr>
                <w:rFonts w:ascii="宋体" w:cs="宋体"/>
                <w:color w:val="000000"/>
                <w:kern w:val="0"/>
                <w:sz w:val="20"/>
                <w:szCs w:val="20"/>
              </w:rPr>
            </w:pPr>
            <w:r>
              <w:rPr>
                <w:rFonts w:hint="eastAsia" w:ascii="宋体" w:cs="宋体"/>
                <w:color w:val="000000"/>
                <w:kern w:val="0"/>
                <w:sz w:val="20"/>
                <w:szCs w:val="20"/>
              </w:rPr>
              <w:t>非税收入执收情况（2分）</w:t>
            </w:r>
          </w:p>
        </w:tc>
        <w:tc>
          <w:tcPr>
            <w:tcW w:w="3646" w:type="dxa"/>
            <w:tcBorders>
              <w:top w:val="nil"/>
              <w:left w:val="nil"/>
              <w:bottom w:val="single" w:color="auto" w:sz="4" w:space="0"/>
              <w:right w:val="single" w:color="auto" w:sz="4" w:space="0"/>
            </w:tcBorders>
            <w:noWrap/>
            <w:vAlign w:val="center"/>
          </w:tcPr>
          <w:p>
            <w:pPr>
              <w:widowControl/>
              <w:jc w:val="left"/>
              <w:rPr>
                <w:rFonts w:ascii="宋体" w:cs="宋体"/>
                <w:color w:val="000000"/>
                <w:kern w:val="0"/>
                <w:sz w:val="20"/>
                <w:szCs w:val="20"/>
              </w:rPr>
            </w:pPr>
            <w:r>
              <w:rPr>
                <w:rFonts w:hint="eastAsia" w:ascii="宋体" w:cs="宋体"/>
                <w:color w:val="000000"/>
                <w:kern w:val="0"/>
                <w:sz w:val="20"/>
                <w:szCs w:val="20"/>
              </w:rPr>
              <w:t>非税收入征收情况（1分）</w:t>
            </w:r>
          </w:p>
        </w:tc>
        <w:tc>
          <w:tcPr>
            <w:tcW w:w="1777" w:type="dxa"/>
            <w:tcBorders>
              <w:top w:val="nil"/>
              <w:left w:val="nil"/>
              <w:bottom w:val="single" w:color="auto" w:sz="4" w:space="0"/>
              <w:right w:val="single" w:color="auto" w:sz="4" w:space="0"/>
            </w:tcBorders>
            <w:noWrap/>
          </w:tcPr>
          <w:p>
            <w:pPr>
              <w:widowControl/>
              <w:jc w:val="center"/>
              <w:rPr>
                <w:rFonts w:ascii="宋体" w:cs="宋体"/>
                <w:color w:val="000000"/>
                <w:kern w:val="0"/>
                <w:sz w:val="20"/>
                <w:szCs w:val="20"/>
              </w:rPr>
            </w:pPr>
            <w:r>
              <w:rPr>
                <w:rFonts w:hint="eastAsia" w:ascii="宋体" w:cs="宋体"/>
                <w:color w:val="000000"/>
                <w:kern w:val="0"/>
                <w:sz w:val="20"/>
                <w:szCs w:val="20"/>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1702" w:type="dxa"/>
            <w:vMerge w:val="continue"/>
            <w:tcBorders>
              <w:left w:val="single" w:color="auto" w:sz="4" w:space="0"/>
              <w:right w:val="single" w:color="auto" w:sz="4" w:space="0"/>
            </w:tcBorders>
            <w:noWrap/>
            <w:vAlign w:val="center"/>
          </w:tcPr>
          <w:p/>
        </w:tc>
        <w:tc>
          <w:tcPr>
            <w:tcW w:w="2268" w:type="dxa"/>
            <w:vMerge w:val="continue"/>
            <w:tcBorders>
              <w:top w:val="nil"/>
              <w:left w:val="single" w:color="auto" w:sz="4" w:space="0"/>
              <w:bottom w:val="single" w:color="auto" w:sz="4" w:space="0"/>
              <w:right w:val="single" w:color="auto" w:sz="4" w:space="0"/>
            </w:tcBorders>
            <w:noWrap/>
            <w:vAlign w:val="center"/>
          </w:tcPr>
          <w:p/>
        </w:tc>
        <w:tc>
          <w:tcPr>
            <w:tcW w:w="3646" w:type="dxa"/>
            <w:tcBorders>
              <w:top w:val="nil"/>
              <w:left w:val="nil"/>
              <w:bottom w:val="single" w:color="auto" w:sz="4" w:space="0"/>
              <w:right w:val="single" w:color="auto" w:sz="4" w:space="0"/>
            </w:tcBorders>
            <w:noWrap/>
            <w:vAlign w:val="center"/>
          </w:tcPr>
          <w:p>
            <w:pPr>
              <w:widowControl/>
              <w:jc w:val="left"/>
              <w:rPr>
                <w:rFonts w:ascii="宋体" w:cs="宋体"/>
                <w:color w:val="000000"/>
                <w:kern w:val="0"/>
                <w:sz w:val="20"/>
                <w:szCs w:val="20"/>
              </w:rPr>
            </w:pPr>
            <w:r>
              <w:rPr>
                <w:rFonts w:hint="eastAsia" w:ascii="宋体" w:cs="宋体"/>
                <w:color w:val="000000"/>
                <w:kern w:val="0"/>
                <w:sz w:val="20"/>
                <w:szCs w:val="20"/>
              </w:rPr>
              <w:t>非税收入上缴情况（1分）</w:t>
            </w:r>
          </w:p>
        </w:tc>
        <w:tc>
          <w:tcPr>
            <w:tcW w:w="1777" w:type="dxa"/>
            <w:tcBorders>
              <w:top w:val="nil"/>
              <w:left w:val="nil"/>
              <w:bottom w:val="single" w:color="auto" w:sz="4" w:space="0"/>
              <w:right w:val="single" w:color="auto" w:sz="4" w:space="0"/>
            </w:tcBorders>
            <w:noWrap/>
          </w:tcPr>
          <w:p>
            <w:pPr>
              <w:widowControl/>
              <w:jc w:val="center"/>
              <w:rPr>
                <w:rFonts w:ascii="宋体" w:cs="宋体"/>
                <w:color w:val="000000"/>
                <w:kern w:val="0"/>
                <w:sz w:val="20"/>
                <w:szCs w:val="20"/>
              </w:rPr>
            </w:pPr>
            <w:r>
              <w:rPr>
                <w:rFonts w:hint="eastAsia" w:ascii="宋体" w:cs="宋体"/>
                <w:color w:val="000000"/>
                <w:kern w:val="0"/>
                <w:sz w:val="20"/>
                <w:szCs w:val="20"/>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trPr>
        <w:tc>
          <w:tcPr>
            <w:tcW w:w="1702" w:type="dxa"/>
            <w:vMerge w:val="continue"/>
            <w:tcBorders>
              <w:left w:val="single" w:color="auto" w:sz="4" w:space="0"/>
              <w:right w:val="single" w:color="auto" w:sz="4" w:space="0"/>
            </w:tcBorders>
            <w:noWrap/>
            <w:vAlign w:val="center"/>
          </w:tcPr>
          <w:p/>
        </w:tc>
        <w:tc>
          <w:tcPr>
            <w:tcW w:w="2268" w:type="dxa"/>
            <w:vMerge w:val="restart"/>
            <w:tcBorders>
              <w:top w:val="nil"/>
              <w:left w:val="single" w:color="auto" w:sz="4" w:space="0"/>
              <w:bottom w:val="single" w:color="auto" w:sz="4" w:space="0"/>
              <w:right w:val="single" w:color="auto" w:sz="4" w:space="0"/>
            </w:tcBorders>
            <w:noWrap/>
            <w:vAlign w:val="center"/>
          </w:tcPr>
          <w:p>
            <w:pPr>
              <w:widowControl/>
              <w:jc w:val="left"/>
              <w:rPr>
                <w:rFonts w:ascii="宋体" w:cs="宋体"/>
                <w:color w:val="000000"/>
                <w:kern w:val="0"/>
                <w:sz w:val="20"/>
                <w:szCs w:val="20"/>
              </w:rPr>
            </w:pPr>
            <w:r>
              <w:rPr>
                <w:rFonts w:hint="eastAsia" w:ascii="宋体" w:cs="宋体"/>
                <w:color w:val="000000"/>
                <w:kern w:val="0"/>
                <w:sz w:val="20"/>
                <w:szCs w:val="20"/>
              </w:rPr>
              <w:t>资产管理（6分）</w:t>
            </w:r>
          </w:p>
        </w:tc>
        <w:tc>
          <w:tcPr>
            <w:tcW w:w="3646" w:type="dxa"/>
            <w:tcBorders>
              <w:top w:val="nil"/>
              <w:left w:val="nil"/>
              <w:bottom w:val="single" w:color="auto" w:sz="4" w:space="0"/>
              <w:right w:val="single" w:color="auto" w:sz="4" w:space="0"/>
            </w:tcBorders>
            <w:noWrap/>
            <w:vAlign w:val="center"/>
          </w:tcPr>
          <w:p>
            <w:pPr>
              <w:widowControl/>
              <w:jc w:val="left"/>
              <w:rPr>
                <w:rFonts w:ascii="宋体" w:cs="宋体"/>
                <w:color w:val="000000"/>
                <w:kern w:val="0"/>
                <w:sz w:val="20"/>
                <w:szCs w:val="20"/>
              </w:rPr>
            </w:pPr>
            <w:r>
              <w:rPr>
                <w:rFonts w:hint="eastAsia" w:ascii="宋体" w:cs="宋体"/>
                <w:color w:val="000000"/>
                <w:kern w:val="0"/>
                <w:sz w:val="20"/>
                <w:szCs w:val="20"/>
              </w:rPr>
              <w:t>资产管理信息化情况（2分）</w:t>
            </w:r>
          </w:p>
        </w:tc>
        <w:tc>
          <w:tcPr>
            <w:tcW w:w="1777" w:type="dxa"/>
            <w:tcBorders>
              <w:top w:val="nil"/>
              <w:left w:val="nil"/>
              <w:bottom w:val="single" w:color="auto" w:sz="4" w:space="0"/>
              <w:right w:val="single" w:color="auto" w:sz="4" w:space="0"/>
            </w:tcBorders>
            <w:noWrap/>
          </w:tcPr>
          <w:p>
            <w:pPr>
              <w:widowControl/>
              <w:jc w:val="center"/>
              <w:rPr>
                <w:rFonts w:ascii="宋体" w:cs="宋体"/>
                <w:color w:val="000000"/>
                <w:kern w:val="0"/>
                <w:sz w:val="20"/>
                <w:szCs w:val="20"/>
              </w:rPr>
            </w:pPr>
            <w:r>
              <w:rPr>
                <w:rFonts w:hint="eastAsia" w:ascii="宋体" w:cs="宋体"/>
                <w:color w:val="000000"/>
                <w:kern w:val="0"/>
                <w:sz w:val="20"/>
                <w:szCs w:val="20"/>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5" w:hRule="atLeast"/>
        </w:trPr>
        <w:tc>
          <w:tcPr>
            <w:tcW w:w="1702" w:type="dxa"/>
            <w:vMerge w:val="continue"/>
            <w:tcBorders>
              <w:left w:val="single" w:color="auto" w:sz="4" w:space="0"/>
              <w:right w:val="single" w:color="auto" w:sz="4" w:space="0"/>
            </w:tcBorders>
            <w:noWrap/>
            <w:vAlign w:val="center"/>
          </w:tcPr>
          <w:p/>
        </w:tc>
        <w:tc>
          <w:tcPr>
            <w:tcW w:w="2268" w:type="dxa"/>
            <w:vMerge w:val="continue"/>
            <w:tcBorders>
              <w:top w:val="nil"/>
              <w:left w:val="single" w:color="auto" w:sz="4" w:space="0"/>
              <w:bottom w:val="single" w:color="auto" w:sz="4" w:space="0"/>
              <w:right w:val="single" w:color="auto" w:sz="4" w:space="0"/>
            </w:tcBorders>
            <w:noWrap/>
            <w:vAlign w:val="center"/>
          </w:tcPr>
          <w:p/>
        </w:tc>
        <w:tc>
          <w:tcPr>
            <w:tcW w:w="3646" w:type="dxa"/>
            <w:tcBorders>
              <w:top w:val="nil"/>
              <w:left w:val="nil"/>
              <w:bottom w:val="single" w:color="auto" w:sz="4" w:space="0"/>
              <w:right w:val="single" w:color="auto" w:sz="4" w:space="0"/>
            </w:tcBorders>
            <w:noWrap/>
            <w:vAlign w:val="center"/>
          </w:tcPr>
          <w:p>
            <w:pPr>
              <w:widowControl/>
              <w:jc w:val="left"/>
              <w:rPr>
                <w:rFonts w:ascii="宋体" w:cs="宋体"/>
                <w:color w:val="000000"/>
                <w:kern w:val="0"/>
                <w:sz w:val="20"/>
                <w:szCs w:val="20"/>
              </w:rPr>
            </w:pPr>
            <w:r>
              <w:rPr>
                <w:rFonts w:hint="eastAsia" w:ascii="宋体" w:cs="宋体"/>
                <w:color w:val="000000"/>
                <w:kern w:val="0"/>
                <w:sz w:val="20"/>
                <w:szCs w:val="20"/>
              </w:rPr>
              <w:t>行政事业单位资产报告情况（2分）</w:t>
            </w:r>
          </w:p>
        </w:tc>
        <w:tc>
          <w:tcPr>
            <w:tcW w:w="1777" w:type="dxa"/>
            <w:tcBorders>
              <w:top w:val="nil"/>
              <w:left w:val="nil"/>
              <w:bottom w:val="single" w:color="auto" w:sz="4" w:space="0"/>
              <w:right w:val="single" w:color="auto" w:sz="4" w:space="0"/>
            </w:tcBorders>
            <w:noWrap/>
          </w:tcPr>
          <w:p>
            <w:pPr>
              <w:widowControl/>
              <w:jc w:val="center"/>
              <w:rPr>
                <w:rFonts w:ascii="宋体" w:cs="宋体"/>
                <w:color w:val="000000"/>
                <w:kern w:val="0"/>
                <w:sz w:val="20"/>
                <w:szCs w:val="20"/>
              </w:rPr>
            </w:pPr>
            <w:r>
              <w:rPr>
                <w:rFonts w:hint="eastAsia" w:ascii="宋体" w:cs="宋体"/>
                <w:color w:val="000000"/>
                <w:kern w:val="0"/>
                <w:sz w:val="20"/>
                <w:szCs w:val="20"/>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3" w:hRule="atLeast"/>
        </w:trPr>
        <w:tc>
          <w:tcPr>
            <w:tcW w:w="1702" w:type="dxa"/>
            <w:vMerge w:val="continue"/>
            <w:tcBorders>
              <w:left w:val="single" w:color="auto" w:sz="4" w:space="0"/>
              <w:right w:val="single" w:color="auto" w:sz="4" w:space="0"/>
            </w:tcBorders>
            <w:noWrap/>
            <w:vAlign w:val="center"/>
          </w:tcPr>
          <w:p/>
        </w:tc>
        <w:tc>
          <w:tcPr>
            <w:tcW w:w="2268" w:type="dxa"/>
            <w:vMerge w:val="continue"/>
            <w:tcBorders>
              <w:top w:val="nil"/>
              <w:left w:val="single" w:color="auto" w:sz="4" w:space="0"/>
              <w:bottom w:val="single" w:color="auto" w:sz="4" w:space="0"/>
              <w:right w:val="single" w:color="auto" w:sz="4" w:space="0"/>
            </w:tcBorders>
            <w:noWrap/>
            <w:vAlign w:val="center"/>
          </w:tcPr>
          <w:p/>
        </w:tc>
        <w:tc>
          <w:tcPr>
            <w:tcW w:w="3646" w:type="dxa"/>
            <w:tcBorders>
              <w:top w:val="nil"/>
              <w:left w:val="nil"/>
              <w:bottom w:val="single" w:color="auto" w:sz="4" w:space="0"/>
              <w:right w:val="single" w:color="auto" w:sz="4" w:space="0"/>
            </w:tcBorders>
            <w:noWrap/>
            <w:vAlign w:val="center"/>
          </w:tcPr>
          <w:p>
            <w:pPr>
              <w:widowControl/>
              <w:jc w:val="left"/>
              <w:rPr>
                <w:rFonts w:ascii="宋体" w:cs="宋体"/>
                <w:color w:val="000000"/>
                <w:kern w:val="0"/>
                <w:sz w:val="20"/>
                <w:szCs w:val="20"/>
              </w:rPr>
            </w:pPr>
            <w:r>
              <w:rPr>
                <w:rFonts w:hint="eastAsia" w:ascii="宋体" w:cs="宋体"/>
                <w:color w:val="000000"/>
                <w:kern w:val="0"/>
                <w:sz w:val="20"/>
                <w:szCs w:val="20"/>
              </w:rPr>
              <w:t>资产管理与预算管理相结合（2分）</w:t>
            </w:r>
          </w:p>
        </w:tc>
        <w:tc>
          <w:tcPr>
            <w:tcW w:w="1777" w:type="dxa"/>
            <w:tcBorders>
              <w:top w:val="nil"/>
              <w:left w:val="nil"/>
              <w:bottom w:val="single" w:color="auto" w:sz="4" w:space="0"/>
              <w:right w:val="single" w:color="auto" w:sz="4" w:space="0"/>
            </w:tcBorders>
            <w:noWrap/>
          </w:tcPr>
          <w:p>
            <w:pPr>
              <w:widowControl/>
              <w:jc w:val="center"/>
              <w:rPr>
                <w:rFonts w:ascii="宋体" w:cs="宋体"/>
                <w:color w:val="000000"/>
                <w:kern w:val="0"/>
                <w:sz w:val="20"/>
                <w:szCs w:val="20"/>
              </w:rPr>
            </w:pPr>
            <w:r>
              <w:rPr>
                <w:rFonts w:hint="eastAsia" w:ascii="宋体" w:cs="宋体"/>
                <w:color w:val="000000"/>
                <w:kern w:val="0"/>
                <w:sz w:val="20"/>
                <w:szCs w:val="20"/>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trPr>
        <w:tc>
          <w:tcPr>
            <w:tcW w:w="1702" w:type="dxa"/>
            <w:vMerge w:val="continue"/>
            <w:tcBorders>
              <w:left w:val="single" w:color="auto" w:sz="4" w:space="0"/>
              <w:right w:val="single" w:color="auto" w:sz="4" w:space="0"/>
            </w:tcBorders>
            <w:noWrap/>
            <w:vAlign w:val="center"/>
          </w:tcPr>
          <w:p/>
        </w:tc>
        <w:tc>
          <w:tcPr>
            <w:tcW w:w="2268" w:type="dxa"/>
            <w:tcBorders>
              <w:top w:val="nil"/>
              <w:left w:val="nil"/>
              <w:bottom w:val="single" w:color="auto" w:sz="4" w:space="0"/>
              <w:right w:val="single" w:color="auto" w:sz="4" w:space="0"/>
            </w:tcBorders>
            <w:noWrap/>
            <w:vAlign w:val="center"/>
          </w:tcPr>
          <w:p>
            <w:pPr>
              <w:widowControl/>
              <w:jc w:val="left"/>
              <w:rPr>
                <w:rFonts w:ascii="宋体" w:cs="宋体"/>
                <w:color w:val="000000"/>
                <w:kern w:val="0"/>
                <w:sz w:val="20"/>
                <w:szCs w:val="20"/>
              </w:rPr>
            </w:pPr>
            <w:r>
              <w:rPr>
                <w:rFonts w:hint="eastAsia" w:ascii="宋体" w:cs="宋体"/>
                <w:color w:val="000000"/>
                <w:kern w:val="0"/>
                <w:sz w:val="20"/>
                <w:szCs w:val="20"/>
              </w:rPr>
              <w:t>内控制度管理（2分）</w:t>
            </w:r>
          </w:p>
        </w:tc>
        <w:tc>
          <w:tcPr>
            <w:tcW w:w="3646" w:type="dxa"/>
            <w:tcBorders>
              <w:top w:val="nil"/>
              <w:left w:val="nil"/>
              <w:bottom w:val="single" w:color="auto" w:sz="4" w:space="0"/>
              <w:right w:val="single" w:color="auto" w:sz="4" w:space="0"/>
            </w:tcBorders>
            <w:noWrap/>
            <w:vAlign w:val="center"/>
          </w:tcPr>
          <w:p>
            <w:pPr>
              <w:widowControl/>
              <w:jc w:val="left"/>
              <w:rPr>
                <w:rFonts w:ascii="宋体" w:cs="宋体"/>
                <w:color w:val="000000"/>
                <w:kern w:val="0"/>
                <w:sz w:val="20"/>
                <w:szCs w:val="20"/>
              </w:rPr>
            </w:pPr>
            <w:r>
              <w:rPr>
                <w:rFonts w:hint="eastAsia" w:ascii="宋体" w:cs="宋体"/>
                <w:color w:val="000000"/>
                <w:kern w:val="0"/>
                <w:sz w:val="20"/>
                <w:szCs w:val="20"/>
              </w:rPr>
              <w:t>内部控制度健全完整（2分）</w:t>
            </w:r>
          </w:p>
        </w:tc>
        <w:tc>
          <w:tcPr>
            <w:tcW w:w="1777" w:type="dxa"/>
            <w:tcBorders>
              <w:top w:val="nil"/>
              <w:left w:val="nil"/>
              <w:bottom w:val="single" w:color="auto" w:sz="4" w:space="0"/>
              <w:right w:val="single" w:color="auto" w:sz="4" w:space="0"/>
            </w:tcBorders>
            <w:noWrap/>
          </w:tcPr>
          <w:p>
            <w:pPr>
              <w:widowControl/>
              <w:jc w:val="center"/>
              <w:rPr>
                <w:rFonts w:ascii="宋体" w:cs="宋体"/>
                <w:color w:val="000000"/>
                <w:kern w:val="0"/>
                <w:sz w:val="20"/>
                <w:szCs w:val="20"/>
              </w:rPr>
            </w:pPr>
            <w:r>
              <w:rPr>
                <w:rFonts w:hint="eastAsia" w:ascii="宋体" w:cs="宋体"/>
                <w:color w:val="000000"/>
                <w:kern w:val="0"/>
                <w:sz w:val="20"/>
                <w:szCs w:val="20"/>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1" w:hRule="atLeast"/>
        </w:trPr>
        <w:tc>
          <w:tcPr>
            <w:tcW w:w="1702" w:type="dxa"/>
            <w:vMerge w:val="continue"/>
            <w:tcBorders>
              <w:left w:val="single" w:color="auto" w:sz="4" w:space="0"/>
              <w:right w:val="single" w:color="auto" w:sz="4" w:space="0"/>
            </w:tcBorders>
            <w:noWrap/>
            <w:vAlign w:val="center"/>
          </w:tcPr>
          <w:p/>
        </w:tc>
        <w:tc>
          <w:tcPr>
            <w:tcW w:w="2268" w:type="dxa"/>
            <w:vMerge w:val="restart"/>
            <w:tcBorders>
              <w:top w:val="nil"/>
              <w:left w:val="single" w:color="auto" w:sz="4" w:space="0"/>
              <w:bottom w:val="single" w:color="auto" w:sz="4" w:space="0"/>
              <w:right w:val="single" w:color="auto" w:sz="4" w:space="0"/>
            </w:tcBorders>
            <w:noWrap/>
            <w:vAlign w:val="center"/>
          </w:tcPr>
          <w:p>
            <w:pPr>
              <w:widowControl/>
              <w:jc w:val="left"/>
              <w:rPr>
                <w:rFonts w:ascii="宋体" w:cs="宋体"/>
                <w:color w:val="000000"/>
                <w:kern w:val="0"/>
                <w:sz w:val="20"/>
                <w:szCs w:val="20"/>
              </w:rPr>
            </w:pPr>
            <w:r>
              <w:rPr>
                <w:rFonts w:hint="eastAsia" w:ascii="宋体" w:cs="宋体"/>
                <w:color w:val="000000"/>
                <w:kern w:val="0"/>
                <w:sz w:val="20"/>
                <w:szCs w:val="20"/>
              </w:rPr>
              <w:t>信息公开（6分）</w:t>
            </w:r>
          </w:p>
        </w:tc>
        <w:tc>
          <w:tcPr>
            <w:tcW w:w="3646" w:type="dxa"/>
            <w:tcBorders>
              <w:top w:val="nil"/>
              <w:left w:val="nil"/>
              <w:bottom w:val="single" w:color="auto" w:sz="4" w:space="0"/>
              <w:right w:val="single" w:color="auto" w:sz="4" w:space="0"/>
            </w:tcBorders>
            <w:noWrap/>
            <w:vAlign w:val="center"/>
          </w:tcPr>
          <w:p>
            <w:pPr>
              <w:widowControl/>
              <w:jc w:val="left"/>
              <w:rPr>
                <w:rFonts w:ascii="宋体" w:cs="宋体"/>
                <w:color w:val="000000"/>
                <w:kern w:val="0"/>
                <w:sz w:val="20"/>
                <w:szCs w:val="20"/>
              </w:rPr>
            </w:pPr>
            <w:r>
              <w:rPr>
                <w:rFonts w:hint="eastAsia" w:ascii="宋体" w:cs="宋体"/>
                <w:color w:val="000000"/>
                <w:kern w:val="0"/>
                <w:sz w:val="20"/>
                <w:szCs w:val="20"/>
              </w:rPr>
              <w:t>预算公开（2分）</w:t>
            </w:r>
          </w:p>
        </w:tc>
        <w:tc>
          <w:tcPr>
            <w:tcW w:w="1777" w:type="dxa"/>
            <w:tcBorders>
              <w:top w:val="nil"/>
              <w:left w:val="nil"/>
              <w:bottom w:val="single" w:color="auto" w:sz="4" w:space="0"/>
              <w:right w:val="single" w:color="auto" w:sz="4" w:space="0"/>
            </w:tcBorders>
            <w:noWrap/>
          </w:tcPr>
          <w:p>
            <w:pPr>
              <w:widowControl/>
              <w:jc w:val="center"/>
              <w:rPr>
                <w:rFonts w:ascii="宋体" w:cs="宋体"/>
                <w:color w:val="000000"/>
                <w:kern w:val="0"/>
                <w:sz w:val="20"/>
                <w:szCs w:val="20"/>
              </w:rPr>
            </w:pPr>
            <w:r>
              <w:rPr>
                <w:rFonts w:hint="eastAsia" w:ascii="宋体" w:cs="宋体"/>
                <w:color w:val="000000"/>
                <w:kern w:val="0"/>
                <w:sz w:val="20"/>
                <w:szCs w:val="20"/>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7" w:hRule="atLeast"/>
        </w:trPr>
        <w:tc>
          <w:tcPr>
            <w:tcW w:w="1702" w:type="dxa"/>
            <w:vMerge w:val="continue"/>
            <w:tcBorders>
              <w:left w:val="single" w:color="auto" w:sz="4" w:space="0"/>
              <w:right w:val="single" w:color="auto" w:sz="4" w:space="0"/>
            </w:tcBorders>
            <w:noWrap/>
            <w:vAlign w:val="center"/>
          </w:tcPr>
          <w:p/>
        </w:tc>
        <w:tc>
          <w:tcPr>
            <w:tcW w:w="2268" w:type="dxa"/>
            <w:vMerge w:val="continue"/>
            <w:tcBorders>
              <w:top w:val="nil"/>
              <w:left w:val="single" w:color="auto" w:sz="4" w:space="0"/>
              <w:bottom w:val="single" w:color="auto" w:sz="4" w:space="0"/>
              <w:right w:val="single" w:color="auto" w:sz="4" w:space="0"/>
            </w:tcBorders>
            <w:noWrap/>
            <w:vAlign w:val="center"/>
          </w:tcPr>
          <w:p/>
        </w:tc>
        <w:tc>
          <w:tcPr>
            <w:tcW w:w="3646" w:type="dxa"/>
            <w:tcBorders>
              <w:top w:val="nil"/>
              <w:left w:val="nil"/>
              <w:bottom w:val="single" w:color="auto" w:sz="4" w:space="0"/>
              <w:right w:val="single" w:color="auto" w:sz="4" w:space="0"/>
            </w:tcBorders>
            <w:noWrap/>
            <w:vAlign w:val="center"/>
          </w:tcPr>
          <w:p>
            <w:pPr>
              <w:widowControl/>
              <w:jc w:val="left"/>
              <w:rPr>
                <w:rFonts w:ascii="宋体" w:cs="宋体"/>
                <w:color w:val="000000"/>
                <w:kern w:val="0"/>
                <w:sz w:val="20"/>
                <w:szCs w:val="20"/>
              </w:rPr>
            </w:pPr>
            <w:r>
              <w:rPr>
                <w:rFonts w:hint="eastAsia" w:ascii="宋体" w:cs="宋体"/>
                <w:color w:val="000000"/>
                <w:kern w:val="0"/>
                <w:sz w:val="20"/>
                <w:szCs w:val="20"/>
              </w:rPr>
              <w:t>决算公开（2分）</w:t>
            </w:r>
          </w:p>
        </w:tc>
        <w:tc>
          <w:tcPr>
            <w:tcW w:w="1777" w:type="dxa"/>
            <w:tcBorders>
              <w:top w:val="nil"/>
              <w:left w:val="nil"/>
              <w:bottom w:val="single" w:color="auto" w:sz="4" w:space="0"/>
              <w:right w:val="single" w:color="auto" w:sz="4" w:space="0"/>
            </w:tcBorders>
            <w:noWrap/>
          </w:tcPr>
          <w:p>
            <w:pPr>
              <w:widowControl/>
              <w:jc w:val="center"/>
              <w:rPr>
                <w:rFonts w:ascii="宋体" w:cs="宋体"/>
                <w:color w:val="000000"/>
                <w:kern w:val="0"/>
                <w:sz w:val="20"/>
                <w:szCs w:val="20"/>
              </w:rPr>
            </w:pPr>
            <w:r>
              <w:rPr>
                <w:rFonts w:hint="eastAsia" w:ascii="宋体" w:cs="宋体"/>
                <w:color w:val="000000"/>
                <w:kern w:val="0"/>
                <w:sz w:val="20"/>
                <w:szCs w:val="20"/>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trPr>
        <w:tc>
          <w:tcPr>
            <w:tcW w:w="1702" w:type="dxa"/>
            <w:vMerge w:val="continue"/>
            <w:tcBorders>
              <w:left w:val="single" w:color="auto" w:sz="4" w:space="0"/>
              <w:right w:val="single" w:color="auto" w:sz="4" w:space="0"/>
            </w:tcBorders>
            <w:noWrap/>
            <w:vAlign w:val="center"/>
          </w:tcPr>
          <w:p/>
        </w:tc>
        <w:tc>
          <w:tcPr>
            <w:tcW w:w="2268" w:type="dxa"/>
            <w:vMerge w:val="continue"/>
            <w:tcBorders>
              <w:top w:val="nil"/>
              <w:left w:val="single" w:color="auto" w:sz="4" w:space="0"/>
              <w:bottom w:val="single" w:color="auto" w:sz="4" w:space="0"/>
              <w:right w:val="single" w:color="auto" w:sz="4" w:space="0"/>
            </w:tcBorders>
            <w:noWrap/>
            <w:vAlign w:val="center"/>
          </w:tcPr>
          <w:p/>
        </w:tc>
        <w:tc>
          <w:tcPr>
            <w:tcW w:w="3646" w:type="dxa"/>
            <w:tcBorders>
              <w:top w:val="nil"/>
              <w:left w:val="nil"/>
              <w:bottom w:val="single" w:color="auto" w:sz="4" w:space="0"/>
              <w:right w:val="single" w:color="auto" w:sz="4" w:space="0"/>
            </w:tcBorders>
            <w:noWrap/>
            <w:vAlign w:val="center"/>
          </w:tcPr>
          <w:p>
            <w:pPr>
              <w:widowControl/>
              <w:jc w:val="left"/>
              <w:rPr>
                <w:rFonts w:ascii="宋体" w:cs="宋体"/>
                <w:color w:val="000000"/>
                <w:kern w:val="0"/>
                <w:sz w:val="20"/>
                <w:szCs w:val="20"/>
              </w:rPr>
            </w:pPr>
            <w:r>
              <w:rPr>
                <w:rFonts w:hint="eastAsia" w:ascii="宋体" w:cs="宋体"/>
                <w:color w:val="000000"/>
                <w:kern w:val="0"/>
                <w:sz w:val="20"/>
                <w:szCs w:val="20"/>
              </w:rPr>
              <w:t>绩效信息公开（2分）</w:t>
            </w:r>
          </w:p>
        </w:tc>
        <w:tc>
          <w:tcPr>
            <w:tcW w:w="1777" w:type="dxa"/>
            <w:tcBorders>
              <w:top w:val="nil"/>
              <w:left w:val="nil"/>
              <w:bottom w:val="single" w:color="auto" w:sz="4" w:space="0"/>
              <w:right w:val="single" w:color="auto" w:sz="4" w:space="0"/>
            </w:tcBorders>
            <w:noWrap/>
          </w:tcPr>
          <w:p>
            <w:pPr>
              <w:widowControl/>
              <w:jc w:val="center"/>
              <w:rPr>
                <w:rFonts w:ascii="宋体" w:cs="宋体"/>
                <w:color w:val="000000"/>
                <w:kern w:val="0"/>
                <w:sz w:val="20"/>
                <w:szCs w:val="20"/>
              </w:rPr>
            </w:pPr>
            <w:r>
              <w:rPr>
                <w:rFonts w:hint="eastAsia" w:ascii="宋体" w:cs="宋体"/>
                <w:color w:val="000000"/>
                <w:kern w:val="0"/>
                <w:sz w:val="20"/>
                <w:szCs w:val="20"/>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702" w:type="dxa"/>
            <w:vMerge w:val="continue"/>
            <w:tcBorders>
              <w:left w:val="single" w:color="auto" w:sz="4" w:space="0"/>
              <w:right w:val="single" w:color="auto" w:sz="4" w:space="0"/>
            </w:tcBorders>
            <w:noWrap/>
            <w:vAlign w:val="center"/>
          </w:tcPr>
          <w:p/>
        </w:tc>
        <w:tc>
          <w:tcPr>
            <w:tcW w:w="2268" w:type="dxa"/>
            <w:vMerge w:val="restart"/>
            <w:tcBorders>
              <w:top w:val="nil"/>
              <w:left w:val="single" w:color="auto" w:sz="4" w:space="0"/>
              <w:bottom w:val="single" w:color="auto" w:sz="4" w:space="0"/>
              <w:right w:val="single" w:color="auto" w:sz="4" w:space="0"/>
            </w:tcBorders>
            <w:noWrap/>
            <w:vAlign w:val="center"/>
          </w:tcPr>
          <w:p>
            <w:pPr>
              <w:widowControl/>
              <w:jc w:val="left"/>
              <w:rPr>
                <w:rFonts w:ascii="宋体" w:cs="宋体"/>
                <w:color w:val="000000"/>
                <w:kern w:val="0"/>
                <w:sz w:val="20"/>
                <w:szCs w:val="20"/>
              </w:rPr>
            </w:pPr>
            <w:r>
              <w:rPr>
                <w:rFonts w:hint="eastAsia" w:ascii="宋体" w:cs="宋体"/>
                <w:color w:val="000000"/>
                <w:kern w:val="0"/>
                <w:sz w:val="20"/>
                <w:szCs w:val="20"/>
              </w:rPr>
              <w:t>绩效评价（5分）</w:t>
            </w:r>
          </w:p>
        </w:tc>
        <w:tc>
          <w:tcPr>
            <w:tcW w:w="3646" w:type="dxa"/>
            <w:tcBorders>
              <w:top w:val="nil"/>
              <w:left w:val="nil"/>
              <w:bottom w:val="single" w:color="auto" w:sz="4" w:space="0"/>
              <w:right w:val="single" w:color="auto" w:sz="4" w:space="0"/>
            </w:tcBorders>
            <w:noWrap/>
            <w:vAlign w:val="center"/>
          </w:tcPr>
          <w:p>
            <w:pPr>
              <w:widowControl/>
              <w:jc w:val="left"/>
              <w:rPr>
                <w:rFonts w:ascii="宋体" w:cs="宋体"/>
                <w:color w:val="000000"/>
                <w:kern w:val="0"/>
                <w:sz w:val="20"/>
                <w:szCs w:val="20"/>
              </w:rPr>
            </w:pPr>
            <w:r>
              <w:rPr>
                <w:rFonts w:hint="eastAsia" w:ascii="宋体" w:cs="宋体"/>
                <w:color w:val="000000"/>
                <w:kern w:val="0"/>
                <w:sz w:val="20"/>
                <w:szCs w:val="20"/>
              </w:rPr>
              <w:t>绩效评价开展（2分）</w:t>
            </w:r>
          </w:p>
        </w:tc>
        <w:tc>
          <w:tcPr>
            <w:tcW w:w="1777" w:type="dxa"/>
            <w:tcBorders>
              <w:top w:val="nil"/>
              <w:left w:val="nil"/>
              <w:bottom w:val="single" w:color="auto" w:sz="4" w:space="0"/>
              <w:right w:val="single" w:color="auto" w:sz="4" w:space="0"/>
            </w:tcBorders>
            <w:noWrap/>
          </w:tcPr>
          <w:p>
            <w:pPr>
              <w:widowControl/>
              <w:jc w:val="center"/>
              <w:rPr>
                <w:rFonts w:ascii="宋体" w:cs="宋体"/>
                <w:color w:val="000000"/>
                <w:kern w:val="0"/>
                <w:sz w:val="20"/>
                <w:szCs w:val="20"/>
              </w:rPr>
            </w:pPr>
            <w:r>
              <w:rPr>
                <w:rFonts w:hint="eastAsia" w:ascii="宋体" w:cs="宋体"/>
                <w:color w:val="000000"/>
                <w:kern w:val="0"/>
                <w:sz w:val="20"/>
                <w:szCs w:val="20"/>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 w:hRule="atLeast"/>
        </w:trPr>
        <w:tc>
          <w:tcPr>
            <w:tcW w:w="1702" w:type="dxa"/>
            <w:vMerge w:val="continue"/>
            <w:tcBorders>
              <w:left w:val="single" w:color="auto" w:sz="4" w:space="0"/>
              <w:bottom w:val="single" w:color="auto" w:sz="4" w:space="0"/>
              <w:right w:val="single" w:color="auto" w:sz="4" w:space="0"/>
            </w:tcBorders>
            <w:noWrap/>
            <w:vAlign w:val="center"/>
          </w:tcPr>
          <w:p/>
        </w:tc>
        <w:tc>
          <w:tcPr>
            <w:tcW w:w="2268" w:type="dxa"/>
            <w:vMerge w:val="continue"/>
            <w:tcBorders>
              <w:top w:val="nil"/>
              <w:left w:val="single" w:color="auto" w:sz="4" w:space="0"/>
              <w:bottom w:val="single" w:color="auto" w:sz="4" w:space="0"/>
              <w:right w:val="single" w:color="auto" w:sz="4" w:space="0"/>
            </w:tcBorders>
            <w:noWrap/>
            <w:vAlign w:val="center"/>
          </w:tcPr>
          <w:p/>
        </w:tc>
        <w:tc>
          <w:tcPr>
            <w:tcW w:w="3646" w:type="dxa"/>
            <w:tcBorders>
              <w:top w:val="nil"/>
              <w:left w:val="nil"/>
              <w:bottom w:val="single" w:color="auto" w:sz="4" w:space="0"/>
              <w:right w:val="single" w:color="auto" w:sz="4" w:space="0"/>
            </w:tcBorders>
            <w:noWrap/>
            <w:vAlign w:val="center"/>
          </w:tcPr>
          <w:p>
            <w:pPr>
              <w:widowControl/>
              <w:jc w:val="left"/>
              <w:rPr>
                <w:rFonts w:ascii="宋体" w:cs="宋体"/>
                <w:color w:val="000000"/>
                <w:kern w:val="0"/>
                <w:sz w:val="20"/>
                <w:szCs w:val="20"/>
              </w:rPr>
            </w:pPr>
            <w:r>
              <w:rPr>
                <w:rFonts w:hint="eastAsia" w:ascii="宋体" w:cs="宋体"/>
                <w:color w:val="000000"/>
                <w:kern w:val="0"/>
                <w:sz w:val="20"/>
                <w:szCs w:val="20"/>
              </w:rPr>
              <w:t>评价结果应用（3分）</w:t>
            </w:r>
          </w:p>
        </w:tc>
        <w:tc>
          <w:tcPr>
            <w:tcW w:w="1777" w:type="dxa"/>
            <w:tcBorders>
              <w:top w:val="nil"/>
              <w:left w:val="nil"/>
              <w:bottom w:val="single" w:color="auto" w:sz="4" w:space="0"/>
              <w:right w:val="single" w:color="auto" w:sz="4" w:space="0"/>
            </w:tcBorders>
            <w:noWrap/>
          </w:tcPr>
          <w:p>
            <w:pPr>
              <w:widowControl/>
              <w:jc w:val="center"/>
              <w:rPr>
                <w:rFonts w:ascii="宋体" w:cs="宋体"/>
                <w:color w:val="000000"/>
                <w:kern w:val="0"/>
                <w:sz w:val="20"/>
                <w:szCs w:val="20"/>
              </w:rPr>
            </w:pPr>
            <w:r>
              <w:rPr>
                <w:rFonts w:hint="eastAsia" w:ascii="宋体" w:cs="宋体"/>
                <w:color w:val="000000"/>
                <w:kern w:val="0"/>
                <w:sz w:val="20"/>
                <w:szCs w:val="20"/>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1" w:hRule="atLeast"/>
        </w:trPr>
        <w:tc>
          <w:tcPr>
            <w:tcW w:w="1702" w:type="dxa"/>
            <w:vMerge w:val="restart"/>
            <w:tcBorders>
              <w:top w:val="nil"/>
              <w:left w:val="single" w:color="auto" w:sz="4" w:space="0"/>
              <w:right w:val="single" w:color="auto" w:sz="4" w:space="0"/>
            </w:tcBorders>
            <w:noWrap/>
            <w:vAlign w:val="center"/>
          </w:tcPr>
          <w:p>
            <w:pPr>
              <w:widowControl/>
              <w:jc w:val="center"/>
              <w:rPr>
                <w:rFonts w:ascii="宋体" w:cs="宋体"/>
                <w:color w:val="000000"/>
                <w:kern w:val="0"/>
                <w:sz w:val="20"/>
                <w:szCs w:val="20"/>
              </w:rPr>
            </w:pPr>
            <w:r>
              <w:rPr>
                <w:rFonts w:hint="eastAsia" w:ascii="宋体" w:cs="宋体"/>
                <w:color w:val="000000"/>
                <w:kern w:val="0"/>
                <w:sz w:val="20"/>
                <w:szCs w:val="20"/>
              </w:rPr>
              <w:t>部门绩效情况（45分）</w:t>
            </w:r>
          </w:p>
        </w:tc>
        <w:tc>
          <w:tcPr>
            <w:tcW w:w="2268" w:type="dxa"/>
            <w:vMerge w:val="restart"/>
            <w:tcBorders>
              <w:top w:val="nil"/>
              <w:left w:val="single" w:color="auto" w:sz="4" w:space="0"/>
              <w:bottom w:val="single" w:color="auto" w:sz="4" w:space="0"/>
              <w:right w:val="single" w:color="auto" w:sz="4" w:space="0"/>
            </w:tcBorders>
            <w:noWrap/>
            <w:vAlign w:val="center"/>
          </w:tcPr>
          <w:p>
            <w:pPr>
              <w:widowControl/>
              <w:jc w:val="left"/>
              <w:rPr>
                <w:rFonts w:ascii="宋体" w:cs="宋体"/>
                <w:color w:val="000000"/>
                <w:kern w:val="0"/>
                <w:sz w:val="20"/>
                <w:szCs w:val="20"/>
              </w:rPr>
            </w:pPr>
            <w:r>
              <w:rPr>
                <w:rFonts w:hint="eastAsia" w:ascii="宋体" w:cs="宋体"/>
                <w:color w:val="000000"/>
                <w:kern w:val="0"/>
                <w:sz w:val="20"/>
                <w:szCs w:val="20"/>
              </w:rPr>
              <w:t>履职成效（20分）</w:t>
            </w:r>
          </w:p>
        </w:tc>
        <w:tc>
          <w:tcPr>
            <w:tcW w:w="3646" w:type="dxa"/>
            <w:tcBorders>
              <w:top w:val="nil"/>
              <w:left w:val="nil"/>
              <w:bottom w:val="single" w:color="auto" w:sz="4" w:space="0"/>
              <w:right w:val="single" w:color="auto" w:sz="4" w:space="0"/>
            </w:tcBorders>
            <w:noWrap/>
            <w:vAlign w:val="center"/>
          </w:tcPr>
          <w:p>
            <w:pPr>
              <w:widowControl/>
              <w:jc w:val="center"/>
              <w:rPr>
                <w:rFonts w:ascii="宋体" w:cs="宋体"/>
                <w:color w:val="000000"/>
                <w:kern w:val="0"/>
                <w:sz w:val="20"/>
                <w:szCs w:val="20"/>
              </w:rPr>
            </w:pPr>
            <w:r>
              <w:rPr>
                <w:rFonts w:hint="eastAsia" w:ascii="宋体" w:cs="宋体"/>
                <w:color w:val="000000"/>
                <w:kern w:val="0"/>
                <w:sz w:val="20"/>
                <w:szCs w:val="20"/>
              </w:rPr>
              <w:t>部门特性指标</w:t>
            </w:r>
          </w:p>
        </w:tc>
        <w:tc>
          <w:tcPr>
            <w:tcW w:w="1777" w:type="dxa"/>
            <w:tcBorders>
              <w:top w:val="nil"/>
              <w:left w:val="nil"/>
              <w:bottom w:val="single" w:color="auto" w:sz="4" w:space="0"/>
              <w:right w:val="single" w:color="auto" w:sz="4" w:space="0"/>
            </w:tcBorders>
            <w:noWrap/>
          </w:tcPr>
          <w:p>
            <w:pPr>
              <w:widowControl/>
              <w:jc w:val="center"/>
              <w:rPr>
                <w:rFonts w:ascii="宋体" w:cs="宋体"/>
                <w:color w:val="000000"/>
                <w:kern w:val="0"/>
                <w:sz w:val="20"/>
                <w:szCs w:val="20"/>
              </w:rPr>
            </w:pPr>
            <w:r>
              <w:rPr>
                <w:rFonts w:hint="eastAsia" w:ascii="宋体" w:cs="宋体"/>
                <w:color w:val="000000"/>
                <w:kern w:val="0"/>
                <w:sz w:val="20"/>
                <w:szCs w:val="20"/>
              </w:rPr>
              <w:t>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 w:hRule="atLeast"/>
        </w:trPr>
        <w:tc>
          <w:tcPr>
            <w:tcW w:w="1702" w:type="dxa"/>
            <w:vMerge w:val="continue"/>
            <w:tcBorders>
              <w:left w:val="single" w:color="auto" w:sz="4" w:space="0"/>
              <w:right w:val="single" w:color="auto" w:sz="4" w:space="0"/>
            </w:tcBorders>
            <w:noWrap/>
            <w:vAlign w:val="center"/>
          </w:tcPr>
          <w:p/>
        </w:tc>
        <w:tc>
          <w:tcPr>
            <w:tcW w:w="2268" w:type="dxa"/>
            <w:vMerge w:val="continue"/>
            <w:tcBorders>
              <w:top w:val="nil"/>
              <w:left w:val="single" w:color="auto" w:sz="4" w:space="0"/>
              <w:bottom w:val="single" w:color="auto" w:sz="4" w:space="0"/>
              <w:right w:val="single" w:color="auto" w:sz="4" w:space="0"/>
            </w:tcBorders>
            <w:noWrap/>
            <w:vAlign w:val="center"/>
          </w:tcPr>
          <w:p/>
        </w:tc>
        <w:tc>
          <w:tcPr>
            <w:tcW w:w="3646" w:type="dxa"/>
            <w:tcBorders>
              <w:top w:val="nil"/>
              <w:left w:val="nil"/>
              <w:bottom w:val="single" w:color="auto" w:sz="4" w:space="0"/>
              <w:right w:val="single" w:color="auto" w:sz="4" w:space="0"/>
            </w:tcBorders>
            <w:noWrap/>
            <w:vAlign w:val="center"/>
          </w:tcPr>
          <w:p>
            <w:pPr>
              <w:widowControl/>
              <w:jc w:val="center"/>
              <w:rPr>
                <w:rFonts w:ascii="宋体" w:cs="宋体"/>
                <w:color w:val="000000"/>
                <w:kern w:val="0"/>
                <w:sz w:val="20"/>
                <w:szCs w:val="20"/>
              </w:rPr>
            </w:pPr>
          </w:p>
        </w:tc>
        <w:tc>
          <w:tcPr>
            <w:tcW w:w="1777" w:type="dxa"/>
            <w:tcBorders>
              <w:top w:val="nil"/>
              <w:left w:val="nil"/>
              <w:bottom w:val="single" w:color="auto" w:sz="4" w:space="0"/>
              <w:right w:val="single" w:color="auto" w:sz="4" w:space="0"/>
            </w:tcBorders>
            <w:noWrap/>
          </w:tcPr>
          <w:p>
            <w:pPr>
              <w:widowControl/>
              <w:jc w:val="center"/>
              <w:rPr>
                <w:rFonts w:ascii="宋体" w:cs="宋体"/>
                <w:color w:val="000000"/>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1702" w:type="dxa"/>
            <w:vMerge w:val="continue"/>
            <w:tcBorders>
              <w:left w:val="single" w:color="auto" w:sz="4" w:space="0"/>
              <w:right w:val="single" w:color="auto" w:sz="4" w:space="0"/>
            </w:tcBorders>
            <w:noWrap/>
            <w:vAlign w:val="center"/>
          </w:tcPr>
          <w:p/>
        </w:tc>
        <w:tc>
          <w:tcPr>
            <w:tcW w:w="2268" w:type="dxa"/>
            <w:vMerge w:val="continue"/>
            <w:tcBorders>
              <w:top w:val="nil"/>
              <w:left w:val="single" w:color="auto" w:sz="4" w:space="0"/>
              <w:bottom w:val="single" w:color="auto" w:sz="4" w:space="0"/>
              <w:right w:val="single" w:color="auto" w:sz="4" w:space="0"/>
            </w:tcBorders>
            <w:noWrap/>
            <w:vAlign w:val="center"/>
          </w:tcPr>
          <w:p/>
        </w:tc>
        <w:tc>
          <w:tcPr>
            <w:tcW w:w="3646" w:type="dxa"/>
            <w:tcBorders>
              <w:top w:val="nil"/>
              <w:left w:val="nil"/>
              <w:bottom w:val="single" w:color="auto" w:sz="4" w:space="0"/>
              <w:right w:val="single" w:color="auto" w:sz="4" w:space="0"/>
            </w:tcBorders>
            <w:noWrap/>
            <w:vAlign w:val="center"/>
          </w:tcPr>
          <w:p>
            <w:pPr>
              <w:widowControl/>
              <w:jc w:val="center"/>
              <w:rPr>
                <w:rFonts w:ascii="宋体" w:cs="宋体"/>
                <w:color w:val="000000"/>
                <w:kern w:val="0"/>
                <w:sz w:val="20"/>
                <w:szCs w:val="20"/>
              </w:rPr>
            </w:pPr>
          </w:p>
        </w:tc>
        <w:tc>
          <w:tcPr>
            <w:tcW w:w="1777" w:type="dxa"/>
            <w:tcBorders>
              <w:top w:val="nil"/>
              <w:left w:val="nil"/>
              <w:bottom w:val="single" w:color="auto" w:sz="4" w:space="0"/>
              <w:right w:val="single" w:color="auto" w:sz="4" w:space="0"/>
            </w:tcBorders>
            <w:noWrap/>
          </w:tcPr>
          <w:p>
            <w:pPr>
              <w:widowControl/>
              <w:jc w:val="center"/>
              <w:rPr>
                <w:rFonts w:ascii="宋体" w:cs="宋体"/>
                <w:color w:val="000000"/>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1702" w:type="dxa"/>
            <w:vMerge w:val="continue"/>
            <w:tcBorders>
              <w:left w:val="single" w:color="auto" w:sz="4" w:space="0"/>
              <w:right w:val="single" w:color="auto" w:sz="4" w:space="0"/>
            </w:tcBorders>
            <w:noWrap/>
            <w:vAlign w:val="center"/>
          </w:tcPr>
          <w:p/>
        </w:tc>
        <w:tc>
          <w:tcPr>
            <w:tcW w:w="2268" w:type="dxa"/>
            <w:vMerge w:val="continue"/>
            <w:tcBorders>
              <w:top w:val="nil"/>
              <w:left w:val="single" w:color="auto" w:sz="4" w:space="0"/>
              <w:bottom w:val="single" w:color="auto" w:sz="4" w:space="0"/>
              <w:right w:val="single" w:color="auto" w:sz="4" w:space="0"/>
            </w:tcBorders>
            <w:noWrap/>
            <w:vAlign w:val="center"/>
          </w:tcPr>
          <w:p/>
        </w:tc>
        <w:tc>
          <w:tcPr>
            <w:tcW w:w="3646" w:type="dxa"/>
            <w:tcBorders>
              <w:top w:val="nil"/>
              <w:left w:val="nil"/>
              <w:bottom w:val="single" w:color="auto" w:sz="4" w:space="0"/>
              <w:right w:val="single" w:color="auto" w:sz="4" w:space="0"/>
            </w:tcBorders>
            <w:noWrap/>
            <w:vAlign w:val="center"/>
          </w:tcPr>
          <w:p>
            <w:pPr>
              <w:widowControl/>
              <w:jc w:val="center"/>
              <w:rPr>
                <w:rFonts w:ascii="宋体" w:cs="宋体"/>
                <w:color w:val="000000"/>
                <w:kern w:val="0"/>
                <w:sz w:val="20"/>
                <w:szCs w:val="20"/>
              </w:rPr>
            </w:pPr>
          </w:p>
        </w:tc>
        <w:tc>
          <w:tcPr>
            <w:tcW w:w="1777" w:type="dxa"/>
            <w:tcBorders>
              <w:top w:val="nil"/>
              <w:left w:val="nil"/>
              <w:bottom w:val="single" w:color="auto" w:sz="4" w:space="0"/>
              <w:right w:val="single" w:color="auto" w:sz="4" w:space="0"/>
            </w:tcBorders>
            <w:noWrap/>
          </w:tcPr>
          <w:p>
            <w:pPr>
              <w:widowControl/>
              <w:jc w:val="center"/>
              <w:rPr>
                <w:rFonts w:ascii="宋体" w:cs="宋体"/>
                <w:color w:val="000000"/>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7" w:hRule="atLeast"/>
        </w:trPr>
        <w:tc>
          <w:tcPr>
            <w:tcW w:w="1702" w:type="dxa"/>
            <w:vMerge w:val="continue"/>
            <w:tcBorders>
              <w:left w:val="single" w:color="auto" w:sz="4" w:space="0"/>
              <w:right w:val="single" w:color="auto" w:sz="4" w:space="0"/>
            </w:tcBorders>
            <w:noWrap/>
            <w:vAlign w:val="center"/>
          </w:tcPr>
          <w:p/>
        </w:tc>
        <w:tc>
          <w:tcPr>
            <w:tcW w:w="2268" w:type="dxa"/>
            <w:vMerge w:val="restart"/>
            <w:tcBorders>
              <w:top w:val="nil"/>
              <w:left w:val="single" w:color="auto" w:sz="4" w:space="0"/>
              <w:bottom w:val="single" w:color="auto" w:sz="4" w:space="0"/>
              <w:right w:val="single" w:color="auto" w:sz="4" w:space="0"/>
            </w:tcBorders>
            <w:noWrap/>
            <w:vAlign w:val="center"/>
          </w:tcPr>
          <w:p>
            <w:pPr>
              <w:widowControl/>
              <w:jc w:val="left"/>
              <w:rPr>
                <w:rFonts w:ascii="宋体" w:cs="宋体"/>
                <w:color w:val="000000"/>
                <w:kern w:val="0"/>
                <w:sz w:val="20"/>
                <w:szCs w:val="20"/>
              </w:rPr>
            </w:pPr>
            <w:r>
              <w:rPr>
                <w:rFonts w:hint="eastAsia" w:ascii="宋体" w:cs="宋体"/>
                <w:color w:val="000000"/>
                <w:kern w:val="0"/>
                <w:sz w:val="20"/>
                <w:szCs w:val="20"/>
              </w:rPr>
              <w:t>可持续发展能力（15分）</w:t>
            </w:r>
          </w:p>
        </w:tc>
        <w:tc>
          <w:tcPr>
            <w:tcW w:w="3646" w:type="dxa"/>
            <w:tcBorders>
              <w:top w:val="nil"/>
              <w:left w:val="nil"/>
              <w:bottom w:val="single" w:color="auto" w:sz="4" w:space="0"/>
              <w:right w:val="single" w:color="auto" w:sz="4" w:space="0"/>
            </w:tcBorders>
            <w:noWrap/>
            <w:vAlign w:val="center"/>
          </w:tcPr>
          <w:p>
            <w:pPr>
              <w:widowControl/>
              <w:jc w:val="center"/>
              <w:rPr>
                <w:rFonts w:ascii="宋体" w:cs="宋体"/>
                <w:color w:val="000000"/>
                <w:kern w:val="0"/>
                <w:sz w:val="20"/>
                <w:szCs w:val="20"/>
              </w:rPr>
            </w:pPr>
            <w:r>
              <w:rPr>
                <w:rFonts w:hint="eastAsia" w:ascii="宋体" w:cs="宋体"/>
                <w:color w:val="000000"/>
                <w:kern w:val="0"/>
                <w:sz w:val="20"/>
                <w:szCs w:val="20"/>
              </w:rPr>
              <w:t>重点改革（重点工作）完成情况（5分）</w:t>
            </w:r>
          </w:p>
        </w:tc>
        <w:tc>
          <w:tcPr>
            <w:tcW w:w="1777" w:type="dxa"/>
            <w:tcBorders>
              <w:top w:val="nil"/>
              <w:left w:val="nil"/>
              <w:bottom w:val="single" w:color="auto" w:sz="4" w:space="0"/>
              <w:right w:val="single" w:color="auto" w:sz="4" w:space="0"/>
            </w:tcBorders>
            <w:noWrap/>
          </w:tcPr>
          <w:p>
            <w:pPr>
              <w:widowControl/>
              <w:jc w:val="center"/>
              <w:rPr>
                <w:rFonts w:ascii="宋体" w:cs="宋体"/>
                <w:color w:val="000000"/>
                <w:kern w:val="0"/>
                <w:sz w:val="20"/>
                <w:szCs w:val="20"/>
              </w:rPr>
            </w:pPr>
            <w:r>
              <w:rPr>
                <w:rFonts w:hint="eastAsia" w:ascii="宋体" w:cs="宋体"/>
                <w:color w:val="000000"/>
                <w:kern w:val="0"/>
                <w:sz w:val="20"/>
                <w:szCs w:val="20"/>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702" w:type="dxa"/>
            <w:vMerge w:val="continue"/>
            <w:tcBorders>
              <w:left w:val="single" w:color="auto" w:sz="4" w:space="0"/>
              <w:right w:val="single" w:color="auto" w:sz="4" w:space="0"/>
            </w:tcBorders>
            <w:noWrap/>
            <w:vAlign w:val="center"/>
          </w:tcPr>
          <w:p/>
        </w:tc>
        <w:tc>
          <w:tcPr>
            <w:tcW w:w="2268" w:type="dxa"/>
            <w:vMerge w:val="continue"/>
            <w:tcBorders>
              <w:top w:val="nil"/>
              <w:left w:val="single" w:color="auto" w:sz="4" w:space="0"/>
              <w:bottom w:val="single" w:color="auto" w:sz="4" w:space="0"/>
              <w:right w:val="single" w:color="auto" w:sz="4" w:space="0"/>
            </w:tcBorders>
            <w:noWrap/>
            <w:vAlign w:val="center"/>
          </w:tcPr>
          <w:p/>
        </w:tc>
        <w:tc>
          <w:tcPr>
            <w:tcW w:w="3646" w:type="dxa"/>
            <w:tcBorders>
              <w:top w:val="nil"/>
              <w:left w:val="nil"/>
              <w:bottom w:val="single" w:color="auto" w:sz="4" w:space="0"/>
              <w:right w:val="single" w:color="auto" w:sz="4" w:space="0"/>
            </w:tcBorders>
            <w:noWrap/>
            <w:vAlign w:val="center"/>
          </w:tcPr>
          <w:p>
            <w:pPr>
              <w:widowControl/>
              <w:jc w:val="center"/>
              <w:rPr>
                <w:rFonts w:ascii="宋体" w:cs="宋体"/>
                <w:color w:val="000000"/>
                <w:kern w:val="0"/>
                <w:sz w:val="20"/>
                <w:szCs w:val="20"/>
              </w:rPr>
            </w:pPr>
            <w:r>
              <w:rPr>
                <w:rFonts w:hint="eastAsia" w:ascii="宋体" w:cs="宋体"/>
                <w:color w:val="000000"/>
                <w:kern w:val="0"/>
                <w:sz w:val="20"/>
                <w:szCs w:val="20"/>
              </w:rPr>
              <w:t>科技（制度、方法、机制等）创新（5分）</w:t>
            </w:r>
          </w:p>
        </w:tc>
        <w:tc>
          <w:tcPr>
            <w:tcW w:w="1777" w:type="dxa"/>
            <w:tcBorders>
              <w:top w:val="nil"/>
              <w:left w:val="nil"/>
              <w:bottom w:val="single" w:color="auto" w:sz="4" w:space="0"/>
              <w:right w:val="single" w:color="auto" w:sz="4" w:space="0"/>
            </w:tcBorders>
            <w:noWrap/>
          </w:tcPr>
          <w:p>
            <w:pPr>
              <w:widowControl/>
              <w:jc w:val="center"/>
              <w:rPr>
                <w:rFonts w:ascii="宋体" w:cs="宋体"/>
                <w:color w:val="000000"/>
                <w:kern w:val="0"/>
                <w:sz w:val="20"/>
                <w:szCs w:val="20"/>
              </w:rPr>
            </w:pPr>
            <w:r>
              <w:rPr>
                <w:rFonts w:hint="eastAsia" w:ascii="宋体" w:cs="宋体"/>
                <w:color w:val="000000"/>
                <w:kern w:val="0"/>
                <w:sz w:val="20"/>
                <w:szCs w:val="20"/>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5" w:hRule="atLeast"/>
        </w:trPr>
        <w:tc>
          <w:tcPr>
            <w:tcW w:w="1702" w:type="dxa"/>
            <w:vMerge w:val="continue"/>
            <w:tcBorders>
              <w:left w:val="single" w:color="auto" w:sz="4" w:space="0"/>
              <w:right w:val="single" w:color="auto" w:sz="4" w:space="0"/>
            </w:tcBorders>
            <w:noWrap/>
            <w:vAlign w:val="center"/>
          </w:tcPr>
          <w:p/>
        </w:tc>
        <w:tc>
          <w:tcPr>
            <w:tcW w:w="2268" w:type="dxa"/>
            <w:vMerge w:val="continue"/>
            <w:tcBorders>
              <w:top w:val="nil"/>
              <w:left w:val="single" w:color="auto" w:sz="4" w:space="0"/>
              <w:bottom w:val="single" w:color="auto" w:sz="4" w:space="0"/>
              <w:right w:val="single" w:color="auto" w:sz="4" w:space="0"/>
            </w:tcBorders>
            <w:noWrap/>
            <w:vAlign w:val="center"/>
          </w:tcPr>
          <w:p/>
        </w:tc>
        <w:tc>
          <w:tcPr>
            <w:tcW w:w="3646" w:type="dxa"/>
            <w:tcBorders>
              <w:top w:val="nil"/>
              <w:left w:val="nil"/>
              <w:bottom w:val="single" w:color="auto" w:sz="4" w:space="0"/>
              <w:right w:val="single" w:color="auto" w:sz="4" w:space="0"/>
            </w:tcBorders>
            <w:noWrap/>
            <w:vAlign w:val="center"/>
          </w:tcPr>
          <w:p>
            <w:pPr>
              <w:widowControl/>
              <w:jc w:val="center"/>
              <w:rPr>
                <w:rFonts w:ascii="宋体" w:cs="宋体"/>
                <w:color w:val="000000"/>
                <w:kern w:val="0"/>
                <w:sz w:val="20"/>
                <w:szCs w:val="20"/>
              </w:rPr>
            </w:pPr>
            <w:r>
              <w:rPr>
                <w:rFonts w:hint="eastAsia" w:ascii="宋体" w:cs="宋体"/>
                <w:color w:val="000000"/>
                <w:kern w:val="0"/>
                <w:sz w:val="20"/>
                <w:szCs w:val="20"/>
              </w:rPr>
              <w:t>人才培养（5分）</w:t>
            </w:r>
          </w:p>
        </w:tc>
        <w:tc>
          <w:tcPr>
            <w:tcW w:w="1777" w:type="dxa"/>
            <w:tcBorders>
              <w:top w:val="nil"/>
              <w:left w:val="nil"/>
              <w:bottom w:val="single" w:color="auto" w:sz="4" w:space="0"/>
              <w:right w:val="single" w:color="auto" w:sz="4" w:space="0"/>
            </w:tcBorders>
            <w:noWrap/>
          </w:tcPr>
          <w:p>
            <w:pPr>
              <w:widowControl/>
              <w:jc w:val="center"/>
              <w:rPr>
                <w:rFonts w:ascii="宋体" w:cs="宋体"/>
                <w:color w:val="000000"/>
                <w:kern w:val="0"/>
                <w:sz w:val="20"/>
                <w:szCs w:val="20"/>
              </w:rPr>
            </w:pPr>
            <w:r>
              <w:rPr>
                <w:rFonts w:hint="eastAsia" w:ascii="宋体" w:cs="宋体"/>
                <w:color w:val="000000"/>
                <w:kern w:val="0"/>
                <w:sz w:val="20"/>
                <w:szCs w:val="20"/>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1702" w:type="dxa"/>
            <w:vMerge w:val="continue"/>
            <w:tcBorders>
              <w:left w:val="single" w:color="auto" w:sz="4" w:space="0"/>
              <w:right w:val="single" w:color="auto" w:sz="4" w:space="0"/>
            </w:tcBorders>
            <w:noWrap/>
            <w:vAlign w:val="center"/>
          </w:tcPr>
          <w:p/>
        </w:tc>
        <w:tc>
          <w:tcPr>
            <w:tcW w:w="2268" w:type="dxa"/>
            <w:vMerge w:val="restart"/>
            <w:tcBorders>
              <w:top w:val="nil"/>
              <w:left w:val="single" w:color="auto" w:sz="4" w:space="0"/>
              <w:right w:val="single" w:color="auto" w:sz="4" w:space="0"/>
            </w:tcBorders>
            <w:noWrap/>
            <w:vAlign w:val="center"/>
          </w:tcPr>
          <w:p>
            <w:pPr>
              <w:widowControl/>
              <w:jc w:val="center"/>
              <w:rPr>
                <w:rFonts w:ascii="宋体" w:cs="宋体"/>
                <w:color w:val="000000"/>
                <w:kern w:val="0"/>
                <w:sz w:val="20"/>
                <w:szCs w:val="20"/>
              </w:rPr>
            </w:pPr>
            <w:r>
              <w:rPr>
                <w:rFonts w:hint="eastAsia" w:ascii="宋体" w:cs="宋体"/>
                <w:color w:val="000000"/>
                <w:kern w:val="0"/>
                <w:sz w:val="20"/>
                <w:szCs w:val="20"/>
              </w:rPr>
              <w:t>满意度（10分）</w:t>
            </w:r>
          </w:p>
        </w:tc>
        <w:tc>
          <w:tcPr>
            <w:tcW w:w="3646" w:type="dxa"/>
            <w:tcBorders>
              <w:top w:val="nil"/>
              <w:left w:val="nil"/>
              <w:bottom w:val="single" w:color="auto" w:sz="4" w:space="0"/>
              <w:right w:val="single" w:color="auto" w:sz="4" w:space="0"/>
            </w:tcBorders>
            <w:noWrap/>
            <w:vAlign w:val="center"/>
          </w:tcPr>
          <w:p>
            <w:pPr>
              <w:widowControl/>
              <w:jc w:val="center"/>
              <w:rPr>
                <w:rFonts w:ascii="宋体" w:cs="宋体"/>
                <w:color w:val="000000"/>
                <w:kern w:val="0"/>
                <w:sz w:val="20"/>
                <w:szCs w:val="20"/>
              </w:rPr>
            </w:pPr>
            <w:r>
              <w:rPr>
                <w:rFonts w:hint="eastAsia" w:ascii="宋体" w:cs="宋体"/>
                <w:color w:val="000000"/>
                <w:kern w:val="0"/>
                <w:sz w:val="20"/>
                <w:szCs w:val="20"/>
              </w:rPr>
              <w:t>协作部门满意度（3分）</w:t>
            </w:r>
          </w:p>
        </w:tc>
        <w:tc>
          <w:tcPr>
            <w:tcW w:w="1777" w:type="dxa"/>
            <w:tcBorders>
              <w:top w:val="nil"/>
              <w:left w:val="nil"/>
              <w:bottom w:val="single" w:color="auto" w:sz="4" w:space="0"/>
              <w:right w:val="single" w:color="auto" w:sz="4" w:space="0"/>
            </w:tcBorders>
            <w:noWrap/>
          </w:tcPr>
          <w:p>
            <w:pPr>
              <w:widowControl/>
              <w:jc w:val="center"/>
              <w:rPr>
                <w:rFonts w:ascii="宋体" w:cs="宋体"/>
                <w:color w:val="000000"/>
                <w:kern w:val="0"/>
                <w:sz w:val="20"/>
                <w:szCs w:val="20"/>
              </w:rPr>
            </w:pPr>
            <w:r>
              <w:rPr>
                <w:rFonts w:hint="eastAsia" w:ascii="宋体" w:cs="宋体"/>
                <w:color w:val="000000"/>
                <w:kern w:val="0"/>
                <w:sz w:val="20"/>
                <w:szCs w:val="20"/>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6" w:hRule="atLeast"/>
        </w:trPr>
        <w:tc>
          <w:tcPr>
            <w:tcW w:w="1702" w:type="dxa"/>
            <w:vMerge w:val="continue"/>
            <w:tcBorders>
              <w:left w:val="single" w:color="auto" w:sz="4" w:space="0"/>
              <w:right w:val="single" w:color="auto" w:sz="4" w:space="0"/>
            </w:tcBorders>
            <w:noWrap/>
            <w:vAlign w:val="center"/>
          </w:tcPr>
          <w:p/>
        </w:tc>
        <w:tc>
          <w:tcPr>
            <w:tcW w:w="2268" w:type="dxa"/>
            <w:vMerge w:val="continue"/>
            <w:tcBorders>
              <w:left w:val="single" w:color="auto" w:sz="4" w:space="0"/>
              <w:right w:val="single" w:color="auto" w:sz="4" w:space="0"/>
            </w:tcBorders>
            <w:noWrap/>
            <w:vAlign w:val="center"/>
          </w:tcPr>
          <w:p/>
        </w:tc>
        <w:tc>
          <w:tcPr>
            <w:tcW w:w="3646" w:type="dxa"/>
            <w:tcBorders>
              <w:top w:val="nil"/>
              <w:left w:val="nil"/>
              <w:bottom w:val="single" w:color="auto" w:sz="4" w:space="0"/>
              <w:right w:val="single" w:color="auto" w:sz="4" w:space="0"/>
            </w:tcBorders>
            <w:noWrap/>
            <w:vAlign w:val="center"/>
          </w:tcPr>
          <w:p>
            <w:pPr>
              <w:widowControl/>
              <w:jc w:val="center"/>
              <w:rPr>
                <w:rFonts w:ascii="宋体" w:cs="宋体"/>
                <w:color w:val="000000"/>
                <w:kern w:val="0"/>
                <w:sz w:val="20"/>
                <w:szCs w:val="20"/>
              </w:rPr>
            </w:pPr>
            <w:r>
              <w:rPr>
                <w:rFonts w:hint="eastAsia" w:ascii="宋体" w:cs="宋体"/>
                <w:color w:val="000000"/>
                <w:kern w:val="0"/>
                <w:sz w:val="20"/>
                <w:szCs w:val="20"/>
              </w:rPr>
              <w:t>管理对象满意度（3分）</w:t>
            </w:r>
          </w:p>
        </w:tc>
        <w:tc>
          <w:tcPr>
            <w:tcW w:w="1777" w:type="dxa"/>
            <w:tcBorders>
              <w:top w:val="nil"/>
              <w:left w:val="nil"/>
              <w:bottom w:val="single" w:color="auto" w:sz="4" w:space="0"/>
              <w:right w:val="single" w:color="auto" w:sz="4" w:space="0"/>
            </w:tcBorders>
            <w:noWrap/>
          </w:tcPr>
          <w:p>
            <w:pPr>
              <w:widowControl/>
              <w:jc w:val="center"/>
              <w:rPr>
                <w:rFonts w:ascii="宋体" w:cs="宋体"/>
                <w:color w:val="000000"/>
                <w:kern w:val="0"/>
                <w:sz w:val="20"/>
                <w:szCs w:val="20"/>
              </w:rPr>
            </w:pPr>
            <w:r>
              <w:rPr>
                <w:rFonts w:hint="eastAsia" w:ascii="宋体" w:cs="宋体"/>
                <w:color w:val="000000"/>
                <w:kern w:val="0"/>
                <w:sz w:val="20"/>
                <w:szCs w:val="20"/>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1" w:hRule="atLeast"/>
        </w:trPr>
        <w:tc>
          <w:tcPr>
            <w:tcW w:w="1702" w:type="dxa"/>
            <w:vMerge w:val="continue"/>
            <w:tcBorders>
              <w:left w:val="single" w:color="auto" w:sz="4" w:space="0"/>
              <w:bottom w:val="single" w:color="auto" w:sz="4" w:space="0"/>
              <w:right w:val="single" w:color="auto" w:sz="4" w:space="0"/>
            </w:tcBorders>
            <w:noWrap/>
            <w:vAlign w:val="center"/>
          </w:tcPr>
          <w:p/>
        </w:tc>
        <w:tc>
          <w:tcPr>
            <w:tcW w:w="2268" w:type="dxa"/>
            <w:vMerge w:val="continue"/>
            <w:tcBorders>
              <w:left w:val="single" w:color="auto" w:sz="4" w:space="0"/>
              <w:bottom w:val="single" w:color="auto" w:sz="4" w:space="0"/>
              <w:right w:val="single" w:color="auto" w:sz="4" w:space="0"/>
            </w:tcBorders>
            <w:noWrap/>
            <w:vAlign w:val="center"/>
          </w:tcPr>
          <w:p/>
        </w:tc>
        <w:tc>
          <w:tcPr>
            <w:tcW w:w="3646" w:type="dxa"/>
            <w:tcBorders>
              <w:top w:val="nil"/>
              <w:left w:val="nil"/>
              <w:bottom w:val="single" w:color="auto" w:sz="4" w:space="0"/>
              <w:right w:val="single" w:color="auto" w:sz="4" w:space="0"/>
            </w:tcBorders>
            <w:noWrap/>
            <w:vAlign w:val="center"/>
          </w:tcPr>
          <w:p>
            <w:pPr>
              <w:widowControl/>
              <w:jc w:val="center"/>
              <w:rPr>
                <w:rFonts w:ascii="宋体" w:cs="宋体"/>
                <w:color w:val="000000"/>
                <w:kern w:val="0"/>
                <w:sz w:val="20"/>
                <w:szCs w:val="20"/>
              </w:rPr>
            </w:pPr>
            <w:r>
              <w:rPr>
                <w:rFonts w:hint="eastAsia" w:ascii="宋体" w:cs="宋体"/>
                <w:color w:val="000000"/>
                <w:kern w:val="0"/>
                <w:sz w:val="20"/>
                <w:szCs w:val="20"/>
              </w:rPr>
              <w:t>社会公众满意度（4分）</w:t>
            </w:r>
          </w:p>
        </w:tc>
        <w:tc>
          <w:tcPr>
            <w:tcW w:w="1777" w:type="dxa"/>
            <w:tcBorders>
              <w:top w:val="nil"/>
              <w:left w:val="nil"/>
              <w:bottom w:val="single" w:color="auto" w:sz="4" w:space="0"/>
              <w:right w:val="single" w:color="auto" w:sz="4" w:space="0"/>
            </w:tcBorders>
            <w:noWrap/>
          </w:tcPr>
          <w:p>
            <w:pPr>
              <w:widowControl/>
              <w:jc w:val="center"/>
              <w:rPr>
                <w:rFonts w:ascii="宋体" w:cs="宋体"/>
                <w:color w:val="000000"/>
                <w:kern w:val="0"/>
                <w:sz w:val="20"/>
                <w:szCs w:val="20"/>
              </w:rPr>
            </w:pPr>
            <w:r>
              <w:rPr>
                <w:rFonts w:hint="eastAsia" w:ascii="宋体" w:cs="宋体"/>
                <w:color w:val="000000"/>
                <w:kern w:val="0"/>
                <w:sz w:val="20"/>
                <w:szCs w:val="20"/>
              </w:rPr>
              <w:t>4</w:t>
            </w:r>
          </w:p>
        </w:tc>
      </w:tr>
    </w:tbl>
    <w:p>
      <w:pPr>
        <w:rPr>
          <w:color w:val="000000"/>
        </w:rPr>
      </w:pPr>
    </w:p>
    <w:p>
      <w:pPr>
        <w:numPr>
          <w:ilvl w:val="0"/>
          <w:numId w:val="6"/>
        </w:numPr>
        <w:spacing w:line="580" w:lineRule="exact"/>
        <w:ind w:left="0" w:firstLine="643" w:firstLineChars="200"/>
        <w:rPr>
          <w:rFonts w:hint="eastAsia" w:ascii="仿宋" w:eastAsia="仿宋" w:cs="楷体_GB2312"/>
          <w:b/>
          <w:bCs/>
          <w:sz w:val="32"/>
          <w:szCs w:val="32"/>
          <w:lang w:val="en-US" w:eastAsia="zh-CN"/>
        </w:rPr>
      </w:pPr>
      <w:r>
        <w:rPr>
          <w:rFonts w:hint="eastAsia" w:ascii="仿宋" w:eastAsia="仿宋" w:cs="楷体_GB2312"/>
          <w:b/>
          <w:bCs/>
          <w:sz w:val="32"/>
          <w:szCs w:val="32"/>
          <w:lang w:val="en-US" w:eastAsia="zh-CN"/>
        </w:rPr>
        <w:t>部门自行组织绩效评价开展情况。</w:t>
      </w:r>
    </w:p>
    <w:p>
      <w:pPr>
        <w:keepNext w:val="0"/>
        <w:keepLines w:val="0"/>
        <w:widowControl w:val="0"/>
        <w:suppressLineNumbers w:val="0"/>
        <w:spacing w:before="0" w:beforeAutospacing="0" w:after="0" w:afterAutospacing="0" w:line="600" w:lineRule="atLeast"/>
        <w:ind w:left="0" w:right="0" w:firstLine="640" w:firstLineChars="200"/>
        <w:jc w:val="both"/>
        <w:rPr>
          <w:rFonts w:hint="eastAsia" w:ascii="宋体" w:eastAsia="宋体" w:cs="宋体"/>
          <w:sz w:val="32"/>
          <w:szCs w:val="32"/>
          <w:lang w:val="en-US"/>
        </w:rPr>
      </w:pPr>
      <w:r>
        <w:rPr>
          <w:rFonts w:hint="eastAsia" w:ascii="宋体" w:eastAsia="宋体" w:cs="宋体"/>
          <w:kern w:val="2"/>
          <w:sz w:val="32"/>
          <w:szCs w:val="32"/>
          <w:lang w:val="en-US" w:eastAsia="zh-CN"/>
        </w:rPr>
        <w:t>按照预算绩效管理要求，本部门对2021年整体支出开展绩效自评，存在的问题：一是预算经费支出进度缓；二是部门预算、决算上报效率有待提高。下一步改进措施：一是加快完善部门财务规章制度建设；二是加强会计核算和财务管理能力；三是加强与县财政局相关科室对接工作，提升工作效率。</w:t>
      </w:r>
    </w:p>
    <w:p>
      <w:pPr>
        <w:jc w:val="center"/>
        <w:rPr>
          <w:rFonts w:ascii="黑体" w:eastAsia="黑体"/>
          <w:color w:val="000000"/>
          <w:sz w:val="32"/>
          <w:szCs w:val="32"/>
        </w:rPr>
      </w:pPr>
      <w:r>
        <w:rPr>
          <w:rFonts w:hint="eastAsia" w:ascii="黑体" w:eastAsia="黑体"/>
          <w:color w:val="000000"/>
          <w:sz w:val="32"/>
          <w:szCs w:val="32"/>
        </w:rPr>
        <w:t>202</w:t>
      </w:r>
      <w:r>
        <w:rPr>
          <w:rFonts w:hint="eastAsia" w:ascii="黑体" w:eastAsia="黑体"/>
          <w:color w:val="000000"/>
          <w:sz w:val="32"/>
          <w:szCs w:val="32"/>
          <w:lang w:val="en-US" w:eastAsia="zh-CN"/>
        </w:rPr>
        <w:t>1</w:t>
      </w:r>
      <w:r>
        <w:rPr>
          <w:rFonts w:hint="eastAsia" w:ascii="黑体" w:eastAsia="黑体"/>
          <w:color w:val="000000"/>
          <w:sz w:val="32"/>
          <w:szCs w:val="32"/>
        </w:rPr>
        <w:t>年项目支出绩效评价得分表</w:t>
      </w:r>
    </w:p>
    <w:tbl>
      <w:tblPr>
        <w:tblStyle w:val="11"/>
        <w:tblW w:w="98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18"/>
        <w:gridCol w:w="2113"/>
        <w:gridCol w:w="3535"/>
        <w:gridCol w:w="1311"/>
        <w:gridCol w:w="13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1618" w:type="dxa"/>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center"/>
              <w:rPr>
                <w:rFonts w:ascii="宋体" w:cs="宋体"/>
                <w:b/>
                <w:bCs/>
                <w:color w:val="000000"/>
                <w:kern w:val="0"/>
                <w:sz w:val="20"/>
                <w:szCs w:val="20"/>
              </w:rPr>
            </w:pPr>
            <w:r>
              <w:rPr>
                <w:rFonts w:hint="eastAsia" w:ascii="宋体" w:cs="宋体"/>
                <w:b/>
                <w:bCs/>
                <w:color w:val="000000"/>
                <w:kern w:val="0"/>
                <w:sz w:val="20"/>
                <w:szCs w:val="20"/>
              </w:rPr>
              <w:t>单位名称/</w:t>
            </w:r>
          </w:p>
          <w:p>
            <w:pPr>
              <w:widowControl/>
              <w:spacing w:line="260" w:lineRule="exact"/>
              <w:jc w:val="center"/>
              <w:rPr>
                <w:rFonts w:ascii="宋体" w:cs="宋体"/>
                <w:b/>
                <w:bCs/>
                <w:color w:val="000000"/>
                <w:kern w:val="0"/>
                <w:sz w:val="20"/>
                <w:szCs w:val="20"/>
              </w:rPr>
            </w:pPr>
            <w:r>
              <w:rPr>
                <w:rFonts w:hint="eastAsia" w:ascii="宋体" w:cs="宋体"/>
                <w:b/>
                <w:bCs/>
                <w:color w:val="000000"/>
                <w:kern w:val="0"/>
                <w:sz w:val="20"/>
                <w:szCs w:val="20"/>
              </w:rPr>
              <w:t>项目名称</w:t>
            </w:r>
          </w:p>
        </w:tc>
        <w:tc>
          <w:tcPr>
            <w:tcW w:w="8270" w:type="dxa"/>
            <w:gridSpan w:val="4"/>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center"/>
              <w:rPr>
                <w:rFonts w:ascii="宋体" w:cs="宋体"/>
                <w:b/>
                <w:bCs/>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1618" w:type="dxa"/>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center"/>
              <w:rPr>
                <w:rFonts w:ascii="宋体" w:cs="宋体"/>
                <w:b/>
                <w:bCs/>
                <w:color w:val="000000"/>
                <w:kern w:val="0"/>
                <w:sz w:val="20"/>
                <w:szCs w:val="20"/>
              </w:rPr>
            </w:pPr>
            <w:r>
              <w:rPr>
                <w:rFonts w:hint="eastAsia" w:ascii="宋体" w:cs="宋体"/>
                <w:b/>
                <w:bCs/>
                <w:color w:val="000000"/>
                <w:kern w:val="0"/>
                <w:sz w:val="20"/>
                <w:szCs w:val="20"/>
              </w:rPr>
              <w:t>一级</w:t>
            </w:r>
          </w:p>
          <w:p>
            <w:pPr>
              <w:widowControl/>
              <w:spacing w:line="260" w:lineRule="exact"/>
              <w:jc w:val="center"/>
              <w:rPr>
                <w:rFonts w:ascii="宋体" w:cs="宋体"/>
                <w:b/>
                <w:bCs/>
                <w:color w:val="000000"/>
                <w:kern w:val="0"/>
                <w:sz w:val="20"/>
                <w:szCs w:val="20"/>
              </w:rPr>
            </w:pPr>
            <w:r>
              <w:rPr>
                <w:rFonts w:hint="eastAsia" w:ascii="宋体" w:cs="宋体"/>
                <w:b/>
                <w:bCs/>
                <w:color w:val="000000"/>
                <w:kern w:val="0"/>
                <w:sz w:val="20"/>
                <w:szCs w:val="20"/>
              </w:rPr>
              <w:t>指标</w:t>
            </w:r>
          </w:p>
        </w:tc>
        <w:tc>
          <w:tcPr>
            <w:tcW w:w="2113" w:type="dxa"/>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center"/>
              <w:rPr>
                <w:rFonts w:ascii="宋体" w:cs="宋体"/>
                <w:b/>
                <w:bCs/>
                <w:color w:val="000000"/>
                <w:kern w:val="0"/>
                <w:sz w:val="20"/>
                <w:szCs w:val="20"/>
              </w:rPr>
            </w:pPr>
            <w:r>
              <w:rPr>
                <w:rFonts w:hint="eastAsia" w:ascii="宋体" w:cs="宋体"/>
                <w:b/>
                <w:bCs/>
                <w:color w:val="000000"/>
                <w:kern w:val="0"/>
                <w:sz w:val="20"/>
                <w:szCs w:val="20"/>
              </w:rPr>
              <w:t>二级</w:t>
            </w:r>
          </w:p>
          <w:p>
            <w:pPr>
              <w:widowControl/>
              <w:spacing w:line="260" w:lineRule="exact"/>
              <w:jc w:val="center"/>
              <w:rPr>
                <w:rFonts w:ascii="宋体" w:cs="宋体"/>
                <w:b/>
                <w:bCs/>
                <w:color w:val="000000"/>
                <w:kern w:val="0"/>
                <w:sz w:val="20"/>
                <w:szCs w:val="20"/>
              </w:rPr>
            </w:pPr>
            <w:r>
              <w:rPr>
                <w:rFonts w:hint="eastAsia" w:ascii="宋体" w:cs="宋体"/>
                <w:b/>
                <w:bCs/>
                <w:color w:val="000000"/>
                <w:kern w:val="0"/>
                <w:sz w:val="20"/>
                <w:szCs w:val="20"/>
              </w:rPr>
              <w:t>指标</w:t>
            </w:r>
          </w:p>
        </w:tc>
        <w:tc>
          <w:tcPr>
            <w:tcW w:w="3535" w:type="dxa"/>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center"/>
              <w:rPr>
                <w:rFonts w:ascii="宋体" w:cs="宋体"/>
                <w:b/>
                <w:bCs/>
                <w:color w:val="000000"/>
                <w:kern w:val="0"/>
                <w:sz w:val="20"/>
                <w:szCs w:val="20"/>
              </w:rPr>
            </w:pPr>
            <w:r>
              <w:rPr>
                <w:rFonts w:hint="eastAsia" w:ascii="宋体" w:cs="宋体"/>
                <w:b/>
                <w:bCs/>
                <w:color w:val="000000"/>
                <w:kern w:val="0"/>
                <w:sz w:val="20"/>
                <w:szCs w:val="20"/>
              </w:rPr>
              <w:t>三级指标</w:t>
            </w:r>
          </w:p>
        </w:tc>
        <w:tc>
          <w:tcPr>
            <w:tcW w:w="1311" w:type="dxa"/>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center"/>
              <w:rPr>
                <w:rFonts w:ascii="宋体" w:cs="宋体"/>
                <w:b/>
                <w:bCs/>
                <w:color w:val="000000"/>
                <w:kern w:val="0"/>
                <w:sz w:val="20"/>
                <w:szCs w:val="20"/>
              </w:rPr>
            </w:pPr>
            <w:r>
              <w:rPr>
                <w:rFonts w:hint="eastAsia" w:ascii="宋体" w:cs="宋体"/>
                <w:b/>
                <w:bCs/>
                <w:color w:val="000000"/>
                <w:kern w:val="0"/>
                <w:sz w:val="20"/>
                <w:szCs w:val="20"/>
              </w:rPr>
              <w:t>分值</w:t>
            </w:r>
          </w:p>
        </w:tc>
        <w:tc>
          <w:tcPr>
            <w:tcW w:w="1311" w:type="dxa"/>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center"/>
              <w:rPr>
                <w:rFonts w:ascii="宋体" w:cs="宋体"/>
                <w:b/>
                <w:bCs/>
                <w:color w:val="000000"/>
                <w:kern w:val="0"/>
                <w:sz w:val="18"/>
                <w:szCs w:val="18"/>
              </w:rPr>
            </w:pPr>
            <w:r>
              <w:rPr>
                <w:rFonts w:hint="eastAsia" w:ascii="宋体" w:cs="宋体"/>
                <w:b/>
                <w:bCs/>
                <w:color w:val="000000"/>
                <w:kern w:val="0"/>
                <w:sz w:val="18"/>
                <w:szCs w:val="18"/>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61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spacing w:line="260" w:lineRule="exact"/>
              <w:jc w:val="center"/>
              <w:rPr>
                <w:rFonts w:hint="eastAsia" w:ascii="宋体" w:eastAsia="宋体" w:cs="宋体"/>
                <w:color w:val="000000"/>
                <w:kern w:val="0"/>
                <w:sz w:val="20"/>
                <w:szCs w:val="20"/>
                <w:lang w:eastAsia="zh-CN"/>
              </w:rPr>
            </w:pPr>
            <w:r>
              <w:rPr>
                <w:rFonts w:hint="eastAsia" w:ascii="宋体" w:cs="宋体"/>
                <w:color w:val="000000"/>
                <w:kern w:val="0"/>
                <w:sz w:val="20"/>
                <w:szCs w:val="20"/>
              </w:rPr>
              <w:t>（20分）</w:t>
            </w:r>
          </w:p>
          <w:p>
            <w:pPr>
              <w:widowControl/>
              <w:spacing w:line="260" w:lineRule="exact"/>
              <w:jc w:val="center"/>
              <w:rPr>
                <w:rFonts w:ascii="宋体" w:cs="宋体"/>
                <w:color w:val="000000"/>
                <w:kern w:val="0"/>
                <w:sz w:val="20"/>
                <w:szCs w:val="20"/>
              </w:rPr>
            </w:pPr>
            <w:r>
              <w:rPr>
                <w:rFonts w:hint="eastAsia" w:ascii="宋体" w:cs="宋体"/>
                <w:color w:val="000000"/>
                <w:kern w:val="0"/>
                <w:sz w:val="20"/>
                <w:szCs w:val="20"/>
              </w:rPr>
              <w:t>项目决策</w:t>
            </w:r>
          </w:p>
        </w:tc>
        <w:tc>
          <w:tcPr>
            <w:tcW w:w="2113"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spacing w:line="260" w:lineRule="exact"/>
              <w:jc w:val="center"/>
              <w:rPr>
                <w:rFonts w:hint="eastAsia" w:ascii="宋体" w:eastAsia="宋体" w:cs="宋体"/>
                <w:color w:val="000000"/>
                <w:kern w:val="0"/>
                <w:sz w:val="20"/>
                <w:szCs w:val="20"/>
                <w:lang w:eastAsia="zh-CN"/>
              </w:rPr>
            </w:pPr>
            <w:r>
              <w:rPr>
                <w:rFonts w:hint="eastAsia" w:ascii="宋体" w:cs="宋体"/>
                <w:color w:val="000000"/>
                <w:kern w:val="0"/>
                <w:sz w:val="20"/>
                <w:szCs w:val="20"/>
              </w:rPr>
              <w:t>（10分）</w:t>
            </w:r>
          </w:p>
          <w:p>
            <w:pPr>
              <w:widowControl/>
              <w:spacing w:line="260" w:lineRule="exact"/>
              <w:jc w:val="center"/>
              <w:rPr>
                <w:rFonts w:ascii="宋体" w:cs="宋体"/>
                <w:color w:val="000000"/>
                <w:kern w:val="0"/>
                <w:sz w:val="20"/>
                <w:szCs w:val="20"/>
              </w:rPr>
            </w:pPr>
            <w:r>
              <w:rPr>
                <w:rFonts w:hint="eastAsia" w:ascii="宋体" w:cs="宋体"/>
                <w:color w:val="000000"/>
                <w:kern w:val="0"/>
                <w:sz w:val="20"/>
                <w:szCs w:val="20"/>
              </w:rPr>
              <w:t>科学决策</w:t>
            </w:r>
          </w:p>
        </w:tc>
        <w:tc>
          <w:tcPr>
            <w:tcW w:w="3535" w:type="dxa"/>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center"/>
              <w:rPr>
                <w:rFonts w:hint="eastAsia" w:ascii="宋体" w:eastAsia="宋体" w:cs="宋体"/>
                <w:color w:val="000000"/>
                <w:kern w:val="0"/>
                <w:sz w:val="20"/>
                <w:szCs w:val="20"/>
                <w:lang w:eastAsia="zh-CN"/>
              </w:rPr>
            </w:pPr>
            <w:r>
              <w:rPr>
                <w:rFonts w:hint="eastAsia" w:ascii="宋体" w:cs="宋体"/>
                <w:color w:val="000000"/>
                <w:kern w:val="0"/>
                <w:sz w:val="20"/>
                <w:szCs w:val="20"/>
              </w:rPr>
              <w:t>必要性</w:t>
            </w:r>
          </w:p>
          <w:p>
            <w:pPr>
              <w:widowControl/>
              <w:spacing w:line="260" w:lineRule="exact"/>
              <w:jc w:val="center"/>
              <w:rPr>
                <w:rFonts w:ascii="宋体" w:cs="宋体"/>
                <w:color w:val="000000"/>
                <w:kern w:val="0"/>
                <w:sz w:val="20"/>
                <w:szCs w:val="20"/>
              </w:rPr>
            </w:pPr>
            <w:r>
              <w:rPr>
                <w:rFonts w:hint="eastAsia" w:ascii="宋体" w:cs="宋体"/>
                <w:color w:val="000000"/>
                <w:kern w:val="0"/>
                <w:sz w:val="20"/>
                <w:szCs w:val="20"/>
              </w:rPr>
              <w:t>（政策依据)</w:t>
            </w:r>
          </w:p>
        </w:tc>
        <w:tc>
          <w:tcPr>
            <w:tcW w:w="1311" w:type="dxa"/>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center"/>
              <w:rPr>
                <w:rFonts w:ascii="宋体" w:cs="宋体"/>
                <w:color w:val="000000"/>
                <w:kern w:val="0"/>
                <w:sz w:val="20"/>
                <w:szCs w:val="20"/>
              </w:rPr>
            </w:pPr>
            <w:r>
              <w:rPr>
                <w:rFonts w:hint="eastAsia" w:ascii="宋体" w:cs="宋体"/>
                <w:color w:val="000000"/>
                <w:kern w:val="0"/>
                <w:sz w:val="20"/>
                <w:szCs w:val="20"/>
              </w:rPr>
              <w:t>5</w:t>
            </w:r>
          </w:p>
        </w:tc>
        <w:tc>
          <w:tcPr>
            <w:tcW w:w="1311" w:type="dxa"/>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center"/>
              <w:rPr>
                <w:rFonts w:ascii="宋体" w:cs="宋体"/>
                <w:color w:val="000000"/>
                <w:kern w:val="0"/>
                <w:sz w:val="20"/>
                <w:szCs w:val="20"/>
              </w:rPr>
            </w:pPr>
            <w:r>
              <w:rPr>
                <w:rFonts w:hint="eastAsia" w:ascii="宋体" w:cs="宋体"/>
                <w:color w:val="000000"/>
                <w:kern w:val="0"/>
                <w:sz w:val="20"/>
                <w:szCs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618" w:type="dxa"/>
            <w:vMerge w:val="continue"/>
            <w:tcBorders>
              <w:top w:val="single" w:color="auto" w:sz="4" w:space="0"/>
              <w:left w:val="single" w:color="auto" w:sz="4" w:space="0"/>
              <w:bottom w:val="single" w:color="auto" w:sz="4" w:space="0"/>
              <w:right w:val="single" w:color="auto" w:sz="4" w:space="0"/>
            </w:tcBorders>
            <w:noWrap/>
            <w:vAlign w:val="center"/>
          </w:tcPr>
          <w:p/>
        </w:tc>
        <w:tc>
          <w:tcPr>
            <w:tcW w:w="2113" w:type="dxa"/>
            <w:vMerge w:val="continue"/>
            <w:tcBorders>
              <w:top w:val="single" w:color="auto" w:sz="4" w:space="0"/>
              <w:left w:val="single" w:color="auto" w:sz="4" w:space="0"/>
              <w:bottom w:val="single" w:color="auto" w:sz="4" w:space="0"/>
              <w:right w:val="single" w:color="auto" w:sz="4" w:space="0"/>
            </w:tcBorders>
            <w:noWrap/>
            <w:vAlign w:val="center"/>
          </w:tcPr>
          <w:p/>
        </w:tc>
        <w:tc>
          <w:tcPr>
            <w:tcW w:w="3535" w:type="dxa"/>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center"/>
              <w:rPr>
                <w:rFonts w:hint="eastAsia" w:ascii="宋体" w:eastAsia="宋体" w:cs="宋体"/>
                <w:color w:val="000000"/>
                <w:kern w:val="0"/>
                <w:sz w:val="20"/>
                <w:szCs w:val="20"/>
                <w:lang w:eastAsia="zh-CN"/>
              </w:rPr>
            </w:pPr>
            <w:r>
              <w:rPr>
                <w:rFonts w:hint="eastAsia" w:ascii="宋体" w:cs="宋体"/>
                <w:color w:val="000000"/>
                <w:kern w:val="0"/>
                <w:sz w:val="20"/>
                <w:szCs w:val="20"/>
              </w:rPr>
              <w:t>可行性</w:t>
            </w:r>
          </w:p>
          <w:p>
            <w:pPr>
              <w:widowControl/>
              <w:spacing w:line="260" w:lineRule="exact"/>
              <w:jc w:val="center"/>
              <w:rPr>
                <w:rFonts w:ascii="宋体" w:cs="宋体"/>
                <w:color w:val="000000"/>
                <w:kern w:val="0"/>
                <w:sz w:val="20"/>
                <w:szCs w:val="20"/>
              </w:rPr>
            </w:pPr>
            <w:r>
              <w:rPr>
                <w:rFonts w:hint="eastAsia" w:ascii="宋体" w:cs="宋体"/>
                <w:color w:val="000000"/>
                <w:kern w:val="0"/>
                <w:sz w:val="20"/>
                <w:szCs w:val="20"/>
              </w:rPr>
              <w:t>（政策完善）</w:t>
            </w:r>
          </w:p>
        </w:tc>
        <w:tc>
          <w:tcPr>
            <w:tcW w:w="1311" w:type="dxa"/>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center"/>
              <w:rPr>
                <w:rFonts w:ascii="宋体" w:cs="宋体"/>
                <w:color w:val="000000"/>
                <w:kern w:val="0"/>
                <w:sz w:val="20"/>
                <w:szCs w:val="20"/>
              </w:rPr>
            </w:pPr>
            <w:r>
              <w:rPr>
                <w:rFonts w:hint="eastAsia" w:ascii="宋体" w:cs="宋体"/>
                <w:color w:val="000000"/>
                <w:kern w:val="0"/>
                <w:sz w:val="20"/>
                <w:szCs w:val="20"/>
              </w:rPr>
              <w:t>5</w:t>
            </w:r>
          </w:p>
        </w:tc>
        <w:tc>
          <w:tcPr>
            <w:tcW w:w="1311" w:type="dxa"/>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center"/>
              <w:rPr>
                <w:rFonts w:ascii="宋体" w:cs="宋体"/>
                <w:color w:val="000000"/>
                <w:kern w:val="0"/>
                <w:sz w:val="20"/>
                <w:szCs w:val="20"/>
              </w:rPr>
            </w:pPr>
            <w:r>
              <w:rPr>
                <w:rFonts w:hint="eastAsia" w:ascii="宋体" w:cs="宋体"/>
                <w:color w:val="000000"/>
                <w:kern w:val="0"/>
                <w:sz w:val="20"/>
                <w:szCs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1618" w:type="dxa"/>
            <w:vMerge w:val="continue"/>
            <w:tcBorders>
              <w:top w:val="single" w:color="auto" w:sz="4" w:space="0"/>
              <w:left w:val="single" w:color="auto" w:sz="4" w:space="0"/>
              <w:bottom w:val="single" w:color="auto" w:sz="4" w:space="0"/>
              <w:right w:val="single" w:color="auto" w:sz="4" w:space="0"/>
            </w:tcBorders>
            <w:noWrap/>
            <w:vAlign w:val="center"/>
          </w:tcPr>
          <w:p/>
        </w:tc>
        <w:tc>
          <w:tcPr>
            <w:tcW w:w="2113"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spacing w:line="260" w:lineRule="exact"/>
              <w:jc w:val="center"/>
              <w:rPr>
                <w:rFonts w:hint="eastAsia" w:ascii="宋体" w:eastAsia="宋体" w:cs="宋体"/>
                <w:color w:val="000000"/>
                <w:kern w:val="0"/>
                <w:sz w:val="20"/>
                <w:szCs w:val="20"/>
                <w:lang w:eastAsia="zh-CN"/>
              </w:rPr>
            </w:pPr>
            <w:r>
              <w:rPr>
                <w:rFonts w:hint="eastAsia" w:ascii="宋体" w:cs="宋体"/>
                <w:color w:val="000000"/>
                <w:kern w:val="0"/>
                <w:sz w:val="20"/>
                <w:szCs w:val="20"/>
              </w:rPr>
              <w:t>（10）</w:t>
            </w:r>
          </w:p>
          <w:p>
            <w:pPr>
              <w:widowControl/>
              <w:spacing w:line="260" w:lineRule="exact"/>
              <w:jc w:val="center"/>
              <w:rPr>
                <w:rFonts w:ascii="宋体" w:cs="宋体"/>
                <w:color w:val="000000"/>
                <w:kern w:val="0"/>
                <w:sz w:val="20"/>
                <w:szCs w:val="20"/>
              </w:rPr>
            </w:pPr>
            <w:r>
              <w:rPr>
                <w:rFonts w:hint="eastAsia" w:ascii="宋体" w:cs="宋体"/>
                <w:color w:val="000000"/>
                <w:kern w:val="0"/>
                <w:sz w:val="20"/>
                <w:szCs w:val="20"/>
              </w:rPr>
              <w:t xml:space="preserve">绩效目标    </w:t>
            </w:r>
          </w:p>
        </w:tc>
        <w:tc>
          <w:tcPr>
            <w:tcW w:w="3535" w:type="dxa"/>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center"/>
              <w:rPr>
                <w:rFonts w:ascii="宋体" w:cs="宋体"/>
                <w:color w:val="000000"/>
                <w:kern w:val="0"/>
                <w:sz w:val="20"/>
                <w:szCs w:val="20"/>
              </w:rPr>
            </w:pPr>
            <w:r>
              <w:rPr>
                <w:rFonts w:hint="eastAsia" w:ascii="宋体" w:cs="宋体"/>
                <w:color w:val="000000"/>
                <w:kern w:val="0"/>
                <w:sz w:val="20"/>
                <w:szCs w:val="20"/>
              </w:rPr>
              <w:t>明确性</w:t>
            </w:r>
          </w:p>
        </w:tc>
        <w:tc>
          <w:tcPr>
            <w:tcW w:w="1311" w:type="dxa"/>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center"/>
              <w:rPr>
                <w:rFonts w:ascii="宋体" w:cs="宋体"/>
                <w:color w:val="000000"/>
                <w:kern w:val="0"/>
                <w:sz w:val="20"/>
                <w:szCs w:val="20"/>
              </w:rPr>
            </w:pPr>
            <w:r>
              <w:rPr>
                <w:rFonts w:hint="eastAsia" w:ascii="宋体" w:cs="宋体"/>
                <w:color w:val="000000"/>
                <w:kern w:val="0"/>
                <w:sz w:val="20"/>
                <w:szCs w:val="20"/>
              </w:rPr>
              <w:t>5</w:t>
            </w:r>
          </w:p>
        </w:tc>
        <w:tc>
          <w:tcPr>
            <w:tcW w:w="1311" w:type="dxa"/>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center"/>
              <w:rPr>
                <w:rFonts w:ascii="宋体" w:cs="宋体"/>
                <w:color w:val="000000"/>
                <w:kern w:val="0"/>
                <w:sz w:val="20"/>
                <w:szCs w:val="20"/>
              </w:rPr>
            </w:pPr>
            <w:r>
              <w:rPr>
                <w:rFonts w:hint="eastAsia" w:ascii="宋体" w:cs="宋体"/>
                <w:color w:val="000000"/>
                <w:kern w:val="0"/>
                <w:sz w:val="20"/>
                <w:szCs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618" w:type="dxa"/>
            <w:vMerge w:val="continue"/>
            <w:tcBorders>
              <w:top w:val="single" w:color="auto" w:sz="4" w:space="0"/>
              <w:left w:val="single" w:color="auto" w:sz="4" w:space="0"/>
              <w:bottom w:val="single" w:color="auto" w:sz="4" w:space="0"/>
              <w:right w:val="single" w:color="auto" w:sz="4" w:space="0"/>
            </w:tcBorders>
            <w:noWrap/>
            <w:vAlign w:val="center"/>
          </w:tcPr>
          <w:p/>
        </w:tc>
        <w:tc>
          <w:tcPr>
            <w:tcW w:w="2113" w:type="dxa"/>
            <w:vMerge w:val="continue"/>
            <w:tcBorders>
              <w:top w:val="single" w:color="auto" w:sz="4" w:space="0"/>
              <w:left w:val="single" w:color="auto" w:sz="4" w:space="0"/>
              <w:bottom w:val="single" w:color="auto" w:sz="4" w:space="0"/>
              <w:right w:val="single" w:color="auto" w:sz="4" w:space="0"/>
            </w:tcBorders>
            <w:noWrap/>
            <w:vAlign w:val="center"/>
          </w:tcPr>
          <w:p/>
        </w:tc>
        <w:tc>
          <w:tcPr>
            <w:tcW w:w="3535" w:type="dxa"/>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center"/>
              <w:rPr>
                <w:rFonts w:ascii="宋体" w:cs="宋体"/>
                <w:color w:val="000000"/>
                <w:kern w:val="0"/>
                <w:sz w:val="20"/>
                <w:szCs w:val="20"/>
              </w:rPr>
            </w:pPr>
            <w:r>
              <w:rPr>
                <w:rFonts w:hint="eastAsia" w:ascii="宋体" w:cs="宋体"/>
                <w:color w:val="000000"/>
                <w:kern w:val="0"/>
                <w:sz w:val="20"/>
                <w:szCs w:val="20"/>
              </w:rPr>
              <w:t>合理性</w:t>
            </w:r>
          </w:p>
        </w:tc>
        <w:tc>
          <w:tcPr>
            <w:tcW w:w="1311" w:type="dxa"/>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center"/>
              <w:rPr>
                <w:rFonts w:ascii="宋体" w:cs="宋体"/>
                <w:color w:val="000000"/>
                <w:kern w:val="0"/>
                <w:sz w:val="20"/>
                <w:szCs w:val="20"/>
              </w:rPr>
            </w:pPr>
            <w:r>
              <w:rPr>
                <w:rFonts w:hint="eastAsia" w:ascii="宋体" w:cs="宋体"/>
                <w:color w:val="000000"/>
                <w:kern w:val="0"/>
                <w:sz w:val="20"/>
                <w:szCs w:val="20"/>
              </w:rPr>
              <w:t>5</w:t>
            </w:r>
          </w:p>
        </w:tc>
        <w:tc>
          <w:tcPr>
            <w:tcW w:w="1311" w:type="dxa"/>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center"/>
              <w:rPr>
                <w:rFonts w:ascii="宋体" w:cs="宋体"/>
                <w:color w:val="000000"/>
                <w:kern w:val="0"/>
                <w:sz w:val="20"/>
                <w:szCs w:val="20"/>
              </w:rPr>
            </w:pPr>
            <w:r>
              <w:rPr>
                <w:rFonts w:hint="eastAsia" w:ascii="宋体" w:cs="宋体"/>
                <w:color w:val="000000"/>
                <w:kern w:val="0"/>
                <w:sz w:val="20"/>
                <w:szCs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161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spacing w:line="260" w:lineRule="exact"/>
              <w:jc w:val="center"/>
              <w:rPr>
                <w:rFonts w:hint="eastAsia" w:ascii="宋体" w:eastAsia="宋体" w:cs="宋体"/>
                <w:color w:val="000000"/>
                <w:kern w:val="0"/>
                <w:sz w:val="20"/>
                <w:szCs w:val="20"/>
                <w:lang w:eastAsia="zh-CN"/>
              </w:rPr>
            </w:pPr>
            <w:r>
              <w:rPr>
                <w:rFonts w:hint="eastAsia" w:ascii="宋体" w:cs="宋体"/>
                <w:color w:val="000000"/>
                <w:kern w:val="0"/>
                <w:sz w:val="20"/>
                <w:szCs w:val="20"/>
              </w:rPr>
              <w:t>（10分）</w:t>
            </w:r>
          </w:p>
          <w:p>
            <w:pPr>
              <w:widowControl/>
              <w:spacing w:line="260" w:lineRule="exact"/>
              <w:jc w:val="center"/>
              <w:rPr>
                <w:rFonts w:ascii="宋体" w:cs="宋体"/>
                <w:color w:val="000000"/>
                <w:kern w:val="0"/>
                <w:sz w:val="20"/>
                <w:szCs w:val="20"/>
              </w:rPr>
            </w:pPr>
            <w:r>
              <w:rPr>
                <w:rFonts w:hint="eastAsia" w:ascii="宋体" w:cs="宋体"/>
                <w:color w:val="000000"/>
                <w:kern w:val="0"/>
                <w:sz w:val="20"/>
                <w:szCs w:val="20"/>
              </w:rPr>
              <w:t>项目管理</w:t>
            </w:r>
          </w:p>
        </w:tc>
        <w:tc>
          <w:tcPr>
            <w:tcW w:w="2113"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spacing w:line="260" w:lineRule="exact"/>
              <w:jc w:val="center"/>
              <w:rPr>
                <w:rFonts w:hint="eastAsia" w:ascii="宋体" w:eastAsia="宋体" w:cs="宋体"/>
                <w:color w:val="000000"/>
                <w:kern w:val="0"/>
                <w:sz w:val="20"/>
                <w:szCs w:val="20"/>
                <w:lang w:eastAsia="zh-CN"/>
              </w:rPr>
            </w:pPr>
            <w:r>
              <w:rPr>
                <w:rFonts w:hint="eastAsia" w:ascii="宋体" w:cs="宋体"/>
                <w:color w:val="000000"/>
                <w:kern w:val="0"/>
                <w:sz w:val="20"/>
                <w:szCs w:val="20"/>
              </w:rPr>
              <w:t>（7分）</w:t>
            </w:r>
          </w:p>
          <w:p>
            <w:pPr>
              <w:widowControl/>
              <w:spacing w:line="260" w:lineRule="exact"/>
              <w:jc w:val="center"/>
              <w:rPr>
                <w:rFonts w:ascii="宋体" w:cs="宋体"/>
                <w:color w:val="000000"/>
                <w:kern w:val="0"/>
                <w:sz w:val="20"/>
                <w:szCs w:val="20"/>
              </w:rPr>
            </w:pPr>
            <w:r>
              <w:rPr>
                <w:rFonts w:hint="eastAsia" w:ascii="宋体" w:cs="宋体"/>
                <w:color w:val="000000"/>
                <w:kern w:val="0"/>
                <w:sz w:val="20"/>
                <w:szCs w:val="20"/>
              </w:rPr>
              <w:t>资金管理</w:t>
            </w:r>
          </w:p>
        </w:tc>
        <w:tc>
          <w:tcPr>
            <w:tcW w:w="3535" w:type="dxa"/>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center"/>
              <w:rPr>
                <w:rFonts w:ascii="宋体" w:cs="宋体"/>
                <w:color w:val="000000"/>
                <w:kern w:val="0"/>
                <w:sz w:val="20"/>
                <w:szCs w:val="20"/>
              </w:rPr>
            </w:pPr>
            <w:r>
              <w:rPr>
                <w:rFonts w:hint="eastAsia" w:ascii="宋体" w:cs="宋体"/>
                <w:color w:val="000000"/>
                <w:kern w:val="0"/>
                <w:sz w:val="20"/>
                <w:szCs w:val="20"/>
              </w:rPr>
              <w:t>资金分配</w:t>
            </w:r>
          </w:p>
        </w:tc>
        <w:tc>
          <w:tcPr>
            <w:tcW w:w="1311" w:type="dxa"/>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center"/>
              <w:rPr>
                <w:rFonts w:ascii="宋体" w:cs="宋体"/>
                <w:color w:val="000000"/>
                <w:kern w:val="0"/>
                <w:sz w:val="20"/>
                <w:szCs w:val="20"/>
              </w:rPr>
            </w:pPr>
            <w:r>
              <w:rPr>
                <w:rFonts w:hint="eastAsia" w:ascii="宋体" w:cs="宋体"/>
                <w:color w:val="000000"/>
                <w:kern w:val="0"/>
                <w:sz w:val="20"/>
                <w:szCs w:val="20"/>
              </w:rPr>
              <w:t>3</w:t>
            </w:r>
          </w:p>
        </w:tc>
        <w:tc>
          <w:tcPr>
            <w:tcW w:w="1311" w:type="dxa"/>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center"/>
              <w:rPr>
                <w:rFonts w:ascii="宋体" w:cs="宋体"/>
                <w:color w:val="000000"/>
                <w:kern w:val="0"/>
                <w:sz w:val="20"/>
                <w:szCs w:val="20"/>
              </w:rPr>
            </w:pPr>
            <w:r>
              <w:rPr>
                <w:rFonts w:hint="eastAsia" w:ascii="宋体" w:cs="宋体"/>
                <w:color w:val="000000"/>
                <w:kern w:val="0"/>
                <w:sz w:val="20"/>
                <w:szCs w:val="20"/>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1618" w:type="dxa"/>
            <w:vMerge w:val="continue"/>
            <w:tcBorders>
              <w:top w:val="single" w:color="auto" w:sz="4" w:space="0"/>
              <w:left w:val="single" w:color="auto" w:sz="4" w:space="0"/>
              <w:bottom w:val="single" w:color="auto" w:sz="4" w:space="0"/>
              <w:right w:val="single" w:color="auto" w:sz="4" w:space="0"/>
            </w:tcBorders>
            <w:noWrap/>
            <w:vAlign w:val="center"/>
          </w:tcPr>
          <w:p/>
        </w:tc>
        <w:tc>
          <w:tcPr>
            <w:tcW w:w="2113" w:type="dxa"/>
            <w:vMerge w:val="continue"/>
            <w:tcBorders>
              <w:top w:val="single" w:color="auto" w:sz="4" w:space="0"/>
              <w:left w:val="single" w:color="auto" w:sz="4" w:space="0"/>
              <w:bottom w:val="single" w:color="auto" w:sz="4" w:space="0"/>
              <w:right w:val="single" w:color="auto" w:sz="4" w:space="0"/>
            </w:tcBorders>
            <w:noWrap/>
            <w:textDirection w:val="tbRlV"/>
            <w:vAlign w:val="center"/>
          </w:tcPr>
          <w:p/>
        </w:tc>
        <w:tc>
          <w:tcPr>
            <w:tcW w:w="3535" w:type="dxa"/>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center"/>
              <w:rPr>
                <w:rFonts w:ascii="宋体" w:cs="宋体"/>
                <w:color w:val="000000"/>
                <w:kern w:val="0"/>
                <w:sz w:val="20"/>
                <w:szCs w:val="20"/>
              </w:rPr>
            </w:pPr>
            <w:r>
              <w:rPr>
                <w:rFonts w:hint="eastAsia" w:ascii="宋体" w:cs="宋体"/>
                <w:color w:val="000000"/>
                <w:kern w:val="0"/>
                <w:sz w:val="20"/>
                <w:szCs w:val="20"/>
              </w:rPr>
              <w:t>资金使用</w:t>
            </w:r>
          </w:p>
        </w:tc>
        <w:tc>
          <w:tcPr>
            <w:tcW w:w="1311" w:type="dxa"/>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center"/>
              <w:rPr>
                <w:rFonts w:ascii="宋体" w:cs="宋体"/>
                <w:color w:val="000000"/>
                <w:kern w:val="0"/>
                <w:sz w:val="20"/>
                <w:szCs w:val="20"/>
              </w:rPr>
            </w:pPr>
            <w:r>
              <w:rPr>
                <w:rFonts w:hint="eastAsia" w:ascii="宋体" w:cs="宋体"/>
                <w:color w:val="000000"/>
                <w:kern w:val="0"/>
                <w:sz w:val="20"/>
                <w:szCs w:val="20"/>
              </w:rPr>
              <w:t>4</w:t>
            </w:r>
          </w:p>
        </w:tc>
        <w:tc>
          <w:tcPr>
            <w:tcW w:w="1311" w:type="dxa"/>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center"/>
              <w:rPr>
                <w:rFonts w:ascii="宋体" w:cs="宋体"/>
                <w:color w:val="000000"/>
                <w:kern w:val="0"/>
                <w:sz w:val="20"/>
                <w:szCs w:val="20"/>
              </w:rPr>
            </w:pPr>
            <w:r>
              <w:rPr>
                <w:rFonts w:hint="eastAsia" w:ascii="宋体" w:cs="宋体"/>
                <w:color w:val="000000"/>
                <w:kern w:val="0"/>
                <w:sz w:val="20"/>
                <w:szCs w:val="20"/>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1618" w:type="dxa"/>
            <w:vMerge w:val="continue"/>
            <w:tcBorders>
              <w:top w:val="single" w:color="auto" w:sz="4" w:space="0"/>
              <w:left w:val="single" w:color="auto" w:sz="4" w:space="0"/>
              <w:bottom w:val="single" w:color="auto" w:sz="4" w:space="0"/>
              <w:right w:val="single" w:color="auto" w:sz="4" w:space="0"/>
            </w:tcBorders>
            <w:noWrap/>
            <w:vAlign w:val="center"/>
          </w:tcPr>
          <w:p/>
        </w:tc>
        <w:tc>
          <w:tcPr>
            <w:tcW w:w="2113" w:type="dxa"/>
            <w:tcBorders>
              <w:top w:val="single" w:color="auto" w:sz="4" w:space="0"/>
              <w:left w:val="single" w:color="auto" w:sz="4" w:space="0"/>
              <w:bottom w:val="single" w:color="auto" w:sz="4" w:space="0"/>
              <w:right w:val="single" w:color="auto" w:sz="4" w:space="0"/>
            </w:tcBorders>
            <w:noWrap/>
            <w:textDirection w:val="tbRlV"/>
            <w:vAlign w:val="center"/>
          </w:tcPr>
          <w:p>
            <w:pPr>
              <w:widowControl/>
              <w:spacing w:line="260" w:lineRule="exact"/>
              <w:jc w:val="center"/>
              <w:rPr>
                <w:rFonts w:hint="eastAsia" w:ascii="宋体" w:eastAsia="宋体" w:cs="宋体"/>
                <w:color w:val="000000"/>
                <w:kern w:val="0"/>
                <w:sz w:val="20"/>
                <w:szCs w:val="20"/>
                <w:lang w:eastAsia="zh-CN"/>
              </w:rPr>
            </w:pPr>
            <w:r>
              <w:rPr>
                <w:rFonts w:hint="eastAsia" w:ascii="宋体" w:cs="宋体"/>
                <w:color w:val="000000"/>
                <w:kern w:val="0"/>
                <w:sz w:val="20"/>
                <w:szCs w:val="20"/>
              </w:rPr>
              <w:t>（3分）</w:t>
            </w:r>
          </w:p>
          <w:p>
            <w:pPr>
              <w:widowControl/>
              <w:spacing w:line="260" w:lineRule="exact"/>
              <w:jc w:val="center"/>
              <w:rPr>
                <w:rFonts w:ascii="宋体" w:cs="宋体"/>
                <w:color w:val="000000"/>
                <w:kern w:val="0"/>
                <w:sz w:val="20"/>
                <w:szCs w:val="20"/>
              </w:rPr>
            </w:pPr>
            <w:r>
              <w:rPr>
                <w:rFonts w:hint="eastAsia" w:ascii="宋体" w:cs="宋体"/>
                <w:color w:val="000000"/>
                <w:kern w:val="0"/>
                <w:sz w:val="20"/>
                <w:szCs w:val="20"/>
              </w:rPr>
              <w:t>项目执行</w:t>
            </w:r>
          </w:p>
        </w:tc>
        <w:tc>
          <w:tcPr>
            <w:tcW w:w="3535" w:type="dxa"/>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center"/>
              <w:rPr>
                <w:rFonts w:ascii="宋体" w:cs="宋体"/>
                <w:color w:val="000000"/>
                <w:kern w:val="0"/>
                <w:sz w:val="20"/>
                <w:szCs w:val="20"/>
              </w:rPr>
            </w:pPr>
            <w:r>
              <w:rPr>
                <w:rFonts w:hint="eastAsia" w:ascii="宋体" w:cs="宋体"/>
                <w:color w:val="000000"/>
                <w:kern w:val="0"/>
                <w:sz w:val="20"/>
                <w:szCs w:val="20"/>
              </w:rPr>
              <w:t>执行规范</w:t>
            </w:r>
          </w:p>
        </w:tc>
        <w:tc>
          <w:tcPr>
            <w:tcW w:w="1311" w:type="dxa"/>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center"/>
              <w:rPr>
                <w:rFonts w:ascii="宋体" w:cs="宋体"/>
                <w:color w:val="000000"/>
                <w:kern w:val="0"/>
                <w:sz w:val="20"/>
                <w:szCs w:val="20"/>
              </w:rPr>
            </w:pPr>
            <w:r>
              <w:rPr>
                <w:rFonts w:hint="eastAsia" w:ascii="宋体" w:cs="宋体"/>
                <w:color w:val="000000"/>
                <w:kern w:val="0"/>
                <w:sz w:val="20"/>
                <w:szCs w:val="20"/>
              </w:rPr>
              <w:t>3</w:t>
            </w:r>
          </w:p>
        </w:tc>
        <w:tc>
          <w:tcPr>
            <w:tcW w:w="1311" w:type="dxa"/>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center"/>
              <w:rPr>
                <w:rFonts w:ascii="宋体" w:cs="宋体"/>
                <w:color w:val="000000"/>
                <w:kern w:val="0"/>
                <w:sz w:val="20"/>
                <w:szCs w:val="20"/>
              </w:rPr>
            </w:pPr>
            <w:r>
              <w:rPr>
                <w:rFonts w:hint="eastAsia" w:ascii="宋体" w:cs="宋体"/>
                <w:color w:val="000000"/>
                <w:kern w:val="0"/>
                <w:sz w:val="20"/>
                <w:szCs w:val="20"/>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61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spacing w:line="260" w:lineRule="exact"/>
              <w:jc w:val="center"/>
              <w:rPr>
                <w:rFonts w:hint="eastAsia" w:ascii="宋体" w:eastAsia="宋体" w:cs="宋体"/>
                <w:color w:val="000000"/>
                <w:kern w:val="0"/>
                <w:sz w:val="20"/>
                <w:szCs w:val="20"/>
                <w:lang w:eastAsia="zh-CN"/>
              </w:rPr>
            </w:pPr>
            <w:r>
              <w:rPr>
                <w:rFonts w:hint="eastAsia" w:ascii="宋体" w:cs="宋体"/>
                <w:color w:val="000000"/>
                <w:kern w:val="0"/>
                <w:sz w:val="20"/>
                <w:szCs w:val="20"/>
              </w:rPr>
              <w:t>（特性指标70分）</w:t>
            </w:r>
          </w:p>
          <w:p>
            <w:pPr>
              <w:widowControl/>
              <w:spacing w:line="260" w:lineRule="exact"/>
              <w:jc w:val="center"/>
              <w:rPr>
                <w:rFonts w:ascii="宋体" w:cs="宋体"/>
                <w:color w:val="000000"/>
                <w:kern w:val="0"/>
                <w:sz w:val="20"/>
                <w:szCs w:val="20"/>
              </w:rPr>
            </w:pPr>
            <w:r>
              <w:rPr>
                <w:rFonts w:hint="eastAsia" w:ascii="宋体" w:cs="宋体"/>
                <w:color w:val="000000"/>
                <w:kern w:val="0"/>
                <w:sz w:val="20"/>
                <w:szCs w:val="20"/>
              </w:rPr>
              <w:t xml:space="preserve">项目绩效  </w:t>
            </w:r>
          </w:p>
        </w:tc>
        <w:tc>
          <w:tcPr>
            <w:tcW w:w="2113"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spacing w:line="260" w:lineRule="exact"/>
              <w:jc w:val="center"/>
              <w:rPr>
                <w:rFonts w:hint="eastAsia" w:ascii="宋体" w:eastAsia="宋体" w:cs="宋体"/>
                <w:color w:val="000000"/>
                <w:kern w:val="0"/>
                <w:sz w:val="20"/>
                <w:szCs w:val="20"/>
                <w:lang w:eastAsia="zh-CN"/>
              </w:rPr>
            </w:pPr>
            <w:r>
              <w:rPr>
                <w:rFonts w:hint="eastAsia" w:ascii="宋体" w:cs="宋体"/>
                <w:color w:val="000000"/>
                <w:kern w:val="0"/>
                <w:sz w:val="20"/>
                <w:szCs w:val="20"/>
              </w:rPr>
              <w:t>（20）</w:t>
            </w:r>
          </w:p>
          <w:p>
            <w:pPr>
              <w:widowControl/>
              <w:spacing w:line="260" w:lineRule="exact"/>
              <w:jc w:val="center"/>
              <w:rPr>
                <w:rFonts w:ascii="宋体" w:cs="宋体"/>
                <w:color w:val="000000"/>
                <w:kern w:val="0"/>
                <w:sz w:val="20"/>
                <w:szCs w:val="20"/>
              </w:rPr>
            </w:pPr>
            <w:r>
              <w:rPr>
                <w:rFonts w:hint="eastAsia" w:ascii="宋体" w:cs="宋体"/>
                <w:color w:val="000000"/>
                <w:kern w:val="0"/>
                <w:sz w:val="20"/>
                <w:szCs w:val="20"/>
              </w:rPr>
              <w:t>项目完成</w:t>
            </w:r>
          </w:p>
        </w:tc>
        <w:tc>
          <w:tcPr>
            <w:tcW w:w="3535" w:type="dxa"/>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center"/>
              <w:rPr>
                <w:rFonts w:ascii="宋体" w:cs="宋体"/>
                <w:color w:val="000000"/>
                <w:kern w:val="0"/>
                <w:sz w:val="20"/>
                <w:szCs w:val="20"/>
              </w:rPr>
            </w:pPr>
            <w:r>
              <w:rPr>
                <w:rFonts w:hint="eastAsia" w:ascii="宋体" w:cs="宋体"/>
                <w:color w:val="000000"/>
                <w:kern w:val="0"/>
                <w:sz w:val="20"/>
                <w:szCs w:val="20"/>
              </w:rPr>
              <w:t>完成数量</w:t>
            </w:r>
          </w:p>
        </w:tc>
        <w:tc>
          <w:tcPr>
            <w:tcW w:w="1311" w:type="dxa"/>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center"/>
              <w:rPr>
                <w:rFonts w:ascii="宋体" w:cs="宋体"/>
                <w:color w:val="000000"/>
                <w:kern w:val="0"/>
                <w:sz w:val="20"/>
                <w:szCs w:val="20"/>
              </w:rPr>
            </w:pPr>
            <w:r>
              <w:rPr>
                <w:rFonts w:hint="eastAsia" w:ascii="宋体" w:cs="宋体"/>
                <w:color w:val="000000"/>
                <w:kern w:val="0"/>
                <w:sz w:val="20"/>
                <w:szCs w:val="20"/>
              </w:rPr>
              <w:t xml:space="preserve">5 </w:t>
            </w:r>
          </w:p>
        </w:tc>
        <w:tc>
          <w:tcPr>
            <w:tcW w:w="1311" w:type="dxa"/>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center"/>
              <w:rPr>
                <w:rFonts w:ascii="宋体" w:cs="宋体"/>
                <w:color w:val="000000"/>
                <w:kern w:val="0"/>
                <w:sz w:val="20"/>
                <w:szCs w:val="20"/>
              </w:rPr>
            </w:pPr>
            <w:r>
              <w:rPr>
                <w:rFonts w:hint="eastAsia" w:ascii="宋体" w:cs="宋体"/>
                <w:color w:val="000000"/>
                <w:kern w:val="0"/>
                <w:sz w:val="20"/>
                <w:szCs w:val="20"/>
              </w:rPr>
              <w:t xml:space="preserve">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618" w:type="dxa"/>
            <w:vMerge w:val="continue"/>
            <w:tcBorders>
              <w:top w:val="single" w:color="auto" w:sz="4" w:space="0"/>
              <w:left w:val="single" w:color="auto" w:sz="4" w:space="0"/>
              <w:bottom w:val="single" w:color="auto" w:sz="4" w:space="0"/>
              <w:right w:val="single" w:color="auto" w:sz="4" w:space="0"/>
            </w:tcBorders>
            <w:noWrap/>
            <w:vAlign w:val="center"/>
          </w:tcPr>
          <w:p/>
        </w:tc>
        <w:tc>
          <w:tcPr>
            <w:tcW w:w="2113" w:type="dxa"/>
            <w:vMerge w:val="continue"/>
            <w:tcBorders>
              <w:top w:val="single" w:color="auto" w:sz="4" w:space="0"/>
              <w:left w:val="single" w:color="auto" w:sz="4" w:space="0"/>
              <w:bottom w:val="single" w:color="auto" w:sz="4" w:space="0"/>
              <w:right w:val="single" w:color="auto" w:sz="4" w:space="0"/>
            </w:tcBorders>
            <w:noWrap/>
            <w:vAlign w:val="center"/>
          </w:tcPr>
          <w:p/>
        </w:tc>
        <w:tc>
          <w:tcPr>
            <w:tcW w:w="3535" w:type="dxa"/>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center"/>
              <w:rPr>
                <w:rFonts w:ascii="宋体" w:cs="宋体"/>
                <w:color w:val="000000"/>
                <w:kern w:val="0"/>
                <w:sz w:val="20"/>
                <w:szCs w:val="20"/>
              </w:rPr>
            </w:pPr>
            <w:r>
              <w:rPr>
                <w:rFonts w:hint="eastAsia" w:ascii="宋体" w:cs="宋体"/>
                <w:color w:val="000000"/>
                <w:kern w:val="0"/>
                <w:sz w:val="20"/>
                <w:szCs w:val="20"/>
              </w:rPr>
              <w:t>完成质量</w:t>
            </w:r>
          </w:p>
        </w:tc>
        <w:tc>
          <w:tcPr>
            <w:tcW w:w="1311" w:type="dxa"/>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center"/>
              <w:rPr>
                <w:rFonts w:ascii="宋体" w:cs="宋体"/>
                <w:color w:val="000000"/>
                <w:kern w:val="0"/>
                <w:sz w:val="20"/>
                <w:szCs w:val="20"/>
              </w:rPr>
            </w:pPr>
            <w:r>
              <w:rPr>
                <w:rFonts w:hint="eastAsia" w:ascii="宋体" w:cs="宋体"/>
                <w:color w:val="000000"/>
                <w:kern w:val="0"/>
                <w:sz w:val="20"/>
                <w:szCs w:val="20"/>
              </w:rPr>
              <w:t xml:space="preserve">5 </w:t>
            </w:r>
          </w:p>
        </w:tc>
        <w:tc>
          <w:tcPr>
            <w:tcW w:w="1311" w:type="dxa"/>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center"/>
              <w:rPr>
                <w:rFonts w:ascii="宋体" w:cs="宋体"/>
                <w:color w:val="000000"/>
                <w:kern w:val="0"/>
                <w:sz w:val="20"/>
                <w:szCs w:val="20"/>
              </w:rPr>
            </w:pPr>
            <w:r>
              <w:rPr>
                <w:rFonts w:hint="eastAsia" w:ascii="宋体" w:cs="宋体"/>
                <w:color w:val="000000"/>
                <w:kern w:val="0"/>
                <w:sz w:val="20"/>
                <w:szCs w:val="20"/>
              </w:rPr>
              <w:t xml:space="preserve">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618" w:type="dxa"/>
            <w:vMerge w:val="continue"/>
            <w:tcBorders>
              <w:top w:val="single" w:color="auto" w:sz="4" w:space="0"/>
              <w:left w:val="single" w:color="auto" w:sz="4" w:space="0"/>
              <w:bottom w:val="single" w:color="auto" w:sz="4" w:space="0"/>
              <w:right w:val="single" w:color="auto" w:sz="4" w:space="0"/>
            </w:tcBorders>
            <w:noWrap/>
            <w:vAlign w:val="center"/>
          </w:tcPr>
          <w:p/>
        </w:tc>
        <w:tc>
          <w:tcPr>
            <w:tcW w:w="2113" w:type="dxa"/>
            <w:vMerge w:val="continue"/>
            <w:tcBorders>
              <w:top w:val="single" w:color="auto" w:sz="4" w:space="0"/>
              <w:left w:val="single" w:color="auto" w:sz="4" w:space="0"/>
              <w:bottom w:val="single" w:color="auto" w:sz="4" w:space="0"/>
              <w:right w:val="single" w:color="auto" w:sz="4" w:space="0"/>
            </w:tcBorders>
            <w:noWrap/>
            <w:vAlign w:val="center"/>
          </w:tcPr>
          <w:p/>
        </w:tc>
        <w:tc>
          <w:tcPr>
            <w:tcW w:w="3535" w:type="dxa"/>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center"/>
              <w:rPr>
                <w:rFonts w:ascii="宋体" w:cs="宋体"/>
                <w:color w:val="000000"/>
                <w:kern w:val="0"/>
                <w:sz w:val="20"/>
                <w:szCs w:val="20"/>
              </w:rPr>
            </w:pPr>
            <w:r>
              <w:rPr>
                <w:rFonts w:hint="eastAsia" w:ascii="宋体" w:cs="宋体"/>
                <w:color w:val="000000"/>
                <w:kern w:val="0"/>
                <w:sz w:val="20"/>
                <w:szCs w:val="20"/>
              </w:rPr>
              <w:t>完成时效</w:t>
            </w:r>
          </w:p>
        </w:tc>
        <w:tc>
          <w:tcPr>
            <w:tcW w:w="1311" w:type="dxa"/>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center"/>
              <w:rPr>
                <w:rFonts w:ascii="宋体" w:cs="宋体"/>
                <w:color w:val="000000"/>
                <w:kern w:val="0"/>
                <w:sz w:val="20"/>
                <w:szCs w:val="20"/>
              </w:rPr>
            </w:pPr>
            <w:r>
              <w:rPr>
                <w:rFonts w:hint="eastAsia" w:ascii="宋体" w:cs="宋体"/>
                <w:color w:val="000000"/>
                <w:kern w:val="0"/>
                <w:sz w:val="20"/>
                <w:szCs w:val="20"/>
              </w:rPr>
              <w:t>5</w:t>
            </w:r>
          </w:p>
        </w:tc>
        <w:tc>
          <w:tcPr>
            <w:tcW w:w="1311" w:type="dxa"/>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center"/>
              <w:rPr>
                <w:rFonts w:ascii="宋体" w:cs="宋体"/>
                <w:color w:val="000000"/>
                <w:kern w:val="0"/>
                <w:sz w:val="20"/>
                <w:szCs w:val="20"/>
              </w:rPr>
            </w:pPr>
            <w:r>
              <w:rPr>
                <w:rFonts w:hint="eastAsia" w:ascii="宋体" w:cs="宋体"/>
                <w:color w:val="000000"/>
                <w:kern w:val="0"/>
                <w:sz w:val="20"/>
                <w:szCs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618" w:type="dxa"/>
            <w:vMerge w:val="continue"/>
            <w:tcBorders>
              <w:top w:val="single" w:color="auto" w:sz="4" w:space="0"/>
              <w:left w:val="single" w:color="auto" w:sz="4" w:space="0"/>
              <w:bottom w:val="single" w:color="auto" w:sz="4" w:space="0"/>
              <w:right w:val="single" w:color="auto" w:sz="4" w:space="0"/>
            </w:tcBorders>
            <w:noWrap/>
            <w:vAlign w:val="center"/>
          </w:tcPr>
          <w:p/>
        </w:tc>
        <w:tc>
          <w:tcPr>
            <w:tcW w:w="2113" w:type="dxa"/>
            <w:vMerge w:val="continue"/>
            <w:tcBorders>
              <w:top w:val="single" w:color="auto" w:sz="4" w:space="0"/>
              <w:left w:val="single" w:color="auto" w:sz="4" w:space="0"/>
              <w:bottom w:val="single" w:color="auto" w:sz="4" w:space="0"/>
              <w:right w:val="single" w:color="auto" w:sz="4" w:space="0"/>
            </w:tcBorders>
            <w:noWrap/>
            <w:vAlign w:val="center"/>
          </w:tcPr>
          <w:p/>
        </w:tc>
        <w:tc>
          <w:tcPr>
            <w:tcW w:w="3535" w:type="dxa"/>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center"/>
              <w:rPr>
                <w:rFonts w:ascii="宋体" w:cs="宋体"/>
                <w:color w:val="000000"/>
                <w:kern w:val="0"/>
                <w:sz w:val="20"/>
                <w:szCs w:val="20"/>
              </w:rPr>
            </w:pPr>
            <w:r>
              <w:rPr>
                <w:rFonts w:hint="eastAsia" w:ascii="宋体" w:cs="宋体"/>
                <w:color w:val="000000"/>
                <w:kern w:val="0"/>
                <w:sz w:val="20"/>
                <w:szCs w:val="20"/>
              </w:rPr>
              <w:t>完成成本</w:t>
            </w:r>
          </w:p>
        </w:tc>
        <w:tc>
          <w:tcPr>
            <w:tcW w:w="1311" w:type="dxa"/>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center"/>
              <w:rPr>
                <w:rFonts w:ascii="宋体" w:cs="宋体"/>
                <w:color w:val="000000"/>
                <w:kern w:val="0"/>
                <w:sz w:val="20"/>
                <w:szCs w:val="20"/>
              </w:rPr>
            </w:pPr>
            <w:r>
              <w:rPr>
                <w:rFonts w:hint="eastAsia" w:ascii="宋体" w:cs="宋体"/>
                <w:color w:val="000000"/>
                <w:kern w:val="0"/>
                <w:sz w:val="20"/>
                <w:szCs w:val="20"/>
              </w:rPr>
              <w:t>5</w:t>
            </w:r>
          </w:p>
        </w:tc>
        <w:tc>
          <w:tcPr>
            <w:tcW w:w="1311" w:type="dxa"/>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center"/>
              <w:rPr>
                <w:rFonts w:ascii="宋体" w:cs="宋体"/>
                <w:color w:val="000000"/>
                <w:kern w:val="0"/>
                <w:sz w:val="20"/>
                <w:szCs w:val="20"/>
              </w:rPr>
            </w:pPr>
            <w:r>
              <w:rPr>
                <w:rFonts w:hint="eastAsia" w:ascii="宋体" w:cs="宋体"/>
                <w:color w:val="000000"/>
                <w:kern w:val="0"/>
                <w:sz w:val="20"/>
                <w:szCs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1618" w:type="dxa"/>
            <w:vMerge w:val="continue"/>
            <w:tcBorders>
              <w:top w:val="single" w:color="auto" w:sz="4" w:space="0"/>
              <w:left w:val="single" w:color="auto" w:sz="4" w:space="0"/>
              <w:bottom w:val="single" w:color="auto" w:sz="4" w:space="0"/>
              <w:right w:val="single" w:color="auto" w:sz="4" w:space="0"/>
            </w:tcBorders>
            <w:noWrap/>
            <w:vAlign w:val="center"/>
          </w:tcPr>
          <w:p/>
        </w:tc>
        <w:tc>
          <w:tcPr>
            <w:tcW w:w="2113"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spacing w:line="260" w:lineRule="exact"/>
              <w:jc w:val="center"/>
              <w:rPr>
                <w:rFonts w:hint="eastAsia" w:ascii="宋体" w:eastAsia="宋体" w:cs="宋体"/>
                <w:color w:val="000000"/>
                <w:kern w:val="0"/>
                <w:sz w:val="20"/>
                <w:szCs w:val="20"/>
                <w:lang w:eastAsia="zh-CN"/>
              </w:rPr>
            </w:pPr>
            <w:r>
              <w:rPr>
                <w:rFonts w:hint="eastAsia" w:ascii="宋体" w:cs="宋体"/>
                <w:color w:val="000000"/>
                <w:kern w:val="0"/>
                <w:sz w:val="20"/>
                <w:szCs w:val="20"/>
              </w:rPr>
              <w:t>（50分）</w:t>
            </w:r>
          </w:p>
          <w:p>
            <w:pPr>
              <w:widowControl/>
              <w:spacing w:line="260" w:lineRule="exact"/>
              <w:jc w:val="center"/>
              <w:rPr>
                <w:rFonts w:ascii="宋体" w:cs="宋体"/>
                <w:color w:val="000000"/>
                <w:kern w:val="0"/>
                <w:sz w:val="20"/>
                <w:szCs w:val="20"/>
              </w:rPr>
            </w:pPr>
            <w:r>
              <w:rPr>
                <w:rFonts w:hint="eastAsia" w:ascii="宋体" w:cs="宋体"/>
                <w:color w:val="000000"/>
                <w:kern w:val="0"/>
                <w:sz w:val="20"/>
                <w:szCs w:val="20"/>
              </w:rPr>
              <w:t>项目效益</w:t>
            </w:r>
          </w:p>
        </w:tc>
        <w:tc>
          <w:tcPr>
            <w:tcW w:w="3535" w:type="dxa"/>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center"/>
              <w:rPr>
                <w:rFonts w:ascii="宋体" w:cs="宋体"/>
                <w:color w:val="000000"/>
                <w:kern w:val="0"/>
                <w:sz w:val="20"/>
                <w:szCs w:val="20"/>
              </w:rPr>
            </w:pPr>
            <w:r>
              <w:rPr>
                <w:rFonts w:hint="eastAsia" w:ascii="宋体" w:cs="宋体"/>
                <w:color w:val="000000"/>
                <w:kern w:val="0"/>
                <w:sz w:val="20"/>
                <w:szCs w:val="20"/>
              </w:rPr>
              <w:t>经济效益（可选项）</w:t>
            </w:r>
          </w:p>
        </w:tc>
        <w:tc>
          <w:tcPr>
            <w:tcW w:w="1311"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center"/>
              <w:rPr>
                <w:rFonts w:ascii="宋体" w:cs="宋体"/>
                <w:color w:val="000000"/>
                <w:kern w:val="0"/>
                <w:sz w:val="20"/>
                <w:szCs w:val="20"/>
              </w:rPr>
            </w:pPr>
            <w:r>
              <w:rPr>
                <w:rFonts w:hint="eastAsia" w:ascii="宋体" w:cs="宋体"/>
                <w:color w:val="000000"/>
                <w:kern w:val="0"/>
                <w:sz w:val="20"/>
                <w:szCs w:val="20"/>
              </w:rPr>
              <w:t>40</w:t>
            </w:r>
          </w:p>
        </w:tc>
        <w:tc>
          <w:tcPr>
            <w:tcW w:w="1311" w:type="dxa"/>
            <w:vMerge w:val="restart"/>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center"/>
              <w:rPr>
                <w:rFonts w:ascii="宋体" w:cs="宋体"/>
                <w:color w:val="000000"/>
                <w:kern w:val="0"/>
                <w:sz w:val="20"/>
                <w:szCs w:val="20"/>
              </w:rPr>
            </w:pPr>
            <w:r>
              <w:rPr>
                <w:rFonts w:hint="eastAsia" w:ascii="宋体" w:cs="宋体"/>
                <w:color w:val="000000"/>
                <w:kern w:val="0"/>
                <w:sz w:val="20"/>
                <w:szCs w:val="20"/>
              </w:rPr>
              <w:t>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1618" w:type="dxa"/>
            <w:vMerge w:val="continue"/>
            <w:tcBorders>
              <w:top w:val="single" w:color="auto" w:sz="4" w:space="0"/>
              <w:left w:val="single" w:color="auto" w:sz="4" w:space="0"/>
              <w:bottom w:val="single" w:color="auto" w:sz="4" w:space="0"/>
              <w:right w:val="single" w:color="auto" w:sz="4" w:space="0"/>
            </w:tcBorders>
            <w:noWrap/>
            <w:vAlign w:val="center"/>
          </w:tcPr>
          <w:p/>
        </w:tc>
        <w:tc>
          <w:tcPr>
            <w:tcW w:w="2113" w:type="dxa"/>
            <w:vMerge w:val="continue"/>
            <w:tcBorders>
              <w:top w:val="single" w:color="auto" w:sz="4" w:space="0"/>
              <w:left w:val="single" w:color="auto" w:sz="4" w:space="0"/>
              <w:bottom w:val="single" w:color="auto" w:sz="4" w:space="0"/>
              <w:right w:val="single" w:color="auto" w:sz="4" w:space="0"/>
            </w:tcBorders>
            <w:noWrap/>
            <w:vAlign w:val="center"/>
          </w:tcPr>
          <w:p/>
        </w:tc>
        <w:tc>
          <w:tcPr>
            <w:tcW w:w="3535" w:type="dxa"/>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center"/>
              <w:rPr>
                <w:rFonts w:ascii="宋体" w:cs="宋体"/>
                <w:color w:val="000000"/>
                <w:kern w:val="0"/>
                <w:sz w:val="20"/>
                <w:szCs w:val="20"/>
              </w:rPr>
            </w:pPr>
            <w:r>
              <w:rPr>
                <w:rFonts w:hint="eastAsia" w:ascii="宋体" w:cs="宋体"/>
                <w:color w:val="000000"/>
                <w:kern w:val="0"/>
                <w:sz w:val="20"/>
                <w:szCs w:val="20"/>
              </w:rPr>
              <w:t>社会效益（可选项）</w:t>
            </w:r>
          </w:p>
        </w:tc>
        <w:tc>
          <w:tcPr>
            <w:tcW w:w="1311" w:type="dxa"/>
            <w:vMerge w:val="continue"/>
            <w:tcBorders>
              <w:top w:val="single" w:color="auto" w:sz="4" w:space="0"/>
              <w:left w:val="single" w:color="auto" w:sz="4" w:space="0"/>
              <w:bottom w:val="single" w:color="auto" w:sz="4" w:space="0"/>
              <w:right w:val="single" w:color="auto" w:sz="4" w:space="0"/>
            </w:tcBorders>
            <w:noWrap/>
            <w:vAlign w:val="center"/>
          </w:tcPr>
          <w:p/>
        </w:tc>
        <w:tc>
          <w:tcPr>
            <w:tcW w:w="1311" w:type="dxa"/>
            <w:vMerge w:val="continue"/>
            <w:tcBorders>
              <w:top w:val="single" w:color="auto" w:sz="4" w:space="0"/>
              <w:left w:val="single" w:color="auto" w:sz="4" w:space="0"/>
              <w:bottom w:val="single" w:color="auto" w:sz="4" w:space="0"/>
              <w:right w:val="single" w:color="auto" w:sz="4" w:space="0"/>
            </w:tcBorders>
            <w:noWra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618" w:type="dxa"/>
            <w:vMerge w:val="continue"/>
            <w:tcBorders>
              <w:top w:val="single" w:color="auto" w:sz="4" w:space="0"/>
              <w:left w:val="single" w:color="auto" w:sz="4" w:space="0"/>
              <w:bottom w:val="single" w:color="auto" w:sz="4" w:space="0"/>
              <w:right w:val="single" w:color="auto" w:sz="4" w:space="0"/>
            </w:tcBorders>
            <w:noWrap/>
            <w:vAlign w:val="center"/>
          </w:tcPr>
          <w:p/>
        </w:tc>
        <w:tc>
          <w:tcPr>
            <w:tcW w:w="2113" w:type="dxa"/>
            <w:vMerge w:val="continue"/>
            <w:tcBorders>
              <w:top w:val="single" w:color="auto" w:sz="4" w:space="0"/>
              <w:left w:val="single" w:color="auto" w:sz="4" w:space="0"/>
              <w:bottom w:val="single" w:color="auto" w:sz="4" w:space="0"/>
              <w:right w:val="single" w:color="auto" w:sz="4" w:space="0"/>
            </w:tcBorders>
            <w:noWrap/>
            <w:vAlign w:val="center"/>
          </w:tcPr>
          <w:p/>
        </w:tc>
        <w:tc>
          <w:tcPr>
            <w:tcW w:w="3535" w:type="dxa"/>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center"/>
              <w:rPr>
                <w:rFonts w:ascii="宋体" w:cs="宋体"/>
                <w:color w:val="000000"/>
                <w:kern w:val="0"/>
                <w:sz w:val="20"/>
                <w:szCs w:val="20"/>
              </w:rPr>
            </w:pPr>
            <w:r>
              <w:rPr>
                <w:rFonts w:hint="eastAsia" w:ascii="宋体" w:cs="宋体"/>
                <w:color w:val="000000"/>
                <w:kern w:val="0"/>
                <w:sz w:val="20"/>
                <w:szCs w:val="20"/>
              </w:rPr>
              <w:t>生态效益（可选项）</w:t>
            </w:r>
          </w:p>
        </w:tc>
        <w:tc>
          <w:tcPr>
            <w:tcW w:w="1311" w:type="dxa"/>
            <w:vMerge w:val="continue"/>
            <w:tcBorders>
              <w:top w:val="single" w:color="auto" w:sz="4" w:space="0"/>
              <w:left w:val="single" w:color="auto" w:sz="4" w:space="0"/>
              <w:bottom w:val="single" w:color="auto" w:sz="4" w:space="0"/>
              <w:right w:val="single" w:color="auto" w:sz="4" w:space="0"/>
            </w:tcBorders>
            <w:noWrap/>
            <w:vAlign w:val="center"/>
          </w:tcPr>
          <w:p/>
        </w:tc>
        <w:tc>
          <w:tcPr>
            <w:tcW w:w="1311" w:type="dxa"/>
            <w:vMerge w:val="continue"/>
            <w:tcBorders>
              <w:top w:val="single" w:color="auto" w:sz="4" w:space="0"/>
              <w:left w:val="single" w:color="auto" w:sz="4" w:space="0"/>
              <w:bottom w:val="single" w:color="auto" w:sz="4" w:space="0"/>
              <w:right w:val="single" w:color="auto" w:sz="4" w:space="0"/>
            </w:tcBorders>
            <w:noWra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1618" w:type="dxa"/>
            <w:vMerge w:val="continue"/>
            <w:tcBorders>
              <w:top w:val="single" w:color="auto" w:sz="4" w:space="0"/>
              <w:left w:val="single" w:color="auto" w:sz="4" w:space="0"/>
              <w:bottom w:val="single" w:color="auto" w:sz="4" w:space="0"/>
              <w:right w:val="single" w:color="auto" w:sz="4" w:space="0"/>
            </w:tcBorders>
            <w:noWrap/>
            <w:vAlign w:val="center"/>
          </w:tcPr>
          <w:p/>
        </w:tc>
        <w:tc>
          <w:tcPr>
            <w:tcW w:w="2113" w:type="dxa"/>
            <w:vMerge w:val="continue"/>
            <w:tcBorders>
              <w:top w:val="single" w:color="auto" w:sz="4" w:space="0"/>
              <w:left w:val="single" w:color="auto" w:sz="4" w:space="0"/>
              <w:bottom w:val="single" w:color="auto" w:sz="4" w:space="0"/>
              <w:right w:val="single" w:color="auto" w:sz="4" w:space="0"/>
            </w:tcBorders>
            <w:noWrap/>
            <w:vAlign w:val="center"/>
          </w:tcPr>
          <w:p/>
        </w:tc>
        <w:tc>
          <w:tcPr>
            <w:tcW w:w="3535" w:type="dxa"/>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center"/>
              <w:rPr>
                <w:rFonts w:ascii="宋体" w:cs="宋体"/>
                <w:color w:val="000000"/>
                <w:kern w:val="0"/>
                <w:sz w:val="20"/>
                <w:szCs w:val="20"/>
              </w:rPr>
            </w:pPr>
            <w:r>
              <w:rPr>
                <w:rFonts w:hint="eastAsia" w:ascii="宋体" w:cs="宋体"/>
                <w:color w:val="000000"/>
                <w:kern w:val="0"/>
                <w:sz w:val="20"/>
                <w:szCs w:val="20"/>
              </w:rPr>
              <w:t>可持续效益（可选项）</w:t>
            </w:r>
          </w:p>
        </w:tc>
        <w:tc>
          <w:tcPr>
            <w:tcW w:w="1311" w:type="dxa"/>
            <w:vMerge w:val="continue"/>
            <w:tcBorders>
              <w:top w:val="single" w:color="auto" w:sz="4" w:space="0"/>
              <w:left w:val="single" w:color="auto" w:sz="4" w:space="0"/>
              <w:bottom w:val="single" w:color="auto" w:sz="4" w:space="0"/>
              <w:right w:val="single" w:color="auto" w:sz="4" w:space="0"/>
            </w:tcBorders>
            <w:noWrap/>
            <w:vAlign w:val="center"/>
          </w:tcPr>
          <w:p/>
        </w:tc>
        <w:tc>
          <w:tcPr>
            <w:tcW w:w="1311" w:type="dxa"/>
            <w:vMerge w:val="continue"/>
            <w:tcBorders>
              <w:top w:val="single" w:color="auto" w:sz="4" w:space="0"/>
              <w:left w:val="single" w:color="auto" w:sz="4" w:space="0"/>
              <w:bottom w:val="single" w:color="auto" w:sz="4" w:space="0"/>
              <w:right w:val="single" w:color="auto" w:sz="4" w:space="0"/>
            </w:tcBorders>
            <w:noWra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618" w:type="dxa"/>
            <w:vMerge w:val="continue"/>
            <w:tcBorders>
              <w:top w:val="single" w:color="auto" w:sz="4" w:space="0"/>
              <w:left w:val="single" w:color="auto" w:sz="4" w:space="0"/>
              <w:bottom w:val="single" w:color="auto" w:sz="4" w:space="0"/>
              <w:right w:val="single" w:color="auto" w:sz="4" w:space="0"/>
            </w:tcBorders>
            <w:noWrap/>
            <w:vAlign w:val="center"/>
          </w:tcPr>
          <w:p/>
        </w:tc>
        <w:tc>
          <w:tcPr>
            <w:tcW w:w="2113" w:type="dxa"/>
            <w:vMerge w:val="continue"/>
            <w:tcBorders>
              <w:top w:val="single" w:color="auto" w:sz="4" w:space="0"/>
              <w:left w:val="single" w:color="auto" w:sz="4" w:space="0"/>
              <w:bottom w:val="single" w:color="auto" w:sz="4" w:space="0"/>
              <w:right w:val="single" w:color="auto" w:sz="4" w:space="0"/>
            </w:tcBorders>
            <w:noWrap/>
            <w:vAlign w:val="center"/>
          </w:tcPr>
          <w:p/>
        </w:tc>
        <w:tc>
          <w:tcPr>
            <w:tcW w:w="3535" w:type="dxa"/>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center"/>
              <w:rPr>
                <w:rFonts w:ascii="宋体" w:cs="宋体"/>
                <w:color w:val="000000"/>
                <w:kern w:val="0"/>
                <w:sz w:val="20"/>
                <w:szCs w:val="20"/>
              </w:rPr>
            </w:pPr>
            <w:r>
              <w:rPr>
                <w:rFonts w:hint="eastAsia" w:ascii="宋体" w:cs="宋体"/>
                <w:color w:val="000000"/>
                <w:kern w:val="0"/>
                <w:sz w:val="20"/>
                <w:szCs w:val="20"/>
              </w:rPr>
              <w:t>公平效率（可选项）</w:t>
            </w:r>
          </w:p>
        </w:tc>
        <w:tc>
          <w:tcPr>
            <w:tcW w:w="1311" w:type="dxa"/>
            <w:vMerge w:val="continue"/>
            <w:tcBorders>
              <w:top w:val="single" w:color="auto" w:sz="4" w:space="0"/>
              <w:left w:val="single" w:color="auto" w:sz="4" w:space="0"/>
              <w:bottom w:val="single" w:color="auto" w:sz="4" w:space="0"/>
              <w:right w:val="single" w:color="auto" w:sz="4" w:space="0"/>
            </w:tcBorders>
            <w:noWrap/>
            <w:vAlign w:val="center"/>
          </w:tcPr>
          <w:p/>
        </w:tc>
        <w:tc>
          <w:tcPr>
            <w:tcW w:w="1311" w:type="dxa"/>
            <w:vMerge w:val="continue"/>
            <w:tcBorders>
              <w:top w:val="single" w:color="auto" w:sz="4" w:space="0"/>
              <w:left w:val="single" w:color="auto" w:sz="4" w:space="0"/>
              <w:bottom w:val="single" w:color="auto" w:sz="4" w:space="0"/>
              <w:right w:val="single" w:color="auto" w:sz="4" w:space="0"/>
            </w:tcBorders>
            <w:noWra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618" w:type="dxa"/>
            <w:vMerge w:val="continue"/>
            <w:tcBorders>
              <w:top w:val="single" w:color="auto" w:sz="4" w:space="0"/>
              <w:left w:val="single" w:color="auto" w:sz="4" w:space="0"/>
              <w:bottom w:val="single" w:color="auto" w:sz="4" w:space="0"/>
              <w:right w:val="single" w:color="auto" w:sz="4" w:space="0"/>
            </w:tcBorders>
            <w:noWrap/>
            <w:vAlign w:val="center"/>
          </w:tcPr>
          <w:p/>
        </w:tc>
        <w:tc>
          <w:tcPr>
            <w:tcW w:w="2113" w:type="dxa"/>
            <w:vMerge w:val="continue"/>
            <w:tcBorders>
              <w:top w:val="single" w:color="auto" w:sz="4" w:space="0"/>
              <w:left w:val="single" w:color="auto" w:sz="4" w:space="0"/>
              <w:bottom w:val="single" w:color="auto" w:sz="4" w:space="0"/>
              <w:right w:val="single" w:color="auto" w:sz="4" w:space="0"/>
            </w:tcBorders>
            <w:noWrap/>
            <w:vAlign w:val="center"/>
          </w:tcPr>
          <w:p/>
        </w:tc>
        <w:tc>
          <w:tcPr>
            <w:tcW w:w="3535" w:type="dxa"/>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center"/>
              <w:rPr>
                <w:rFonts w:ascii="宋体" w:cs="宋体"/>
                <w:color w:val="000000"/>
                <w:kern w:val="0"/>
                <w:sz w:val="20"/>
                <w:szCs w:val="20"/>
              </w:rPr>
            </w:pPr>
            <w:r>
              <w:rPr>
                <w:rFonts w:hint="eastAsia" w:ascii="宋体" w:cs="宋体"/>
                <w:color w:val="000000"/>
                <w:kern w:val="0"/>
                <w:sz w:val="20"/>
                <w:szCs w:val="20"/>
              </w:rPr>
              <w:t>使用效率（可选项）</w:t>
            </w:r>
          </w:p>
        </w:tc>
        <w:tc>
          <w:tcPr>
            <w:tcW w:w="1311" w:type="dxa"/>
            <w:vMerge w:val="continue"/>
            <w:tcBorders>
              <w:top w:val="single" w:color="auto" w:sz="4" w:space="0"/>
              <w:left w:val="single" w:color="auto" w:sz="4" w:space="0"/>
              <w:bottom w:val="single" w:color="auto" w:sz="4" w:space="0"/>
              <w:right w:val="single" w:color="auto" w:sz="4" w:space="0"/>
            </w:tcBorders>
            <w:noWrap/>
            <w:vAlign w:val="center"/>
          </w:tcPr>
          <w:p/>
        </w:tc>
        <w:tc>
          <w:tcPr>
            <w:tcW w:w="1311" w:type="dxa"/>
            <w:vMerge w:val="continue"/>
            <w:tcBorders>
              <w:top w:val="single" w:color="auto" w:sz="4" w:space="0"/>
              <w:left w:val="single" w:color="auto" w:sz="4" w:space="0"/>
              <w:bottom w:val="single" w:color="auto" w:sz="4" w:space="0"/>
              <w:right w:val="single" w:color="auto" w:sz="4" w:space="0"/>
            </w:tcBorders>
            <w:noWra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618" w:type="dxa"/>
            <w:vMerge w:val="continue"/>
            <w:tcBorders>
              <w:top w:val="single" w:color="auto" w:sz="4" w:space="0"/>
              <w:left w:val="single" w:color="auto" w:sz="4" w:space="0"/>
              <w:bottom w:val="single" w:color="auto" w:sz="4" w:space="0"/>
              <w:right w:val="single" w:color="auto" w:sz="4" w:space="0"/>
            </w:tcBorders>
            <w:noWrap/>
            <w:vAlign w:val="center"/>
          </w:tcPr>
          <w:p/>
        </w:tc>
        <w:tc>
          <w:tcPr>
            <w:tcW w:w="2113" w:type="dxa"/>
            <w:vMerge w:val="continue"/>
            <w:tcBorders>
              <w:top w:val="single" w:color="auto" w:sz="4" w:space="0"/>
              <w:left w:val="single" w:color="auto" w:sz="4" w:space="0"/>
              <w:bottom w:val="single" w:color="auto" w:sz="4" w:space="0"/>
              <w:right w:val="single" w:color="auto" w:sz="4" w:space="0"/>
            </w:tcBorders>
            <w:noWrap/>
            <w:vAlign w:val="center"/>
          </w:tcPr>
          <w:p/>
        </w:tc>
        <w:tc>
          <w:tcPr>
            <w:tcW w:w="3535" w:type="dxa"/>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center"/>
              <w:rPr>
                <w:rFonts w:ascii="宋体" w:cs="宋体"/>
                <w:color w:val="000000"/>
                <w:kern w:val="0"/>
                <w:sz w:val="20"/>
                <w:szCs w:val="20"/>
              </w:rPr>
            </w:pPr>
            <w:r>
              <w:rPr>
                <w:rFonts w:hint="eastAsia" w:ascii="宋体" w:cs="宋体"/>
                <w:color w:val="000000"/>
                <w:kern w:val="0"/>
                <w:sz w:val="20"/>
                <w:szCs w:val="20"/>
              </w:rPr>
              <w:t xml:space="preserve">服务对象满意度    </w:t>
            </w:r>
          </w:p>
        </w:tc>
        <w:tc>
          <w:tcPr>
            <w:tcW w:w="1311" w:type="dxa"/>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center"/>
              <w:rPr>
                <w:rFonts w:ascii="宋体" w:cs="宋体"/>
                <w:color w:val="000000"/>
                <w:kern w:val="0"/>
                <w:sz w:val="20"/>
                <w:szCs w:val="20"/>
              </w:rPr>
            </w:pPr>
            <w:r>
              <w:rPr>
                <w:rFonts w:hint="eastAsia" w:ascii="宋体" w:cs="宋体"/>
                <w:color w:val="000000"/>
                <w:kern w:val="0"/>
                <w:sz w:val="20"/>
                <w:szCs w:val="20"/>
              </w:rPr>
              <w:t>10</w:t>
            </w:r>
          </w:p>
        </w:tc>
        <w:tc>
          <w:tcPr>
            <w:tcW w:w="1311" w:type="dxa"/>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center"/>
            </w:pPr>
            <w:r>
              <w:rPr>
                <w:rFonts w:hint="eastAsia"/>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1618" w:type="dxa"/>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left"/>
              <w:rPr>
                <w:rFonts w:ascii="宋体" w:cs="宋体"/>
                <w:color w:val="000000"/>
                <w:kern w:val="0"/>
                <w:sz w:val="20"/>
                <w:szCs w:val="20"/>
              </w:rPr>
            </w:pPr>
            <w:r>
              <w:rPr>
                <w:rFonts w:hint="eastAsia" w:ascii="宋体" w:cs="宋体"/>
                <w:color w:val="000000"/>
                <w:kern w:val="0"/>
                <w:sz w:val="20"/>
                <w:szCs w:val="20"/>
              </w:rPr>
              <w:t>总分</w:t>
            </w:r>
          </w:p>
        </w:tc>
        <w:tc>
          <w:tcPr>
            <w:tcW w:w="8270" w:type="dxa"/>
            <w:gridSpan w:val="4"/>
            <w:tcBorders>
              <w:top w:val="single" w:color="auto" w:sz="4" w:space="0"/>
              <w:left w:val="single" w:color="auto" w:sz="4" w:space="0"/>
              <w:bottom w:val="single" w:color="auto" w:sz="4" w:space="0"/>
              <w:right w:val="single" w:color="auto" w:sz="4" w:space="0"/>
            </w:tcBorders>
            <w:noWrap/>
            <w:vAlign w:val="center"/>
          </w:tcPr>
          <w:p>
            <w:pPr>
              <w:widowControl/>
              <w:spacing w:line="260" w:lineRule="exact"/>
              <w:jc w:val="center"/>
              <w:rPr>
                <w:rFonts w:ascii="宋体" w:cs="宋体"/>
                <w:color w:val="000000"/>
                <w:kern w:val="0"/>
                <w:sz w:val="15"/>
                <w:szCs w:val="15"/>
              </w:rPr>
            </w:pPr>
          </w:p>
        </w:tc>
      </w:tr>
    </w:tbl>
    <w:p>
      <w:pPr>
        <w:pStyle w:val="2"/>
        <w:rPr>
          <w:rFonts w:hint="eastAsia"/>
          <w:lang w:val="en-US"/>
        </w:rPr>
      </w:pPr>
    </w:p>
    <w:p>
      <w:pPr>
        <w:spacing w:line="600" w:lineRule="exact"/>
        <w:ind w:firstLine="640"/>
        <w:rPr>
          <w:rFonts w:hint="eastAsia" w:ascii="黑体" w:eastAsia="黑体"/>
          <w:color w:val="000000"/>
          <w:sz w:val="32"/>
          <w:szCs w:val="32"/>
          <w:lang w:val="en-US" w:eastAsia="zh-CN"/>
        </w:rPr>
      </w:pPr>
      <w:r>
        <w:rPr>
          <w:rFonts w:hint="eastAsia" w:ascii="黑体" w:eastAsia="黑体"/>
          <w:color w:val="000000"/>
          <w:sz w:val="32"/>
          <w:szCs w:val="32"/>
          <w:lang w:val="en-US" w:eastAsia="zh-CN"/>
        </w:rPr>
        <w:t>十一、其他重要事项的情况说明</w:t>
      </w:r>
    </w:p>
    <w:p>
      <w:pPr>
        <w:spacing w:line="600" w:lineRule="exact"/>
        <w:ind w:firstLine="640"/>
        <w:rPr>
          <w:rFonts w:hint="eastAsia" w:ascii="宋体" w:eastAsia="宋体" w:cs="宋体"/>
          <w:bCs/>
          <w:sz w:val="32"/>
          <w:szCs w:val="32"/>
          <w:lang w:val="en-US"/>
        </w:rPr>
      </w:pPr>
      <w:r>
        <w:rPr>
          <w:rFonts w:hint="eastAsia" w:ascii="宋体" w:eastAsia="宋体" w:cs="宋体"/>
          <w:bCs/>
          <w:kern w:val="2"/>
          <w:sz w:val="32"/>
          <w:szCs w:val="32"/>
          <w:lang w:val="en-US" w:eastAsia="zh-CN"/>
        </w:rPr>
        <w:t>（一）机关运行经费支出情况</w:t>
      </w:r>
    </w:p>
    <w:p>
      <w:pPr>
        <w:spacing w:line="600" w:lineRule="exact"/>
        <w:ind w:firstLine="640" w:firstLineChars="200"/>
        <w:rPr>
          <w:rFonts w:hint="eastAsia" w:ascii="宋体" w:eastAsia="宋体" w:cs="宋体"/>
          <w:sz w:val="32"/>
          <w:szCs w:val="32"/>
          <w:lang w:val="en-US"/>
        </w:rPr>
      </w:pPr>
      <w:r>
        <w:rPr>
          <w:rFonts w:hint="eastAsia" w:ascii="宋体" w:eastAsia="宋体" w:cs="宋体"/>
          <w:kern w:val="2"/>
          <w:sz w:val="32"/>
          <w:szCs w:val="32"/>
          <w:lang w:val="en-US" w:eastAsia="zh-CN"/>
        </w:rPr>
        <w:t>2021年度，医保局机关运行经费支出17.13万元</w:t>
      </w:r>
      <w:r>
        <w:rPr>
          <w:rFonts w:hint="eastAsia" w:ascii="宋体" w:cs="宋体"/>
          <w:kern w:val="2"/>
          <w:sz w:val="32"/>
          <w:szCs w:val="32"/>
          <w:lang w:val="en-US" w:eastAsia="zh-CN"/>
        </w:rPr>
        <w:t>，</w:t>
      </w:r>
      <w:r>
        <w:rPr>
          <w:rFonts w:hint="eastAsia" w:ascii="宋体" w:hAnsi="宋体" w:eastAsia="宋体" w:cs="宋体"/>
          <w:color w:val="auto"/>
          <w:sz w:val="32"/>
          <w:szCs w:val="32"/>
        </w:rPr>
        <w:t>20</w:t>
      </w:r>
      <w:r>
        <w:rPr>
          <w:rFonts w:hint="eastAsia" w:ascii="宋体" w:hAnsi="宋体" w:eastAsia="宋体" w:cs="宋体"/>
          <w:color w:val="auto"/>
          <w:sz w:val="32"/>
          <w:szCs w:val="32"/>
          <w:lang w:val="en-US" w:eastAsia="zh-CN"/>
        </w:rPr>
        <w:t>20</w:t>
      </w:r>
      <w:r>
        <w:rPr>
          <w:rFonts w:hint="eastAsia" w:ascii="宋体" w:hAnsi="宋体" w:eastAsia="宋体" w:cs="宋体"/>
          <w:color w:val="auto"/>
          <w:sz w:val="32"/>
          <w:szCs w:val="32"/>
        </w:rPr>
        <w:t>年医保局事业运行经费支出</w:t>
      </w:r>
      <w:r>
        <w:rPr>
          <w:rFonts w:hint="eastAsia" w:ascii="宋体" w:hAnsi="宋体" w:eastAsia="宋体" w:cs="宋体"/>
          <w:color w:val="auto"/>
          <w:sz w:val="32"/>
          <w:szCs w:val="32"/>
          <w:lang w:val="en-US" w:eastAsia="zh-CN"/>
        </w:rPr>
        <w:t>38.47</w:t>
      </w:r>
      <w:r>
        <w:rPr>
          <w:rFonts w:hint="eastAsia" w:ascii="宋体" w:hAnsi="宋体" w:eastAsia="宋体" w:cs="宋体"/>
          <w:color w:val="auto"/>
          <w:sz w:val="32"/>
          <w:szCs w:val="32"/>
        </w:rPr>
        <w:t>万元</w:t>
      </w:r>
      <w:r>
        <w:rPr>
          <w:rFonts w:hint="eastAsia" w:ascii="宋体" w:hAnsi="宋体" w:cs="宋体"/>
          <w:color w:val="auto"/>
          <w:sz w:val="32"/>
          <w:szCs w:val="32"/>
          <w:lang w:eastAsia="zh-CN"/>
        </w:rPr>
        <w:t>，减少</w:t>
      </w:r>
      <w:r>
        <w:rPr>
          <w:rFonts w:hint="eastAsia" w:ascii="宋体" w:hAnsi="宋体" w:cs="宋体"/>
          <w:color w:val="auto"/>
          <w:sz w:val="32"/>
          <w:szCs w:val="32"/>
          <w:lang w:val="en-US" w:eastAsia="zh-CN"/>
        </w:rPr>
        <w:t>21.34万元，减少55.47%，主要是由于2021年机关运行经费减少，部分办公费、印刷费、差旅费未支付；手续费、电费减少。</w:t>
      </w:r>
    </w:p>
    <w:p>
      <w:pPr>
        <w:keepNext w:val="0"/>
        <w:keepLines w:val="0"/>
        <w:widowControl w:val="0"/>
        <w:suppressLineNumbers w:val="0"/>
        <w:autoSpaceDE w:val="0"/>
        <w:autoSpaceDN w:val="0"/>
        <w:adjustRightInd w:val="0"/>
        <w:spacing w:before="0" w:beforeAutospacing="0" w:after="0" w:afterAutospacing="0" w:line="600" w:lineRule="exact"/>
        <w:ind w:left="0" w:right="0" w:firstLine="640" w:firstLineChars="200"/>
        <w:jc w:val="left"/>
        <w:rPr>
          <w:rFonts w:hint="eastAsia" w:ascii="宋体" w:eastAsia="宋体" w:cs="宋体"/>
          <w:bCs/>
          <w:sz w:val="32"/>
          <w:szCs w:val="32"/>
          <w:lang w:val="en-US"/>
        </w:rPr>
      </w:pPr>
      <w:r>
        <w:rPr>
          <w:rFonts w:hint="eastAsia" w:ascii="宋体" w:eastAsia="宋体" w:cs="宋体"/>
          <w:bCs/>
          <w:kern w:val="2"/>
          <w:sz w:val="32"/>
          <w:szCs w:val="32"/>
          <w:lang w:val="en-US" w:eastAsia="zh-CN"/>
        </w:rPr>
        <w:t>（二）政</w:t>
      </w:r>
      <w:bookmarkStart w:id="22" w:name="_GoBack"/>
      <w:bookmarkEnd w:id="22"/>
      <w:r>
        <w:rPr>
          <w:rFonts w:hint="eastAsia" w:ascii="宋体" w:eastAsia="宋体" w:cs="宋体"/>
          <w:bCs/>
          <w:kern w:val="2"/>
          <w:sz w:val="32"/>
          <w:szCs w:val="32"/>
          <w:lang w:val="en-US" w:eastAsia="zh-CN"/>
        </w:rPr>
        <w:t>府采购支出情况</w:t>
      </w:r>
    </w:p>
    <w:p>
      <w:pPr>
        <w:keepNext w:val="0"/>
        <w:keepLines w:val="0"/>
        <w:widowControl w:val="0"/>
        <w:suppressLineNumbers w:val="0"/>
        <w:autoSpaceDE w:val="0"/>
        <w:autoSpaceDN w:val="0"/>
        <w:adjustRightInd w:val="0"/>
        <w:spacing w:before="0" w:beforeAutospacing="0" w:after="0" w:afterAutospacing="0" w:line="600" w:lineRule="exact"/>
        <w:ind w:left="0" w:right="0" w:firstLine="640" w:firstLineChars="200"/>
        <w:jc w:val="left"/>
        <w:rPr>
          <w:rFonts w:hint="default" w:ascii="宋体" w:eastAsia="宋体" w:cs="宋体"/>
          <w:bCs/>
          <w:kern w:val="2"/>
          <w:sz w:val="32"/>
          <w:szCs w:val="32"/>
          <w:lang w:val="en-US" w:eastAsia="zh-CN"/>
        </w:rPr>
      </w:pPr>
      <w:r>
        <w:rPr>
          <w:rFonts w:hint="eastAsia" w:ascii="宋体" w:eastAsia="宋体" w:cs="宋体"/>
          <w:bCs/>
          <w:kern w:val="2"/>
          <w:sz w:val="32"/>
          <w:szCs w:val="32"/>
          <w:lang w:val="en-US" w:eastAsia="zh-CN"/>
        </w:rPr>
        <w:t>2021年度，医保局采购支出总额0万元。</w:t>
      </w:r>
      <w:r>
        <w:rPr>
          <w:rFonts w:hint="eastAsia" w:ascii="宋体" w:cs="宋体"/>
          <w:bCs/>
          <w:kern w:val="2"/>
          <w:sz w:val="32"/>
          <w:szCs w:val="32"/>
          <w:lang w:val="en-US" w:eastAsia="zh-CN"/>
        </w:rPr>
        <w:t>2020年采购支出4.30万元，减少100%。</w:t>
      </w:r>
    </w:p>
    <w:p>
      <w:pPr>
        <w:keepNext w:val="0"/>
        <w:keepLines w:val="0"/>
        <w:widowControl w:val="0"/>
        <w:suppressLineNumbers w:val="0"/>
        <w:autoSpaceDE w:val="0"/>
        <w:autoSpaceDN w:val="0"/>
        <w:adjustRightInd w:val="0"/>
        <w:spacing w:before="0" w:beforeAutospacing="0" w:after="0" w:afterAutospacing="0" w:line="600" w:lineRule="exact"/>
        <w:ind w:left="0" w:right="0" w:firstLine="640" w:firstLineChars="200"/>
        <w:jc w:val="left"/>
        <w:rPr>
          <w:rFonts w:hint="eastAsia" w:ascii="宋体" w:eastAsia="宋体" w:cs="宋体"/>
          <w:bCs/>
          <w:sz w:val="32"/>
          <w:szCs w:val="32"/>
          <w:lang w:val="en-US"/>
        </w:rPr>
      </w:pPr>
      <w:r>
        <w:rPr>
          <w:rFonts w:hint="eastAsia" w:ascii="宋体" w:eastAsia="宋体" w:cs="宋体"/>
          <w:bCs/>
          <w:kern w:val="2"/>
          <w:sz w:val="32"/>
          <w:szCs w:val="32"/>
          <w:lang w:val="en-US" w:eastAsia="zh-CN"/>
        </w:rPr>
        <w:t>（三）国有资产占有使用情况</w:t>
      </w:r>
    </w:p>
    <w:p>
      <w:pPr>
        <w:keepNext w:val="0"/>
        <w:keepLines w:val="0"/>
        <w:widowControl w:val="0"/>
        <w:suppressLineNumbers w:val="0"/>
        <w:autoSpaceDE w:val="0"/>
        <w:autoSpaceDN w:val="0"/>
        <w:adjustRightInd w:val="0"/>
        <w:spacing w:before="0" w:beforeAutospacing="0" w:after="0" w:afterAutospacing="0" w:line="600" w:lineRule="exact"/>
        <w:ind w:left="0" w:right="0" w:firstLine="640" w:firstLineChars="200"/>
        <w:jc w:val="left"/>
        <w:rPr>
          <w:rFonts w:hint="eastAsia" w:ascii="宋体" w:eastAsia="宋体" w:cs="宋体"/>
          <w:sz w:val="32"/>
          <w:szCs w:val="32"/>
          <w:lang w:val="en-US"/>
        </w:rPr>
      </w:pPr>
      <w:r>
        <w:rPr>
          <w:rFonts w:hint="eastAsia" w:ascii="宋体" w:eastAsia="宋体" w:cs="宋体"/>
          <w:kern w:val="2"/>
          <w:sz w:val="32"/>
          <w:szCs w:val="32"/>
          <w:lang w:val="en-US" w:eastAsia="zh-CN"/>
        </w:rPr>
        <w:t>截至2021年12月31日，我局有公有车辆1辆，为一般公务用车；无单价50万元以上通用设备，无单价100万元以上专用设备。</w:t>
      </w:r>
    </w:p>
    <w:p>
      <w:pPr>
        <w:widowControl/>
        <w:ind w:firstLine="643" w:firstLineChars="200"/>
        <w:jc w:val="left"/>
      </w:pPr>
      <w:r>
        <w:rPr>
          <w:rFonts w:hint="eastAsia" w:ascii="仿宋_GB2312" w:eastAsia="仿宋_GB2312"/>
          <w:b/>
          <w:color w:val="000000"/>
          <w:sz w:val="32"/>
          <w:szCs w:val="32"/>
        </w:rPr>
        <w:t xml:space="preserve">   </w:t>
      </w:r>
    </w:p>
    <w:p>
      <w:pPr>
        <w:numPr>
          <w:ilvl w:val="0"/>
          <w:numId w:val="7"/>
        </w:numPr>
        <w:spacing w:line="600" w:lineRule="exact"/>
        <w:ind w:left="0" w:firstLine="663" w:firstLineChars="150"/>
        <w:jc w:val="center"/>
        <w:outlineLvl w:val="0"/>
        <w:rPr>
          <w:rStyle w:val="15"/>
          <w:rFonts w:ascii="黑体" w:eastAsia="黑体"/>
          <w:b w:val="0"/>
        </w:rPr>
      </w:pPr>
      <w:bookmarkStart w:id="20" w:name="_Toc15396613"/>
      <w:bookmarkStart w:id="21" w:name="_Toc15377225"/>
      <w:r>
        <w:rPr>
          <w:rFonts w:hint="eastAsia" w:ascii="黑体" w:eastAsia="黑体"/>
          <w:b/>
          <w:color w:val="000000"/>
          <w:sz w:val="44"/>
          <w:szCs w:val="44"/>
        </w:rPr>
        <w:t>名</w:t>
      </w:r>
      <w:r>
        <w:rPr>
          <w:rStyle w:val="15"/>
          <w:rFonts w:hint="eastAsia" w:ascii="黑体" w:eastAsia="黑体"/>
          <w:b w:val="0"/>
        </w:rPr>
        <w:t>词解释</w:t>
      </w:r>
      <w:bookmarkEnd w:id="20"/>
      <w:bookmarkEnd w:id="21"/>
    </w:p>
    <w:p>
      <w:pPr>
        <w:pStyle w:val="2"/>
      </w:pPr>
    </w:p>
    <w:p>
      <w:pPr>
        <w:pStyle w:val="17"/>
        <w:keepNext w:val="0"/>
        <w:keepLines w:val="0"/>
        <w:widowControl/>
        <w:suppressLineNumbers w:val="0"/>
        <w:spacing w:line="560" w:lineRule="exact"/>
        <w:ind w:left="0" w:firstLine="640" w:firstLineChars="200"/>
        <w:rPr>
          <w:rFonts w:hint="eastAsia" w:ascii="宋体" w:eastAsia="宋体" w:cs="宋体"/>
          <w:color w:val="auto"/>
          <w:sz w:val="32"/>
          <w:szCs w:val="32"/>
          <w:lang w:val="en-US"/>
        </w:rPr>
      </w:pPr>
      <w:r>
        <w:rPr>
          <w:rFonts w:hint="eastAsia" w:ascii="宋体" w:eastAsia="宋体" w:cs="宋体"/>
          <w:color w:val="auto"/>
          <w:sz w:val="32"/>
          <w:szCs w:val="32"/>
          <w:lang w:val="en-US"/>
        </w:rPr>
        <w:t>1.</w:t>
      </w:r>
      <w:r>
        <w:rPr>
          <w:rFonts w:hint="eastAsia" w:ascii="宋体" w:eastAsia="宋体" w:cs="宋体"/>
          <w:color w:val="auto"/>
          <w:sz w:val="32"/>
          <w:szCs w:val="32"/>
          <w:lang w:eastAsia="zh-CN"/>
        </w:rPr>
        <w:t xml:space="preserve">财政拨款收入：指州级财政当年拨付的资金。 </w:t>
      </w:r>
    </w:p>
    <w:p>
      <w:pPr>
        <w:pStyle w:val="17"/>
        <w:keepNext w:val="0"/>
        <w:keepLines w:val="0"/>
        <w:widowControl/>
        <w:suppressLineNumbers w:val="0"/>
        <w:spacing w:line="560" w:lineRule="exact"/>
        <w:ind w:left="0" w:firstLine="640" w:firstLineChars="200"/>
        <w:rPr>
          <w:rFonts w:hint="eastAsia" w:ascii="宋体" w:eastAsia="宋体" w:cs="宋体"/>
          <w:color w:val="auto"/>
          <w:sz w:val="32"/>
          <w:szCs w:val="32"/>
          <w:lang w:val="en-US"/>
        </w:rPr>
      </w:pPr>
      <w:r>
        <w:rPr>
          <w:rFonts w:hint="eastAsia" w:ascii="宋体" w:eastAsia="宋体" w:cs="宋体"/>
          <w:color w:val="auto"/>
          <w:sz w:val="32"/>
          <w:szCs w:val="32"/>
          <w:lang w:val="en-US"/>
        </w:rPr>
        <w:t>2.</w:t>
      </w:r>
      <w:r>
        <w:rPr>
          <w:rFonts w:hint="eastAsia" w:ascii="宋体" w:eastAsia="宋体" w:cs="宋体"/>
          <w:color w:val="auto"/>
          <w:sz w:val="32"/>
          <w:szCs w:val="32"/>
          <w:lang w:eastAsia="zh-CN"/>
        </w:rPr>
        <w:t xml:space="preserve">年初结转和结余：指以前年度尚未完成、结转到本年按有关规定继续使用的资金。 </w:t>
      </w:r>
    </w:p>
    <w:p>
      <w:pPr>
        <w:keepNext w:val="0"/>
        <w:keepLines w:val="0"/>
        <w:widowControl w:val="0"/>
        <w:suppressLineNumbers w:val="0"/>
        <w:spacing w:before="0" w:beforeAutospacing="0" w:after="0" w:afterAutospacing="0"/>
        <w:ind w:left="0" w:right="0" w:firstLine="640" w:firstLineChars="200"/>
        <w:jc w:val="both"/>
        <w:rPr>
          <w:rFonts w:hint="eastAsia" w:ascii="宋体" w:eastAsia="宋体" w:cs="宋体"/>
          <w:sz w:val="32"/>
          <w:szCs w:val="32"/>
          <w:lang w:val="en-US"/>
        </w:rPr>
      </w:pPr>
      <w:r>
        <w:rPr>
          <w:rFonts w:hint="eastAsia" w:ascii="宋体" w:eastAsia="宋体" w:cs="宋体"/>
          <w:kern w:val="2"/>
          <w:sz w:val="32"/>
          <w:szCs w:val="32"/>
          <w:lang w:val="en-US" w:eastAsia="zh-CN"/>
        </w:rPr>
        <w:t>3.社会保障和就业208行政事业单位离退休05机关事业单位基本养老保险缴费支出05：指机关事业单位实施养老保险制度由单位缴纳的基本养老保险费支出。</w:t>
      </w:r>
    </w:p>
    <w:p>
      <w:pPr>
        <w:keepNext w:val="0"/>
        <w:keepLines w:val="0"/>
        <w:widowControl w:val="0"/>
        <w:suppressLineNumbers w:val="0"/>
        <w:spacing w:before="0" w:beforeAutospacing="0" w:after="0" w:afterAutospacing="0"/>
        <w:ind w:left="0" w:right="0" w:firstLine="640" w:firstLineChars="200"/>
        <w:jc w:val="both"/>
        <w:rPr>
          <w:rFonts w:hint="eastAsia" w:ascii="宋体" w:eastAsia="宋体" w:cs="宋体"/>
          <w:sz w:val="32"/>
          <w:szCs w:val="32"/>
          <w:lang w:val="en-US"/>
        </w:rPr>
      </w:pPr>
      <w:r>
        <w:rPr>
          <w:rFonts w:hint="eastAsia" w:ascii="宋体" w:eastAsia="宋体" w:cs="宋体"/>
          <w:kern w:val="2"/>
          <w:sz w:val="32"/>
          <w:szCs w:val="32"/>
          <w:lang w:val="en-US" w:eastAsia="zh-CN"/>
        </w:rPr>
        <w:t>4.社会保障和就业208行政事业单位离退休05机关事业单位职业年金缴费支出06：指机关事业单位实施养老保险制度由单位缴纳的职业年金支出。</w:t>
      </w:r>
    </w:p>
    <w:p>
      <w:pPr>
        <w:keepNext w:val="0"/>
        <w:keepLines w:val="0"/>
        <w:widowControl w:val="0"/>
        <w:suppressLineNumbers w:val="0"/>
        <w:spacing w:before="0" w:beforeAutospacing="0" w:after="0" w:afterAutospacing="0"/>
        <w:ind w:left="0" w:right="0" w:firstLine="640" w:firstLineChars="200"/>
        <w:jc w:val="both"/>
        <w:rPr>
          <w:rFonts w:hint="eastAsia" w:ascii="宋体" w:eastAsia="宋体" w:cs="宋体"/>
          <w:kern w:val="2"/>
          <w:sz w:val="32"/>
          <w:szCs w:val="32"/>
          <w:lang w:val="en-US" w:eastAsia="zh-CN"/>
        </w:rPr>
      </w:pPr>
      <w:r>
        <w:rPr>
          <w:rFonts w:hint="eastAsia" w:ascii="宋体" w:eastAsia="宋体" w:cs="宋体"/>
          <w:kern w:val="2"/>
          <w:sz w:val="32"/>
          <w:szCs w:val="32"/>
          <w:lang w:val="en-US" w:eastAsia="zh-CN"/>
        </w:rPr>
        <w:t>5.医疗卫生与计划生育支出210医疗保障：指反映财政部门集中安排的事业单位基本医疗保险缴费经费。</w:t>
      </w:r>
    </w:p>
    <w:p>
      <w:pPr>
        <w:keepNext w:val="0"/>
        <w:keepLines w:val="0"/>
        <w:widowControl w:val="0"/>
        <w:suppressLineNumbers w:val="0"/>
        <w:spacing w:before="0" w:beforeAutospacing="0" w:after="0" w:afterAutospacing="0"/>
        <w:ind w:left="0" w:right="0" w:firstLine="640" w:firstLineChars="200"/>
        <w:jc w:val="both"/>
        <w:rPr>
          <w:rFonts w:hint="eastAsia" w:ascii="宋体" w:eastAsia="宋体" w:cs="宋体"/>
          <w:kern w:val="2"/>
          <w:sz w:val="32"/>
          <w:szCs w:val="32"/>
          <w:lang w:val="en-US" w:eastAsia="zh-CN"/>
        </w:rPr>
      </w:pPr>
      <w:r>
        <w:rPr>
          <w:rFonts w:hint="eastAsia" w:ascii="宋体" w:eastAsia="宋体" w:cs="宋体"/>
          <w:kern w:val="2"/>
          <w:sz w:val="32"/>
          <w:szCs w:val="32"/>
          <w:lang w:val="en-US" w:eastAsia="zh-CN"/>
        </w:rPr>
        <w:t>6.生态环境保护行政许可211自然生态环保04生态环保01：指用于生态修复、农村环境保护及扶贫方面的支出。</w:t>
      </w:r>
    </w:p>
    <w:p>
      <w:pPr>
        <w:keepNext w:val="0"/>
        <w:keepLines w:val="0"/>
        <w:widowControl w:val="0"/>
        <w:suppressLineNumbers w:val="0"/>
        <w:spacing w:before="0" w:beforeAutospacing="0" w:after="0" w:afterAutospacing="0"/>
        <w:ind w:left="0" w:right="0" w:firstLine="640" w:firstLineChars="200"/>
        <w:jc w:val="both"/>
        <w:rPr>
          <w:rFonts w:hint="eastAsia" w:ascii="宋体" w:eastAsia="宋体" w:cs="宋体"/>
          <w:kern w:val="2"/>
          <w:sz w:val="32"/>
          <w:szCs w:val="32"/>
          <w:lang w:val="en-US" w:eastAsia="zh-CN"/>
        </w:rPr>
      </w:pPr>
      <w:r>
        <w:rPr>
          <w:rFonts w:hint="eastAsia" w:ascii="宋体" w:eastAsia="宋体" w:cs="宋体"/>
          <w:kern w:val="0"/>
          <w:sz w:val="32"/>
          <w:szCs w:val="32"/>
          <w:lang w:val="en-US" w:eastAsia="zh-CN"/>
        </w:rPr>
        <w:t>7.其他支出229</w:t>
      </w:r>
      <w:r>
        <w:rPr>
          <w:rFonts w:hint="eastAsia" w:ascii="宋体" w:eastAsia="宋体" w:cs="宋体"/>
          <w:kern w:val="2"/>
          <w:sz w:val="32"/>
          <w:szCs w:val="32"/>
          <w:lang w:val="en-US" w:eastAsia="zh-CN"/>
        </w:rPr>
        <w:t>彩票公益金安排的支出60</w:t>
      </w:r>
      <w:r>
        <w:rPr>
          <w:rFonts w:hint="eastAsia" w:ascii="宋体" w:eastAsia="宋体" w:cs="宋体"/>
          <w:kern w:val="0"/>
          <w:sz w:val="32"/>
          <w:szCs w:val="32"/>
          <w:lang w:val="en-US" w:eastAsia="zh-CN"/>
        </w:rPr>
        <w:t xml:space="preserve"> 用于城乡医疗救助的彩票公益金支出13</w:t>
      </w:r>
      <w:r>
        <w:rPr>
          <w:rFonts w:hint="eastAsia" w:ascii="宋体" w:eastAsia="宋体" w:cs="宋体"/>
          <w:kern w:val="2"/>
          <w:sz w:val="32"/>
          <w:szCs w:val="32"/>
          <w:lang w:val="en-US" w:eastAsia="zh-CN"/>
        </w:rPr>
        <w:t>:指用于：城乡医疗救助支出。</w:t>
      </w:r>
    </w:p>
    <w:p>
      <w:pPr>
        <w:keepNext w:val="0"/>
        <w:keepLines w:val="0"/>
        <w:widowControl w:val="0"/>
        <w:suppressLineNumbers w:val="0"/>
        <w:spacing w:before="0" w:beforeAutospacing="0" w:after="0" w:afterAutospacing="0"/>
        <w:ind w:left="0" w:right="0" w:firstLine="640" w:firstLineChars="200"/>
        <w:jc w:val="both"/>
        <w:rPr>
          <w:rFonts w:hint="eastAsia" w:ascii="宋体" w:eastAsia="宋体" w:cs="宋体"/>
          <w:kern w:val="2"/>
          <w:sz w:val="32"/>
          <w:szCs w:val="32"/>
          <w:lang w:val="en-US" w:eastAsia="zh-CN"/>
        </w:rPr>
      </w:pPr>
      <w:r>
        <w:rPr>
          <w:rFonts w:hint="eastAsia" w:ascii="宋体" w:eastAsia="宋体" w:cs="宋体"/>
          <w:kern w:val="2"/>
          <w:sz w:val="32"/>
          <w:szCs w:val="32"/>
          <w:lang w:val="en-US" w:eastAsia="zh-CN"/>
        </w:rPr>
        <w:t>8.住房保障支出221住房改革支出02住房公积金01：指反映行政事业单位按人力资源和社会保障部、财政部规定的基本工资和津贴补贴以及规定比例为职工缴纳的住房公积金。</w:t>
      </w:r>
    </w:p>
    <w:p>
      <w:pPr>
        <w:keepNext w:val="0"/>
        <w:keepLines w:val="0"/>
        <w:widowControl w:val="0"/>
        <w:suppressLineNumbers w:val="0"/>
        <w:spacing w:before="0" w:beforeAutospacing="0" w:after="0" w:afterAutospacing="0"/>
        <w:ind w:left="0" w:right="0" w:firstLine="640" w:firstLineChars="200"/>
        <w:jc w:val="both"/>
        <w:rPr>
          <w:rFonts w:hint="eastAsia" w:ascii="宋体" w:eastAsia="宋体" w:cs="宋体"/>
          <w:kern w:val="2"/>
          <w:sz w:val="32"/>
          <w:szCs w:val="32"/>
          <w:lang w:val="en-US" w:eastAsia="zh-CN"/>
        </w:rPr>
      </w:pPr>
      <w:r>
        <w:rPr>
          <w:rFonts w:hint="eastAsia" w:ascii="宋体" w:eastAsia="宋体" w:cs="宋体"/>
          <w:kern w:val="0"/>
          <w:sz w:val="32"/>
          <w:szCs w:val="32"/>
          <w:lang w:val="en-US" w:eastAsia="zh-CN"/>
        </w:rPr>
        <w:t>9.教育支出208进修及培训05培训支出03</w:t>
      </w:r>
      <w:r>
        <w:rPr>
          <w:rFonts w:hint="eastAsia" w:ascii="宋体" w:eastAsia="宋体" w:cs="宋体"/>
          <w:kern w:val="2"/>
          <w:sz w:val="32"/>
          <w:szCs w:val="32"/>
          <w:lang w:val="en-US" w:eastAsia="zh-CN"/>
        </w:rPr>
        <w:t>指：局机关及参公管理事业单位医疗保险医疗缴费综合业务、专门性财政管理工作的项目支出。</w:t>
      </w:r>
    </w:p>
    <w:p>
      <w:pPr>
        <w:keepNext w:val="0"/>
        <w:keepLines w:val="0"/>
        <w:widowControl w:val="0"/>
        <w:suppressLineNumbers w:val="0"/>
        <w:spacing w:before="0" w:beforeAutospacing="0" w:after="0" w:afterAutospacing="0"/>
        <w:ind w:left="0" w:right="0" w:firstLine="640" w:firstLineChars="200"/>
        <w:jc w:val="both"/>
        <w:rPr>
          <w:rFonts w:hint="eastAsia" w:ascii="宋体" w:eastAsia="宋体" w:cs="宋体"/>
          <w:sz w:val="32"/>
          <w:szCs w:val="32"/>
          <w:lang w:val="en-US"/>
        </w:rPr>
      </w:pPr>
      <w:r>
        <w:rPr>
          <w:rFonts w:hint="eastAsia" w:ascii="宋体" w:eastAsia="宋体" w:cs="宋体"/>
          <w:kern w:val="2"/>
          <w:sz w:val="32"/>
          <w:szCs w:val="32"/>
          <w:lang w:val="en-US" w:eastAsia="zh-CN"/>
        </w:rPr>
        <w:t>10.年末结转和结余：指本年度或以前年度预算安排、因客观条件发生变化无法按原计划实施，需延迟到以后年度按有关规定继续使用的资金。</w:t>
      </w:r>
    </w:p>
    <w:p>
      <w:pPr>
        <w:keepNext w:val="0"/>
        <w:keepLines w:val="0"/>
        <w:widowControl w:val="0"/>
        <w:suppressLineNumbers w:val="0"/>
        <w:spacing w:before="0" w:beforeAutospacing="0" w:after="0" w:afterAutospacing="0"/>
        <w:ind w:left="0" w:right="0" w:firstLine="640" w:firstLineChars="200"/>
        <w:jc w:val="both"/>
        <w:rPr>
          <w:rFonts w:hint="eastAsia" w:ascii="宋体" w:eastAsia="宋体" w:cs="宋体"/>
          <w:kern w:val="2"/>
          <w:sz w:val="32"/>
          <w:szCs w:val="32"/>
          <w:lang w:val="en-US" w:eastAsia="zh-CN"/>
        </w:rPr>
      </w:pPr>
      <w:r>
        <w:rPr>
          <w:rFonts w:hint="eastAsia" w:ascii="宋体" w:eastAsia="宋体" w:cs="宋体"/>
          <w:kern w:val="2"/>
          <w:sz w:val="32"/>
          <w:szCs w:val="32"/>
          <w:lang w:val="en-US" w:eastAsia="zh-CN"/>
        </w:rPr>
        <w:t>11.基本支出：指为保障机构正常运转、完成日常工作任务而发生的人员支出和公用支出。</w:t>
      </w:r>
    </w:p>
    <w:p>
      <w:pPr>
        <w:keepNext w:val="0"/>
        <w:keepLines w:val="0"/>
        <w:widowControl w:val="0"/>
        <w:suppressLineNumbers w:val="0"/>
        <w:spacing w:before="0" w:beforeAutospacing="0" w:after="0" w:afterAutospacing="0"/>
        <w:ind w:left="0" w:right="0" w:firstLine="640" w:firstLineChars="200"/>
        <w:jc w:val="both"/>
        <w:rPr>
          <w:rFonts w:ascii="宋体" w:eastAsia="宋体" w:cs="宋体"/>
          <w:color w:val="auto"/>
          <w:kern w:val="0"/>
          <w:sz w:val="32"/>
          <w:szCs w:val="32"/>
          <w:lang w:val="en-US" w:eastAsia="zh-CN"/>
        </w:rPr>
      </w:pPr>
      <w:r>
        <w:rPr>
          <w:rFonts w:hint="eastAsia" w:ascii="宋体" w:eastAsia="宋体" w:cs="宋体"/>
          <w:color w:val="auto"/>
          <w:kern w:val="0"/>
          <w:sz w:val="32"/>
          <w:szCs w:val="32"/>
          <w:lang w:val="en-US" w:eastAsia="zh-CN"/>
        </w:rPr>
        <w:t>12.项目支出：指在基本支出之外为完成特定行政任务和事业发展目标所发生的支出。</w:t>
      </w:r>
    </w:p>
    <w:p>
      <w:pPr>
        <w:pStyle w:val="17"/>
        <w:keepNext w:val="0"/>
        <w:keepLines w:val="0"/>
        <w:widowControl/>
        <w:suppressLineNumbers w:val="0"/>
        <w:spacing w:line="560" w:lineRule="exact"/>
        <w:ind w:left="0" w:firstLine="640" w:firstLineChars="200"/>
        <w:rPr>
          <w:rFonts w:hint="eastAsia" w:ascii="宋体" w:eastAsia="宋体" w:cs="宋体"/>
          <w:color w:val="auto"/>
          <w:sz w:val="32"/>
          <w:szCs w:val="32"/>
          <w:lang w:val="en-US"/>
        </w:rPr>
      </w:pPr>
      <w:r>
        <w:rPr>
          <w:rFonts w:hint="eastAsia" w:ascii="宋体" w:eastAsia="宋体" w:cs="宋体"/>
          <w:color w:val="auto"/>
          <w:sz w:val="32"/>
          <w:szCs w:val="32"/>
          <w:lang w:val="en-US" w:eastAsia="zh-CN"/>
        </w:rPr>
        <w:t>13</w:t>
      </w:r>
      <w:r>
        <w:rPr>
          <w:rFonts w:hint="eastAsia" w:ascii="宋体" w:eastAsia="宋体" w:cs="宋体"/>
          <w:color w:val="auto"/>
          <w:sz w:val="32"/>
          <w:szCs w:val="32"/>
          <w:lang w:val="en-US"/>
        </w:rPr>
        <w:t>.</w:t>
      </w:r>
      <w:r>
        <w:rPr>
          <w:rFonts w:hint="eastAsia" w:ascii="宋体" w:eastAsia="宋体" w:cs="宋体"/>
          <w:color w:val="auto"/>
          <w:sz w:val="32"/>
          <w:szCs w:val="32"/>
          <w:lang w:eastAsia="zh-CN"/>
        </w:rPr>
        <w:t>“三公”经费：纳入州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ind w:firstLine="640" w:firstLineChars="200"/>
        <w:rPr>
          <w:rFonts w:hint="eastAsia" w:ascii="宋体" w:eastAsia="宋体" w:cs="宋体"/>
          <w:color w:val="auto"/>
          <w:kern w:val="0"/>
          <w:sz w:val="32"/>
          <w:szCs w:val="32"/>
          <w:lang w:val="en-US" w:eastAsia="zh-CN"/>
        </w:rPr>
      </w:pPr>
      <w:r>
        <w:rPr>
          <w:rFonts w:hint="eastAsia" w:ascii="宋体" w:eastAsia="宋体" w:cs="宋体"/>
          <w:color w:val="auto"/>
          <w:kern w:val="0"/>
          <w:sz w:val="32"/>
          <w:szCs w:val="32"/>
          <w:lang w:val="en-US" w:eastAsia="zh-CN"/>
        </w:rPr>
        <w:t>14.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widowControl/>
        <w:jc w:val="center"/>
        <w:rPr>
          <w:rFonts w:ascii="方正小标宋简体" w:eastAsia="方正小标宋简体"/>
          <w:color w:val="000000"/>
          <w:sz w:val="36"/>
          <w:szCs w:val="36"/>
        </w:rPr>
      </w:pPr>
    </w:p>
    <w:p>
      <w:pPr>
        <w:pStyle w:val="19"/>
        <w:keepNext w:val="0"/>
        <w:keepLines w:val="0"/>
        <w:widowControl/>
        <w:suppressLineNumbers w:val="0"/>
        <w:spacing w:line="580" w:lineRule="exact"/>
        <w:jc w:val="center"/>
        <w:rPr>
          <w:rFonts w:ascii="宋体" w:cs="宋体"/>
          <w:b/>
          <w:bCs w:val="0"/>
          <w:sz w:val="44"/>
          <w:szCs w:val="44"/>
          <w:lang w:val="en-US" w:eastAsia="zh-CN"/>
        </w:rPr>
      </w:pPr>
      <w:r>
        <w:rPr>
          <w:rFonts w:ascii="宋体" w:cs="宋体"/>
          <w:b/>
          <w:bCs w:val="0"/>
          <w:sz w:val="44"/>
          <w:szCs w:val="44"/>
          <w:lang w:val="en-US" w:eastAsia="zh-CN"/>
        </w:rPr>
        <w:t>第四部分</w:t>
      </w:r>
    </w:p>
    <w:p>
      <w:pPr>
        <w:pStyle w:val="19"/>
        <w:keepNext w:val="0"/>
        <w:keepLines w:val="0"/>
        <w:widowControl/>
        <w:suppressLineNumbers w:val="0"/>
        <w:spacing w:line="580" w:lineRule="exact"/>
        <w:jc w:val="center"/>
        <w:rPr>
          <w:rFonts w:hint="eastAsia" w:ascii="宋体" w:cs="宋体"/>
          <w:b/>
          <w:bCs w:val="0"/>
          <w:sz w:val="44"/>
          <w:szCs w:val="44"/>
          <w:lang w:val="en-US" w:eastAsia="zh-CN"/>
        </w:rPr>
      </w:pPr>
      <w:r>
        <w:rPr>
          <w:rFonts w:ascii="宋体" w:cs="宋体"/>
          <w:b/>
          <w:bCs w:val="0"/>
          <w:sz w:val="44"/>
          <w:szCs w:val="44"/>
          <w:lang w:val="en-US" w:eastAsia="zh-CN"/>
        </w:rPr>
        <w:t>医保局</w:t>
      </w:r>
      <w:r>
        <w:rPr>
          <w:rFonts w:hint="eastAsia" w:ascii="宋体" w:cs="宋体"/>
          <w:b/>
          <w:bCs w:val="0"/>
          <w:sz w:val="44"/>
          <w:szCs w:val="44"/>
          <w:lang w:val="en-US" w:eastAsia="zh-CN"/>
        </w:rPr>
        <w:t>2021年部门整体支出绩效报告</w:t>
      </w:r>
    </w:p>
    <w:p>
      <w:pPr>
        <w:pStyle w:val="19"/>
        <w:keepNext w:val="0"/>
        <w:keepLines w:val="0"/>
        <w:widowControl/>
        <w:suppressLineNumbers w:val="0"/>
        <w:spacing w:line="580" w:lineRule="exact"/>
        <w:jc w:val="center"/>
        <w:rPr>
          <w:rFonts w:hint="eastAsia" w:ascii="宋体" w:cs="宋体"/>
          <w:b/>
          <w:bCs w:val="0"/>
          <w:sz w:val="44"/>
          <w:szCs w:val="44"/>
          <w:lang w:val="en-US" w:eastAsia="zh-CN"/>
        </w:rPr>
      </w:pPr>
    </w:p>
    <w:p>
      <w:pPr>
        <w:keepNext w:val="0"/>
        <w:keepLines w:val="0"/>
        <w:widowControl/>
        <w:suppressLineNumbers w:val="0"/>
        <w:adjustRightInd w:val="0"/>
        <w:snapToGrid w:val="0"/>
        <w:spacing w:before="0" w:beforeAutospacing="0" w:after="0" w:afterAutospacing="0" w:line="560" w:lineRule="exact"/>
        <w:ind w:left="0" w:right="0" w:firstLine="720"/>
        <w:jc w:val="left"/>
        <w:rPr>
          <w:rFonts w:hint="eastAsia" w:ascii="黑体" w:eastAsia="黑体" w:cs="宋体"/>
          <w:color w:val="000000"/>
          <w:kern w:val="0"/>
          <w:lang w:val="zh-CN" w:eastAsia="zh-CN"/>
        </w:rPr>
      </w:pPr>
      <w:r>
        <w:rPr>
          <w:rFonts w:hint="eastAsia" w:ascii="黑体" w:eastAsia="黑体" w:cs="宋体"/>
          <w:color w:val="000000"/>
          <w:kern w:val="0"/>
          <w:sz w:val="32"/>
          <w:szCs w:val="24"/>
          <w:lang w:val="en-US" w:eastAsia="zh-CN"/>
        </w:rPr>
        <w:t>一、</w:t>
      </w:r>
      <w:r>
        <w:rPr>
          <w:rFonts w:hint="eastAsia" w:ascii="黑体" w:eastAsia="黑体" w:cs="宋体"/>
          <w:color w:val="000000"/>
          <w:kern w:val="0"/>
          <w:sz w:val="32"/>
          <w:szCs w:val="24"/>
          <w:lang w:val="zh-CN" w:eastAsia="zh-CN"/>
        </w:rPr>
        <w:t>部门（单位）概况</w:t>
      </w:r>
    </w:p>
    <w:p>
      <w:pPr>
        <w:keepNext w:val="0"/>
        <w:keepLines w:val="0"/>
        <w:widowControl/>
        <w:suppressLineNumbers w:val="0"/>
        <w:adjustRightInd w:val="0"/>
        <w:snapToGrid w:val="0"/>
        <w:spacing w:before="0" w:beforeAutospacing="0" w:after="0" w:afterAutospacing="0" w:line="560" w:lineRule="exact"/>
        <w:ind w:left="0" w:right="0" w:firstLine="640" w:firstLineChars="200"/>
        <w:jc w:val="left"/>
        <w:rPr>
          <w:rFonts w:hint="eastAsia" w:ascii="宋体" w:eastAsia="宋体" w:cs="宋体"/>
          <w:bCs/>
          <w:color w:val="auto"/>
          <w:kern w:val="0"/>
          <w:sz w:val="32"/>
          <w:szCs w:val="32"/>
          <w:lang w:val="zh-CN" w:eastAsia="zh-CN" w:bidi="ar-SA"/>
        </w:rPr>
      </w:pPr>
      <w:r>
        <w:rPr>
          <w:rFonts w:hint="eastAsia" w:ascii="宋体" w:eastAsia="宋体" w:cs="宋体"/>
          <w:bCs/>
          <w:color w:val="auto"/>
          <w:kern w:val="0"/>
          <w:sz w:val="32"/>
          <w:szCs w:val="32"/>
          <w:lang w:val="zh-CN" w:eastAsia="zh-CN" w:bidi="ar-SA"/>
        </w:rPr>
        <w:t>（一）机构组成。</w:t>
      </w:r>
    </w:p>
    <w:p>
      <w:pPr>
        <w:keepNext w:val="0"/>
        <w:keepLines w:val="0"/>
        <w:widowControl/>
        <w:suppressLineNumbers w:val="0"/>
        <w:adjustRightInd w:val="0"/>
        <w:snapToGrid w:val="0"/>
        <w:spacing w:before="0" w:beforeAutospacing="0" w:after="0" w:afterAutospacing="0" w:line="560" w:lineRule="exact"/>
        <w:ind w:left="0" w:right="0" w:firstLine="640" w:firstLineChars="200"/>
        <w:jc w:val="left"/>
        <w:rPr>
          <w:rFonts w:hint="eastAsia" w:ascii="宋体" w:eastAsia="宋体" w:cs="宋体"/>
          <w:bCs/>
          <w:color w:val="auto"/>
          <w:kern w:val="0"/>
          <w:sz w:val="32"/>
          <w:szCs w:val="32"/>
          <w:lang w:val="zh-CN" w:eastAsia="zh-CN" w:bidi="ar-SA"/>
        </w:rPr>
      </w:pPr>
      <w:r>
        <w:rPr>
          <w:rFonts w:hint="eastAsia" w:ascii="宋体" w:eastAsia="宋体" w:cs="宋体"/>
          <w:bCs/>
          <w:color w:val="auto"/>
          <w:kern w:val="0"/>
          <w:sz w:val="32"/>
          <w:szCs w:val="32"/>
          <w:lang w:val="en-US" w:eastAsia="zh-CN" w:bidi="ar-SA"/>
        </w:rPr>
        <w:t>我</w:t>
      </w:r>
      <w:r>
        <w:rPr>
          <w:rFonts w:hint="eastAsia" w:ascii="宋体" w:cs="宋体"/>
          <w:bCs/>
          <w:color w:val="auto"/>
          <w:kern w:val="0"/>
          <w:sz w:val="32"/>
          <w:szCs w:val="32"/>
          <w:lang w:val="en-US" w:eastAsia="zh-CN" w:bidi="ar-SA"/>
        </w:rPr>
        <w:t>单位</w:t>
      </w:r>
      <w:r>
        <w:rPr>
          <w:rFonts w:hint="eastAsia" w:ascii="宋体" w:eastAsia="宋体" w:cs="宋体"/>
          <w:bCs/>
          <w:color w:val="auto"/>
          <w:kern w:val="0"/>
          <w:sz w:val="32"/>
          <w:szCs w:val="32"/>
          <w:lang w:val="en-US" w:eastAsia="zh-CN" w:bidi="ar-SA"/>
        </w:rPr>
        <w:t>为</w:t>
      </w:r>
      <w:r>
        <w:rPr>
          <w:rFonts w:hint="eastAsia" w:ascii="宋体" w:cs="宋体"/>
          <w:bCs/>
          <w:color w:val="auto"/>
          <w:kern w:val="0"/>
          <w:sz w:val="32"/>
          <w:szCs w:val="32"/>
          <w:lang w:val="en-US" w:eastAsia="zh-CN" w:bidi="ar-SA"/>
        </w:rPr>
        <w:t>一</w:t>
      </w:r>
      <w:r>
        <w:rPr>
          <w:rFonts w:hint="eastAsia" w:ascii="宋体" w:eastAsia="宋体" w:cs="宋体"/>
          <w:bCs/>
          <w:color w:val="auto"/>
          <w:kern w:val="0"/>
          <w:sz w:val="32"/>
          <w:szCs w:val="32"/>
          <w:lang w:val="en-US" w:eastAsia="zh-CN" w:bidi="ar-SA"/>
        </w:rPr>
        <w:t>级预算</w:t>
      </w:r>
      <w:r>
        <w:rPr>
          <w:rFonts w:hint="eastAsia" w:ascii="宋体" w:cs="宋体"/>
          <w:bCs/>
          <w:color w:val="auto"/>
          <w:kern w:val="0"/>
          <w:sz w:val="32"/>
          <w:szCs w:val="32"/>
          <w:lang w:val="en-US" w:eastAsia="zh-CN" w:bidi="ar-SA"/>
        </w:rPr>
        <w:t>行政</w:t>
      </w:r>
      <w:r>
        <w:rPr>
          <w:rFonts w:hint="eastAsia" w:ascii="宋体" w:eastAsia="宋体" w:cs="宋体"/>
          <w:bCs/>
          <w:color w:val="auto"/>
          <w:kern w:val="0"/>
          <w:sz w:val="32"/>
          <w:szCs w:val="32"/>
          <w:lang w:val="en-US" w:eastAsia="zh-CN" w:bidi="ar-SA"/>
        </w:rPr>
        <w:t>单位，执行</w:t>
      </w:r>
      <w:r>
        <w:rPr>
          <w:rFonts w:hint="eastAsia" w:ascii="宋体" w:cs="宋体"/>
          <w:bCs/>
          <w:color w:val="auto"/>
          <w:kern w:val="0"/>
          <w:sz w:val="32"/>
          <w:szCs w:val="32"/>
          <w:lang w:val="en-US" w:eastAsia="zh-CN" w:bidi="ar-SA"/>
        </w:rPr>
        <w:t>政府</w:t>
      </w:r>
      <w:r>
        <w:rPr>
          <w:rFonts w:hint="eastAsia" w:ascii="宋体" w:eastAsia="宋体" w:cs="宋体"/>
          <w:bCs/>
          <w:color w:val="auto"/>
          <w:kern w:val="0"/>
          <w:sz w:val="32"/>
          <w:szCs w:val="32"/>
          <w:lang w:val="en-US" w:eastAsia="zh-CN" w:bidi="ar-SA"/>
        </w:rPr>
        <w:t>单位会计制度</w:t>
      </w:r>
      <w:r>
        <w:rPr>
          <w:rFonts w:hint="eastAsia" w:ascii="宋体" w:eastAsia="宋体" w:cs="宋体"/>
          <w:bCs/>
          <w:color w:val="auto"/>
          <w:kern w:val="0"/>
          <w:sz w:val="32"/>
          <w:szCs w:val="32"/>
          <w:lang w:val="zh-CN" w:eastAsia="zh-CN" w:bidi="ar-SA"/>
        </w:rPr>
        <w:t>。</w:t>
      </w:r>
    </w:p>
    <w:p>
      <w:pPr>
        <w:keepNext w:val="0"/>
        <w:keepLines w:val="0"/>
        <w:widowControl/>
        <w:numPr>
          <w:ilvl w:val="0"/>
          <w:numId w:val="8"/>
        </w:numPr>
        <w:suppressLineNumbers w:val="0"/>
        <w:adjustRightInd w:val="0"/>
        <w:snapToGrid w:val="0"/>
        <w:spacing w:before="0" w:beforeAutospacing="0" w:after="0" w:afterAutospacing="0" w:line="560" w:lineRule="exact"/>
        <w:ind w:left="0" w:right="0" w:firstLine="640" w:firstLineChars="200"/>
        <w:jc w:val="left"/>
        <w:rPr>
          <w:rFonts w:hint="eastAsia" w:ascii="宋体" w:eastAsia="宋体" w:cs="宋体"/>
          <w:bCs/>
          <w:color w:val="auto"/>
          <w:kern w:val="0"/>
          <w:sz w:val="32"/>
          <w:szCs w:val="32"/>
          <w:lang w:val="zh-CN" w:eastAsia="zh-CN" w:bidi="ar-SA"/>
        </w:rPr>
      </w:pPr>
      <w:r>
        <w:rPr>
          <w:rFonts w:hint="eastAsia" w:ascii="宋体" w:eastAsia="宋体" w:cs="宋体"/>
          <w:bCs/>
          <w:color w:val="auto"/>
          <w:kern w:val="0"/>
          <w:sz w:val="32"/>
          <w:szCs w:val="32"/>
          <w:lang w:val="zh-CN" w:eastAsia="zh-CN" w:bidi="ar-SA"/>
        </w:rPr>
        <w:t>机构职能。</w:t>
      </w:r>
    </w:p>
    <w:p>
      <w:pPr>
        <w:pStyle w:val="6"/>
        <w:keepNext w:val="0"/>
        <w:keepLines w:val="0"/>
        <w:pageBreakBefore w:val="0"/>
        <w:widowControl w:val="0"/>
        <w:kinsoku/>
        <w:wordWrap/>
        <w:overflowPunct/>
        <w:topLinePunct w:val="0"/>
        <w:autoSpaceDE/>
        <w:autoSpaceDN/>
        <w:bidi w:val="0"/>
        <w:adjustRightInd w:val="0"/>
        <w:snapToGrid/>
        <w:spacing w:line="240" w:lineRule="auto"/>
        <w:ind w:firstLine="640" w:firstLineChars="200"/>
        <w:textAlignment w:val="auto"/>
        <w:rPr>
          <w:rFonts w:hint="eastAsia" w:ascii="宋体" w:eastAsia="宋体" w:cs="宋体"/>
          <w:bCs/>
          <w:color w:val="auto"/>
          <w:sz w:val="32"/>
          <w:szCs w:val="32"/>
        </w:rPr>
      </w:pPr>
      <w:r>
        <w:rPr>
          <w:rFonts w:hint="eastAsia" w:ascii="宋体" w:eastAsia="宋体" w:cs="宋体"/>
          <w:bCs/>
          <w:color w:val="auto"/>
          <w:sz w:val="32"/>
          <w:szCs w:val="32"/>
        </w:rPr>
        <w:t>1、负责对参保单位、职工医疗保险政策的宣传和医疗保险业务人员的培训；</w:t>
      </w:r>
    </w:p>
    <w:p>
      <w:pPr>
        <w:pStyle w:val="6"/>
        <w:adjustRightInd w:val="0"/>
        <w:spacing w:line="600" w:lineRule="exact"/>
        <w:ind w:firstLine="668" w:firstLineChars="209"/>
        <w:rPr>
          <w:rFonts w:hint="eastAsia" w:ascii="宋体" w:eastAsia="宋体" w:cs="宋体"/>
          <w:bCs/>
          <w:color w:val="auto"/>
          <w:sz w:val="32"/>
          <w:szCs w:val="32"/>
        </w:rPr>
      </w:pPr>
      <w:r>
        <w:rPr>
          <w:rFonts w:hint="eastAsia" w:ascii="宋体" w:eastAsia="宋体" w:cs="宋体"/>
          <w:bCs/>
          <w:color w:val="auto"/>
          <w:sz w:val="32"/>
          <w:szCs w:val="32"/>
        </w:rPr>
        <w:t>2、负责承办全县党政机关、事业单位、省、州、县企业的医疗保险参保登记、变更登记及参保职工医疗保险转移事项；</w:t>
      </w:r>
    </w:p>
    <w:p>
      <w:pPr>
        <w:pStyle w:val="6"/>
        <w:adjustRightInd w:val="0"/>
        <w:spacing w:line="600" w:lineRule="exact"/>
        <w:ind w:firstLine="668" w:firstLineChars="209"/>
        <w:rPr>
          <w:rFonts w:hint="eastAsia" w:ascii="宋体" w:eastAsia="宋体" w:cs="宋体"/>
          <w:bCs/>
          <w:color w:val="auto"/>
          <w:sz w:val="32"/>
          <w:szCs w:val="32"/>
        </w:rPr>
      </w:pPr>
      <w:r>
        <w:rPr>
          <w:rFonts w:hint="eastAsia" w:ascii="宋体" w:eastAsia="宋体" w:cs="宋体"/>
          <w:bCs/>
          <w:color w:val="auto"/>
          <w:sz w:val="32"/>
          <w:szCs w:val="32"/>
        </w:rPr>
        <w:t>3、负责对各参保单位、灵活就业人员的基础资料进行审核，制定各单位的基金征缴计划，具体征收、管理和支付基本医疗保险基金、大病补充保险基金和公务员医疗补助金；</w:t>
      </w:r>
    </w:p>
    <w:p>
      <w:pPr>
        <w:pStyle w:val="6"/>
        <w:adjustRightInd w:val="0"/>
        <w:spacing w:line="600" w:lineRule="exact"/>
        <w:ind w:firstLine="668" w:firstLineChars="209"/>
        <w:rPr>
          <w:rFonts w:hint="eastAsia" w:ascii="宋体" w:eastAsia="宋体" w:cs="宋体"/>
          <w:bCs/>
          <w:color w:val="auto"/>
          <w:sz w:val="32"/>
          <w:szCs w:val="32"/>
        </w:rPr>
      </w:pPr>
      <w:r>
        <w:rPr>
          <w:rFonts w:hint="eastAsia" w:ascii="宋体" w:eastAsia="宋体" w:cs="宋体"/>
          <w:bCs/>
          <w:color w:val="auto"/>
          <w:sz w:val="32"/>
          <w:szCs w:val="32"/>
        </w:rPr>
        <w:t>4、编制医疗保险基金收支预、决算报告，定期对基金收支情况进行分析、预测和内部审计，并向有关部门提供基金运行情况报告；</w:t>
      </w:r>
    </w:p>
    <w:p>
      <w:pPr>
        <w:pStyle w:val="6"/>
        <w:adjustRightInd w:val="0"/>
        <w:spacing w:line="600" w:lineRule="exact"/>
        <w:ind w:firstLine="668" w:firstLineChars="209"/>
        <w:rPr>
          <w:rFonts w:hint="eastAsia" w:ascii="宋体" w:eastAsia="宋体" w:cs="宋体"/>
          <w:bCs/>
          <w:color w:val="auto"/>
          <w:sz w:val="32"/>
          <w:szCs w:val="32"/>
        </w:rPr>
      </w:pPr>
      <w:r>
        <w:rPr>
          <w:rFonts w:hint="eastAsia" w:ascii="宋体" w:eastAsia="宋体" w:cs="宋体"/>
          <w:bCs/>
          <w:color w:val="auto"/>
          <w:sz w:val="32"/>
          <w:szCs w:val="32"/>
        </w:rPr>
        <w:t>5、负责对参保人员建立、管理个人账户及个人账户的结算转移，核拨退休人员的个人账户资金；</w:t>
      </w:r>
    </w:p>
    <w:p>
      <w:pPr>
        <w:pStyle w:val="6"/>
        <w:adjustRightInd w:val="0"/>
        <w:spacing w:line="600" w:lineRule="exact"/>
        <w:ind w:firstLine="668" w:firstLineChars="209"/>
        <w:rPr>
          <w:rFonts w:hint="eastAsia" w:ascii="宋体" w:eastAsia="宋体" w:cs="宋体"/>
          <w:bCs/>
          <w:color w:val="auto"/>
          <w:sz w:val="32"/>
          <w:szCs w:val="32"/>
        </w:rPr>
      </w:pPr>
      <w:r>
        <w:rPr>
          <w:rFonts w:hint="eastAsia" w:ascii="宋体" w:eastAsia="宋体" w:cs="宋体"/>
          <w:bCs/>
          <w:color w:val="auto"/>
          <w:sz w:val="32"/>
          <w:szCs w:val="32"/>
        </w:rPr>
        <w:t>6、配合有关部门审核确定定点医院、定点零售药店资格，签订定点协议，并对两定医疗机构进行监管；</w:t>
      </w:r>
    </w:p>
    <w:p>
      <w:pPr>
        <w:pStyle w:val="6"/>
        <w:adjustRightInd w:val="0"/>
        <w:spacing w:line="600" w:lineRule="exact"/>
        <w:ind w:firstLine="668" w:firstLineChars="209"/>
        <w:rPr>
          <w:rFonts w:hint="eastAsia" w:ascii="宋体" w:eastAsia="宋体" w:cs="宋体"/>
          <w:bCs/>
          <w:color w:val="auto"/>
          <w:sz w:val="32"/>
          <w:szCs w:val="32"/>
        </w:rPr>
      </w:pPr>
      <w:r>
        <w:rPr>
          <w:rFonts w:hint="eastAsia" w:ascii="宋体" w:eastAsia="宋体" w:cs="宋体"/>
          <w:bCs/>
          <w:color w:val="auto"/>
          <w:sz w:val="32"/>
          <w:szCs w:val="32"/>
        </w:rPr>
        <w:t>7、负责参保人员各项医疗保险待遇的审核和医疗费用支付工作；</w:t>
      </w:r>
    </w:p>
    <w:p>
      <w:pPr>
        <w:pStyle w:val="6"/>
        <w:adjustRightInd w:val="0"/>
        <w:spacing w:line="600" w:lineRule="exact"/>
        <w:ind w:firstLine="668" w:firstLineChars="209"/>
        <w:rPr>
          <w:rFonts w:hint="eastAsia" w:ascii="宋体" w:eastAsia="宋体" w:cs="宋体"/>
          <w:bCs/>
          <w:color w:val="auto"/>
          <w:sz w:val="32"/>
          <w:szCs w:val="32"/>
        </w:rPr>
      </w:pPr>
      <w:r>
        <w:rPr>
          <w:rFonts w:hint="eastAsia" w:ascii="宋体" w:eastAsia="宋体" w:cs="宋体"/>
          <w:bCs/>
          <w:color w:val="auto"/>
          <w:sz w:val="32"/>
          <w:szCs w:val="32"/>
        </w:rPr>
        <w:t>8、开展对参保单位办理参保登记和缴费基数。职工人数、财务状况等的稽核工作；</w:t>
      </w:r>
    </w:p>
    <w:p>
      <w:pPr>
        <w:pStyle w:val="6"/>
        <w:adjustRightInd w:val="0"/>
        <w:spacing w:line="600" w:lineRule="exact"/>
        <w:ind w:firstLine="668" w:firstLineChars="209"/>
        <w:rPr>
          <w:rFonts w:hint="eastAsia" w:ascii="宋体" w:eastAsia="宋体" w:cs="宋体"/>
          <w:bCs/>
          <w:color w:val="auto"/>
          <w:sz w:val="32"/>
          <w:szCs w:val="32"/>
        </w:rPr>
      </w:pPr>
      <w:r>
        <w:rPr>
          <w:rFonts w:hint="eastAsia" w:ascii="宋体" w:eastAsia="宋体" w:cs="宋体"/>
          <w:bCs/>
          <w:color w:val="auto"/>
          <w:sz w:val="32"/>
          <w:szCs w:val="32"/>
        </w:rPr>
        <w:t>9、负责全县机关事业单位和县属企业的老红军、离休干部以及革命伤残军人的医疗费用统筹管理。</w:t>
      </w:r>
    </w:p>
    <w:p>
      <w:pPr>
        <w:pStyle w:val="6"/>
        <w:adjustRightInd w:val="0"/>
        <w:spacing w:line="600" w:lineRule="exact"/>
        <w:ind w:firstLine="668" w:firstLineChars="209"/>
        <w:rPr>
          <w:rFonts w:hint="eastAsia" w:ascii="宋体" w:eastAsia="宋体" w:cs="宋体"/>
          <w:bCs/>
          <w:color w:val="auto"/>
          <w:sz w:val="32"/>
          <w:szCs w:val="32"/>
          <w:lang w:val="en-US" w:eastAsia="zh-CN"/>
        </w:rPr>
      </w:pPr>
      <w:r>
        <w:rPr>
          <w:rFonts w:hint="eastAsia" w:ascii="宋体" w:eastAsia="宋体" w:cs="宋体"/>
          <w:bCs/>
          <w:color w:val="auto"/>
          <w:sz w:val="32"/>
          <w:szCs w:val="32"/>
          <w:lang w:eastAsia="zh-CN"/>
        </w:rPr>
        <w:t>（</w:t>
      </w:r>
      <w:r>
        <w:rPr>
          <w:rFonts w:hint="eastAsia" w:ascii="宋体" w:eastAsia="宋体" w:cs="宋体"/>
          <w:bCs/>
          <w:color w:val="auto"/>
          <w:sz w:val="32"/>
          <w:szCs w:val="32"/>
          <w:lang w:val="en-US" w:eastAsia="zh-CN"/>
        </w:rPr>
        <w:t>三</w:t>
      </w:r>
      <w:r>
        <w:rPr>
          <w:rFonts w:hint="eastAsia" w:ascii="宋体" w:eastAsia="宋体" w:cs="宋体"/>
          <w:bCs/>
          <w:color w:val="auto"/>
          <w:sz w:val="32"/>
          <w:szCs w:val="32"/>
          <w:lang w:eastAsia="zh-CN"/>
        </w:rPr>
        <w:t>）</w:t>
      </w:r>
      <w:r>
        <w:rPr>
          <w:rFonts w:hint="eastAsia" w:ascii="宋体" w:eastAsia="宋体" w:cs="宋体"/>
          <w:bCs/>
          <w:color w:val="auto"/>
          <w:sz w:val="32"/>
          <w:szCs w:val="32"/>
          <w:lang w:val="en-US" w:eastAsia="zh-CN"/>
        </w:rPr>
        <w:t>人员概况。</w:t>
      </w:r>
    </w:p>
    <w:p>
      <w:pPr>
        <w:pStyle w:val="6"/>
        <w:adjustRightInd w:val="0"/>
        <w:spacing w:line="600" w:lineRule="exact"/>
        <w:ind w:firstLine="668" w:firstLineChars="209"/>
        <w:rPr>
          <w:rFonts w:hint="eastAsia" w:ascii="宋体" w:eastAsia="宋体" w:cs="宋体"/>
          <w:bCs/>
          <w:color w:val="auto"/>
          <w:kern w:val="0"/>
          <w:sz w:val="32"/>
          <w:szCs w:val="32"/>
          <w:lang w:val="en-US" w:eastAsia="zh-CN" w:bidi="ar-SA"/>
        </w:rPr>
      </w:pPr>
      <w:r>
        <w:rPr>
          <w:rFonts w:hint="eastAsia" w:ascii="宋体" w:eastAsia="宋体" w:cs="宋体"/>
          <w:bCs/>
          <w:color w:val="auto"/>
          <w:sz w:val="32"/>
          <w:szCs w:val="32"/>
          <w:lang w:val="en-US" w:eastAsia="zh-CN"/>
        </w:rPr>
        <w:t>2020年</w:t>
      </w:r>
      <w:r>
        <w:rPr>
          <w:rFonts w:hint="eastAsia" w:ascii="宋体" w:eastAsia="宋体" w:cs="宋体"/>
          <w:bCs/>
          <w:color w:val="auto"/>
          <w:kern w:val="0"/>
          <w:sz w:val="32"/>
          <w:szCs w:val="32"/>
          <w:lang w:val="en-US" w:eastAsia="zh-CN" w:bidi="ar-SA"/>
        </w:rPr>
        <w:t>人员编制数21人，在职人员24人，其中：公务员4人，参公9人（机关工勤1人），事业11人。</w:t>
      </w:r>
    </w:p>
    <w:p>
      <w:pPr>
        <w:pStyle w:val="6"/>
        <w:numPr>
          <w:ilvl w:val="0"/>
          <w:numId w:val="9"/>
        </w:numPr>
        <w:adjustRightInd w:val="0"/>
        <w:spacing w:line="600" w:lineRule="exact"/>
        <w:ind w:left="0" w:firstLine="668" w:firstLineChars="209"/>
        <w:rPr>
          <w:rFonts w:hint="eastAsia" w:ascii="宋体" w:eastAsia="宋体" w:cs="宋体"/>
          <w:bCs/>
          <w:color w:val="auto"/>
          <w:kern w:val="0"/>
          <w:sz w:val="32"/>
          <w:szCs w:val="32"/>
          <w:lang w:val="zh-CN" w:eastAsia="zh-CN" w:bidi="ar-SA"/>
        </w:rPr>
      </w:pPr>
      <w:r>
        <w:rPr>
          <w:rFonts w:hint="eastAsia" w:ascii="黑体" w:eastAsia="黑体" w:cs="宋体"/>
          <w:color w:val="000000"/>
          <w:kern w:val="0"/>
          <w:sz w:val="32"/>
          <w:szCs w:val="24"/>
          <w:lang w:val="en-US" w:eastAsia="zh-CN"/>
        </w:rPr>
        <w:t>部门财政资金收支情况</w:t>
      </w:r>
    </w:p>
    <w:p>
      <w:pPr>
        <w:pStyle w:val="6"/>
        <w:keepNext w:val="0"/>
        <w:keepLines w:val="0"/>
        <w:pageBreakBefore w:val="0"/>
        <w:widowControl w:val="0"/>
        <w:numPr>
          <w:ilvl w:val="0"/>
          <w:numId w:val="10"/>
        </w:numPr>
        <w:kinsoku/>
        <w:wordWrap/>
        <w:overflowPunct/>
        <w:topLinePunct w:val="0"/>
        <w:autoSpaceDE/>
        <w:autoSpaceDN/>
        <w:bidi w:val="0"/>
        <w:adjustRightInd w:val="0"/>
        <w:snapToGrid/>
        <w:spacing w:line="600" w:lineRule="exact"/>
        <w:ind w:left="0" w:firstLine="640" w:firstLineChars="200"/>
        <w:textAlignment w:val="auto"/>
        <w:rPr>
          <w:rFonts w:hint="eastAsia" w:ascii="宋体" w:eastAsia="宋体" w:cs="宋体"/>
          <w:bCs/>
          <w:color w:val="auto"/>
          <w:kern w:val="0"/>
          <w:sz w:val="32"/>
          <w:szCs w:val="32"/>
          <w:lang w:val="zh-CN" w:eastAsia="zh-CN" w:bidi="ar-SA"/>
        </w:rPr>
      </w:pPr>
      <w:r>
        <w:rPr>
          <w:rFonts w:hint="eastAsia" w:ascii="宋体" w:eastAsia="宋体" w:cs="宋体"/>
          <w:bCs/>
          <w:color w:val="auto"/>
          <w:kern w:val="0"/>
          <w:sz w:val="32"/>
          <w:szCs w:val="32"/>
          <w:lang w:val="zh-CN" w:eastAsia="zh-CN" w:bidi="ar-SA"/>
        </w:rPr>
        <w:t>部门财政资金收入情况。</w:t>
      </w:r>
    </w:p>
    <w:p>
      <w:pPr>
        <w:keepNext w:val="0"/>
        <w:keepLines w:val="0"/>
        <w:widowControl w:val="0"/>
        <w:suppressLineNumbers w:val="0"/>
        <w:spacing w:before="0" w:beforeAutospacing="0" w:after="0" w:afterAutospacing="0"/>
        <w:ind w:left="0" w:right="0" w:firstLine="640" w:firstLineChars="200"/>
        <w:jc w:val="both"/>
        <w:rPr>
          <w:rFonts w:hint="eastAsia" w:ascii="宋体" w:eastAsia="宋体" w:cs="宋体"/>
          <w:bCs/>
          <w:color w:val="auto"/>
          <w:kern w:val="0"/>
          <w:sz w:val="32"/>
          <w:szCs w:val="32"/>
          <w:lang w:val="en-US" w:eastAsia="zh-CN" w:bidi="ar-SA"/>
        </w:rPr>
      </w:pPr>
      <w:r>
        <w:rPr>
          <w:rFonts w:hint="eastAsia" w:ascii="宋体" w:eastAsia="宋体" w:cs="宋体"/>
          <w:bCs/>
          <w:color w:val="auto"/>
          <w:kern w:val="0"/>
          <w:sz w:val="32"/>
          <w:szCs w:val="32"/>
          <w:lang w:val="en-US" w:eastAsia="zh-CN" w:bidi="ar-SA"/>
        </w:rPr>
        <w:t>20</w:t>
      </w:r>
      <w:r>
        <w:rPr>
          <w:rFonts w:hint="eastAsia" w:ascii="宋体" w:cs="宋体"/>
          <w:bCs/>
          <w:color w:val="auto"/>
          <w:kern w:val="0"/>
          <w:sz w:val="32"/>
          <w:szCs w:val="32"/>
          <w:lang w:val="en-US" w:eastAsia="zh-CN" w:bidi="ar-SA"/>
        </w:rPr>
        <w:t>20</w:t>
      </w:r>
      <w:r>
        <w:rPr>
          <w:rFonts w:hint="eastAsia" w:ascii="宋体" w:eastAsia="宋体" w:cs="宋体"/>
          <w:bCs/>
          <w:color w:val="auto"/>
          <w:kern w:val="0"/>
          <w:sz w:val="32"/>
          <w:szCs w:val="32"/>
          <w:lang w:val="en-US" w:eastAsia="zh-CN" w:bidi="ar-SA"/>
        </w:rPr>
        <w:t>年度财政拨款收入总决算</w:t>
      </w:r>
      <w:r>
        <w:rPr>
          <w:rFonts w:hint="eastAsia" w:ascii="宋体" w:cs="宋体"/>
          <w:bCs/>
          <w:color w:val="auto"/>
          <w:kern w:val="0"/>
          <w:sz w:val="32"/>
          <w:szCs w:val="32"/>
          <w:lang w:val="en-US" w:eastAsia="zh-CN" w:bidi="ar-SA"/>
        </w:rPr>
        <w:t>1172.32</w:t>
      </w:r>
      <w:r>
        <w:rPr>
          <w:rFonts w:hint="eastAsia" w:ascii="宋体" w:eastAsia="宋体" w:cs="宋体"/>
          <w:bCs/>
          <w:color w:val="auto"/>
          <w:kern w:val="0"/>
          <w:sz w:val="32"/>
          <w:szCs w:val="32"/>
          <w:lang w:val="en-US" w:eastAsia="zh-CN" w:bidi="ar-SA"/>
        </w:rPr>
        <w:t>万元：一般公共预算财政拨款收入</w:t>
      </w:r>
      <w:r>
        <w:rPr>
          <w:rFonts w:hint="eastAsia" w:ascii="宋体" w:cs="宋体"/>
          <w:bCs/>
          <w:color w:val="auto"/>
          <w:kern w:val="0"/>
          <w:sz w:val="32"/>
          <w:szCs w:val="32"/>
          <w:lang w:val="en-US" w:eastAsia="zh-CN" w:bidi="ar-SA"/>
        </w:rPr>
        <w:t>739.15</w:t>
      </w:r>
      <w:r>
        <w:rPr>
          <w:rFonts w:hint="eastAsia" w:ascii="宋体" w:eastAsia="宋体" w:cs="宋体"/>
          <w:bCs/>
          <w:color w:val="auto"/>
          <w:kern w:val="0"/>
          <w:sz w:val="32"/>
          <w:szCs w:val="32"/>
          <w:lang w:val="en-US" w:eastAsia="zh-CN" w:bidi="ar-SA"/>
        </w:rPr>
        <w:t>万元，占总收入的</w:t>
      </w:r>
      <w:r>
        <w:rPr>
          <w:rFonts w:hint="eastAsia" w:ascii="宋体" w:cs="宋体"/>
          <w:bCs/>
          <w:color w:val="auto"/>
          <w:kern w:val="0"/>
          <w:sz w:val="32"/>
          <w:szCs w:val="32"/>
          <w:lang w:val="en-US" w:eastAsia="zh-CN" w:bidi="ar-SA"/>
        </w:rPr>
        <w:t>63.05</w:t>
      </w:r>
      <w:r>
        <w:rPr>
          <w:rFonts w:hint="eastAsia" w:ascii="宋体" w:eastAsia="宋体" w:cs="宋体"/>
          <w:bCs/>
          <w:color w:val="auto"/>
          <w:kern w:val="0"/>
          <w:sz w:val="32"/>
          <w:szCs w:val="32"/>
          <w:lang w:val="en-US" w:eastAsia="zh-CN" w:bidi="ar-SA"/>
        </w:rPr>
        <w:t xml:space="preserve"> %</w:t>
      </w:r>
      <w:r>
        <w:rPr>
          <w:rFonts w:hint="eastAsia" w:ascii="宋体" w:cs="宋体"/>
          <w:bCs/>
          <w:color w:val="auto"/>
          <w:kern w:val="0"/>
          <w:sz w:val="32"/>
          <w:szCs w:val="32"/>
          <w:lang w:val="en-US" w:eastAsia="zh-CN" w:bidi="ar-SA"/>
        </w:rPr>
        <w:t>；项目收入433.17元，</w:t>
      </w:r>
      <w:r>
        <w:rPr>
          <w:rFonts w:hint="eastAsia" w:ascii="宋体" w:eastAsia="宋体" w:cs="宋体"/>
          <w:bCs/>
          <w:color w:val="auto"/>
          <w:kern w:val="0"/>
          <w:sz w:val="32"/>
          <w:szCs w:val="32"/>
          <w:lang w:val="en-US" w:eastAsia="zh-CN" w:bidi="ar-SA"/>
        </w:rPr>
        <w:t>占总收入的</w:t>
      </w:r>
      <w:r>
        <w:rPr>
          <w:rFonts w:hint="eastAsia" w:ascii="宋体" w:cs="宋体"/>
          <w:bCs/>
          <w:color w:val="auto"/>
          <w:kern w:val="0"/>
          <w:sz w:val="32"/>
          <w:szCs w:val="32"/>
          <w:lang w:val="en-US" w:eastAsia="zh-CN" w:bidi="ar-SA"/>
        </w:rPr>
        <w:t>36.95</w:t>
      </w:r>
      <w:r>
        <w:rPr>
          <w:rFonts w:hint="eastAsia" w:ascii="宋体" w:eastAsia="宋体" w:cs="宋体"/>
          <w:bCs/>
          <w:color w:val="auto"/>
          <w:kern w:val="0"/>
          <w:sz w:val="32"/>
          <w:szCs w:val="32"/>
          <w:lang w:val="en-US" w:eastAsia="zh-CN" w:bidi="ar-SA"/>
        </w:rPr>
        <w:t xml:space="preserve"> %。</w:t>
      </w:r>
    </w:p>
    <w:p>
      <w:pPr>
        <w:pStyle w:val="6"/>
        <w:keepNext w:val="0"/>
        <w:keepLines w:val="0"/>
        <w:pageBreakBefore w:val="0"/>
        <w:widowControl w:val="0"/>
        <w:numPr>
          <w:ilvl w:val="0"/>
          <w:numId w:val="10"/>
        </w:numPr>
        <w:kinsoku/>
        <w:wordWrap/>
        <w:overflowPunct/>
        <w:topLinePunct w:val="0"/>
        <w:autoSpaceDE/>
        <w:autoSpaceDN/>
        <w:bidi w:val="0"/>
        <w:adjustRightInd w:val="0"/>
        <w:snapToGrid/>
        <w:spacing w:line="600" w:lineRule="exact"/>
        <w:ind w:left="0" w:firstLine="640" w:firstLineChars="200"/>
        <w:textAlignment w:val="auto"/>
        <w:rPr>
          <w:rFonts w:hint="eastAsia" w:ascii="宋体" w:eastAsia="宋体" w:cs="宋体"/>
          <w:bCs/>
          <w:color w:val="auto"/>
          <w:kern w:val="0"/>
          <w:sz w:val="32"/>
          <w:szCs w:val="32"/>
          <w:lang w:val="zh-CN" w:eastAsia="zh-CN" w:bidi="ar-SA"/>
        </w:rPr>
      </w:pPr>
      <w:r>
        <w:rPr>
          <w:rFonts w:hint="eastAsia" w:ascii="宋体" w:eastAsia="宋体" w:cs="宋体"/>
          <w:bCs/>
          <w:color w:val="auto"/>
          <w:kern w:val="0"/>
          <w:sz w:val="32"/>
          <w:szCs w:val="32"/>
          <w:lang w:val="zh-CN" w:eastAsia="zh-CN" w:bidi="ar-SA"/>
        </w:rPr>
        <w:t>部门财政资金收入情况。</w:t>
      </w:r>
    </w:p>
    <w:p>
      <w:pPr>
        <w:ind w:firstLine="640" w:firstLineChars="200"/>
        <w:rPr>
          <w:rFonts w:hint="eastAsia" w:ascii="宋体" w:cs="宋体"/>
          <w:bCs/>
          <w:color w:val="auto"/>
          <w:kern w:val="0"/>
          <w:sz w:val="32"/>
          <w:szCs w:val="32"/>
          <w:lang w:val="en-US" w:eastAsia="zh-CN" w:bidi="ar-SA"/>
        </w:rPr>
      </w:pPr>
      <w:r>
        <w:rPr>
          <w:rFonts w:hint="eastAsia" w:ascii="宋体" w:eastAsia="宋体" w:cs="宋体"/>
          <w:color w:val="auto"/>
          <w:sz w:val="32"/>
          <w:szCs w:val="32"/>
        </w:rPr>
        <w:t>20</w:t>
      </w:r>
      <w:r>
        <w:rPr>
          <w:rFonts w:hint="eastAsia" w:ascii="宋体" w:cs="宋体"/>
          <w:color w:val="auto"/>
          <w:sz w:val="32"/>
          <w:szCs w:val="32"/>
          <w:lang w:val="en-US" w:eastAsia="zh-CN"/>
        </w:rPr>
        <w:t>20</w:t>
      </w:r>
      <w:r>
        <w:rPr>
          <w:rFonts w:hint="eastAsia" w:ascii="宋体" w:eastAsia="宋体" w:cs="宋体"/>
          <w:color w:val="auto"/>
          <w:sz w:val="32"/>
          <w:szCs w:val="32"/>
        </w:rPr>
        <w:t>年度财政拨款总决算</w:t>
      </w:r>
      <w:r>
        <w:rPr>
          <w:rFonts w:hint="eastAsia" w:ascii="宋体" w:cs="宋体"/>
          <w:bCs/>
          <w:color w:val="auto"/>
          <w:kern w:val="0"/>
          <w:sz w:val="32"/>
          <w:szCs w:val="32"/>
          <w:lang w:val="en-US" w:eastAsia="zh-CN" w:bidi="ar-SA"/>
        </w:rPr>
        <w:t>支出合计1172.33万元，其中：基本支出739.16万元，占63.05 %；项目支出433.17万元，占36.95%。</w:t>
      </w:r>
    </w:p>
    <w:p>
      <w:pPr>
        <w:ind w:firstLine="640" w:firstLineChars="200"/>
        <w:rPr>
          <w:rFonts w:hint="eastAsia" w:ascii="宋体" w:cs="宋体"/>
          <w:bCs/>
          <w:color w:val="auto"/>
          <w:kern w:val="0"/>
          <w:sz w:val="32"/>
          <w:szCs w:val="32"/>
          <w:lang w:val="en-US" w:eastAsia="zh-CN" w:bidi="ar-SA"/>
        </w:rPr>
      </w:pPr>
      <w:r>
        <w:rPr>
          <w:rFonts w:hint="eastAsia" w:ascii="宋体" w:cs="宋体"/>
          <w:bCs/>
          <w:color w:val="auto"/>
          <w:kern w:val="0"/>
          <w:sz w:val="32"/>
          <w:szCs w:val="32"/>
          <w:lang w:val="en-US" w:eastAsia="zh-CN" w:bidi="ar-SA"/>
        </w:rPr>
        <w:t>医疗保障局2020年一般公共预算财政拨款基本支出739.16万元，其中：人员经费291.43万元，主要包括：基本工资85.67万元、津贴补贴113.99万元、奖金7.09万元、机关事业单位基本养老保险缴费32万元、职业年金缴费15.91万元、职工基本医疗保险缴费14万元、公务员医疗补助4.31万元、其他社会保障缴费3.02万元、生活补助0.1万元、奖励金54.06万元、住房公积金31.73万元、其他行政事业单位医疗支出338.81万元；</w:t>
      </w:r>
    </w:p>
    <w:p>
      <w:pPr>
        <w:ind w:firstLine="640" w:firstLineChars="200"/>
        <w:rPr>
          <w:rFonts w:hint="eastAsia" w:ascii="宋体" w:cs="宋体"/>
          <w:bCs/>
          <w:color w:val="auto"/>
          <w:kern w:val="0"/>
          <w:sz w:val="32"/>
          <w:szCs w:val="32"/>
          <w:lang w:val="en-US" w:eastAsia="zh-CN" w:bidi="ar-SA"/>
        </w:rPr>
      </w:pPr>
      <w:r>
        <w:rPr>
          <w:rFonts w:hint="eastAsia" w:ascii="宋体" w:cs="宋体"/>
          <w:bCs/>
          <w:color w:val="auto"/>
          <w:kern w:val="0"/>
          <w:sz w:val="32"/>
          <w:szCs w:val="32"/>
          <w:lang w:val="en-US" w:eastAsia="zh-CN" w:bidi="ar-SA"/>
        </w:rPr>
        <w:t>公用经费38.47万元，主要包括：办公费12万元、印刷费3.98万元、咨询费1万元、手续费3.5万元、水费0.3万元、电费0.22万元、邮电费3.09万元、取暖费0.7万元、差旅费7.44万元、维修（护）费1.48万元、工会经费1万元、公务接待费0.26万元、公务用车运行维护费3.49万元。</w:t>
      </w:r>
    </w:p>
    <w:p>
      <w:pPr>
        <w:ind w:firstLine="640" w:firstLineChars="200"/>
        <w:rPr>
          <w:rFonts w:hint="eastAsia" w:ascii="宋体" w:cs="宋体"/>
          <w:bCs/>
          <w:color w:val="auto"/>
          <w:kern w:val="0"/>
          <w:sz w:val="32"/>
          <w:szCs w:val="32"/>
          <w:lang w:val="en-US" w:eastAsia="zh-CN" w:bidi="ar-SA"/>
        </w:rPr>
      </w:pPr>
      <w:r>
        <w:rPr>
          <w:rFonts w:hint="eastAsia" w:ascii="宋体" w:cs="宋体"/>
          <w:bCs/>
          <w:color w:val="auto"/>
          <w:kern w:val="0"/>
          <w:sz w:val="32"/>
          <w:szCs w:val="32"/>
          <w:lang w:val="en-US" w:eastAsia="zh-CN" w:bidi="ar-SA"/>
        </w:rPr>
        <w:t>2020年项目支出433.17万元，主要包括：培训费1.2万元、疫情补贴0.7万元、城乡医疗救助资金246万元、培训费0.0074万元（2019年中央财政医疗服务与保障能力提升补助资金结余）、建档立卡大病商业补充保险185.27万元。</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94" w:afterLines="30" w:afterAutospacing="0" w:line="600" w:lineRule="atLeast"/>
        <w:ind w:left="0" w:right="0" w:firstLine="720"/>
        <w:jc w:val="left"/>
        <w:textAlignment w:val="auto"/>
        <w:rPr>
          <w:rFonts w:hint="eastAsia" w:ascii="黑体" w:eastAsia="黑体" w:cs="宋体"/>
          <w:color w:val="000000"/>
          <w:kern w:val="0"/>
          <w:lang w:val="en-US"/>
        </w:rPr>
      </w:pPr>
      <w:r>
        <w:rPr>
          <w:rFonts w:hint="eastAsia" w:ascii="黑体" w:eastAsia="黑体" w:cs="宋体"/>
          <w:color w:val="000000"/>
          <w:kern w:val="0"/>
          <w:sz w:val="32"/>
          <w:szCs w:val="24"/>
          <w:lang w:val="en-US" w:eastAsia="zh-CN"/>
        </w:rPr>
        <w:t>三、部门整体预算绩效管理情况</w:t>
      </w:r>
    </w:p>
    <w:p>
      <w:pPr>
        <w:keepNext w:val="0"/>
        <w:keepLines w:val="0"/>
        <w:pageBreakBefore w:val="0"/>
        <w:widowControl w:val="0"/>
        <w:kinsoku/>
        <w:wordWrap/>
        <w:overflowPunct/>
        <w:topLinePunct w:val="0"/>
        <w:autoSpaceDE/>
        <w:autoSpaceDN/>
        <w:bidi w:val="0"/>
        <w:adjustRightInd w:val="0"/>
        <w:snapToGrid w:val="0"/>
        <w:spacing w:after="94" w:afterLines="30" w:line="600" w:lineRule="atLeast"/>
        <w:ind w:firstLine="640" w:firstLineChars="200"/>
        <w:textAlignment w:val="auto"/>
        <w:rPr>
          <w:rFonts w:hint="eastAsia" w:ascii="宋体" w:cs="宋体"/>
          <w:bCs/>
          <w:color w:val="auto"/>
          <w:kern w:val="0"/>
          <w:sz w:val="32"/>
          <w:szCs w:val="32"/>
          <w:lang w:val="zh-CN" w:eastAsia="zh-CN" w:bidi="ar-SA"/>
        </w:rPr>
      </w:pPr>
      <w:r>
        <w:rPr>
          <w:rFonts w:hint="eastAsia" w:ascii="宋体" w:cs="宋体"/>
          <w:bCs/>
          <w:color w:val="auto"/>
          <w:kern w:val="0"/>
          <w:sz w:val="32"/>
          <w:szCs w:val="32"/>
          <w:lang w:val="zh-CN" w:eastAsia="zh-CN" w:bidi="ar-SA"/>
        </w:rPr>
        <w:t>（一）</w:t>
      </w:r>
      <w:r>
        <w:rPr>
          <w:rFonts w:hint="eastAsia" w:ascii="宋体" w:cs="宋体"/>
          <w:bCs/>
          <w:color w:val="auto"/>
          <w:kern w:val="0"/>
          <w:sz w:val="32"/>
          <w:szCs w:val="32"/>
          <w:lang w:val="en-US" w:eastAsia="zh-CN" w:bidi="ar-SA"/>
        </w:rPr>
        <w:t>部门</w:t>
      </w:r>
      <w:r>
        <w:rPr>
          <w:rFonts w:hint="eastAsia" w:ascii="宋体" w:cs="宋体"/>
          <w:bCs/>
          <w:color w:val="auto"/>
          <w:kern w:val="0"/>
          <w:sz w:val="32"/>
          <w:szCs w:val="32"/>
          <w:lang w:val="zh-CN" w:eastAsia="zh-CN" w:bidi="ar-SA"/>
        </w:rPr>
        <w:t>预算编制情况。</w:t>
      </w:r>
    </w:p>
    <w:p>
      <w:pPr>
        <w:ind w:firstLine="640" w:firstLineChars="200"/>
        <w:rPr>
          <w:rFonts w:hint="eastAsia" w:ascii="宋体" w:cs="宋体"/>
          <w:bCs/>
          <w:color w:val="auto"/>
          <w:kern w:val="0"/>
          <w:sz w:val="32"/>
          <w:szCs w:val="32"/>
          <w:lang w:val="zh-CN" w:eastAsia="zh-CN" w:bidi="ar-SA"/>
        </w:rPr>
      </w:pPr>
      <w:r>
        <w:rPr>
          <w:rFonts w:hint="eastAsia" w:ascii="宋体" w:cs="宋体"/>
          <w:bCs/>
          <w:color w:val="auto"/>
          <w:kern w:val="0"/>
          <w:sz w:val="32"/>
          <w:szCs w:val="32"/>
          <w:lang w:val="en-US" w:eastAsia="zh-CN" w:bidi="ar-SA"/>
        </w:rPr>
        <w:t>项目申报严格按照上级要求，明确绩效目标，控制支行成本，提高项目发挥作用。并</w:t>
      </w:r>
      <w:r>
        <w:rPr>
          <w:rFonts w:hint="eastAsia" w:ascii="宋体" w:cs="宋体"/>
          <w:bCs/>
          <w:color w:val="auto"/>
          <w:kern w:val="0"/>
          <w:sz w:val="32"/>
          <w:szCs w:val="32"/>
          <w:lang w:val="zh-CN" w:eastAsia="zh-CN" w:bidi="ar-SA"/>
        </w:rPr>
        <w:t>根据财政局统一要求编制了我会整体绩效目标报告及项目整体绩效目标表，并报县财政局。</w:t>
      </w:r>
    </w:p>
    <w:p>
      <w:pPr>
        <w:ind w:firstLine="640" w:firstLineChars="200"/>
        <w:rPr>
          <w:rFonts w:hint="eastAsia" w:ascii="宋体" w:cs="宋体"/>
          <w:bCs/>
          <w:color w:val="auto"/>
          <w:kern w:val="0"/>
          <w:sz w:val="32"/>
          <w:szCs w:val="32"/>
          <w:lang w:val="zh-CN" w:eastAsia="zh-CN" w:bidi="ar-SA"/>
        </w:rPr>
      </w:pPr>
      <w:r>
        <w:rPr>
          <w:rFonts w:hint="eastAsia" w:ascii="宋体" w:cs="宋体"/>
          <w:bCs/>
          <w:color w:val="auto"/>
          <w:kern w:val="0"/>
          <w:sz w:val="32"/>
          <w:szCs w:val="32"/>
          <w:lang w:val="zh-CN" w:eastAsia="zh-CN" w:bidi="ar-SA"/>
        </w:rPr>
        <w:t>（二）执行管理情况。</w:t>
      </w:r>
      <w:r>
        <w:rPr>
          <w:rFonts w:hint="eastAsia" w:ascii="宋体" w:cs="宋体"/>
          <w:bCs/>
          <w:color w:val="auto"/>
          <w:kern w:val="0"/>
          <w:sz w:val="32"/>
          <w:szCs w:val="32"/>
          <w:lang w:val="zh-CN" w:eastAsia="zh-CN" w:bidi="ar-SA"/>
        </w:rPr>
        <w:tab/>
      </w:r>
    </w:p>
    <w:p>
      <w:pPr>
        <w:ind w:firstLine="640" w:firstLineChars="200"/>
        <w:rPr>
          <w:rFonts w:hint="eastAsia" w:ascii="宋体" w:cs="宋体"/>
          <w:bCs/>
          <w:color w:val="auto"/>
          <w:kern w:val="0"/>
          <w:sz w:val="32"/>
          <w:szCs w:val="32"/>
          <w:lang w:val="zh-CN" w:eastAsia="zh-CN" w:bidi="ar-SA"/>
        </w:rPr>
      </w:pPr>
      <w:r>
        <w:rPr>
          <w:rFonts w:hint="eastAsia" w:ascii="宋体" w:cs="宋体"/>
          <w:bCs/>
          <w:color w:val="auto"/>
          <w:kern w:val="0"/>
          <w:sz w:val="32"/>
          <w:szCs w:val="32"/>
          <w:lang w:val="zh-CN" w:eastAsia="zh-CN" w:bidi="ar-SA"/>
        </w:rPr>
        <w:t>在预算分配执行上严格按照“三公”经费使用规定而进行编制，在执行进度由于资金到位迟，另外又要根据当年项目资金实施方案要求以及地方实施的实际开展情况避免的风险评估而编制预算，因此目前进度缓慢，但目前实施方案和预算已规划完成，下一步会进一步加快资金支付进度。</w:t>
      </w:r>
    </w:p>
    <w:p>
      <w:pPr>
        <w:ind w:firstLine="640" w:firstLineChars="200"/>
        <w:rPr>
          <w:rFonts w:hint="eastAsia" w:ascii="宋体" w:cs="宋体"/>
          <w:bCs/>
          <w:color w:val="auto"/>
          <w:kern w:val="0"/>
          <w:sz w:val="32"/>
          <w:szCs w:val="32"/>
          <w:lang w:val="zh-CN" w:eastAsia="zh-CN" w:bidi="ar-SA"/>
        </w:rPr>
      </w:pPr>
      <w:r>
        <w:rPr>
          <w:rFonts w:hint="eastAsia" w:ascii="宋体" w:cs="宋体"/>
          <w:bCs/>
          <w:color w:val="auto"/>
          <w:kern w:val="0"/>
          <w:sz w:val="32"/>
          <w:szCs w:val="32"/>
          <w:lang w:val="zh-CN" w:eastAsia="zh-CN" w:bidi="ar-SA"/>
        </w:rPr>
        <w:t>（三）综合管理情况。</w:t>
      </w:r>
    </w:p>
    <w:p>
      <w:pPr>
        <w:ind w:firstLine="640" w:firstLineChars="200"/>
        <w:rPr>
          <w:rFonts w:hint="eastAsia" w:ascii="宋体" w:cs="宋体"/>
          <w:bCs/>
          <w:color w:val="auto"/>
          <w:kern w:val="0"/>
          <w:sz w:val="32"/>
          <w:szCs w:val="32"/>
          <w:lang w:val="zh-CN" w:eastAsia="zh-CN" w:bidi="ar-SA"/>
        </w:rPr>
      </w:pPr>
      <w:r>
        <w:rPr>
          <w:rFonts w:hint="eastAsia" w:ascii="宋体" w:cs="宋体"/>
          <w:bCs/>
          <w:color w:val="auto"/>
          <w:kern w:val="0"/>
          <w:sz w:val="32"/>
          <w:szCs w:val="32"/>
          <w:lang w:val="en-US" w:eastAsia="zh-CN" w:bidi="ar-SA"/>
        </w:rPr>
        <w:t xml:space="preserve"> </w:t>
      </w:r>
      <w:r>
        <w:rPr>
          <w:rFonts w:hint="eastAsia" w:ascii="宋体" w:cs="宋体"/>
          <w:bCs/>
          <w:color w:val="auto"/>
          <w:kern w:val="0"/>
          <w:sz w:val="32"/>
          <w:szCs w:val="32"/>
          <w:lang w:val="zh-CN" w:eastAsia="zh-CN" w:bidi="ar-SA"/>
        </w:rPr>
        <w:t>中心无政府债务，另外执行的非税收入收费已取消，无非税收入；在项目实施采购类方面会严格按照政府采购流程进行采购，涉及办公设备和专用设备购置，进行资产财务入账资产管理登记，按时进行单位财务信息公开，接受财政和审计监督。</w:t>
      </w:r>
    </w:p>
    <w:p>
      <w:pPr>
        <w:keepNext w:val="0"/>
        <w:keepLines w:val="0"/>
        <w:pageBreakBefore w:val="0"/>
        <w:widowControl w:val="0"/>
        <w:kinsoku/>
        <w:wordWrap/>
        <w:overflowPunct/>
        <w:topLinePunct w:val="0"/>
        <w:autoSpaceDE/>
        <w:autoSpaceDN/>
        <w:bidi w:val="0"/>
        <w:adjustRightInd/>
        <w:snapToGrid/>
        <w:ind w:left="0" w:firstLine="640" w:firstLineChars="200"/>
        <w:textAlignment w:val="auto"/>
        <w:rPr>
          <w:rFonts w:hint="eastAsia" w:ascii="宋体" w:cs="宋体"/>
          <w:bCs/>
          <w:color w:val="auto"/>
          <w:kern w:val="0"/>
          <w:sz w:val="32"/>
          <w:szCs w:val="32"/>
          <w:lang w:val="zh-CN" w:eastAsia="zh-CN" w:bidi="ar-SA"/>
        </w:rPr>
      </w:pPr>
      <w:r>
        <w:rPr>
          <w:rFonts w:hint="eastAsia" w:ascii="宋体" w:cs="宋体"/>
          <w:bCs/>
          <w:color w:val="auto"/>
          <w:kern w:val="0"/>
          <w:sz w:val="32"/>
          <w:szCs w:val="32"/>
          <w:lang w:val="en-US" w:eastAsia="zh-CN" w:bidi="ar-SA"/>
        </w:rPr>
        <w:t>（四）整体绩效</w:t>
      </w:r>
      <w:r>
        <w:rPr>
          <w:rFonts w:hint="eastAsia" w:ascii="宋体" w:cs="宋体"/>
          <w:bCs/>
          <w:color w:val="auto"/>
          <w:kern w:val="0"/>
          <w:sz w:val="32"/>
          <w:szCs w:val="32"/>
          <w:lang w:val="zh-CN" w:eastAsia="zh-CN" w:bidi="ar-SA"/>
        </w:rPr>
        <w:t>。</w:t>
      </w:r>
    </w:p>
    <w:p>
      <w:pPr>
        <w:keepNext w:val="0"/>
        <w:keepLines w:val="0"/>
        <w:pageBreakBefore w:val="0"/>
        <w:widowControl w:val="0"/>
        <w:kinsoku/>
        <w:wordWrap/>
        <w:overflowPunct/>
        <w:topLinePunct w:val="0"/>
        <w:autoSpaceDE/>
        <w:autoSpaceDN/>
        <w:bidi w:val="0"/>
        <w:adjustRightInd w:val="0"/>
        <w:snapToGrid w:val="0"/>
        <w:spacing w:after="94" w:afterLines="30" w:line="600" w:lineRule="atLeast"/>
        <w:ind w:firstLine="640" w:firstLineChars="200"/>
        <w:textAlignment w:val="auto"/>
        <w:rPr>
          <w:rFonts w:hint="eastAsia" w:ascii="宋体" w:cs="宋体"/>
          <w:bCs/>
          <w:color w:val="auto"/>
          <w:kern w:val="0"/>
          <w:sz w:val="32"/>
          <w:szCs w:val="32"/>
          <w:lang w:val="zh-CN" w:eastAsia="zh-CN" w:bidi="ar-SA"/>
        </w:rPr>
      </w:pPr>
      <w:r>
        <w:rPr>
          <w:rFonts w:hint="eastAsia" w:ascii="宋体" w:cs="宋体"/>
          <w:bCs/>
          <w:color w:val="auto"/>
          <w:kern w:val="0"/>
          <w:sz w:val="32"/>
          <w:szCs w:val="32"/>
          <w:lang w:val="zh-CN" w:eastAsia="zh-CN" w:bidi="ar-SA"/>
        </w:rPr>
        <w:t>我</w:t>
      </w:r>
      <w:r>
        <w:rPr>
          <w:rFonts w:hint="eastAsia" w:ascii="宋体" w:cs="宋体"/>
          <w:bCs/>
          <w:color w:val="auto"/>
          <w:kern w:val="0"/>
          <w:sz w:val="32"/>
          <w:szCs w:val="32"/>
          <w:lang w:val="en-US" w:eastAsia="zh-CN" w:bidi="ar-SA"/>
        </w:rPr>
        <w:t>单位</w:t>
      </w:r>
      <w:r>
        <w:rPr>
          <w:rFonts w:hint="eastAsia" w:ascii="宋体" w:cs="宋体"/>
          <w:bCs/>
          <w:color w:val="auto"/>
          <w:kern w:val="0"/>
          <w:sz w:val="32"/>
          <w:szCs w:val="32"/>
          <w:lang w:val="zh-CN" w:eastAsia="zh-CN" w:bidi="ar-SA"/>
        </w:rPr>
        <w:t>按照规定完全履行职责，整体评价良好，服务对象基本满意从预算执行来情况看，预算资金覆盖我</w:t>
      </w:r>
      <w:r>
        <w:rPr>
          <w:rFonts w:hint="eastAsia" w:ascii="宋体" w:cs="宋体"/>
          <w:bCs/>
          <w:color w:val="auto"/>
          <w:kern w:val="0"/>
          <w:sz w:val="32"/>
          <w:szCs w:val="32"/>
          <w:lang w:val="en-US" w:eastAsia="zh-CN" w:bidi="ar-SA"/>
        </w:rPr>
        <w:t>单位</w:t>
      </w:r>
      <w:r>
        <w:rPr>
          <w:rFonts w:hint="eastAsia" w:ascii="宋体" w:cs="宋体"/>
          <w:bCs/>
          <w:color w:val="auto"/>
          <w:kern w:val="0"/>
          <w:sz w:val="32"/>
          <w:szCs w:val="32"/>
          <w:lang w:val="zh-CN" w:eastAsia="zh-CN" w:bidi="ar-SA"/>
        </w:rPr>
        <w:t>工作的各个方面，按照保工资、保运转、保民生的保障序列科学编制，分配办法科学，考虑的因素必要合理，分配的结果合理，保障了人员经费及单位正常运转。在预算执行过程中单位遵守财经纪律、财务制度，坚持先有预算后支出；严格审批程序，保障了资金安全。</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94" w:afterLines="30" w:afterAutospacing="0" w:line="600" w:lineRule="atLeast"/>
        <w:ind w:left="0" w:right="0" w:firstLine="720"/>
        <w:jc w:val="left"/>
        <w:textAlignment w:val="auto"/>
        <w:rPr>
          <w:rFonts w:hint="eastAsia" w:ascii="黑体" w:eastAsia="黑体" w:cs="宋体"/>
          <w:color w:val="000000"/>
          <w:kern w:val="0"/>
          <w:lang w:val="en-US"/>
        </w:rPr>
      </w:pPr>
      <w:r>
        <w:rPr>
          <w:rFonts w:hint="eastAsia" w:ascii="黑体" w:eastAsia="黑体" w:cs="宋体"/>
          <w:color w:val="000000"/>
          <w:kern w:val="0"/>
          <w:sz w:val="32"/>
          <w:szCs w:val="24"/>
          <w:lang w:val="en-US" w:eastAsia="zh-CN"/>
        </w:rPr>
        <w:t>四、评价结论及建议</w:t>
      </w:r>
    </w:p>
    <w:p>
      <w:pPr>
        <w:keepNext w:val="0"/>
        <w:keepLines w:val="0"/>
        <w:pageBreakBefore w:val="0"/>
        <w:widowControl w:val="0"/>
        <w:kinsoku/>
        <w:wordWrap/>
        <w:overflowPunct/>
        <w:topLinePunct w:val="0"/>
        <w:autoSpaceDE/>
        <w:autoSpaceDN/>
        <w:bidi w:val="0"/>
        <w:adjustRightInd w:val="0"/>
        <w:snapToGrid w:val="0"/>
        <w:spacing w:after="94" w:afterLines="30" w:line="600" w:lineRule="atLeast"/>
        <w:ind w:firstLine="640" w:firstLineChars="200"/>
        <w:textAlignment w:val="auto"/>
        <w:rPr>
          <w:rFonts w:hint="eastAsia" w:ascii="宋体" w:cs="宋体"/>
          <w:bCs/>
          <w:color w:val="auto"/>
          <w:kern w:val="0"/>
          <w:sz w:val="32"/>
          <w:szCs w:val="32"/>
          <w:lang w:val="zh-CN" w:eastAsia="zh-CN" w:bidi="ar-SA"/>
        </w:rPr>
      </w:pPr>
      <w:r>
        <w:rPr>
          <w:rFonts w:hint="eastAsia" w:ascii="宋体" w:cs="宋体"/>
          <w:bCs/>
          <w:color w:val="auto"/>
          <w:kern w:val="0"/>
          <w:sz w:val="32"/>
          <w:szCs w:val="32"/>
          <w:lang w:val="zh-CN" w:eastAsia="zh-CN" w:bidi="ar-SA"/>
        </w:rPr>
        <w:t>（一）评价结论</w:t>
      </w:r>
    </w:p>
    <w:p>
      <w:pPr>
        <w:keepNext w:val="0"/>
        <w:keepLines w:val="0"/>
        <w:pageBreakBefore w:val="0"/>
        <w:widowControl w:val="0"/>
        <w:kinsoku/>
        <w:wordWrap/>
        <w:overflowPunct/>
        <w:topLinePunct w:val="0"/>
        <w:autoSpaceDE/>
        <w:autoSpaceDN/>
        <w:bidi w:val="0"/>
        <w:adjustRightInd w:val="0"/>
        <w:snapToGrid w:val="0"/>
        <w:spacing w:after="94" w:afterLines="30" w:line="600" w:lineRule="atLeast"/>
        <w:ind w:firstLine="640" w:firstLineChars="200"/>
        <w:textAlignment w:val="auto"/>
        <w:rPr>
          <w:rFonts w:hint="eastAsia" w:ascii="宋体" w:cs="宋体"/>
          <w:bCs/>
          <w:color w:val="auto"/>
          <w:kern w:val="0"/>
          <w:sz w:val="32"/>
          <w:szCs w:val="32"/>
          <w:lang w:val="en-US" w:eastAsia="zh-CN" w:bidi="ar-SA"/>
        </w:rPr>
      </w:pPr>
      <w:r>
        <w:rPr>
          <w:rFonts w:hint="eastAsia" w:ascii="宋体" w:cs="宋体"/>
          <w:bCs/>
          <w:color w:val="auto"/>
          <w:kern w:val="0"/>
          <w:sz w:val="32"/>
          <w:szCs w:val="32"/>
          <w:lang w:val="en-US" w:eastAsia="zh-CN" w:bidi="ar-SA"/>
        </w:rPr>
        <w:t>我单位</w:t>
      </w:r>
      <w:r>
        <w:rPr>
          <w:rFonts w:hint="eastAsia" w:ascii="宋体" w:cs="宋体"/>
          <w:bCs/>
          <w:color w:val="auto"/>
          <w:kern w:val="0"/>
          <w:sz w:val="32"/>
          <w:szCs w:val="32"/>
          <w:lang w:val="zh-CN" w:eastAsia="zh-CN" w:bidi="ar-SA"/>
        </w:rPr>
        <w:t>扎扎实实地做好</w:t>
      </w:r>
      <w:r>
        <w:rPr>
          <w:rFonts w:hint="eastAsia" w:ascii="宋体" w:cs="宋体"/>
          <w:bCs/>
          <w:color w:val="auto"/>
          <w:kern w:val="0"/>
          <w:sz w:val="32"/>
          <w:szCs w:val="32"/>
          <w:lang w:val="en-US" w:eastAsia="zh-CN" w:bidi="ar-SA"/>
        </w:rPr>
        <w:t>了</w:t>
      </w:r>
      <w:r>
        <w:rPr>
          <w:rFonts w:hint="eastAsia" w:ascii="宋体" w:cs="宋体"/>
          <w:bCs/>
          <w:color w:val="auto"/>
          <w:kern w:val="0"/>
          <w:sz w:val="32"/>
          <w:szCs w:val="32"/>
          <w:lang w:val="zh-CN" w:eastAsia="zh-CN" w:bidi="ar-SA"/>
        </w:rPr>
        <w:t>各项</w:t>
      </w:r>
      <w:r>
        <w:rPr>
          <w:rFonts w:hint="eastAsia" w:ascii="宋体" w:cs="宋体"/>
          <w:bCs/>
          <w:color w:val="auto"/>
          <w:kern w:val="0"/>
          <w:sz w:val="32"/>
          <w:szCs w:val="32"/>
          <w:lang w:val="en-US" w:eastAsia="zh-CN" w:bidi="ar-SA"/>
        </w:rPr>
        <w:t>医保</w:t>
      </w:r>
      <w:r>
        <w:rPr>
          <w:rFonts w:hint="eastAsia" w:ascii="宋体" w:cs="宋体"/>
          <w:bCs/>
          <w:color w:val="auto"/>
          <w:kern w:val="0"/>
          <w:sz w:val="32"/>
          <w:szCs w:val="32"/>
          <w:lang w:val="zh-CN" w:eastAsia="zh-CN" w:bidi="ar-SA"/>
        </w:rPr>
        <w:t>工作，部门预算执行情况良好，无不良记录及违规违纪行为，预算支出和决算支出情况相符。</w:t>
      </w:r>
      <w:r>
        <w:rPr>
          <w:rFonts w:hint="eastAsia" w:ascii="宋体" w:cs="宋体"/>
          <w:bCs/>
          <w:color w:val="auto"/>
          <w:kern w:val="0"/>
          <w:sz w:val="32"/>
          <w:szCs w:val="32"/>
          <w:lang w:val="en-US" w:eastAsia="zh-CN" w:bidi="ar-SA"/>
        </w:rPr>
        <w:t xml:space="preserve"> </w:t>
      </w:r>
    </w:p>
    <w:p>
      <w:pPr>
        <w:keepNext w:val="0"/>
        <w:keepLines w:val="0"/>
        <w:pageBreakBefore w:val="0"/>
        <w:widowControl w:val="0"/>
        <w:kinsoku/>
        <w:wordWrap/>
        <w:overflowPunct/>
        <w:topLinePunct w:val="0"/>
        <w:autoSpaceDE/>
        <w:autoSpaceDN/>
        <w:bidi w:val="0"/>
        <w:adjustRightInd w:val="0"/>
        <w:snapToGrid w:val="0"/>
        <w:spacing w:after="94" w:afterLines="30" w:line="600" w:lineRule="atLeast"/>
        <w:ind w:firstLine="640" w:firstLineChars="200"/>
        <w:textAlignment w:val="auto"/>
        <w:rPr>
          <w:rFonts w:hint="eastAsia" w:ascii="宋体" w:cs="宋体"/>
          <w:bCs/>
          <w:color w:val="auto"/>
          <w:kern w:val="0"/>
          <w:sz w:val="32"/>
          <w:szCs w:val="32"/>
          <w:lang w:val="zh-CN" w:eastAsia="zh-CN" w:bidi="ar-SA"/>
        </w:rPr>
      </w:pPr>
      <w:r>
        <w:rPr>
          <w:rFonts w:hint="eastAsia" w:ascii="宋体" w:cs="宋体"/>
          <w:bCs/>
          <w:color w:val="auto"/>
          <w:kern w:val="0"/>
          <w:sz w:val="32"/>
          <w:szCs w:val="32"/>
          <w:lang w:val="zh-CN" w:eastAsia="zh-CN" w:bidi="ar-SA"/>
        </w:rPr>
        <w:t>（二）存在问题。</w:t>
      </w:r>
    </w:p>
    <w:p>
      <w:pPr>
        <w:keepNext w:val="0"/>
        <w:keepLines w:val="0"/>
        <w:pageBreakBefore w:val="0"/>
        <w:widowControl w:val="0"/>
        <w:kinsoku/>
        <w:wordWrap/>
        <w:overflowPunct/>
        <w:topLinePunct w:val="0"/>
        <w:autoSpaceDE/>
        <w:autoSpaceDN/>
        <w:bidi w:val="0"/>
        <w:adjustRightInd w:val="0"/>
        <w:snapToGrid w:val="0"/>
        <w:spacing w:after="94" w:afterLines="30" w:line="600" w:lineRule="atLeast"/>
        <w:ind w:firstLine="640" w:firstLineChars="200"/>
        <w:textAlignment w:val="auto"/>
        <w:rPr>
          <w:rFonts w:ascii="宋体" w:cs="宋体"/>
          <w:bCs/>
          <w:color w:val="auto"/>
          <w:kern w:val="0"/>
          <w:sz w:val="32"/>
          <w:szCs w:val="32"/>
          <w:lang w:val="en-US" w:eastAsia="zh-CN" w:bidi="ar-SA"/>
        </w:rPr>
      </w:pPr>
      <w:r>
        <w:rPr>
          <w:rFonts w:hint="eastAsia" w:ascii="宋体" w:cs="宋体"/>
          <w:bCs/>
          <w:color w:val="auto"/>
          <w:kern w:val="0"/>
          <w:sz w:val="32"/>
          <w:szCs w:val="32"/>
          <w:lang w:val="en-US" w:eastAsia="zh-CN" w:bidi="ar-SA"/>
        </w:rPr>
        <w:t xml:space="preserve"> </w:t>
      </w:r>
      <w:r>
        <w:rPr>
          <w:rFonts w:hint="eastAsia" w:ascii="宋体" w:cs="宋体"/>
          <w:bCs/>
          <w:color w:val="auto"/>
          <w:kern w:val="0"/>
          <w:sz w:val="32"/>
          <w:szCs w:val="32"/>
          <w:lang w:val="zh-CN" w:eastAsia="zh-CN" w:bidi="ar-SA"/>
        </w:rPr>
        <w:t>一是预算经费支出进度较缓项目预算处理效率还需继续提升；二是</w:t>
      </w:r>
      <w:r>
        <w:rPr>
          <w:rFonts w:hint="eastAsia" w:ascii="宋体" w:cs="宋体"/>
          <w:bCs/>
          <w:color w:val="auto"/>
          <w:kern w:val="0"/>
          <w:sz w:val="32"/>
          <w:szCs w:val="32"/>
          <w:lang w:val="en-US" w:eastAsia="zh-CN" w:bidi="ar-SA"/>
        </w:rPr>
        <w:t>因各医疗机构大型检查设备及诊疗项目的不断增加和应用，导致医疗费用呈增长较快的趋势</w:t>
      </w:r>
      <w:r>
        <w:rPr>
          <w:rFonts w:hint="eastAsia" w:ascii="宋体" w:cs="宋体"/>
          <w:bCs/>
          <w:color w:val="auto"/>
          <w:kern w:val="0"/>
          <w:sz w:val="32"/>
          <w:szCs w:val="32"/>
          <w:lang w:val="zh-CN" w:eastAsia="zh-CN" w:bidi="ar-SA"/>
        </w:rPr>
        <w:t>。三</w:t>
      </w:r>
      <w:r>
        <w:rPr>
          <w:rFonts w:hint="eastAsia" w:ascii="宋体" w:cs="宋体"/>
          <w:bCs/>
          <w:color w:val="auto"/>
          <w:kern w:val="0"/>
          <w:sz w:val="32"/>
          <w:szCs w:val="32"/>
          <w:lang w:val="en-US" w:eastAsia="zh-CN" w:bidi="ar-SA"/>
        </w:rPr>
        <w:t>是县级医疗机构业务水平不高，不能满足患者日益增长的医疗需求，到州外就诊住院人次增加，医疗费用相对增加。</w:t>
      </w:r>
    </w:p>
    <w:p>
      <w:pPr>
        <w:keepNext w:val="0"/>
        <w:keepLines w:val="0"/>
        <w:pageBreakBefore w:val="0"/>
        <w:widowControl w:val="0"/>
        <w:kinsoku/>
        <w:wordWrap/>
        <w:overflowPunct/>
        <w:topLinePunct w:val="0"/>
        <w:autoSpaceDE/>
        <w:autoSpaceDN/>
        <w:bidi w:val="0"/>
        <w:adjustRightInd w:val="0"/>
        <w:snapToGrid w:val="0"/>
        <w:spacing w:after="94" w:afterLines="30" w:line="600" w:lineRule="atLeast"/>
        <w:ind w:firstLine="640" w:firstLineChars="200"/>
        <w:textAlignment w:val="auto"/>
        <w:rPr>
          <w:rFonts w:hint="eastAsia" w:ascii="宋体" w:cs="宋体"/>
          <w:bCs/>
          <w:color w:val="auto"/>
          <w:kern w:val="0"/>
          <w:sz w:val="32"/>
          <w:szCs w:val="32"/>
          <w:lang w:val="en-US" w:eastAsia="zh-CN" w:bidi="ar-SA"/>
        </w:rPr>
      </w:pPr>
      <w:r>
        <w:rPr>
          <w:rFonts w:hint="eastAsia" w:ascii="宋体" w:cs="宋体"/>
          <w:bCs/>
          <w:color w:val="auto"/>
          <w:kern w:val="0"/>
          <w:sz w:val="32"/>
          <w:szCs w:val="32"/>
          <w:lang w:val="zh-CN" w:eastAsia="zh-CN" w:bidi="ar-SA"/>
        </w:rPr>
        <w:t>（三）改进建议。</w:t>
      </w:r>
    </w:p>
    <w:p>
      <w:pPr>
        <w:keepNext w:val="0"/>
        <w:keepLines w:val="0"/>
        <w:pageBreakBefore w:val="0"/>
        <w:widowControl w:val="0"/>
        <w:kinsoku/>
        <w:wordWrap/>
        <w:overflowPunct/>
        <w:topLinePunct w:val="0"/>
        <w:autoSpaceDE/>
        <w:autoSpaceDN/>
        <w:bidi w:val="0"/>
        <w:adjustRightInd w:val="0"/>
        <w:snapToGrid w:val="0"/>
        <w:spacing w:after="94" w:afterLines="30" w:line="600" w:lineRule="atLeast"/>
        <w:ind w:firstLine="640" w:firstLineChars="200"/>
        <w:textAlignment w:val="auto"/>
        <w:rPr>
          <w:rFonts w:hint="eastAsia" w:ascii="宋体" w:cs="宋体"/>
          <w:bCs/>
          <w:color w:val="auto"/>
          <w:kern w:val="0"/>
          <w:sz w:val="32"/>
          <w:szCs w:val="32"/>
          <w:lang w:val="zh-CN" w:eastAsia="zh-CN" w:bidi="ar-SA"/>
        </w:rPr>
      </w:pPr>
      <w:r>
        <w:rPr>
          <w:rFonts w:hint="eastAsia" w:ascii="宋体" w:cs="宋体"/>
          <w:bCs/>
          <w:color w:val="auto"/>
          <w:kern w:val="0"/>
          <w:sz w:val="32"/>
          <w:szCs w:val="32"/>
          <w:lang w:val="zh-CN" w:eastAsia="zh-CN" w:bidi="ar-SA"/>
        </w:rPr>
        <w:t>加快完成机关财务管理规章制度建设、加强会计核算和财务管理能力，及时与财政局相关科室对接工作，提升工作效率。</w:t>
      </w:r>
    </w:p>
    <w:p>
      <w:pPr>
        <w:jc w:val="right"/>
        <w:rPr>
          <w:rFonts w:hint="eastAsia" w:ascii="宋体" w:cs="宋体"/>
          <w:bCs/>
          <w:color w:val="auto"/>
          <w:kern w:val="0"/>
          <w:sz w:val="32"/>
          <w:szCs w:val="32"/>
          <w:lang w:val="zh-CN" w:eastAsia="zh-CN" w:bidi="ar-SA"/>
        </w:rPr>
      </w:pPr>
    </w:p>
    <w:p>
      <w:pPr>
        <w:pStyle w:val="2"/>
        <w:rPr>
          <w:rFonts w:hint="eastAsia" w:ascii="宋体" w:cs="宋体"/>
          <w:bCs/>
          <w:color w:val="auto"/>
          <w:kern w:val="0"/>
          <w:sz w:val="32"/>
          <w:szCs w:val="32"/>
          <w:lang w:val="zh-CN" w:eastAsia="zh-CN" w:bidi="ar-SA"/>
        </w:rPr>
      </w:pPr>
    </w:p>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2000000000000000000"/>
    <w:charset w:val="86"/>
    <w:family w:val="script"/>
    <w:pitch w:val="default"/>
    <w:sig w:usb0="00000001" w:usb1="08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AR PL UKai CN">
    <w:altName w:val="Segoe Print"/>
    <w:panose1 w:val="00000000000000000000"/>
    <w:charset w:val="01"/>
    <w:family w:val="auto"/>
    <w:pitch w:val="default"/>
    <w:sig w:usb0="00000000" w:usb1="00000000" w:usb2="00000000" w:usb3="00000000" w:csb0="00000000" w:csb1="00000000"/>
  </w:font>
  <w:font w:name="Lucida Sans">
    <w:altName w:val="Lucida Sans Unicode"/>
    <w:panose1 w:val="00000000000000000000"/>
    <w:charset w:val="01"/>
    <w:family w:val="auto"/>
    <w:pitch w:val="default"/>
    <w:sig w:usb0="00000000" w:usb1="00000000" w:usb2="00000000" w:usb3="00000000" w:csb0="00000000" w:csb1="00000000"/>
  </w:font>
  <w:font w:name="楷体_GB2312">
    <w:altName w:val="楷体"/>
    <w:panose1 w:val="00000000000000000000"/>
    <w:charset w:val="86"/>
    <w:family w:val="modern"/>
    <w:pitch w:val="default"/>
    <w:sig w:usb0="00000000" w:usb1="00000000" w:usb2="00000000" w:usb3="00000000" w:csb0="00040000" w:csb1="00000000"/>
  </w:font>
  <w:font w:name="Lucida Sans Unicode">
    <w:panose1 w:val="020B0602030504020204"/>
    <w:charset w:val="00"/>
    <w:family w:val="auto"/>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3665" distR="113665" simplePos="0" relativeHeight="251659264" behindDoc="0" locked="0" layoutInCell="1" allowOverlap="1">
              <wp:simplePos x="0" y="0"/>
              <wp:positionH relativeFrom="margin">
                <wp:align>center</wp:align>
              </wp:positionH>
              <wp:positionV relativeFrom="paragraph">
                <wp:posOffset>0</wp:posOffset>
              </wp:positionV>
              <wp:extent cx="145415" cy="133350"/>
              <wp:effectExtent l="0" t="0" r="0" b="0"/>
              <wp:wrapNone/>
              <wp:docPr id="1" name="文本框 4"/>
              <wp:cNvGraphicFramePr/>
              <a:graphic xmlns:a="http://schemas.openxmlformats.org/drawingml/2006/main">
                <a:graphicData uri="http://schemas.microsoft.com/office/word/2010/wordprocessingShape">
                  <wps:wsp>
                    <wps:cNvSpPr/>
                    <wps:spPr>
                      <a:xfrm>
                        <a:off x="0" y="0"/>
                        <a:ext cx="145389" cy="133159"/>
                      </a:xfrm>
                      <a:prstGeom prst="rect">
                        <a:avLst/>
                      </a:prstGeom>
                      <a:noFill/>
                      <a:ln w="6350" cap="flat" cmpd="sng">
                        <a:noFill/>
                        <a:prstDash val="solid"/>
                        <a:round/>
                      </a:ln>
                    </wps:spPr>
                    <wps:txbx>
                      <w:txbxContent>
                        <w:p>
                          <w:pPr>
                            <w:pStyle w:val="7"/>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rect id="文本框 4" o:spid="_x0000_s1026" o:spt="1" style="position:absolute;left:0pt;margin-top:0pt;height:10.5pt;width:11.45pt;mso-position-horizontal:center;mso-position-horizontal-relative:margin;mso-wrap-style:none;z-index:251659264;mso-width-relative:page;mso-height-relative:page;" filled="f" stroked="f" coordsize="21600,21600" o:gfxdata="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b0G+4dUAAAADAQAADwAAAAAAAAABACAAAAAiAAAAZHJzL2Rv&#10;d25yZXYueG1sUEsBAhQAFAAAAAgAh07iQAFZ+aAEAgAA9AMAAA4AAAAAAAAAAQAgAAAAJAEAAGRy&#10;cy9lMm9Eb2MueG1sUEsFBgAAAAAGAAYAWQEAAJoFAAAAAA==&#10;">
              <v:fill on="f" focussize="0,0"/>
              <v:stroke on="f" weight="0.5pt" joinstyle="round"/>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4011B9"/>
    <w:multiLevelType w:val="singleLevel"/>
    <w:tmpl w:val="BD4011B9"/>
    <w:lvl w:ilvl="0" w:tentative="0">
      <w:start w:val="7"/>
      <w:numFmt w:val="decimal"/>
      <w:lvlText w:val="%1."/>
      <w:lvlJc w:val="left"/>
      <w:pPr>
        <w:tabs>
          <w:tab w:val="left" w:pos="0"/>
        </w:tabs>
        <w:ind w:left="480" w:firstLine="0"/>
      </w:pPr>
    </w:lvl>
  </w:abstractNum>
  <w:abstractNum w:abstractNumId="1">
    <w:nsid w:val="BDB99A61"/>
    <w:multiLevelType w:val="singleLevel"/>
    <w:tmpl w:val="BDB99A61"/>
    <w:lvl w:ilvl="0" w:tentative="0">
      <w:start w:val="2"/>
      <w:numFmt w:val="chineseCounting"/>
      <w:suff w:val="nothing"/>
      <w:lvlText w:val="（%1）"/>
      <w:lvlJc w:val="left"/>
      <w:pPr>
        <w:tabs>
          <w:tab w:val="left" w:pos="0"/>
        </w:tabs>
        <w:ind w:left="0" w:firstLine="0"/>
      </w:pPr>
      <w:rPr>
        <w:rFonts w:hint="eastAsia"/>
      </w:rPr>
    </w:lvl>
  </w:abstractNum>
  <w:abstractNum w:abstractNumId="2">
    <w:nsid w:val="CF652CEC"/>
    <w:multiLevelType w:val="singleLevel"/>
    <w:tmpl w:val="CF652CEC"/>
    <w:lvl w:ilvl="0" w:tentative="0">
      <w:start w:val="9"/>
      <w:numFmt w:val="chineseCounting"/>
      <w:suff w:val="nothing"/>
      <w:lvlText w:val="%1、"/>
      <w:lvlJc w:val="left"/>
      <w:pPr>
        <w:tabs>
          <w:tab w:val="left" w:pos="0"/>
        </w:tabs>
        <w:ind w:left="0" w:firstLine="0"/>
      </w:pPr>
      <w:rPr>
        <w:rFonts w:hint="eastAsia"/>
      </w:rPr>
    </w:lvl>
  </w:abstractNum>
  <w:abstractNum w:abstractNumId="3">
    <w:nsid w:val="D33EF57D"/>
    <w:multiLevelType w:val="singleLevel"/>
    <w:tmpl w:val="D33EF57D"/>
    <w:lvl w:ilvl="0" w:tentative="0">
      <w:start w:val="4"/>
      <w:numFmt w:val="chineseCounting"/>
      <w:suff w:val="nothing"/>
      <w:lvlText w:val="%1、"/>
      <w:lvlJc w:val="left"/>
      <w:pPr>
        <w:tabs>
          <w:tab w:val="left" w:pos="0"/>
        </w:tabs>
        <w:ind w:left="0" w:firstLine="0"/>
      </w:pPr>
      <w:rPr>
        <w:rFonts w:hint="eastAsia"/>
      </w:rPr>
    </w:lvl>
  </w:abstractNum>
  <w:abstractNum w:abstractNumId="4">
    <w:nsid w:val="DB3CA2EC"/>
    <w:multiLevelType w:val="singleLevel"/>
    <w:tmpl w:val="DB3CA2EC"/>
    <w:lvl w:ilvl="0" w:tentative="0">
      <w:start w:val="1"/>
      <w:numFmt w:val="chineseCounting"/>
      <w:suff w:val="nothing"/>
      <w:lvlText w:val="（%1）"/>
      <w:lvlJc w:val="left"/>
      <w:pPr>
        <w:tabs>
          <w:tab w:val="left" w:pos="0"/>
        </w:tabs>
        <w:ind w:left="0" w:firstLine="0"/>
      </w:pPr>
      <w:rPr>
        <w:rFonts w:hint="eastAsia"/>
      </w:rPr>
    </w:lvl>
  </w:abstractNum>
  <w:abstractNum w:abstractNumId="5">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rPr>
    </w:lvl>
  </w:abstractNum>
  <w:abstractNum w:abstractNumId="6">
    <w:nsid w:val="EC0BEF30"/>
    <w:multiLevelType w:val="singleLevel"/>
    <w:tmpl w:val="EC0BEF30"/>
    <w:lvl w:ilvl="0" w:tentative="0">
      <w:start w:val="1"/>
      <w:numFmt w:val="chineseCounting"/>
      <w:suff w:val="nothing"/>
      <w:lvlText w:val="（%1）"/>
      <w:lvlJc w:val="left"/>
      <w:pPr>
        <w:tabs>
          <w:tab w:val="left" w:pos="0"/>
        </w:tabs>
        <w:ind w:left="0" w:firstLine="0"/>
      </w:pPr>
      <w:rPr>
        <w:rFonts w:hint="eastAsia" w:ascii="楷体_GB2312" w:hAnsi="楷体_GB2312" w:eastAsia="楷体_GB2312" w:cs="楷体_GB2312"/>
        <w:b/>
        <w:bCs/>
        <w:sz w:val="32"/>
        <w:szCs w:val="32"/>
      </w:rPr>
    </w:lvl>
  </w:abstractNum>
  <w:abstractNum w:abstractNumId="7">
    <w:nsid w:val="17F426B7"/>
    <w:multiLevelType w:val="multilevel"/>
    <w:tmpl w:val="17F426B7"/>
    <w:lvl w:ilvl="0" w:tentative="0">
      <w:start w:val="10"/>
      <w:numFmt w:val="japaneseCounting"/>
      <w:lvlText w:val="%1、"/>
      <w:lvlJc w:val="left"/>
      <w:pPr>
        <w:tabs>
          <w:tab w:val="left" w:pos="0"/>
        </w:tabs>
        <w:ind w:left="1429" w:hanging="720"/>
      </w:pPr>
      <w:rPr>
        <w:rFonts w:hint="default"/>
      </w:rPr>
    </w:lvl>
    <w:lvl w:ilvl="1" w:tentative="0">
      <w:start w:val="1"/>
      <w:numFmt w:val="lowerLetter"/>
      <w:lvlText w:val="%2)"/>
      <w:lvlJc w:val="left"/>
      <w:pPr>
        <w:tabs>
          <w:tab w:val="left" w:pos="0"/>
        </w:tabs>
        <w:ind w:left="1549" w:hanging="420"/>
      </w:pPr>
    </w:lvl>
    <w:lvl w:ilvl="2" w:tentative="0">
      <w:start w:val="1"/>
      <w:numFmt w:val="lowerRoman"/>
      <w:lvlText w:val="%3."/>
      <w:lvlJc w:val="right"/>
      <w:pPr>
        <w:tabs>
          <w:tab w:val="left" w:pos="0"/>
        </w:tabs>
        <w:ind w:left="1969" w:hanging="420"/>
      </w:pPr>
    </w:lvl>
    <w:lvl w:ilvl="3" w:tentative="0">
      <w:start w:val="1"/>
      <w:numFmt w:val="decimal"/>
      <w:lvlText w:val="%4."/>
      <w:lvlJc w:val="left"/>
      <w:pPr>
        <w:tabs>
          <w:tab w:val="left" w:pos="0"/>
        </w:tabs>
        <w:ind w:left="2389" w:hanging="420"/>
      </w:pPr>
    </w:lvl>
    <w:lvl w:ilvl="4" w:tentative="0">
      <w:start w:val="1"/>
      <w:numFmt w:val="lowerLetter"/>
      <w:lvlText w:val="%5)"/>
      <w:lvlJc w:val="left"/>
      <w:pPr>
        <w:tabs>
          <w:tab w:val="left" w:pos="0"/>
        </w:tabs>
        <w:ind w:left="2809" w:hanging="420"/>
      </w:pPr>
    </w:lvl>
    <w:lvl w:ilvl="5" w:tentative="0">
      <w:start w:val="1"/>
      <w:numFmt w:val="lowerRoman"/>
      <w:lvlText w:val="%6."/>
      <w:lvlJc w:val="right"/>
      <w:pPr>
        <w:tabs>
          <w:tab w:val="left" w:pos="0"/>
        </w:tabs>
        <w:ind w:left="3229" w:hanging="420"/>
      </w:pPr>
    </w:lvl>
    <w:lvl w:ilvl="6" w:tentative="0">
      <w:start w:val="1"/>
      <w:numFmt w:val="decimal"/>
      <w:lvlText w:val="%7."/>
      <w:lvlJc w:val="left"/>
      <w:pPr>
        <w:tabs>
          <w:tab w:val="left" w:pos="0"/>
        </w:tabs>
        <w:ind w:left="3649" w:hanging="420"/>
      </w:pPr>
    </w:lvl>
    <w:lvl w:ilvl="7" w:tentative="0">
      <w:start w:val="1"/>
      <w:numFmt w:val="lowerLetter"/>
      <w:lvlText w:val="%8)"/>
      <w:lvlJc w:val="left"/>
      <w:pPr>
        <w:tabs>
          <w:tab w:val="left" w:pos="0"/>
        </w:tabs>
        <w:ind w:left="4069" w:hanging="420"/>
      </w:pPr>
    </w:lvl>
    <w:lvl w:ilvl="8" w:tentative="0">
      <w:start w:val="1"/>
      <w:numFmt w:val="lowerRoman"/>
      <w:lvlText w:val="%9."/>
      <w:lvlJc w:val="right"/>
      <w:pPr>
        <w:tabs>
          <w:tab w:val="left" w:pos="0"/>
        </w:tabs>
        <w:ind w:left="4489" w:hanging="420"/>
      </w:pPr>
    </w:lvl>
  </w:abstractNum>
  <w:abstractNum w:abstractNumId="8">
    <w:nsid w:val="1B380611"/>
    <w:multiLevelType w:val="multilevel"/>
    <w:tmpl w:val="1B380611"/>
    <w:lvl w:ilvl="0" w:tentative="0">
      <w:start w:val="2"/>
      <w:numFmt w:val="chineseCounting"/>
      <w:suff w:val="nothing"/>
      <w:lvlText w:val="（%1）"/>
      <w:lvlJc w:val="left"/>
      <w:pPr>
        <w:tabs>
          <w:tab w:val="left" w:pos="0"/>
        </w:tabs>
        <w:ind w:left="0" w:firstLine="0"/>
      </w:pPr>
    </w:lvl>
    <w:lvl w:ilvl="1" w:tentative="0">
      <w:start w:val="1"/>
      <w:numFmt w:val="decimal"/>
      <w:lvlText w:val="%2."/>
      <w:lvlJc w:val="left"/>
      <w:pPr>
        <w:tabs>
          <w:tab w:val="left" w:pos="0"/>
        </w:tabs>
        <w:ind w:left="1440" w:firstLine="65176"/>
      </w:pPr>
    </w:lvl>
    <w:lvl w:ilvl="2" w:tentative="0">
      <w:start w:val="1"/>
      <w:numFmt w:val="decimal"/>
      <w:lvlText w:val="%3."/>
      <w:lvlJc w:val="left"/>
      <w:pPr>
        <w:tabs>
          <w:tab w:val="left" w:pos="0"/>
        </w:tabs>
        <w:ind w:left="2160" w:firstLine="65176"/>
      </w:pPr>
    </w:lvl>
    <w:lvl w:ilvl="3" w:tentative="0">
      <w:start w:val="1"/>
      <w:numFmt w:val="decimal"/>
      <w:lvlText w:val="%4."/>
      <w:lvlJc w:val="left"/>
      <w:pPr>
        <w:tabs>
          <w:tab w:val="left" w:pos="0"/>
        </w:tabs>
        <w:ind w:left="2880" w:firstLine="65176"/>
      </w:pPr>
    </w:lvl>
    <w:lvl w:ilvl="4" w:tentative="0">
      <w:start w:val="1"/>
      <w:numFmt w:val="decimal"/>
      <w:lvlText w:val="%5."/>
      <w:lvlJc w:val="left"/>
      <w:pPr>
        <w:tabs>
          <w:tab w:val="left" w:pos="0"/>
        </w:tabs>
        <w:ind w:left="3600" w:firstLine="65176"/>
      </w:pPr>
    </w:lvl>
    <w:lvl w:ilvl="5" w:tentative="0">
      <w:start w:val="1"/>
      <w:numFmt w:val="decimal"/>
      <w:lvlText w:val="%6."/>
      <w:lvlJc w:val="left"/>
      <w:pPr>
        <w:tabs>
          <w:tab w:val="left" w:pos="0"/>
        </w:tabs>
        <w:ind w:left="4320" w:firstLine="65176"/>
      </w:pPr>
    </w:lvl>
    <w:lvl w:ilvl="6" w:tentative="0">
      <w:start w:val="1"/>
      <w:numFmt w:val="decimal"/>
      <w:lvlText w:val="%7."/>
      <w:lvlJc w:val="left"/>
      <w:pPr>
        <w:tabs>
          <w:tab w:val="left" w:pos="0"/>
        </w:tabs>
        <w:ind w:left="5040" w:firstLine="65176"/>
      </w:pPr>
    </w:lvl>
    <w:lvl w:ilvl="7" w:tentative="0">
      <w:start w:val="1"/>
      <w:numFmt w:val="decimal"/>
      <w:lvlText w:val="%8."/>
      <w:lvlJc w:val="left"/>
      <w:pPr>
        <w:tabs>
          <w:tab w:val="left" w:pos="0"/>
        </w:tabs>
        <w:ind w:left="5760" w:firstLine="65176"/>
      </w:pPr>
    </w:lvl>
    <w:lvl w:ilvl="8" w:tentative="0">
      <w:start w:val="1"/>
      <w:numFmt w:val="decimal"/>
      <w:lvlText w:val="%9."/>
      <w:lvlJc w:val="left"/>
      <w:pPr>
        <w:tabs>
          <w:tab w:val="left" w:pos="0"/>
        </w:tabs>
        <w:ind w:left="6480" w:firstLine="65176"/>
      </w:pPr>
    </w:lvl>
  </w:abstractNum>
  <w:abstractNum w:abstractNumId="9">
    <w:nsid w:val="2679040F"/>
    <w:multiLevelType w:val="singleLevel"/>
    <w:tmpl w:val="2679040F"/>
    <w:lvl w:ilvl="0" w:tentative="0">
      <w:start w:val="2"/>
      <w:numFmt w:val="chineseCounting"/>
      <w:suff w:val="nothing"/>
      <w:lvlText w:val="%1、"/>
      <w:lvlJc w:val="left"/>
      <w:pPr>
        <w:tabs>
          <w:tab w:val="left" w:pos="0"/>
        </w:tabs>
        <w:ind w:left="0" w:firstLine="0"/>
      </w:pPr>
      <w:rPr>
        <w:rFonts w:hint="eastAsia"/>
      </w:rPr>
    </w:lvl>
  </w:abstractNum>
  <w:num w:numId="1">
    <w:abstractNumId w:val="3"/>
  </w:num>
  <w:num w:numId="2">
    <w:abstractNumId w:val="8"/>
  </w:num>
  <w:num w:numId="3">
    <w:abstractNumId w:val="0"/>
  </w:num>
  <w:num w:numId="4">
    <w:abstractNumId w:val="2"/>
  </w:num>
  <w:num w:numId="5">
    <w:abstractNumId w:val="7"/>
  </w:num>
  <w:num w:numId="6">
    <w:abstractNumId w:val="6"/>
  </w:num>
  <w:num w:numId="7">
    <w:abstractNumId w:val="5"/>
  </w:num>
  <w:num w:numId="8">
    <w:abstractNumId w:val="1"/>
  </w:num>
  <w:num w:numId="9">
    <w:abstractNumId w:val="9"/>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YTE4ZDI4ODNhYmU1NDMzYzU3Y2IxNmQxMGU4Yjg1NmUifQ=="/>
  </w:docVars>
  <w:rsids>
    <w:rsidRoot w:val="00000000"/>
    <w:rsid w:val="2A6E12A4"/>
    <w:rsid w:val="2ADE797D"/>
    <w:rsid w:val="318055C6"/>
    <w:rsid w:val="35C7057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5"/>
    <w:qFormat/>
    <w:uiPriority w:val="0"/>
    <w:pPr>
      <w:keepNext/>
      <w:keepLines/>
      <w:widowControl w:val="0"/>
      <w:spacing w:before="340" w:after="330" w:line="578" w:lineRule="auto"/>
      <w:outlineLvl w:val="0"/>
    </w:pPr>
    <w:rPr>
      <w:b/>
      <w:bCs/>
      <w:kern w:val="44"/>
      <w:sz w:val="44"/>
      <w:szCs w:val="44"/>
    </w:rPr>
  </w:style>
  <w:style w:type="paragraph" w:styleId="4">
    <w:name w:val="heading 2"/>
    <w:basedOn w:val="1"/>
    <w:next w:val="1"/>
    <w:link w:val="16"/>
    <w:uiPriority w:val="0"/>
    <w:pPr>
      <w:keepNext/>
      <w:keepLines/>
      <w:widowControl w:val="0"/>
      <w:spacing w:before="260" w:after="260" w:line="415" w:lineRule="auto"/>
      <w:outlineLvl w:val="1"/>
    </w:pPr>
    <w:rPr>
      <w:rFonts w:ascii="Cambria" w:hAnsi="Cambria"/>
      <w:b/>
      <w:bCs/>
      <w:sz w:val="32"/>
      <w:szCs w:val="32"/>
    </w:rPr>
  </w:style>
  <w:style w:type="paragraph" w:styleId="5">
    <w:name w:val="heading 3"/>
    <w:basedOn w:val="1"/>
    <w:next w:val="1"/>
    <w:qFormat/>
    <w:uiPriority w:val="0"/>
    <w:pPr>
      <w:keepNext/>
      <w:keepLines/>
      <w:spacing w:before="260" w:after="260" w:line="415" w:lineRule="auto"/>
      <w:outlineLvl w:val="2"/>
    </w:pPr>
    <w:rPr>
      <w:b/>
      <w:sz w:val="32"/>
    </w:rPr>
  </w:style>
  <w:style w:type="character" w:default="1" w:styleId="12">
    <w:name w:val="Default Paragraph Font"/>
    <w:qFormat/>
    <w:uiPriority w:val="0"/>
  </w:style>
  <w:style w:type="table" w:default="1" w:styleId="11">
    <w:name w:val="Normal Table"/>
    <w:semiHidden/>
    <w:uiPriority w:val="0"/>
    <w:tblPr>
      <w:tblCellMar>
        <w:top w:w="0" w:type="dxa"/>
        <w:left w:w="108" w:type="dxa"/>
        <w:bottom w:w="0" w:type="dxa"/>
        <w:right w:w="108" w:type="dxa"/>
      </w:tblCellMar>
    </w:tblPr>
  </w:style>
  <w:style w:type="paragraph" w:styleId="2">
    <w:name w:val="table of figures"/>
    <w:basedOn w:val="1"/>
    <w:next w:val="1"/>
    <w:qFormat/>
    <w:uiPriority w:val="0"/>
    <w:pPr>
      <w:ind w:left="400" w:leftChars="200" w:hanging="200" w:hangingChars="200"/>
    </w:pPr>
  </w:style>
  <w:style w:type="paragraph" w:styleId="6">
    <w:name w:val="Body Text"/>
    <w:basedOn w:val="1"/>
    <w:uiPriority w:val="0"/>
    <w:pPr>
      <w:keepNext w:val="0"/>
      <w:keepLines w:val="0"/>
      <w:widowControl w:val="0"/>
      <w:suppressLineNumbers w:val="0"/>
      <w:spacing w:before="30" w:beforeLines="30" w:beforeAutospacing="0" w:after="0" w:afterAutospacing="0"/>
      <w:ind w:left="0" w:right="0"/>
      <w:jc w:val="both"/>
    </w:pPr>
    <w:rPr>
      <w:rFonts w:ascii="仿宋_GB2312" w:eastAsia="仿宋_GB2312" w:cs="Times New Roman"/>
      <w:kern w:val="0"/>
      <w:sz w:val="30"/>
      <w:szCs w:val="24"/>
      <w:lang w:val="en-US" w:eastAsia="zh-CN"/>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uiPriority w:val="0"/>
    <w:pPr>
      <w:pBdr>
        <w:top w:val="none" w:color="auto" w:sz="0" w:space="0"/>
        <w:left w:val="none" w:color="auto" w:sz="0" w:space="0"/>
        <w:bottom w:val="none" w:color="auto" w:sz="0" w:space="0"/>
        <w:right w:val="none" w:color="auto" w:sz="0" w:space="0"/>
      </w:pBdr>
      <w:tabs>
        <w:tab w:val="center" w:pos="4153"/>
        <w:tab w:val="right" w:pos="8306"/>
      </w:tabs>
      <w:snapToGrid w:val="0"/>
      <w:spacing w:line="240" w:lineRule="auto"/>
      <w:jc w:val="both"/>
      <w:outlineLvl w:val="9"/>
    </w:pPr>
    <w:rPr>
      <w:sz w:val="18"/>
    </w:rPr>
  </w:style>
  <w:style w:type="paragraph" w:styleId="9">
    <w:name w:val="toc 1"/>
    <w:basedOn w:val="1"/>
    <w:next w:val="1"/>
    <w:uiPriority w:val="0"/>
    <w:pPr>
      <w:tabs>
        <w:tab w:val="right" w:leader="dot" w:pos="8296"/>
      </w:tabs>
      <w:spacing w:before="93"/>
      <w:jc w:val="center"/>
    </w:pPr>
    <w:rPr>
      <w:rFonts w:ascii="仿宋" w:eastAsia="仿宋"/>
      <w:sz w:val="28"/>
      <w:szCs w:val="28"/>
    </w:rPr>
  </w:style>
  <w:style w:type="paragraph" w:styleId="10">
    <w:name w:val="toc 2"/>
    <w:basedOn w:val="1"/>
    <w:next w:val="1"/>
    <w:uiPriority w:val="0"/>
    <w:pPr>
      <w:tabs>
        <w:tab w:val="right" w:leader="dot" w:pos="8296"/>
      </w:tabs>
      <w:ind w:left="200" w:leftChars="200"/>
    </w:pPr>
  </w:style>
  <w:style w:type="character" w:styleId="13">
    <w:name w:val="Strong"/>
    <w:basedOn w:val="12"/>
    <w:uiPriority w:val="0"/>
    <w:rPr>
      <w:b/>
    </w:rPr>
  </w:style>
  <w:style w:type="character" w:styleId="14">
    <w:name w:val="Hyperlink"/>
    <w:basedOn w:val="12"/>
    <w:uiPriority w:val="0"/>
    <w:rPr>
      <w:color w:val="0000FF"/>
      <w:u w:val="single"/>
    </w:rPr>
  </w:style>
  <w:style w:type="character" w:customStyle="1" w:styleId="15">
    <w:name w:val="heading 1 Char"/>
    <w:basedOn w:val="12"/>
    <w:link w:val="3"/>
    <w:uiPriority w:val="0"/>
    <w:rPr>
      <w:rFonts w:ascii="Times New Roman" w:hAnsi="Times New Roman" w:eastAsia="宋体" w:cs="Times New Roman"/>
      <w:b/>
      <w:bCs/>
      <w:kern w:val="44"/>
      <w:sz w:val="44"/>
      <w:szCs w:val="44"/>
      <w:lang w:val="en-US" w:eastAsia="zh-CN" w:bidi="ar-SA"/>
    </w:rPr>
  </w:style>
  <w:style w:type="character" w:customStyle="1" w:styleId="16">
    <w:name w:val="heading 2 Char"/>
    <w:basedOn w:val="12"/>
    <w:link w:val="4"/>
    <w:qFormat/>
    <w:uiPriority w:val="0"/>
    <w:rPr>
      <w:rFonts w:ascii="Cambria" w:hAnsi="Cambria" w:eastAsia="宋体" w:cs="Times New Roman"/>
      <w:b/>
      <w:bCs/>
      <w:kern w:val="2"/>
      <w:sz w:val="32"/>
      <w:szCs w:val="32"/>
      <w:lang w:val="en-US" w:eastAsia="zh-CN" w:bidi="ar-SA"/>
    </w:rPr>
  </w:style>
  <w:style w:type="paragraph" w:customStyle="1" w:styleId="17">
    <w:name w:val="Default"/>
    <w:basedOn w:val="1"/>
    <w:uiPriority w:val="0"/>
    <w:pPr>
      <w:keepNext w:val="0"/>
      <w:keepLines w:val="0"/>
      <w:widowControl w:val="0"/>
      <w:suppressLineNumbers w:val="0"/>
      <w:autoSpaceDE w:val="0"/>
      <w:autoSpaceDN w:val="0"/>
      <w:adjustRightInd w:val="0"/>
      <w:spacing w:before="0" w:beforeAutospacing="0" w:after="0" w:afterAutospacing="0"/>
      <w:ind w:left="0" w:right="0"/>
      <w:jc w:val="left"/>
    </w:pPr>
    <w:rPr>
      <w:rFonts w:ascii="仿宋" w:eastAsia="仿宋" w:cs="仿宋"/>
      <w:color w:val="000000"/>
      <w:kern w:val="0"/>
      <w:sz w:val="24"/>
      <w:szCs w:val="24"/>
      <w:lang w:val="en-US" w:eastAsia="zh-CN"/>
    </w:rPr>
  </w:style>
  <w:style w:type="paragraph" w:styleId="18">
    <w:name w:val="List Paragraph"/>
    <w:basedOn w:val="1"/>
    <w:uiPriority w:val="0"/>
    <w:pPr>
      <w:ind w:firstLine="200" w:firstLineChars="200"/>
    </w:pPr>
  </w:style>
  <w:style w:type="paragraph" w:customStyle="1" w:styleId="19">
    <w:name w:val="四号正文"/>
    <w:next w:val="9"/>
    <w:uiPriority w:val="0"/>
    <w:pPr>
      <w:keepNext w:val="0"/>
      <w:keepLines w:val="0"/>
      <w:widowControl w:val="0"/>
      <w:suppressLineNumbers w:val="0"/>
      <w:spacing w:before="0" w:beforeAutospacing="0" w:after="0" w:afterAutospacing="0" w:line="360" w:lineRule="auto"/>
      <w:ind w:left="0" w:right="0"/>
      <w:jc w:val="both"/>
    </w:pPr>
    <w:rPr>
      <w:rFonts w:ascii="??" w:hAnsi="??" w:eastAsia="宋体" w:cs="Times New Roman"/>
      <w:color w:val="000000"/>
      <w:kern w:val="0"/>
      <w:sz w:val="28"/>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emf"/><Relationship Id="rId8" Type="http://schemas.openxmlformats.org/officeDocument/2006/relationships/oleObject" Target="embeddings/oleObject2.bin"/><Relationship Id="rId7" Type="http://schemas.openxmlformats.org/officeDocument/2006/relationships/image" Target="media/image1.emf"/><Relationship Id="rId6" Type="http://schemas.openxmlformats.org/officeDocument/2006/relationships/oleObject" Target="embeddings/oleObject1.bin"/><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er" Target="foot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chart" Target="charts/chart11.xml"/><Relationship Id="rId18" Type="http://schemas.openxmlformats.org/officeDocument/2006/relationships/chart" Target="charts/chart10.xml"/><Relationship Id="rId17" Type="http://schemas.openxmlformats.org/officeDocument/2006/relationships/chart" Target="charts/chart9.xml"/><Relationship Id="rId16" Type="http://schemas.openxmlformats.org/officeDocument/2006/relationships/chart" Target="charts/chart8.xml"/><Relationship Id="rId15" Type="http://schemas.openxmlformats.org/officeDocument/2006/relationships/chart" Target="charts/chart7.xml"/><Relationship Id="rId14" Type="http://schemas.openxmlformats.org/officeDocument/2006/relationships/chart" Target="charts/chart6.xml"/><Relationship Id="rId13" Type="http://schemas.openxmlformats.org/officeDocument/2006/relationships/chart" Target="charts/chart5.xml"/><Relationship Id="rId12" Type="http://schemas.openxmlformats.org/officeDocument/2006/relationships/chart" Target="charts/chart4.xml"/><Relationship Id="rId11" Type="http://schemas.openxmlformats.org/officeDocument/2006/relationships/chart" Target="charts/chart3.xml"/><Relationship Id="rId10" Type="http://schemas.openxmlformats.org/officeDocument/2006/relationships/chart" Target="charts/chart2.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Workbook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Workbook10.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Workbook11.xlsx"/></Relationships>
</file>

<file path=word/charts/_rels/chart9.xml.rels><?xml version="1.0" encoding="UTF-8" standalone="yes"?>
<Relationships xmlns="http://schemas.openxmlformats.org/package/2006/relationships"><Relationship Id="rId1" Type="http://schemas.openxmlformats.org/officeDocument/2006/relationships/package" Target="../embeddings/Workbook8.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图表标题</a:t>
            </a:r>
            <a:endParaRPr lang="zh-CN"/>
          </a:p>
        </c:rich>
      </c:tx>
      <c:layout/>
      <c:overlay val="0"/>
      <c:spPr>
        <a:noFill/>
        <a:ln>
          <a:noFill/>
        </a:ln>
      </c:spPr>
    </c:title>
    <c:autoTitleDeleted val="0"/>
    <c:plotArea>
      <c:layout>
        <c:manualLayout>
          <c:layoutTarget val="inner"/>
          <c:xMode val="edge"/>
          <c:yMode val="edge"/>
          <c:x val="0.07772222"/>
          <c:y val="0.03173516"/>
          <c:w val="0.89019686"/>
          <c:h val="0.70665133"/>
        </c:manualLayout>
      </c:layout>
      <c:barChart>
        <c:barDir val="col"/>
        <c:grouping val="clustered"/>
        <c:varyColors val="0"/>
        <c:ser>
          <c:idx val="0"/>
          <c:order val="0"/>
          <c:spPr>
            <a:solidFill>
              <a:srgbClr val="5B9BD5"/>
            </a:solidFill>
            <a:ln>
              <a:noFill/>
            </a:ln>
          </c:spPr>
          <c:invertIfNegative val="0"/>
          <c:dLbls>
            <c:numFmt formatCode="General"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{"2020年财政拨款支出（万元）","2021年财政拨款支出（万元）"}</c:f>
              <c:strCache>
                <c:ptCount val="2"/>
                <c:pt idx="0">
                  <c:v>2020年财政拨款支出（万元）</c:v>
                </c:pt>
                <c:pt idx="1">
                  <c:v>2021年财政拨款支出（万元）</c:v>
                </c:pt>
              </c:strCache>
            </c:strRef>
          </c:cat>
          <c:val>
            <c:numRef>
              <c:f>{1172.33,1819.92}</c:f>
              <c:numCache>
                <c:formatCode>General</c:formatCode>
                <c:ptCount val="2"/>
                <c:pt idx="0">
                  <c:v>1172.33</c:v>
                </c:pt>
                <c:pt idx="1">
                  <c:v>1819.92</c:v>
                </c:pt>
              </c:numCache>
            </c:numRef>
          </c:val>
        </c:ser>
        <c:dLbls>
          <c:showLegendKey val="0"/>
          <c:showVal val="1"/>
          <c:showCatName val="0"/>
          <c:showSerName val="0"/>
          <c:showPercent val="0"/>
          <c:showBubbleSize val="0"/>
        </c:dLbls>
        <c:gapWidth val="219"/>
        <c:overlap val="-27"/>
        <c:axId val="0"/>
        <c:axId val="1"/>
      </c:barChart>
      <c:catAx>
        <c:axId val="0"/>
        <c:scaling>
          <c:orientation val="minMax"/>
        </c:scaling>
        <c:delete val="0"/>
        <c:axPos val="b"/>
        <c:numFmt formatCode="General" sourceLinked="0"/>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0"/>
        <c:crossesAt val="1"/>
        <c:crossBetween val="between"/>
      </c:valAx>
      <c:dTable>
        <c:showHorzBorder val="1"/>
        <c:showVertBorder val="1"/>
        <c:showOutline val="1"/>
        <c:showKeys val="1"/>
        <c:spPr>
          <a:ln w="6350" cap="flat" cmpd="sng" algn="ctr">
            <a:solidFill>
              <a:srgbClr val="D9D9D9"/>
            </a:solidFill>
            <a:prstDash val="solid"/>
            <a:round/>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dTable>
      <c:spPr>
        <a:noFill/>
        <a:ln>
          <a:noFill/>
        </a:ln>
      </c:spPr>
    </c:plotArea>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其他支出占比情况：</a:t>
            </a:r>
            <a:endParaRPr lang="zh-CN"/>
          </a:p>
        </c:rich>
      </c:tx>
      <c:layout>
        <c:manualLayout>
          <c:xMode val="edge"/>
          <c:yMode val="edge"/>
          <c:x val="0.0101529654008439"/>
          <c:y val="0.0169698227345185"/>
        </c:manualLayout>
      </c:layout>
      <c:overlay val="0"/>
      <c:spPr>
        <a:noFill/>
        <a:ln>
          <a:noFill/>
        </a:ln>
      </c:spPr>
    </c:title>
    <c:autoTitleDeleted val="0"/>
    <c:plotArea>
      <c:layout>
        <c:manualLayout>
          <c:layoutTarget val="inner"/>
          <c:xMode val="edge"/>
          <c:yMode val="edge"/>
          <c:x val="0.33919305"/>
          <c:y val="0.15760612"/>
          <c:w val="0.333481"/>
          <c:h val="0.58666664"/>
        </c:manualLayout>
      </c:layout>
      <c:pieChart>
        <c:varyColors val="1"/>
        <c:ser>
          <c:idx val="0"/>
          <c:order val="0"/>
          <c:spPr>
            <a:ln>
              <a:noFill/>
            </a:ln>
          </c:spPr>
          <c:explosion val="0"/>
          <c:dPt>
            <c:idx val="0"/>
            <c:bubble3D val="0"/>
            <c:spPr>
              <a:solidFill>
                <a:srgbClr val="5B9BD5"/>
              </a:solidFill>
              <a:ln w="19050">
                <a:solidFill>
                  <a:srgbClr val="FFFFFF"/>
                </a:solidFill>
                <a:prstDash val="solid"/>
              </a:ln>
            </c:spPr>
          </c:dPt>
          <c:dPt>
            <c:idx val="1"/>
            <c:bubble3D val="0"/>
            <c:spPr>
              <a:solidFill>
                <a:srgbClr val="ED7D31"/>
              </a:solidFill>
              <a:ln w="19050">
                <a:solidFill>
                  <a:srgbClr val="FFFFFF"/>
                </a:solidFill>
                <a:prstDash val="solid"/>
              </a:ln>
            </c:spPr>
          </c:dPt>
          <c:dLbls>
            <c:numFmt formatCode="General"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1"/>
            <c:showSerName val="0"/>
            <c:showPercent val="0"/>
            <c:showBubbleSize val="0"/>
            <c:showLeaderLines val="1"/>
            <c:extLst>
              <c:ext xmlns:c15="http://schemas.microsoft.com/office/drawing/2012/chart" uri="{CE6537A1-D6FC-4f65-9D91-7224C49458BB}">
                <c15:layout/>
                <c15:showLeaderLines val="1"/>
                <c15:leaderLines/>
              </c:ext>
            </c:extLst>
          </c:dLbls>
          <c:cat>
            <c:strRef>
              <c:f>{"2021年总支出","其他支出"}</c:f>
              <c:strCache>
                <c:ptCount val="2"/>
                <c:pt idx="0">
                  <c:v>2021年总支出</c:v>
                </c:pt>
                <c:pt idx="1">
                  <c:v>其他支出</c:v>
                </c:pt>
              </c:strCache>
            </c:strRef>
          </c:cat>
          <c:val>
            <c:numRef>
              <c:f>{1819.92,45.79}</c:f>
              <c:numCache>
                <c:formatCode>General</c:formatCode>
                <c:ptCount val="2"/>
                <c:pt idx="0">
                  <c:v>1819.92</c:v>
                </c:pt>
                <c:pt idx="1">
                  <c:v>45.79</c:v>
                </c:pt>
              </c:numCache>
            </c:numRef>
          </c:val>
        </c:ser>
        <c:dLbls>
          <c:showLegendKey val="0"/>
          <c:showVal val="1"/>
          <c:showCatName val="1"/>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三公经费支出情况对比</a:t>
            </a:r>
            <a:endParaRPr lang="zh-CN"/>
          </a:p>
        </c:rich>
      </c:tx>
      <c:layout>
        <c:manualLayout>
          <c:xMode val="edge"/>
          <c:yMode val="edge"/>
          <c:x val="0.38107502"/>
          <c:y val="0.04892272"/>
        </c:manualLayout>
      </c:layout>
      <c:overlay val="0"/>
      <c:spPr>
        <a:noFill/>
        <a:ln>
          <a:noFill/>
        </a:ln>
      </c:spPr>
    </c:title>
    <c:autoTitleDeleted val="0"/>
    <c:plotArea>
      <c:layout>
        <c:manualLayout>
          <c:layoutTarget val="inner"/>
          <c:xMode val="edge"/>
          <c:yMode val="edge"/>
          <c:x val="0.06846421"/>
          <c:y val="0.17596154"/>
          <c:w val="0.900959"/>
          <c:h val="0.5916827"/>
        </c:manualLayout>
      </c:layout>
      <c:barChart>
        <c:barDir val="col"/>
        <c:grouping val="clustered"/>
        <c:varyColors val="0"/>
        <c:ser>
          <c:idx val="0"/>
          <c:order val="0"/>
          <c:tx>
            <c:strRef>
              <c:f>2020年</c:f>
              <c:strCache>
                <c:ptCount val="1"/>
                <c:pt idx="0">
                  <c:v>2020年</c:v>
                </c:pt>
              </c:strCache>
            </c:strRef>
          </c:tx>
          <c:spPr>
            <a:solidFill>
              <a:srgbClr val="5B9BD5"/>
            </a:solidFill>
            <a:ln>
              <a:noFill/>
            </a:ln>
          </c:spPr>
          <c:invertIfNegative val="0"/>
          <c:dLbls>
            <c:numFmt formatCode="General"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{"公务用车运行维护费","因公出国（境）费","","公务接待费"}</c:f>
              <c:strCache>
                <c:ptCount val="4"/>
                <c:pt idx="0">
                  <c:v>公务用车运行维护费</c:v>
                </c:pt>
                <c:pt idx="1">
                  <c:v>因公出国（境）费</c:v>
                </c:pt>
                <c:pt idx="3">
                  <c:v>公务接待费</c:v>
                </c:pt>
              </c:strCache>
            </c:strRef>
          </c:cat>
          <c:val>
            <c:numRef>
              <c:f>{3.49,#N/A,#N/A,0.26}</c:f>
              <c:numCache>
                <c:formatCode>General</c:formatCode>
                <c:ptCount val="4"/>
                <c:pt idx="0">
                  <c:v>3.49</c:v>
                </c:pt>
                <c:pt idx="3">
                  <c:v>0.26</c:v>
                </c:pt>
              </c:numCache>
            </c:numRef>
          </c:val>
        </c:ser>
        <c:ser>
          <c:idx val="1"/>
          <c:order val="1"/>
          <c:tx>
            <c:strRef>
              <c:f>2021年</c:f>
              <c:strCache>
                <c:ptCount val="1"/>
                <c:pt idx="0">
                  <c:v>2021年</c:v>
                </c:pt>
              </c:strCache>
            </c:strRef>
          </c:tx>
          <c:spPr>
            <a:solidFill>
              <a:srgbClr val="ED7D31"/>
            </a:solidFill>
            <a:ln>
              <a:noFill/>
            </a:ln>
          </c:spPr>
          <c:invertIfNegative val="0"/>
          <c:dLbls>
            <c:numFmt formatCode="General"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{"公务用车运行维护费","因公出国（境）费","","公务接待费"}</c:f>
              <c:strCache>
                <c:ptCount val="4"/>
                <c:pt idx="0">
                  <c:v>公务用车运行维护费</c:v>
                </c:pt>
                <c:pt idx="1">
                  <c:v>因公出国（境）费</c:v>
                </c:pt>
                <c:pt idx="3">
                  <c:v>公务接待费</c:v>
                </c:pt>
              </c:strCache>
            </c:strRef>
          </c:cat>
          <c:val>
            <c:numRef>
              <c:f>{3.28,#N/A,#N/A,0}</c:f>
              <c:numCache>
                <c:formatCode>General</c:formatCode>
                <c:ptCount val="4"/>
                <c:pt idx="0">
                  <c:v>3.28</c:v>
                </c:pt>
                <c:pt idx="3">
                  <c:v>0</c:v>
                </c:pt>
              </c:numCache>
            </c:numRef>
          </c:val>
        </c:ser>
        <c:dLbls>
          <c:showLegendKey val="0"/>
          <c:showVal val="1"/>
          <c:showCatName val="0"/>
          <c:showSerName val="0"/>
          <c:showPercent val="0"/>
          <c:showBubbleSize val="0"/>
        </c:dLbls>
        <c:gapWidth val="219"/>
        <c:overlap val="-27"/>
        <c:axId val="0"/>
        <c:axId val="1"/>
      </c:barChart>
      <c:catAx>
        <c:axId val="0"/>
        <c:scaling>
          <c:orientation val="minMax"/>
        </c:scaling>
        <c:delete val="0"/>
        <c:axPos val="b"/>
        <c:numFmt formatCode="General" sourceLinked="0"/>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0"/>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图表标题</a:t>
            </a:r>
            <a:endParaRPr lang="zh-CN"/>
          </a:p>
        </c:rich>
      </c:tx>
      <c:layout/>
      <c:overlay val="0"/>
      <c:spPr>
        <a:noFill/>
        <a:ln>
          <a:noFill/>
        </a:ln>
      </c:spPr>
    </c:title>
    <c:autoTitleDeleted val="0"/>
    <c:plotArea>
      <c:layout>
        <c:manualLayout>
          <c:layoutTarget val="inner"/>
          <c:xMode val="edge"/>
          <c:yMode val="edge"/>
          <c:x val="0.07772222"/>
          <c:y val="0.03173516"/>
          <c:w val="0.89019686"/>
          <c:h val="0.70665133"/>
        </c:manualLayout>
      </c:layout>
      <c:barChart>
        <c:barDir val="col"/>
        <c:grouping val="clustered"/>
        <c:varyColors val="0"/>
        <c:ser>
          <c:idx val="0"/>
          <c:order val="0"/>
          <c:spPr>
            <a:solidFill>
              <a:srgbClr val="5B9BD5"/>
            </a:solidFill>
            <a:ln>
              <a:noFill/>
            </a:ln>
          </c:spPr>
          <c:invertIfNegative val="0"/>
          <c:dLbls>
            <c:numFmt formatCode="General"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{"2020年财政拨款支出（万元）","2021年财政拨款支出（万元）"}</c:f>
              <c:strCache>
                <c:ptCount val="2"/>
                <c:pt idx="0">
                  <c:v>2020年财政拨款支出（万元）</c:v>
                </c:pt>
                <c:pt idx="1">
                  <c:v>2021年财政拨款支出（万元）</c:v>
                </c:pt>
              </c:strCache>
            </c:strRef>
          </c:cat>
          <c:val>
            <c:numRef>
              <c:f>{1172.33,1819.92}</c:f>
              <c:numCache>
                <c:formatCode>General</c:formatCode>
                <c:ptCount val="2"/>
                <c:pt idx="0">
                  <c:v>1172.33</c:v>
                </c:pt>
                <c:pt idx="1">
                  <c:v>1819.92</c:v>
                </c:pt>
              </c:numCache>
            </c:numRef>
          </c:val>
        </c:ser>
        <c:dLbls>
          <c:showLegendKey val="0"/>
          <c:showVal val="1"/>
          <c:showCatName val="0"/>
          <c:showSerName val="0"/>
          <c:showPercent val="0"/>
          <c:showBubbleSize val="0"/>
        </c:dLbls>
        <c:gapWidth val="219"/>
        <c:overlap val="-27"/>
        <c:axId val="0"/>
        <c:axId val="1"/>
      </c:barChart>
      <c:catAx>
        <c:axId val="0"/>
        <c:scaling>
          <c:orientation val="minMax"/>
        </c:scaling>
        <c:delete val="0"/>
        <c:axPos val="b"/>
        <c:numFmt formatCode="General" sourceLinked="0"/>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0"/>
        <c:crossesAt val="1"/>
        <c:crossBetween val="between"/>
      </c:valAx>
      <c:dTable>
        <c:showHorzBorder val="1"/>
        <c:showVertBorder val="1"/>
        <c:showOutline val="1"/>
        <c:showKeys val="1"/>
        <c:spPr>
          <a:ln w="6350" cap="flat" cmpd="sng" algn="ctr">
            <a:solidFill>
              <a:srgbClr val="D9D9D9"/>
            </a:solidFill>
            <a:prstDash val="solid"/>
            <a:round/>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dTable>
      <c:spPr>
        <a:noFill/>
        <a:ln>
          <a:noFill/>
        </a:ln>
      </c:spPr>
    </c:plotArea>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rgbClr val="000000"/>
                </a:solidFill>
                <a:latin typeface="AR PL UKai CN"/>
                <a:ea typeface="AR PL UKai CN"/>
                <a:cs typeface="Lucida Sans"/>
              </a:defRPr>
            </a:pPr>
            <a:r>
              <a:rPr lang="zh-CN" sz="1400" b="0" i="0" u="none" strike="noStrike" baseline="0">
                <a:solidFill>
                  <a:srgbClr val="595959"/>
                </a:solidFill>
                <a:latin typeface="AR PL UKai CN"/>
                <a:ea typeface="AR PL UKai CN"/>
                <a:cs typeface="Lucida Sans"/>
              </a:rPr>
              <a:t>2021年与2020年决算对比图</a:t>
            </a:r>
            <a:endParaRPr lang="zh-CN" sz="1400" b="0" i="0" u="none" strike="noStrike" baseline="0">
              <a:solidFill>
                <a:srgbClr val="595959"/>
              </a:solidFill>
              <a:latin typeface="AR PL UKai CN"/>
              <a:ea typeface="AR PL UKai CN"/>
              <a:cs typeface="Lucida Sans"/>
            </a:endParaRPr>
          </a:p>
        </c:rich>
      </c:tx>
      <c:layout>
        <c:manualLayout>
          <c:xMode val="edge"/>
          <c:yMode val="edge"/>
          <c:x val="0.42094862"/>
          <c:y val="0.025945947"/>
        </c:manualLayout>
      </c:layout>
      <c:overlay val="0"/>
      <c:spPr>
        <a:noFill/>
        <a:ln>
          <a:noFill/>
        </a:ln>
      </c:spPr>
    </c:title>
    <c:autoTitleDeleted val="0"/>
    <c:plotArea>
      <c:layout/>
      <c:barChart>
        <c:barDir val="col"/>
        <c:grouping val="clustered"/>
        <c:varyColors val="0"/>
        <c:ser>
          <c:idx val="0"/>
          <c:order val="0"/>
          <c:tx>
            <c:strRef>
              <c:f>2020年预算</c:f>
              <c:strCache>
                <c:ptCount val="1"/>
                <c:pt idx="0">
                  <c:v>2020年预算</c:v>
                </c:pt>
              </c:strCache>
            </c:strRef>
          </c:tx>
          <c:spPr>
            <a:solidFill>
              <a:srgbClr val="5B9BD5"/>
            </a:solidFill>
            <a:ln>
              <a:noFill/>
            </a:ln>
          </c:spPr>
          <c:invertIfNegative val="0"/>
          <c:dLbls>
            <c:numFmt formatCode="General"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{"教育支出","节能环保支出","社会保障和就业支出","卫生健康支出","农林水支出","住房保障支出","其他支出"}</c:f>
              <c:strCache>
                <c:ptCount val="7"/>
                <c:pt idx="0">
                  <c:v>教育支出</c:v>
                </c:pt>
                <c:pt idx="1">
                  <c:v>节能环保支出</c:v>
                </c:pt>
                <c:pt idx="2">
                  <c:v>社会保障和就业支出</c:v>
                </c:pt>
                <c:pt idx="3">
                  <c:v>卫生健康支出</c:v>
                </c:pt>
                <c:pt idx="4">
                  <c:v>农林水支出</c:v>
                </c:pt>
                <c:pt idx="5">
                  <c:v>住房保障支出</c:v>
                </c:pt>
                <c:pt idx="6">
                  <c:v>其他支出</c:v>
                </c:pt>
              </c:strCache>
            </c:strRef>
          </c:cat>
          <c:val>
            <c:numRef>
              <c:f>{0,0,47.91,906.22,185.27,31.73,0}</c:f>
              <c:numCache>
                <c:formatCode>General</c:formatCode>
                <c:ptCount val="7"/>
                <c:pt idx="0">
                  <c:v>0</c:v>
                </c:pt>
                <c:pt idx="1">
                  <c:v>0</c:v>
                </c:pt>
                <c:pt idx="2">
                  <c:v>47.91</c:v>
                </c:pt>
                <c:pt idx="3">
                  <c:v>906.22</c:v>
                </c:pt>
                <c:pt idx="4">
                  <c:v>185.27</c:v>
                </c:pt>
                <c:pt idx="5">
                  <c:v>31.73</c:v>
                </c:pt>
                <c:pt idx="6">
                  <c:v>0</c:v>
                </c:pt>
              </c:numCache>
            </c:numRef>
          </c:val>
        </c:ser>
        <c:ser>
          <c:idx val="1"/>
          <c:order val="1"/>
          <c:tx>
            <c:strRef>
              <c:f>2021年决算</c:f>
              <c:strCache>
                <c:ptCount val="1"/>
                <c:pt idx="0">
                  <c:v>2021年决算</c:v>
                </c:pt>
              </c:strCache>
            </c:strRef>
          </c:tx>
          <c:spPr>
            <a:solidFill>
              <a:srgbClr val="ED7D31"/>
            </a:solidFill>
            <a:ln>
              <a:noFill/>
            </a:ln>
          </c:spPr>
          <c:invertIfNegative val="0"/>
          <c:dLbls>
            <c:numFmt formatCode="General"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{"教育支出","节能环保支出","社会保障和就业支出","卫生健康支出","农林水支出","住房保障支出","其他支出"}</c:f>
              <c:strCache>
                <c:ptCount val="7"/>
                <c:pt idx="0">
                  <c:v>教育支出</c:v>
                </c:pt>
                <c:pt idx="1">
                  <c:v>节能环保支出</c:v>
                </c:pt>
                <c:pt idx="2">
                  <c:v>社会保障和就业支出</c:v>
                </c:pt>
                <c:pt idx="3">
                  <c:v>卫生健康支出</c:v>
                </c:pt>
                <c:pt idx="4">
                  <c:v>农林水支出</c:v>
                </c:pt>
                <c:pt idx="5">
                  <c:v>住房保障支出</c:v>
                </c:pt>
                <c:pt idx="6">
                  <c:v>其他支出</c:v>
                </c:pt>
              </c:strCache>
            </c:strRef>
          </c:cat>
          <c:val>
            <c:numRef>
              <c:f>{1.09,518.78,48.73,1097.1,75.73,32,45.79}</c:f>
              <c:numCache>
                <c:formatCode>General</c:formatCode>
                <c:ptCount val="7"/>
                <c:pt idx="0">
                  <c:v>1.09</c:v>
                </c:pt>
                <c:pt idx="1">
                  <c:v>518.78</c:v>
                </c:pt>
                <c:pt idx="2">
                  <c:v>48.73</c:v>
                </c:pt>
                <c:pt idx="3">
                  <c:v>1097.1</c:v>
                </c:pt>
                <c:pt idx="4">
                  <c:v>75.73</c:v>
                </c:pt>
                <c:pt idx="5">
                  <c:v>32</c:v>
                </c:pt>
                <c:pt idx="6">
                  <c:v>45.79</c:v>
                </c:pt>
              </c:numCache>
            </c:numRef>
          </c:val>
        </c:ser>
        <c:dLbls>
          <c:showLegendKey val="0"/>
          <c:showVal val="1"/>
          <c:showCatName val="0"/>
          <c:showSerName val="0"/>
          <c:showPercent val="0"/>
          <c:showBubbleSize val="0"/>
        </c:dLbls>
        <c:gapWidth val="219"/>
        <c:overlap val="-27"/>
        <c:axId val="0"/>
        <c:axId val="1"/>
      </c:barChart>
      <c:catAx>
        <c:axId val="0"/>
        <c:scaling>
          <c:orientation val="minMax"/>
        </c:scaling>
        <c:delete val="0"/>
        <c:axPos val="b"/>
        <c:numFmt formatCode="General" sourceLinked="0"/>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0"/>
        <c:crossesAt val="1"/>
        <c:crossBetween val="between"/>
      </c:valAx>
      <c:dTable>
        <c:showHorzBorder val="1"/>
        <c:showVertBorder val="1"/>
        <c:showOutline val="1"/>
        <c:showKeys val="1"/>
        <c:spPr>
          <a:ln w="6350" cap="flat" cmpd="sng" algn="ctr">
            <a:solidFill>
              <a:srgbClr val="D9D9D9"/>
            </a:solidFill>
            <a:prstDash val="solid"/>
            <a:round/>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dTable>
      <c:spPr>
        <a:noFill/>
        <a:ln>
          <a:noFill/>
        </a:ln>
      </c:spPr>
    </c:plotArea>
    <c:legend>
      <c:legendPos val="b"/>
      <c:layout>
        <c:manualLayout>
          <c:xMode val="edge"/>
          <c:yMode val="edge"/>
          <c:x val="0.36646187"/>
          <c:y val="0.9084999"/>
          <c:w val="0.27355072"/>
          <c:h val="0.10545454"/>
        </c:manualLayout>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社会保障和就业支出占比</a:t>
            </a:r>
            <a:endParaRPr lang="zh-CN"/>
          </a:p>
        </c:rich>
      </c:tx>
      <c:layout>
        <c:manualLayout>
          <c:xMode val="edge"/>
          <c:yMode val="edge"/>
          <c:x val="0.23333333"/>
          <c:y val="0.024172008"/>
        </c:manualLayout>
      </c:layout>
      <c:overlay val="0"/>
      <c:spPr>
        <a:noFill/>
        <a:ln>
          <a:noFill/>
        </a:ln>
      </c:spPr>
    </c:title>
    <c:autoTitleDeleted val="0"/>
    <c:plotArea>
      <c:layout/>
      <c:pieChart>
        <c:varyColors val="1"/>
        <c:ser>
          <c:idx val="0"/>
          <c:order val="0"/>
          <c:spPr>
            <a:ln>
              <a:noFill/>
            </a:ln>
          </c:spPr>
          <c:explosion val="0"/>
          <c:dPt>
            <c:idx val="0"/>
            <c:bubble3D val="0"/>
            <c:spPr>
              <a:solidFill>
                <a:srgbClr val="5B9BD5"/>
              </a:solidFill>
              <a:ln w="19050">
                <a:solidFill>
                  <a:srgbClr val="FFFFFF"/>
                </a:solidFill>
                <a:prstDash val="solid"/>
              </a:ln>
            </c:spPr>
          </c:dPt>
          <c:dPt>
            <c:idx val="1"/>
            <c:bubble3D val="0"/>
            <c:spPr>
              <a:solidFill>
                <a:srgbClr val="ED7D31"/>
              </a:solidFill>
              <a:ln w="19050">
                <a:solidFill>
                  <a:srgbClr val="FFFFFF"/>
                </a:solidFill>
                <a:prstDash val="solid"/>
              </a:ln>
            </c:spPr>
          </c:dPt>
          <c:dLbls>
            <c:dLbl>
              <c:idx val="0"/>
              <c:layout>
                <c:manualLayout>
                  <c:x val="0.156126835690745"/>
                  <c:y val="-0.125642629113401"/>
                </c:manualLayout>
              </c:layout>
              <c:dLblPos val="bestFit"/>
              <c:showLegendKey val="0"/>
              <c:showVal val="1"/>
              <c:showCatName val="1"/>
              <c:showSerName val="0"/>
              <c:showPercent val="0"/>
              <c:showBubbleSize val="0"/>
              <c:extLst>
                <c:ext xmlns:c15="http://schemas.microsoft.com/office/drawing/2012/chart" uri="{CE6537A1-D6FC-4f65-9D91-7224C49458BB}">
                  <c15:layout/>
                </c:ext>
              </c:extLst>
            </c:dLbl>
            <c:numFmt formatCode="General" sourceLinked="0"/>
            <c:spPr>
              <a:solidFill>
                <a:srgbClr val="CCE8CF"/>
              </a:solidFill>
              <a:ln w="6350">
                <a:solidFill>
                  <a:srgbClr val="BFBFBF"/>
                </a:solidFill>
                <a:prstDash val="solid"/>
              </a:ln>
              <a:effectLst/>
            </c:spPr>
            <c:txPr>
              <a:bodyPr rot="0" spcFirstLastPara="0" vertOverflow="ellipsis" vert="horz" wrap="square" lIns="38100" tIns="19050" rIns="38100" bIns="19050" anchor="ctr" anchorCtr="1"/>
              <a:lstStyle/>
              <a:p>
                <a:pPr>
                  <a:defRPr lang="zh-CN" sz="900" b="0" i="0" u="none" strike="noStrike" kern="1200" baseline="0">
                    <a:solidFill>
                      <a:srgbClr val="595959"/>
                    </a:solidFill>
                    <a:latin typeface="AR PL UKai CN"/>
                    <a:ea typeface="AR PL UKai CN"/>
                    <a:cs typeface="Lucida Sans"/>
                  </a:defRPr>
                </a:pPr>
              </a:p>
            </c:txPr>
            <c:dLblPos val="bestFit"/>
            <c:showLegendKey val="0"/>
            <c:showVal val="1"/>
            <c:showCatName val="1"/>
            <c:showSerName val="0"/>
            <c:showPercent val="0"/>
            <c:showBubbleSize val="0"/>
            <c:showLeaderLines val="0"/>
            <c:extLst>
              <c:ext xmlns:c15="http://schemas.microsoft.com/office/drawing/2012/chart" uri="{CE6537A1-D6FC-4f65-9D91-7224C49458BB}">
                <c15:layout/>
                <c15:showLeaderLines val="0"/>
                <c15:leaderLines/>
              </c:ext>
            </c:extLst>
          </c:dLbls>
          <c:cat>
            <c:strRef>
              <c:f>{"2021年总收入","社会保障和就业支出"}</c:f>
              <c:strCache>
                <c:ptCount val="2"/>
                <c:pt idx="0">
                  <c:v>2021年总收入</c:v>
                </c:pt>
                <c:pt idx="1">
                  <c:v>社会保障和就业支出</c:v>
                </c:pt>
              </c:strCache>
            </c:strRef>
          </c:cat>
          <c:val>
            <c:numRef>
              <c:f>{1819.92,48.73}</c:f>
              <c:numCache>
                <c:formatCode>General</c:formatCode>
                <c:ptCount val="2"/>
                <c:pt idx="0">
                  <c:v>1819.92</c:v>
                </c:pt>
                <c:pt idx="1">
                  <c:v>48.73</c:v>
                </c:pt>
              </c:numCache>
            </c:numRef>
          </c:val>
        </c:ser>
        <c:dLbls>
          <c:showLegendKey val="0"/>
          <c:showVal val="1"/>
          <c:showCatName val="1"/>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rgbClr val="000000"/>
                </a:solidFill>
                <a:latin typeface="AR PL UKai CN"/>
                <a:ea typeface="AR PL UKai CN"/>
                <a:cs typeface="Lucida Sans"/>
              </a:defRPr>
            </a:pPr>
            <a:r>
              <a:rPr lang="zh-CN" sz="1400" b="0" i="0" u="none" strike="noStrike" baseline="0">
                <a:solidFill>
                  <a:srgbClr val="595959"/>
                </a:solidFill>
                <a:latin typeface="AR PL UKai CN"/>
                <a:ea typeface="AR PL UKai CN"/>
                <a:cs typeface="Lucida Sans"/>
              </a:rPr>
              <a:t>医疗卫生与计划生育支出占比</a:t>
            </a:r>
            <a:endParaRPr lang="zh-CN" sz="1400" b="0" i="0" u="none" strike="noStrike" baseline="0">
              <a:solidFill>
                <a:srgbClr val="595959"/>
              </a:solidFill>
              <a:latin typeface="AR PL UKai CN"/>
              <a:ea typeface="AR PL UKai CN"/>
              <a:cs typeface="Lucida Sans"/>
            </a:endParaRPr>
          </a:p>
        </c:rich>
      </c:tx>
      <c:layout/>
      <c:overlay val="0"/>
      <c:spPr>
        <a:noFill/>
        <a:ln>
          <a:noFill/>
        </a:ln>
      </c:spPr>
    </c:title>
    <c:autoTitleDeleted val="0"/>
    <c:plotArea>
      <c:layout/>
      <c:pieChart>
        <c:varyColors val="1"/>
        <c:ser>
          <c:idx val="0"/>
          <c:order val="0"/>
          <c:spPr>
            <a:ln>
              <a:noFill/>
            </a:ln>
          </c:spPr>
          <c:explosion val="0"/>
          <c:dPt>
            <c:idx val="0"/>
            <c:bubble3D val="0"/>
            <c:spPr>
              <a:solidFill>
                <a:srgbClr val="5B9BD5"/>
              </a:solidFill>
              <a:ln w="19050">
                <a:solidFill>
                  <a:srgbClr val="FFFFFF"/>
                </a:solidFill>
                <a:prstDash val="solid"/>
              </a:ln>
            </c:spPr>
          </c:dPt>
          <c:dPt>
            <c:idx val="1"/>
            <c:bubble3D val="0"/>
            <c:spPr>
              <a:solidFill>
                <a:srgbClr val="ED7D31"/>
              </a:solidFill>
              <a:ln w="19050">
                <a:solidFill>
                  <a:srgbClr val="FFFFFF"/>
                </a:solidFill>
                <a:prstDash val="solid"/>
              </a:ln>
            </c:spPr>
          </c:dPt>
          <c:dLbls>
            <c:numFmt formatCode="General"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1"/>
            <c:showSerName val="0"/>
            <c:showPercent val="0"/>
            <c:showBubbleSize val="0"/>
            <c:showLeaderLines val="1"/>
            <c:extLst>
              <c:ext xmlns:c15="http://schemas.microsoft.com/office/drawing/2012/chart" uri="{CE6537A1-D6FC-4f65-9D91-7224C49458BB}">
                <c15:layout/>
                <c15:showLeaderLines val="1"/>
                <c15:leaderLines/>
              </c:ext>
            </c:extLst>
          </c:dLbls>
          <c:cat>
            <c:strRef>
              <c:f>{"2021年总支出","卫生健康支出"}</c:f>
              <c:strCache>
                <c:ptCount val="2"/>
                <c:pt idx="0">
                  <c:v>2021年总支出</c:v>
                </c:pt>
                <c:pt idx="1">
                  <c:v>卫生健康支出</c:v>
                </c:pt>
              </c:strCache>
            </c:strRef>
          </c:cat>
          <c:val>
            <c:numRef>
              <c:f>{1819.92,1097.1}</c:f>
              <c:numCache>
                <c:formatCode>General</c:formatCode>
                <c:ptCount val="2"/>
                <c:pt idx="0">
                  <c:v>1819.92</c:v>
                </c:pt>
                <c:pt idx="1">
                  <c:v>1097.1</c:v>
                </c:pt>
              </c:numCache>
            </c:numRef>
          </c:val>
        </c:ser>
        <c:dLbls>
          <c:showLegendKey val="0"/>
          <c:showVal val="1"/>
          <c:showCatName val="1"/>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rgbClr val="000000"/>
                </a:solidFill>
                <a:latin typeface="AR PL UKai CN"/>
                <a:ea typeface="AR PL UKai CN"/>
                <a:cs typeface="Lucida Sans"/>
              </a:defRPr>
            </a:pPr>
            <a:r>
              <a:rPr lang="zh-CN" sz="1400" b="0" i="0" u="none" strike="noStrike" baseline="0">
                <a:solidFill>
                  <a:srgbClr val="595959"/>
                </a:solidFill>
                <a:latin typeface="AR PL UKai CN"/>
                <a:ea typeface="AR PL UKai CN"/>
                <a:cs typeface="Lucida Sans"/>
              </a:rPr>
              <a:t>节能环保支出占比</a:t>
            </a:r>
            <a:endParaRPr lang="zh-CN" sz="1400" b="0" i="0" u="none" strike="noStrike" baseline="0">
              <a:solidFill>
                <a:srgbClr val="595959"/>
              </a:solidFill>
              <a:latin typeface="AR PL UKai CN"/>
              <a:ea typeface="AR PL UKai CN"/>
              <a:cs typeface="Lucida Sans"/>
            </a:endParaRPr>
          </a:p>
        </c:rich>
      </c:tx>
      <c:layout/>
      <c:overlay val="0"/>
      <c:spPr>
        <a:noFill/>
        <a:ln>
          <a:noFill/>
        </a:ln>
      </c:spPr>
    </c:title>
    <c:autoTitleDeleted val="0"/>
    <c:plotArea>
      <c:layout/>
      <c:pieChart>
        <c:varyColors val="1"/>
        <c:ser>
          <c:idx val="0"/>
          <c:order val="0"/>
          <c:spPr>
            <a:ln>
              <a:noFill/>
            </a:ln>
          </c:spPr>
          <c:explosion val="0"/>
          <c:dPt>
            <c:idx val="0"/>
            <c:bubble3D val="0"/>
            <c:spPr>
              <a:solidFill>
                <a:srgbClr val="5B9BD5"/>
              </a:solidFill>
              <a:ln w="19050">
                <a:solidFill>
                  <a:srgbClr val="FFFFFF"/>
                </a:solidFill>
                <a:prstDash val="solid"/>
              </a:ln>
            </c:spPr>
          </c:dPt>
          <c:dPt>
            <c:idx val="1"/>
            <c:bubble3D val="0"/>
            <c:spPr>
              <a:solidFill>
                <a:srgbClr val="ED7D31"/>
              </a:solidFill>
              <a:ln w="19050">
                <a:solidFill>
                  <a:srgbClr val="FFFFFF"/>
                </a:solidFill>
                <a:prstDash val="solid"/>
              </a:ln>
            </c:spPr>
          </c:dPt>
          <c:dLbls>
            <c:numFmt formatCode="General"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1"/>
            <c:showSerName val="0"/>
            <c:showPercent val="0"/>
            <c:showBubbleSize val="0"/>
            <c:showLeaderLines val="1"/>
            <c:extLst>
              <c:ext xmlns:c15="http://schemas.microsoft.com/office/drawing/2012/chart" uri="{CE6537A1-D6FC-4f65-9D91-7224C49458BB}">
                <c15:layout/>
                <c15:showLeaderLines val="1"/>
                <c15:leaderLines/>
              </c:ext>
            </c:extLst>
          </c:dLbls>
          <c:cat>
            <c:strRef>
              <c:f>{"2021年总支出","节能环保支出"}</c:f>
              <c:strCache>
                <c:ptCount val="2"/>
                <c:pt idx="0">
                  <c:v>2021年总支出</c:v>
                </c:pt>
                <c:pt idx="1">
                  <c:v>节能环保支出</c:v>
                </c:pt>
              </c:strCache>
            </c:strRef>
          </c:cat>
          <c:val>
            <c:numRef>
              <c:f>{1819.92,518.78}</c:f>
              <c:numCache>
                <c:formatCode>General</c:formatCode>
                <c:ptCount val="2"/>
                <c:pt idx="0">
                  <c:v>1819.92</c:v>
                </c:pt>
                <c:pt idx="1">
                  <c:v>518.78</c:v>
                </c:pt>
              </c:numCache>
            </c:numRef>
          </c:val>
        </c:ser>
        <c:dLbls>
          <c:showLegendKey val="0"/>
          <c:showVal val="1"/>
          <c:showCatName val="1"/>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rgbClr val="000000"/>
                </a:solidFill>
                <a:latin typeface="AR PL UKai CN"/>
                <a:ea typeface="AR PL UKai CN"/>
                <a:cs typeface="Lucida Sans"/>
              </a:defRPr>
            </a:pPr>
            <a:r>
              <a:rPr lang="zh-CN" sz="1400" b="0" i="0" u="none" strike="noStrike" baseline="0">
                <a:solidFill>
                  <a:srgbClr val="595959"/>
                </a:solidFill>
                <a:latin typeface="AR PL UKai CN"/>
                <a:ea typeface="AR PL UKai CN"/>
                <a:cs typeface="Lucida Sans"/>
              </a:rPr>
              <a:t>农林水支出占比</a:t>
            </a:r>
            <a:endParaRPr lang="zh-CN" sz="1400" b="0" i="0" u="none" strike="noStrike" baseline="0">
              <a:solidFill>
                <a:srgbClr val="595959"/>
              </a:solidFill>
              <a:latin typeface="AR PL UKai CN"/>
              <a:ea typeface="AR PL UKai CN"/>
              <a:cs typeface="Lucida Sans"/>
            </a:endParaRPr>
          </a:p>
        </c:rich>
      </c:tx>
      <c:layout/>
      <c:overlay val="0"/>
      <c:spPr>
        <a:noFill/>
        <a:ln>
          <a:noFill/>
        </a:ln>
      </c:spPr>
    </c:title>
    <c:autoTitleDeleted val="0"/>
    <c:plotArea>
      <c:layout/>
      <c:pieChart>
        <c:varyColors val="1"/>
        <c:ser>
          <c:idx val="0"/>
          <c:order val="0"/>
          <c:spPr>
            <a:ln>
              <a:noFill/>
            </a:ln>
          </c:spPr>
          <c:explosion val="0"/>
          <c:dPt>
            <c:idx val="0"/>
            <c:bubble3D val="0"/>
            <c:spPr>
              <a:solidFill>
                <a:srgbClr val="5B9BD5"/>
              </a:solidFill>
              <a:ln w="19050">
                <a:solidFill>
                  <a:srgbClr val="FFFFFF"/>
                </a:solidFill>
                <a:prstDash val="solid"/>
              </a:ln>
            </c:spPr>
          </c:dPt>
          <c:dPt>
            <c:idx val="1"/>
            <c:bubble3D val="0"/>
            <c:spPr>
              <a:solidFill>
                <a:srgbClr val="ED7D31"/>
              </a:solidFill>
              <a:ln w="19050">
                <a:solidFill>
                  <a:srgbClr val="FFFFFF"/>
                </a:solidFill>
                <a:prstDash val="solid"/>
              </a:ln>
            </c:spPr>
          </c:dPt>
          <c:dLbls>
            <c:numFmt formatCode="General"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1"/>
            <c:showSerName val="0"/>
            <c:showPercent val="0"/>
            <c:showBubbleSize val="0"/>
            <c:showLeaderLines val="1"/>
            <c:extLst>
              <c:ext xmlns:c15="http://schemas.microsoft.com/office/drawing/2012/chart" uri="{CE6537A1-D6FC-4f65-9D91-7224C49458BB}">
                <c15:layout/>
                <c15:showLeaderLines val="1"/>
                <c15:leaderLines/>
              </c:ext>
            </c:extLst>
          </c:dLbls>
          <c:cat>
            <c:strRef>
              <c:f>{"2021年总支出","农林水支出"}</c:f>
              <c:strCache>
                <c:ptCount val="2"/>
                <c:pt idx="0">
                  <c:v>2021年总支出</c:v>
                </c:pt>
                <c:pt idx="1">
                  <c:v>农林水支出</c:v>
                </c:pt>
              </c:strCache>
            </c:strRef>
          </c:cat>
          <c:val>
            <c:numRef>
              <c:f>{1819.92,75.73}</c:f>
              <c:numCache>
                <c:formatCode>General</c:formatCode>
                <c:ptCount val="2"/>
                <c:pt idx="0">
                  <c:v>1819.92</c:v>
                </c:pt>
                <c:pt idx="1">
                  <c:v>75.73</c:v>
                </c:pt>
              </c:numCache>
            </c:numRef>
          </c:val>
        </c:ser>
        <c:dLbls>
          <c:showLegendKey val="0"/>
          <c:showVal val="1"/>
          <c:showCatName val="1"/>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住房保障支出比</a:t>
            </a:r>
            <a:endParaRPr lang="zh-CN"/>
          </a:p>
        </c:rich>
      </c:tx>
      <c:layout/>
      <c:overlay val="0"/>
      <c:spPr>
        <a:noFill/>
        <a:ln>
          <a:noFill/>
        </a:ln>
      </c:spPr>
    </c:title>
    <c:autoTitleDeleted val="0"/>
    <c:plotArea>
      <c:layout/>
      <c:pieChart>
        <c:varyColors val="1"/>
        <c:ser>
          <c:idx val="0"/>
          <c:order val="0"/>
          <c:spPr>
            <a:ln>
              <a:noFill/>
            </a:ln>
          </c:spPr>
          <c:explosion val="0"/>
          <c:dPt>
            <c:idx val="0"/>
            <c:bubble3D val="0"/>
            <c:spPr>
              <a:solidFill>
                <a:srgbClr val="5B9BD5"/>
              </a:solidFill>
              <a:ln w="19050">
                <a:solidFill>
                  <a:srgbClr val="FFFFFF"/>
                </a:solidFill>
                <a:prstDash val="solid"/>
              </a:ln>
            </c:spPr>
          </c:dPt>
          <c:dPt>
            <c:idx val="1"/>
            <c:bubble3D val="0"/>
            <c:spPr>
              <a:solidFill>
                <a:srgbClr val="ED7D31"/>
              </a:solidFill>
              <a:ln w="19050">
                <a:solidFill>
                  <a:srgbClr val="FFFFFF"/>
                </a:solidFill>
                <a:prstDash val="solid"/>
              </a:ln>
            </c:spPr>
          </c:dPt>
          <c:dLbls>
            <c:dLbl>
              <c:idx val="0"/>
              <c:layout>
                <c:manualLayout>
                  <c:x val="0.165182098508971"/>
                  <c:y val="-0.170872126589981"/>
                </c:manualLayout>
              </c:layout>
              <c:dLblPos val="bestFit"/>
              <c:showLegendKey val="0"/>
              <c:showVal val="1"/>
              <c:showCatName val="1"/>
              <c:showSerName val="0"/>
              <c:showPercent val="0"/>
              <c:showBubbleSize val="0"/>
              <c:extLst>
                <c:ext xmlns:c15="http://schemas.microsoft.com/office/drawing/2012/chart" uri="{CE6537A1-D6FC-4f65-9D91-7224C49458BB}">
                  <c15:layout/>
                </c:ext>
              </c:extLst>
            </c:dLbl>
            <c:numFmt formatCode="General"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1"/>
            <c:showSerName val="0"/>
            <c:showPercent val="0"/>
            <c:showBubbleSize val="0"/>
            <c:showLeaderLines val="1"/>
            <c:extLst>
              <c:ext xmlns:c15="http://schemas.microsoft.com/office/drawing/2012/chart" uri="{CE6537A1-D6FC-4f65-9D91-7224C49458BB}">
                <c15:layout/>
                <c15:showLeaderLines val="1"/>
                <c15:leaderLines/>
              </c:ext>
            </c:extLst>
          </c:dLbls>
          <c:cat>
            <c:strRef>
              <c:f>{"2021年总支出","住房保障支出"}</c:f>
              <c:strCache>
                <c:ptCount val="2"/>
                <c:pt idx="0">
                  <c:v>2021年总支出</c:v>
                </c:pt>
                <c:pt idx="1">
                  <c:v>住房保障支出</c:v>
                </c:pt>
              </c:strCache>
            </c:strRef>
          </c:cat>
          <c:val>
            <c:numRef>
              <c:f>{1819.92,32}</c:f>
              <c:numCache>
                <c:formatCode>General</c:formatCode>
                <c:ptCount val="2"/>
                <c:pt idx="0">
                  <c:v>1819.92</c:v>
                </c:pt>
                <c:pt idx="1">
                  <c:v>32</c:v>
                </c:pt>
              </c:numCache>
            </c:numRef>
          </c:val>
        </c:ser>
        <c:dLbls>
          <c:showLegendKey val="0"/>
          <c:showVal val="1"/>
          <c:showCatName val="1"/>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教育支出占比</a:t>
            </a:r>
            <a:endParaRPr lang="zh-CN"/>
          </a:p>
        </c:rich>
      </c:tx>
      <c:layout>
        <c:manualLayout>
          <c:xMode val="edge"/>
          <c:yMode val="edge"/>
          <c:x val="0.024982652"/>
          <c:y val="0.028880866"/>
        </c:manualLayout>
      </c:layout>
      <c:overlay val="0"/>
      <c:spPr>
        <a:noFill/>
        <a:ln>
          <a:noFill/>
        </a:ln>
      </c:spPr>
    </c:title>
    <c:autoTitleDeleted val="0"/>
    <c:plotArea>
      <c:layout>
        <c:manualLayout>
          <c:layoutTarget val="inner"/>
          <c:xMode val="edge"/>
          <c:yMode val="edge"/>
          <c:x val="0.2513088"/>
          <c:y val="0.12516968"/>
          <c:w val="0.33196947"/>
          <c:h val="0.57565343"/>
        </c:manualLayout>
      </c:layout>
      <c:pieChart>
        <c:varyColors val="1"/>
        <c:ser>
          <c:idx val="0"/>
          <c:order val="0"/>
          <c:spPr>
            <a:ln>
              <a:noFill/>
            </a:ln>
          </c:spPr>
          <c:explosion val="0"/>
          <c:dPt>
            <c:idx val="0"/>
            <c:bubble3D val="0"/>
            <c:explosion val="8"/>
            <c:spPr>
              <a:solidFill>
                <a:srgbClr val="5B9BD5"/>
              </a:solidFill>
              <a:ln w="19050">
                <a:solidFill>
                  <a:srgbClr val="FFFFFF"/>
                </a:solidFill>
                <a:prstDash val="solid"/>
              </a:ln>
            </c:spPr>
          </c:dPt>
          <c:dPt>
            <c:idx val="1"/>
            <c:bubble3D val="0"/>
            <c:spPr>
              <a:solidFill>
                <a:srgbClr val="ED7D31"/>
              </a:solidFill>
              <a:ln w="19050">
                <a:solidFill>
                  <a:srgbClr val="FFFFFF"/>
                </a:solidFill>
                <a:prstDash val="solid"/>
              </a:ln>
            </c:spPr>
          </c:dPt>
          <c:dLbls>
            <c:numFmt formatCode="General"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1"/>
            <c:showSerName val="0"/>
            <c:showPercent val="0"/>
            <c:showBubbleSize val="0"/>
            <c:showLeaderLines val="1"/>
            <c:extLst>
              <c:ext xmlns:c15="http://schemas.microsoft.com/office/drawing/2012/chart" uri="{CE6537A1-D6FC-4f65-9D91-7224C49458BB}">
                <c15:layout/>
                <c15:showLeaderLines val="1"/>
                <c15:leaderLines/>
              </c:ext>
            </c:extLst>
          </c:dLbls>
          <c:cat>
            <c:strRef>
              <c:f>{"2021年总支出","教育收入"}</c:f>
              <c:strCache>
                <c:ptCount val="2"/>
                <c:pt idx="0">
                  <c:v>2021年总支出</c:v>
                </c:pt>
                <c:pt idx="1">
                  <c:v>教育收入</c:v>
                </c:pt>
              </c:strCache>
            </c:strRef>
          </c:cat>
          <c:val>
            <c:numRef>
              <c:f>{1819.92,1.09}</c:f>
              <c:numCache>
                <c:formatCode>General</c:formatCode>
                <c:ptCount val="2"/>
                <c:pt idx="0">
                  <c:v>1819.92</c:v>
                </c:pt>
                <c:pt idx="1">
                  <c:v>1.09</c:v>
                </c:pt>
              </c:numCache>
            </c:numRef>
          </c:val>
        </c:ser>
        <c:dLbls>
          <c:showLegendKey val="0"/>
          <c:showVal val="1"/>
          <c:showCatName val="1"/>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24</Pages>
  <Words>7211</Words>
  <Characters>7967</Characters>
  <Lines>592</Lines>
  <Paragraphs>310</Paragraphs>
  <TotalTime>10</TotalTime>
  <ScaleCrop>false</ScaleCrop>
  <LinksUpToDate>false</LinksUpToDate>
  <CharactersWithSpaces>8034</CharactersWithSpaces>
  <Application>WPS Office_11.1.0.12313_F1E327BC-269C-435d-A152-05C5408002CA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2022-02-16T04:40:00Z</dcterms:created>
  <dc:creator>岑冷•ཡང་ལས།</dc:creator>
  <cp:lastModifiedBy>LENOVO</cp:lastModifiedBy>
  <cp:lastPrinted>2022-08-29T02:23:00Z</cp:lastPrinted>
  <dcterms:modified xsi:type="dcterms:W3CDTF">2022-08-30T08:32:24Z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972A5065AA6C4DDC9DBE102E861DF6F3</vt:lpwstr>
  </property>
</Properties>
</file>