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napToGrid w:val="0"/>
        <w:spacing w:before="0" w:beforeAutospacing="0" w:after="0" w:afterAutospacing="0"/>
        <w:ind w:left="0" w:right="0"/>
        <w:jc w:val="center"/>
        <w:rPr>
          <w:rFonts w:hint="eastAsia" w:ascii="黑体" w:hAnsi="宋体" w:eastAsia="黑体" w:cs="黑体"/>
          <w:sz w:val="44"/>
          <w:szCs w:val="44"/>
          <w:lang w:val="en-US"/>
        </w:rPr>
      </w:pPr>
    </w:p>
    <w:p>
      <w:pPr>
        <w:keepNext w:val="0"/>
        <w:keepLines w:val="0"/>
        <w:widowControl w:val="0"/>
        <w:suppressLineNumbers w:val="0"/>
        <w:snapToGrid w:val="0"/>
        <w:spacing w:before="0" w:beforeAutospacing="0" w:after="0" w:afterAutospacing="0"/>
        <w:ind w:left="0" w:right="0"/>
        <w:jc w:val="center"/>
        <w:rPr>
          <w:rFonts w:hint="eastAsia" w:ascii="黑体" w:hAnsi="宋体" w:eastAsia="黑体" w:cs="黑体"/>
          <w:sz w:val="44"/>
          <w:szCs w:val="44"/>
          <w:lang w:val="en-US"/>
        </w:rPr>
      </w:pPr>
    </w:p>
    <w:p>
      <w:pPr>
        <w:keepNext w:val="0"/>
        <w:keepLines w:val="0"/>
        <w:widowControl w:val="0"/>
        <w:suppressLineNumbers w:val="0"/>
        <w:snapToGrid w:val="0"/>
        <w:spacing w:before="0" w:beforeAutospacing="0" w:after="0" w:afterAutospacing="0"/>
        <w:ind w:left="0" w:right="0"/>
        <w:jc w:val="center"/>
        <w:rPr>
          <w:rFonts w:hint="eastAsia" w:ascii="黑体" w:hAnsi="宋体" w:eastAsia="黑体" w:cs="黑体"/>
          <w:sz w:val="44"/>
          <w:szCs w:val="44"/>
          <w:lang w:val="en-US"/>
        </w:rPr>
      </w:pPr>
    </w:p>
    <w:p>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黑体" w:hAnsi="宋体" w:eastAsia="黑体" w:cs="黑体"/>
          <w:color w:val="000000"/>
          <w:sz w:val="72"/>
          <w:szCs w:val="72"/>
          <w:lang w:val="en-US"/>
        </w:rPr>
      </w:pPr>
      <w:bookmarkStart w:id="0" w:name="_Toc15378441"/>
      <w:bookmarkStart w:id="1" w:name="_Toc15377193"/>
      <w:bookmarkStart w:id="2" w:name="_Toc15377425"/>
      <w:bookmarkStart w:id="3" w:name="_Toc15396597"/>
      <w:bookmarkStart w:id="4" w:name="_Toc15396475"/>
    </w:p>
    <w:p>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黑体" w:hAnsi="宋体" w:eastAsia="黑体" w:cs="黑体"/>
          <w:color w:val="000000"/>
          <w:sz w:val="72"/>
          <w:szCs w:val="72"/>
          <w:lang w:val="en-US"/>
        </w:rPr>
      </w:pPr>
    </w:p>
    <w:p>
      <w:pPr>
        <w:keepNext w:val="0"/>
        <w:keepLines w:val="0"/>
        <w:widowControl w:val="0"/>
        <w:suppressLineNumbers w:val="0"/>
        <w:adjustRightInd w:val="0"/>
        <w:snapToGrid w:val="0"/>
        <w:spacing w:before="0" w:beforeAutospacing="0" w:after="0" w:afterAutospacing="0" w:line="360" w:lineRule="auto"/>
        <w:ind w:left="0" w:right="0"/>
        <w:jc w:val="center"/>
        <w:outlineLvl w:val="0"/>
        <w:rPr>
          <w:rFonts w:hint="eastAsia" w:ascii="黑体" w:hAnsi="宋体" w:eastAsia="黑体" w:cs="黑体"/>
          <w:b/>
          <w:bCs/>
          <w:color w:val="000000"/>
          <w:sz w:val="72"/>
          <w:szCs w:val="72"/>
          <w:lang w:val="en-US"/>
        </w:rPr>
      </w:pPr>
      <w:bookmarkStart w:id="5" w:name="_Toc32124"/>
      <w:bookmarkStart w:id="6" w:name="_Toc1811"/>
      <w:bookmarkStart w:id="7" w:name="_Toc15538"/>
      <w:r>
        <w:rPr>
          <w:rFonts w:hint="eastAsia" w:ascii="黑体" w:hAnsi="宋体" w:eastAsia="黑体" w:cs="黑体"/>
          <w:b/>
          <w:bCs/>
          <w:color w:val="000000"/>
          <w:kern w:val="2"/>
          <w:sz w:val="72"/>
          <w:szCs w:val="72"/>
          <w:lang w:val="en-US" w:eastAsia="zh-CN" w:bidi="ar"/>
        </w:rPr>
        <w:t>2022年度</w:t>
      </w:r>
      <w:bookmarkEnd w:id="0"/>
      <w:bookmarkEnd w:id="1"/>
      <w:bookmarkEnd w:id="2"/>
      <w:bookmarkEnd w:id="3"/>
      <w:bookmarkEnd w:id="4"/>
      <w:bookmarkEnd w:id="5"/>
      <w:bookmarkEnd w:id="6"/>
      <w:bookmarkEnd w:id="7"/>
      <w:bookmarkStart w:id="8" w:name="_Toc15396598"/>
      <w:bookmarkStart w:id="9" w:name="_Toc15377426"/>
      <w:bookmarkStart w:id="10" w:name="_Toc15396476"/>
      <w:bookmarkStart w:id="11" w:name="_Toc15306268"/>
      <w:bookmarkStart w:id="12" w:name="_Toc15377194"/>
      <w:bookmarkStart w:id="13" w:name="_Toc15378442"/>
    </w:p>
    <w:p>
      <w:pPr>
        <w:keepNext w:val="0"/>
        <w:keepLines w:val="0"/>
        <w:widowControl w:val="0"/>
        <w:suppressLineNumbers w:val="0"/>
        <w:adjustRightInd w:val="0"/>
        <w:snapToGrid w:val="0"/>
        <w:spacing w:before="0" w:beforeAutospacing="0" w:after="0" w:afterAutospacing="0" w:line="360" w:lineRule="auto"/>
        <w:ind w:left="0" w:right="0"/>
        <w:jc w:val="center"/>
        <w:outlineLvl w:val="0"/>
        <w:rPr>
          <w:rFonts w:hint="eastAsia" w:ascii="黑体" w:hAnsi="宋体" w:eastAsia="黑体" w:cs="黑体"/>
          <w:b/>
          <w:bCs/>
          <w:color w:val="000000"/>
          <w:sz w:val="72"/>
          <w:szCs w:val="72"/>
          <w:lang w:val="en-US"/>
        </w:rPr>
      </w:pPr>
      <w:bookmarkStart w:id="14" w:name="_Toc20266"/>
      <w:bookmarkStart w:id="15" w:name="_Toc28892"/>
      <w:bookmarkStart w:id="16" w:name="_Toc15964"/>
      <w:r>
        <w:rPr>
          <w:rFonts w:hint="eastAsia" w:ascii="黑体" w:hAnsi="宋体" w:eastAsia="黑体" w:cs="黑体"/>
          <w:b/>
          <w:bCs/>
          <w:color w:val="000000"/>
          <w:kern w:val="2"/>
          <w:sz w:val="72"/>
          <w:szCs w:val="72"/>
          <w:lang w:val="en-US" w:eastAsia="zh-CN" w:bidi="ar"/>
        </w:rPr>
        <w:t>金川县</w:t>
      </w:r>
      <w:bookmarkEnd w:id="14"/>
      <w:bookmarkEnd w:id="15"/>
      <w:bookmarkStart w:id="17" w:name="_Toc16040"/>
      <w:bookmarkStart w:id="18" w:name="_Toc32513"/>
      <w:r>
        <w:rPr>
          <w:rFonts w:hint="eastAsia" w:ascii="黑体" w:hAnsi="宋体" w:eastAsia="黑体" w:cs="黑体"/>
          <w:b/>
          <w:bCs/>
          <w:color w:val="000000"/>
          <w:kern w:val="2"/>
          <w:sz w:val="72"/>
          <w:szCs w:val="72"/>
          <w:lang w:val="en-US" w:eastAsia="zh-CN" w:bidi="ar"/>
        </w:rPr>
        <w:t>医保局部门预算</w:t>
      </w:r>
      <w:bookmarkEnd w:id="8"/>
      <w:bookmarkEnd w:id="9"/>
      <w:bookmarkEnd w:id="10"/>
      <w:bookmarkEnd w:id="11"/>
      <w:bookmarkEnd w:id="12"/>
      <w:bookmarkEnd w:id="13"/>
      <w:bookmarkEnd w:id="16"/>
      <w:bookmarkEnd w:id="17"/>
      <w:bookmarkEnd w:id="18"/>
    </w:p>
    <w:p>
      <w:pPr>
        <w:keepNext w:val="0"/>
        <w:keepLines w:val="0"/>
        <w:widowControl w:val="0"/>
        <w:suppressLineNumbers w:val="0"/>
        <w:spacing w:before="0" w:beforeAutospacing="0" w:after="0" w:afterAutospacing="0"/>
        <w:ind w:left="0" w:right="0"/>
        <w:jc w:val="both"/>
        <w:rPr>
          <w:lang w:val="en-US"/>
        </w:rPr>
      </w:pPr>
    </w:p>
    <w:p>
      <w:pPr>
        <w:pStyle w:val="4"/>
        <w:widowControl/>
        <w:tabs>
          <w:tab w:val="right" w:leader="middleDot" w:pos="8306"/>
          <w:tab w:val="clear" w:pos="8296"/>
        </w:tabs>
        <w:jc w:val="both"/>
        <w:rPr>
          <w:rFonts w:hint="eastAsia" w:ascii="方正小标宋简体" w:hAnsi="宋体" w:eastAsia="方正小标宋简体" w:cs="方正小标宋简体"/>
          <w:color w:val="000000"/>
          <w:sz w:val="36"/>
          <w:szCs w:val="36"/>
          <w:lang w:val="en-US"/>
        </w:rPr>
      </w:pPr>
    </w:p>
    <w:p>
      <w:pPr>
        <w:keepNext w:val="0"/>
        <w:keepLines w:val="0"/>
        <w:widowControl w:val="0"/>
        <w:suppressLineNumbers w:val="0"/>
        <w:spacing w:before="0" w:beforeAutospacing="0" w:after="0" w:afterAutospacing="0"/>
        <w:ind w:left="0" w:right="0"/>
        <w:jc w:val="both"/>
        <w:rPr>
          <w:rFonts w:hint="eastAsia" w:ascii="方正小标宋简体" w:hAnsi="宋体" w:eastAsia="方正小标宋简体" w:cs="方正小标宋简体"/>
          <w:color w:val="000000"/>
          <w:sz w:val="36"/>
          <w:szCs w:val="36"/>
          <w:lang w:val="en-US"/>
        </w:rPr>
      </w:pPr>
    </w:p>
    <w:p>
      <w:pPr>
        <w:keepNext w:val="0"/>
        <w:keepLines w:val="0"/>
        <w:widowControl w:val="0"/>
        <w:suppressLineNumbers w:val="0"/>
        <w:spacing w:before="0" w:beforeAutospacing="0" w:after="0" w:afterAutospacing="0"/>
        <w:ind w:left="0" w:right="0"/>
        <w:jc w:val="both"/>
        <w:rPr>
          <w:rFonts w:hint="eastAsia" w:ascii="方正小标宋简体" w:hAnsi="宋体" w:eastAsia="方正小标宋简体" w:cs="方正小标宋简体"/>
          <w:color w:val="000000"/>
          <w:sz w:val="36"/>
          <w:szCs w:val="36"/>
          <w:lang w:val="en-US"/>
        </w:rPr>
      </w:pPr>
    </w:p>
    <w:p>
      <w:pPr>
        <w:keepNext w:val="0"/>
        <w:keepLines w:val="0"/>
        <w:widowControl w:val="0"/>
        <w:suppressLineNumbers w:val="0"/>
        <w:spacing w:before="0" w:beforeAutospacing="0" w:after="0" w:afterAutospacing="0"/>
        <w:ind w:left="0" w:right="0"/>
        <w:jc w:val="both"/>
        <w:rPr>
          <w:rFonts w:hint="eastAsia" w:ascii="方正小标宋简体" w:hAnsi="宋体" w:eastAsia="方正小标宋简体" w:cs="方正小标宋简体"/>
          <w:color w:val="000000"/>
          <w:sz w:val="36"/>
          <w:szCs w:val="36"/>
          <w:lang w:val="en-US"/>
        </w:rPr>
      </w:pPr>
    </w:p>
    <w:p>
      <w:pPr>
        <w:keepNext w:val="0"/>
        <w:keepLines w:val="0"/>
        <w:widowControl w:val="0"/>
        <w:suppressLineNumbers w:val="0"/>
        <w:spacing w:before="0" w:beforeAutospacing="0" w:after="0" w:afterAutospacing="0"/>
        <w:ind w:left="0" w:right="0"/>
        <w:jc w:val="both"/>
        <w:rPr>
          <w:rFonts w:hint="eastAsia" w:ascii="方正小标宋简体" w:hAnsi="宋体" w:eastAsia="方正小标宋简体" w:cs="方正小标宋简体"/>
          <w:color w:val="000000"/>
          <w:sz w:val="36"/>
          <w:szCs w:val="36"/>
          <w:lang w:val="en-US"/>
        </w:rPr>
      </w:pPr>
    </w:p>
    <w:p>
      <w:pPr>
        <w:keepNext w:val="0"/>
        <w:keepLines w:val="0"/>
        <w:widowControl w:val="0"/>
        <w:suppressLineNumbers w:val="0"/>
        <w:spacing w:before="0" w:beforeAutospacing="0" w:after="0" w:afterAutospacing="0"/>
        <w:ind w:left="0" w:right="0"/>
        <w:jc w:val="both"/>
        <w:rPr>
          <w:rFonts w:hint="eastAsia" w:ascii="方正小标宋简体" w:hAnsi="宋体" w:eastAsia="方正小标宋简体" w:cs="方正小标宋简体"/>
          <w:color w:val="000000"/>
          <w:sz w:val="36"/>
          <w:szCs w:val="36"/>
          <w:lang w:val="en-US"/>
        </w:rPr>
      </w:pPr>
    </w:p>
    <w:p>
      <w:pPr>
        <w:keepNext w:val="0"/>
        <w:keepLines w:val="0"/>
        <w:widowControl w:val="0"/>
        <w:suppressLineNumbers w:val="0"/>
        <w:spacing w:before="0" w:beforeAutospacing="0" w:after="0" w:afterAutospacing="0"/>
        <w:ind w:left="0" w:right="0"/>
        <w:jc w:val="both"/>
        <w:rPr>
          <w:rFonts w:hint="eastAsia" w:ascii="方正小标宋简体" w:hAnsi="宋体" w:eastAsia="方正小标宋简体" w:cs="方正小标宋简体"/>
          <w:color w:val="000000"/>
          <w:sz w:val="36"/>
          <w:szCs w:val="36"/>
          <w:lang w:val="en-US"/>
        </w:rPr>
      </w:pPr>
    </w:p>
    <w:p>
      <w:pPr>
        <w:keepNext w:val="0"/>
        <w:keepLines w:val="0"/>
        <w:widowControl w:val="0"/>
        <w:suppressLineNumbers w:val="0"/>
        <w:spacing w:before="0" w:beforeAutospacing="0" w:after="0" w:afterAutospacing="0"/>
        <w:ind w:left="0" w:right="0"/>
        <w:jc w:val="both"/>
        <w:rPr>
          <w:rFonts w:hint="eastAsia" w:ascii="方正小标宋简体" w:hAnsi="宋体" w:eastAsia="方正小标宋简体" w:cs="方正小标宋简体"/>
          <w:color w:val="000000"/>
          <w:sz w:val="36"/>
          <w:szCs w:val="36"/>
          <w:lang w:val="en-US"/>
        </w:rPr>
      </w:pPr>
    </w:p>
    <w:p>
      <w:pPr>
        <w:keepNext w:val="0"/>
        <w:keepLines w:val="0"/>
        <w:widowControl/>
        <w:suppressLineNumbers w:val="0"/>
        <w:spacing w:before="0" w:beforeAutospacing="0" w:after="0" w:afterAutospacing="0"/>
        <w:ind w:left="0" w:right="0"/>
        <w:jc w:val="center"/>
        <w:rPr>
          <w:rFonts w:hint="eastAsia" w:ascii="黑体" w:hAnsi="宋体" w:eastAsia="黑体" w:cs="黑体"/>
          <w:color w:val="000000"/>
          <w:sz w:val="48"/>
          <w:szCs w:val="48"/>
          <w:lang w:val="en-US"/>
        </w:rPr>
      </w:pPr>
    </w:p>
    <w:p>
      <w:pPr>
        <w:keepNext w:val="0"/>
        <w:keepLines w:val="0"/>
        <w:widowControl/>
        <w:suppressLineNumbers w:val="0"/>
        <w:spacing w:before="0" w:beforeAutospacing="0" w:after="0" w:afterAutospacing="0"/>
        <w:ind w:left="0" w:right="0"/>
        <w:jc w:val="center"/>
        <w:rPr>
          <w:rFonts w:hint="eastAsia" w:ascii="黑体" w:hAnsi="宋体" w:eastAsia="黑体" w:cs="黑体"/>
          <w:color w:val="000000"/>
          <w:sz w:val="48"/>
          <w:szCs w:val="48"/>
          <w:lang w:val="en-US"/>
        </w:rPr>
      </w:pPr>
      <w:r>
        <w:rPr>
          <w:rFonts w:hint="eastAsia" w:ascii="黑体" w:hAnsi="宋体" w:eastAsia="黑体" w:cs="黑体"/>
          <w:color w:val="000000"/>
          <w:kern w:val="2"/>
          <w:sz w:val="48"/>
          <w:szCs w:val="48"/>
          <w:lang w:val="en-US" w:eastAsia="zh-CN" w:bidi="ar"/>
        </w:rPr>
        <w:t>目录</w:t>
      </w:r>
    </w:p>
    <w:p>
      <w:pPr>
        <w:pStyle w:val="4"/>
        <w:widowControl/>
        <w:rPr>
          <w:lang w:val="en-US"/>
        </w:rPr>
      </w:pPr>
      <w:r>
        <w:rPr>
          <w:lang w:val="en-US"/>
        </w:rPr>
        <w:fldChar w:fldCharType="begin"/>
      </w:r>
      <w:r>
        <w:rPr>
          <w:lang w:val="en-US"/>
        </w:rPr>
        <w:instrText xml:space="preserve">TOC \o "1-3" \h \u </w:instrText>
      </w:r>
      <w:r>
        <w:rPr>
          <w:lang w:val="en-US"/>
        </w:rPr>
        <w:fldChar w:fldCharType="separate"/>
      </w:r>
    </w:p>
    <w:p>
      <w:pPr>
        <w:pStyle w:val="4"/>
        <w:widowControl/>
        <w:rPr>
          <w:lang w:val="en-US"/>
        </w:rPr>
      </w:pPr>
      <w:r>
        <w:rPr>
          <w:lang w:val="en-US"/>
        </w:rPr>
        <w:fldChar w:fldCharType="begin"/>
      </w:r>
      <w:r>
        <w:rPr>
          <w:lang w:val="en-US"/>
        </w:rPr>
        <w:instrText xml:space="preserve"> HYPERLINK "file:///C:/Users/LENOVO/Desktop/2022部门预算.doc" \l "_Toc11455" </w:instrText>
      </w:r>
      <w:r>
        <w:rPr>
          <w:lang w:val="en-US"/>
        </w:rPr>
        <w:fldChar w:fldCharType="separate"/>
      </w:r>
      <w:r>
        <w:rPr>
          <w:rStyle w:val="8"/>
          <w:color w:val="auto"/>
          <w:u w:val="none"/>
          <w:lang w:val="en-US"/>
        </w:rPr>
        <w:t>一、 基本职能及主要工作</w:t>
      </w:r>
      <w:r>
        <w:rPr>
          <w:rStyle w:val="8"/>
          <w:color w:val="auto"/>
          <w:u w:val="none"/>
          <w:lang w:val="en-US"/>
        </w:rPr>
        <w:tab/>
      </w:r>
      <w:r>
        <w:rPr>
          <w:rStyle w:val="8"/>
          <w:color w:val="auto"/>
          <w:u w:val="none"/>
          <w:lang w:val="en-US"/>
        </w:rPr>
        <w:t>4</w:t>
      </w:r>
      <w:r>
        <w:rPr>
          <w:lang w:val="en-US"/>
        </w:rPr>
        <w:fldChar w:fldCharType="end"/>
      </w:r>
    </w:p>
    <w:p>
      <w:pPr>
        <w:pStyle w:val="4"/>
        <w:widowControl/>
        <w:rPr>
          <w:lang w:val="en-US"/>
        </w:rPr>
      </w:pPr>
      <w:r>
        <w:rPr>
          <w:lang w:val="en-US"/>
        </w:rPr>
        <w:fldChar w:fldCharType="begin"/>
      </w:r>
      <w:r>
        <w:rPr>
          <w:lang w:val="en-US"/>
        </w:rPr>
        <w:instrText xml:space="preserve"> HYPERLINK "file:///C:/Users/LENOVO/Desktop/2022部门预算.doc" \l "_Toc26556" </w:instrText>
      </w:r>
      <w:r>
        <w:rPr>
          <w:lang w:val="en-US"/>
        </w:rPr>
        <w:fldChar w:fldCharType="separate"/>
      </w:r>
      <w:r>
        <w:rPr>
          <w:rStyle w:val="8"/>
          <w:color w:val="auto"/>
          <w:u w:val="none"/>
          <w:lang w:val="en-US"/>
        </w:rPr>
        <w:t>（一）主要职能</w:t>
      </w:r>
      <w:r>
        <w:rPr>
          <w:rStyle w:val="8"/>
          <w:color w:val="auto"/>
          <w:u w:val="none"/>
          <w:lang w:val="en-US"/>
        </w:rPr>
        <w:tab/>
      </w:r>
      <w:r>
        <w:rPr>
          <w:rStyle w:val="8"/>
          <w:color w:val="auto"/>
          <w:u w:val="none"/>
          <w:lang w:val="en-US"/>
        </w:rPr>
        <w:t>4</w:t>
      </w:r>
      <w:r>
        <w:rPr>
          <w:lang w:val="en-US"/>
        </w:rPr>
        <w:fldChar w:fldCharType="end"/>
      </w:r>
    </w:p>
    <w:p>
      <w:pPr>
        <w:pStyle w:val="4"/>
        <w:widowControl/>
        <w:rPr>
          <w:lang w:val="en-US"/>
        </w:rPr>
      </w:pPr>
      <w:r>
        <w:rPr>
          <w:lang w:val="en-US"/>
        </w:rPr>
        <w:fldChar w:fldCharType="begin"/>
      </w:r>
      <w:r>
        <w:rPr>
          <w:lang w:val="en-US"/>
        </w:rPr>
        <w:instrText xml:space="preserve"> HYPERLINK "file:///C:/Users/LENOVO/Desktop/2022部门预算.doc" \l "_Toc1399" </w:instrText>
      </w:r>
      <w:r>
        <w:rPr>
          <w:lang w:val="en-US"/>
        </w:rPr>
        <w:fldChar w:fldCharType="separate"/>
      </w:r>
      <w:r>
        <w:rPr>
          <w:rStyle w:val="8"/>
          <w:color w:val="auto"/>
          <w:u w:val="none"/>
          <w:lang w:val="en-US"/>
        </w:rPr>
        <w:t>（二）2022年重点工作及完成情况</w:t>
      </w:r>
      <w:r>
        <w:rPr>
          <w:rStyle w:val="8"/>
          <w:color w:val="auto"/>
          <w:u w:val="none"/>
          <w:lang w:val="en-US"/>
        </w:rPr>
        <w:tab/>
      </w:r>
      <w:r>
        <w:rPr>
          <w:rStyle w:val="8"/>
          <w:color w:val="auto"/>
          <w:u w:val="none"/>
          <w:lang w:val="en-US"/>
        </w:rPr>
        <w:t>5</w:t>
      </w:r>
      <w:r>
        <w:rPr>
          <w:lang w:val="en-US"/>
        </w:rPr>
        <w:fldChar w:fldCharType="end"/>
      </w:r>
    </w:p>
    <w:p>
      <w:pPr>
        <w:pStyle w:val="4"/>
        <w:widowControl/>
        <w:rPr>
          <w:lang w:val="en-US"/>
        </w:rPr>
      </w:pPr>
      <w:r>
        <w:rPr>
          <w:lang w:val="en-US"/>
        </w:rPr>
        <w:fldChar w:fldCharType="begin"/>
      </w:r>
      <w:r>
        <w:rPr>
          <w:lang w:val="en-US"/>
        </w:rPr>
        <w:instrText xml:space="preserve"> HYPERLINK "file:///C:/Users/LENOVO/Desktop/2022部门预算.doc" \l "_Toc19488" </w:instrText>
      </w:r>
      <w:r>
        <w:rPr>
          <w:lang w:val="en-US"/>
        </w:rPr>
        <w:fldChar w:fldCharType="separate"/>
      </w:r>
      <w:r>
        <w:rPr>
          <w:rStyle w:val="8"/>
          <w:color w:val="auto"/>
          <w:u w:val="none"/>
          <w:lang w:val="en-US"/>
        </w:rPr>
        <w:t>二、部门预算单位构成</w:t>
      </w:r>
      <w:r>
        <w:rPr>
          <w:rStyle w:val="8"/>
          <w:color w:val="auto"/>
          <w:u w:val="none"/>
          <w:lang w:val="en-US"/>
        </w:rPr>
        <w:tab/>
      </w:r>
      <w:r>
        <w:rPr>
          <w:rStyle w:val="8"/>
          <w:color w:val="auto"/>
          <w:u w:val="none"/>
          <w:lang w:val="en-US"/>
        </w:rPr>
        <w:t>5</w:t>
      </w:r>
      <w:r>
        <w:rPr>
          <w:lang w:val="en-US"/>
        </w:rPr>
        <w:fldChar w:fldCharType="end"/>
      </w:r>
    </w:p>
    <w:p>
      <w:pPr>
        <w:pStyle w:val="4"/>
        <w:widowControl/>
        <w:rPr>
          <w:lang w:val="en-US"/>
        </w:rPr>
      </w:pPr>
      <w:r>
        <w:rPr>
          <w:lang w:val="en-US"/>
        </w:rPr>
        <w:fldChar w:fldCharType="begin"/>
      </w:r>
      <w:r>
        <w:rPr>
          <w:lang w:val="en-US"/>
        </w:rPr>
        <w:instrText xml:space="preserve"> HYPERLINK "file:///C:/Users/LENOVO/Desktop/2022部门预算.doc" \l "_Toc19488" </w:instrText>
      </w:r>
      <w:r>
        <w:rPr>
          <w:lang w:val="en-US"/>
        </w:rPr>
        <w:fldChar w:fldCharType="separate"/>
      </w:r>
      <w:r>
        <w:rPr>
          <w:rStyle w:val="8"/>
          <w:color w:val="auto"/>
          <w:u w:val="none"/>
          <w:lang w:val="en-US"/>
        </w:rPr>
        <w:t>三、收支预算总体情况说明</w:t>
      </w:r>
      <w:r>
        <w:rPr>
          <w:rStyle w:val="8"/>
          <w:color w:val="auto"/>
          <w:u w:val="none"/>
          <w:lang w:val="en-US"/>
        </w:rPr>
        <w:tab/>
      </w:r>
      <w:r>
        <w:rPr>
          <w:rStyle w:val="8"/>
          <w:color w:val="auto"/>
          <w:u w:val="none"/>
          <w:lang w:val="en-US"/>
        </w:rPr>
        <w:t>5</w:t>
      </w:r>
      <w:r>
        <w:rPr>
          <w:lang w:val="en-US"/>
        </w:rPr>
        <w:fldChar w:fldCharType="end"/>
      </w:r>
    </w:p>
    <w:p>
      <w:pPr>
        <w:pStyle w:val="4"/>
        <w:widowControl/>
        <w:rPr>
          <w:lang w:val="en-US"/>
        </w:rPr>
      </w:pPr>
      <w:r>
        <w:rPr>
          <w:lang w:val="en-US"/>
        </w:rPr>
        <w:fldChar w:fldCharType="begin"/>
      </w:r>
      <w:r>
        <w:rPr>
          <w:lang w:val="en-US"/>
        </w:rPr>
        <w:instrText xml:space="preserve"> HYPERLINK "file:///C:/Users/LENOVO/Desktop/2022部门预算.doc" \l "_Toc26556" </w:instrText>
      </w:r>
      <w:r>
        <w:rPr>
          <w:lang w:val="en-US"/>
        </w:rPr>
        <w:fldChar w:fldCharType="separate"/>
      </w:r>
      <w:r>
        <w:rPr>
          <w:rStyle w:val="8"/>
          <w:color w:val="auto"/>
          <w:u w:val="none"/>
          <w:lang w:val="en-US"/>
        </w:rPr>
        <w:t>（一）收入预算情况</w:t>
      </w:r>
      <w:r>
        <w:rPr>
          <w:rStyle w:val="8"/>
          <w:color w:val="auto"/>
          <w:u w:val="none"/>
          <w:lang w:val="en-US"/>
        </w:rPr>
        <w:tab/>
      </w:r>
      <w:r>
        <w:rPr>
          <w:rStyle w:val="8"/>
          <w:rFonts w:hint="eastAsia"/>
          <w:color w:val="auto"/>
          <w:u w:val="none"/>
          <w:lang w:val="en-US" w:eastAsia="zh-CN"/>
        </w:rPr>
        <w:t>6</w:t>
      </w:r>
      <w:r>
        <w:rPr>
          <w:lang w:val="en-US"/>
        </w:rPr>
        <w:fldChar w:fldCharType="end"/>
      </w:r>
    </w:p>
    <w:p>
      <w:pPr>
        <w:pStyle w:val="4"/>
        <w:widowControl/>
        <w:rPr>
          <w:lang w:val="en-US"/>
        </w:rPr>
      </w:pPr>
      <w:r>
        <w:rPr>
          <w:lang w:val="en-US"/>
        </w:rPr>
        <w:fldChar w:fldCharType="begin"/>
      </w:r>
      <w:r>
        <w:rPr>
          <w:lang w:val="en-US"/>
        </w:rPr>
        <w:instrText xml:space="preserve"> HYPERLINK "file:///C:/Users/LENOVO/Desktop/2022部门预算.doc" \l "_Toc26556" </w:instrText>
      </w:r>
      <w:r>
        <w:rPr>
          <w:lang w:val="en-US"/>
        </w:rPr>
        <w:fldChar w:fldCharType="separate"/>
      </w:r>
      <w:r>
        <w:rPr>
          <w:rStyle w:val="8"/>
          <w:color w:val="auto"/>
          <w:u w:val="none"/>
          <w:lang w:val="en-US"/>
        </w:rPr>
        <w:t>（二）支出预算情况</w:t>
      </w:r>
      <w:r>
        <w:rPr>
          <w:rStyle w:val="8"/>
          <w:color w:val="auto"/>
          <w:u w:val="none"/>
          <w:lang w:val="en-US"/>
        </w:rPr>
        <w:tab/>
      </w:r>
      <w:r>
        <w:rPr>
          <w:rStyle w:val="8"/>
          <w:rFonts w:hint="eastAsia"/>
          <w:color w:val="auto"/>
          <w:u w:val="none"/>
          <w:lang w:val="en-US" w:eastAsia="zh-CN"/>
        </w:rPr>
        <w:t>6</w:t>
      </w:r>
      <w:r>
        <w:rPr>
          <w:lang w:val="en-US"/>
        </w:rPr>
        <w:fldChar w:fldCharType="end"/>
      </w:r>
    </w:p>
    <w:p>
      <w:pPr>
        <w:pStyle w:val="4"/>
        <w:widowControl/>
        <w:rPr>
          <w:lang w:val="en-US"/>
        </w:rPr>
      </w:pPr>
      <w:r>
        <w:rPr>
          <w:lang w:val="en-US"/>
        </w:rPr>
        <w:fldChar w:fldCharType="begin"/>
      </w:r>
      <w:r>
        <w:rPr>
          <w:lang w:val="en-US"/>
        </w:rPr>
        <w:instrText xml:space="preserve"> HYPERLINK "file:///C:/Users/LENOVO/Desktop/2022部门预算.doc" \l "_Toc13512" </w:instrText>
      </w:r>
      <w:r>
        <w:rPr>
          <w:lang w:val="en-US"/>
        </w:rPr>
        <w:fldChar w:fldCharType="separate"/>
      </w:r>
      <w:r>
        <w:rPr>
          <w:rStyle w:val="8"/>
          <w:color w:val="auto"/>
          <w:u w:val="none"/>
          <w:lang w:val="en-US"/>
        </w:rPr>
        <w:t>四、财政拨款收支预算情况说明</w:t>
      </w:r>
      <w:r>
        <w:rPr>
          <w:rStyle w:val="8"/>
          <w:color w:val="auto"/>
          <w:u w:val="none"/>
          <w:lang w:val="en-US"/>
        </w:rPr>
        <w:tab/>
      </w:r>
      <w:r>
        <w:rPr>
          <w:rStyle w:val="8"/>
          <w:rFonts w:hint="eastAsia"/>
          <w:color w:val="auto"/>
          <w:u w:val="none"/>
          <w:lang w:val="en-US" w:eastAsia="zh-CN"/>
        </w:rPr>
        <w:t>6</w:t>
      </w:r>
      <w:r>
        <w:rPr>
          <w:lang w:val="en-US"/>
        </w:rPr>
        <w:fldChar w:fldCharType="end"/>
      </w:r>
    </w:p>
    <w:p>
      <w:pPr>
        <w:pStyle w:val="4"/>
        <w:widowControl/>
        <w:rPr>
          <w:lang w:val="en-US"/>
        </w:rPr>
      </w:pPr>
      <w:r>
        <w:rPr>
          <w:lang w:val="en-US"/>
        </w:rPr>
        <w:fldChar w:fldCharType="begin"/>
      </w:r>
      <w:r>
        <w:rPr>
          <w:lang w:val="en-US"/>
        </w:rPr>
        <w:instrText xml:space="preserve"> HYPERLINK "file:///C:/Users/LENOVO/Desktop/2022部门预算.doc" \l "_Toc12371" </w:instrText>
      </w:r>
      <w:r>
        <w:rPr>
          <w:lang w:val="en-US"/>
        </w:rPr>
        <w:fldChar w:fldCharType="separate"/>
      </w:r>
      <w:r>
        <w:rPr>
          <w:rStyle w:val="8"/>
          <w:color w:val="auto"/>
          <w:u w:val="none"/>
          <w:lang w:val="en-US"/>
        </w:rPr>
        <w:t>五、一般公共预算当年财政拨款情况说明</w:t>
      </w:r>
      <w:r>
        <w:rPr>
          <w:rStyle w:val="8"/>
          <w:color w:val="auto"/>
          <w:u w:val="none"/>
          <w:lang w:val="en-US"/>
        </w:rPr>
        <w:tab/>
      </w:r>
      <w:r>
        <w:rPr>
          <w:rStyle w:val="8"/>
          <w:rFonts w:hint="eastAsia"/>
          <w:color w:val="auto"/>
          <w:u w:val="none"/>
          <w:lang w:val="en-US" w:eastAsia="zh-CN"/>
        </w:rPr>
        <w:t>7</w:t>
      </w:r>
      <w:r>
        <w:rPr>
          <w:lang w:val="en-US"/>
        </w:rPr>
        <w:fldChar w:fldCharType="end"/>
      </w:r>
    </w:p>
    <w:p>
      <w:pPr>
        <w:pStyle w:val="4"/>
        <w:widowControl/>
        <w:rPr>
          <w:lang w:val="en-US"/>
        </w:rPr>
      </w:pPr>
      <w:r>
        <w:rPr>
          <w:lang w:val="en-US"/>
        </w:rPr>
        <w:fldChar w:fldCharType="begin"/>
      </w:r>
      <w:r>
        <w:rPr>
          <w:lang w:val="en-US"/>
        </w:rPr>
        <w:instrText xml:space="preserve"> HYPERLINK "file:///C:/Users/LENOVO/Desktop/2022部门预算.doc" \l "_Toc26556" </w:instrText>
      </w:r>
      <w:r>
        <w:rPr>
          <w:lang w:val="en-US"/>
        </w:rPr>
        <w:fldChar w:fldCharType="separate"/>
      </w:r>
      <w:r>
        <w:rPr>
          <w:rStyle w:val="8"/>
          <w:color w:val="auto"/>
          <w:u w:val="none"/>
          <w:lang w:val="en-US"/>
        </w:rPr>
        <w:t>（一）一般公共预算当年拨款规模</w:t>
      </w:r>
      <w:r>
        <w:rPr>
          <w:rStyle w:val="8"/>
          <w:rFonts w:hint="eastAsia"/>
          <w:color w:val="auto"/>
          <w:u w:val="none"/>
          <w:lang w:val="en-US" w:eastAsia="zh-CN"/>
        </w:rPr>
        <w:t>变化</w:t>
      </w:r>
      <w:r>
        <w:rPr>
          <w:rStyle w:val="8"/>
          <w:color w:val="auto"/>
          <w:u w:val="none"/>
          <w:lang w:val="en-US"/>
        </w:rPr>
        <w:t>情况</w:t>
      </w:r>
      <w:r>
        <w:rPr>
          <w:rStyle w:val="8"/>
          <w:color w:val="auto"/>
          <w:u w:val="none"/>
          <w:lang w:val="en-US"/>
        </w:rPr>
        <w:tab/>
      </w:r>
      <w:r>
        <w:rPr>
          <w:rStyle w:val="8"/>
          <w:rFonts w:hint="eastAsia"/>
          <w:color w:val="auto"/>
          <w:u w:val="none"/>
          <w:lang w:val="en-US" w:eastAsia="zh-CN"/>
        </w:rPr>
        <w:t>7</w:t>
      </w:r>
      <w:r>
        <w:rPr>
          <w:lang w:val="en-US"/>
        </w:rPr>
        <w:fldChar w:fldCharType="end"/>
      </w:r>
    </w:p>
    <w:p>
      <w:pPr>
        <w:pStyle w:val="4"/>
        <w:widowControl/>
        <w:rPr>
          <w:lang w:val="en-US"/>
        </w:rPr>
      </w:pPr>
      <w:r>
        <w:rPr>
          <w:lang w:val="en-US"/>
        </w:rPr>
        <w:fldChar w:fldCharType="begin"/>
      </w:r>
      <w:r>
        <w:rPr>
          <w:lang w:val="en-US"/>
        </w:rPr>
        <w:instrText xml:space="preserve"> HYPERLINK "file:///C:/Users/LENOVO/Desktop/2022部门预算.doc" \l "_Toc26556" </w:instrText>
      </w:r>
      <w:r>
        <w:rPr>
          <w:lang w:val="en-US"/>
        </w:rPr>
        <w:fldChar w:fldCharType="separate"/>
      </w:r>
      <w:r>
        <w:rPr>
          <w:rStyle w:val="8"/>
          <w:color w:val="auto"/>
          <w:u w:val="none"/>
          <w:lang w:val="en-US"/>
        </w:rPr>
        <w:t>（二）一般公共预算当年拨款结构情况</w:t>
      </w:r>
      <w:r>
        <w:rPr>
          <w:rStyle w:val="8"/>
          <w:color w:val="auto"/>
          <w:u w:val="none"/>
          <w:lang w:val="en-US"/>
        </w:rPr>
        <w:tab/>
      </w:r>
      <w:r>
        <w:rPr>
          <w:rStyle w:val="8"/>
          <w:rFonts w:hint="eastAsia"/>
          <w:color w:val="auto"/>
          <w:u w:val="none"/>
          <w:lang w:val="en-US" w:eastAsia="zh-CN"/>
        </w:rPr>
        <w:t>7</w:t>
      </w:r>
      <w:r>
        <w:rPr>
          <w:lang w:val="en-US"/>
        </w:rPr>
        <w:fldChar w:fldCharType="end"/>
      </w:r>
    </w:p>
    <w:p>
      <w:pPr>
        <w:pStyle w:val="4"/>
        <w:widowControl/>
        <w:rPr>
          <w:lang w:val="en-US"/>
        </w:rPr>
      </w:pPr>
      <w:r>
        <w:rPr>
          <w:lang w:val="en-US"/>
        </w:rPr>
        <w:fldChar w:fldCharType="begin"/>
      </w:r>
      <w:r>
        <w:rPr>
          <w:lang w:val="en-US"/>
        </w:rPr>
        <w:instrText xml:space="preserve"> HYPERLINK "file:///C:/Users/LENOVO/Desktop/2022部门预算.doc" \l "_Toc26556" </w:instrText>
      </w:r>
      <w:r>
        <w:rPr>
          <w:lang w:val="en-US"/>
        </w:rPr>
        <w:fldChar w:fldCharType="separate"/>
      </w:r>
      <w:r>
        <w:rPr>
          <w:rStyle w:val="8"/>
          <w:color w:val="auto"/>
          <w:u w:val="none"/>
          <w:lang w:val="en-US"/>
        </w:rPr>
        <w:t>（三）一般公共预算当年拨款具体使用情况</w:t>
      </w:r>
      <w:r>
        <w:rPr>
          <w:rStyle w:val="8"/>
          <w:color w:val="auto"/>
          <w:u w:val="none"/>
          <w:lang w:val="en-US"/>
        </w:rPr>
        <w:tab/>
      </w:r>
      <w:r>
        <w:rPr>
          <w:rStyle w:val="8"/>
          <w:rFonts w:hint="eastAsia"/>
          <w:color w:val="auto"/>
          <w:u w:val="none"/>
          <w:lang w:val="en-US" w:eastAsia="zh-CN"/>
        </w:rPr>
        <w:t>7</w:t>
      </w:r>
      <w:r>
        <w:rPr>
          <w:lang w:val="en-US"/>
        </w:rPr>
        <w:fldChar w:fldCharType="end"/>
      </w:r>
    </w:p>
    <w:p>
      <w:pPr>
        <w:pStyle w:val="4"/>
        <w:widowControl/>
        <w:rPr>
          <w:lang w:val="en-US"/>
        </w:rPr>
      </w:pPr>
      <w:r>
        <w:rPr>
          <w:lang w:val="en-US"/>
        </w:rPr>
        <w:fldChar w:fldCharType="begin"/>
      </w:r>
      <w:r>
        <w:rPr>
          <w:lang w:val="en-US"/>
        </w:rPr>
        <w:instrText xml:space="preserve"> HYPERLINK "file:///C:/Users/LENOVO/Desktop/2022部门预算.doc" \l "_Toc26556" </w:instrText>
      </w:r>
      <w:r>
        <w:rPr>
          <w:lang w:val="en-US"/>
        </w:rPr>
        <w:fldChar w:fldCharType="separate"/>
      </w:r>
      <w:r>
        <w:rPr>
          <w:rStyle w:val="8"/>
          <w:color w:val="auto"/>
          <w:u w:val="none"/>
          <w:lang w:val="en-US"/>
        </w:rPr>
        <w:t>六、一般公共预算基本支出情况说明</w:t>
      </w:r>
      <w:r>
        <w:rPr>
          <w:rStyle w:val="8"/>
          <w:color w:val="auto"/>
          <w:u w:val="none"/>
          <w:lang w:val="en-US"/>
        </w:rPr>
        <w:tab/>
      </w:r>
      <w:r>
        <w:rPr>
          <w:rStyle w:val="8"/>
          <w:color w:val="auto"/>
          <w:u w:val="none"/>
          <w:lang w:val="en-US"/>
        </w:rPr>
        <w:t>9</w:t>
      </w:r>
      <w:r>
        <w:rPr>
          <w:lang w:val="en-US"/>
        </w:rPr>
        <w:fldChar w:fldCharType="end"/>
      </w:r>
    </w:p>
    <w:p>
      <w:pPr>
        <w:pStyle w:val="4"/>
        <w:widowControl/>
        <w:rPr>
          <w:rFonts w:hint="eastAsia" w:eastAsia="仿宋"/>
          <w:lang w:val="en-US" w:eastAsia="zh-CN"/>
        </w:rPr>
      </w:pPr>
      <w:r>
        <w:rPr>
          <w:lang w:val="en-US"/>
        </w:rPr>
        <w:fldChar w:fldCharType="begin"/>
      </w:r>
      <w:r>
        <w:rPr>
          <w:lang w:val="en-US"/>
        </w:rPr>
        <w:instrText xml:space="preserve"> HYPERLINK "file:///C:/Users/LENOVO/Desktop/2022部门预算.doc" \l "_Toc26556" </w:instrText>
      </w:r>
      <w:r>
        <w:rPr>
          <w:lang w:val="en-US"/>
        </w:rPr>
        <w:fldChar w:fldCharType="separate"/>
      </w:r>
      <w:r>
        <w:rPr>
          <w:rStyle w:val="8"/>
          <w:color w:val="auto"/>
          <w:u w:val="none"/>
          <w:lang w:val="en-US"/>
        </w:rPr>
        <w:t>七、“三公”经费财政拨款预算安排情况说明</w:t>
      </w:r>
      <w:r>
        <w:rPr>
          <w:rStyle w:val="8"/>
          <w:color w:val="auto"/>
          <w:u w:val="none"/>
          <w:lang w:val="en-US"/>
        </w:rPr>
        <w:tab/>
      </w:r>
      <w:r>
        <w:rPr>
          <w:rStyle w:val="8"/>
          <w:rFonts w:hint="eastAsia"/>
          <w:color w:val="auto"/>
          <w:u w:val="none"/>
          <w:lang w:val="en-US" w:eastAsia="zh-CN"/>
        </w:rPr>
        <w:t>1</w:t>
      </w:r>
      <w:r>
        <w:rPr>
          <w:lang w:val="en-US"/>
        </w:rPr>
        <w:fldChar w:fldCharType="end"/>
      </w:r>
      <w:r>
        <w:rPr>
          <w:rFonts w:hint="eastAsia"/>
          <w:lang w:val="en-US" w:eastAsia="zh-CN"/>
        </w:rPr>
        <w:t>0</w:t>
      </w:r>
    </w:p>
    <w:p>
      <w:pPr>
        <w:pStyle w:val="4"/>
        <w:widowControl/>
        <w:rPr>
          <w:rFonts w:hint="eastAsia" w:eastAsia="仿宋"/>
          <w:lang w:val="en-US" w:eastAsia="zh-CN"/>
        </w:rPr>
      </w:pPr>
      <w:r>
        <w:rPr>
          <w:lang w:val="en-US"/>
        </w:rPr>
        <w:fldChar w:fldCharType="begin"/>
      </w:r>
      <w:r>
        <w:rPr>
          <w:lang w:val="en-US"/>
        </w:rPr>
        <w:instrText xml:space="preserve"> HYPERLINK "file:///C:/Users/LENOVO/Desktop/2022部门预算.doc" \l "_Toc6872" </w:instrText>
      </w:r>
      <w:r>
        <w:rPr>
          <w:lang w:val="en-US"/>
        </w:rPr>
        <w:fldChar w:fldCharType="separate"/>
      </w:r>
      <w:r>
        <w:rPr>
          <w:rStyle w:val="8"/>
          <w:color w:val="auto"/>
          <w:u w:val="none"/>
          <w:lang w:val="en-US"/>
        </w:rPr>
        <w:t>（一）“三公”经费财政拨款支出预算总体情况说明</w:t>
      </w:r>
      <w:r>
        <w:rPr>
          <w:rStyle w:val="8"/>
          <w:color w:val="auto"/>
          <w:u w:val="none"/>
          <w:lang w:val="en-US"/>
        </w:rPr>
        <w:tab/>
      </w:r>
      <w:r>
        <w:rPr>
          <w:rStyle w:val="8"/>
          <w:rFonts w:hint="eastAsia"/>
          <w:color w:val="auto"/>
          <w:u w:val="none"/>
          <w:lang w:val="en-US" w:eastAsia="zh-CN"/>
        </w:rPr>
        <w:t>1</w:t>
      </w:r>
      <w:r>
        <w:rPr>
          <w:lang w:val="en-US"/>
        </w:rPr>
        <w:fldChar w:fldCharType="end"/>
      </w:r>
      <w:r>
        <w:rPr>
          <w:rFonts w:hint="eastAsia"/>
          <w:lang w:val="en-US" w:eastAsia="zh-CN"/>
        </w:rPr>
        <w:t>0</w:t>
      </w:r>
    </w:p>
    <w:p>
      <w:pPr>
        <w:pStyle w:val="4"/>
        <w:widowControl/>
        <w:rPr>
          <w:rFonts w:hint="eastAsia" w:eastAsia="仿宋"/>
          <w:lang w:val="en-US" w:eastAsia="zh-CN"/>
        </w:rPr>
      </w:pPr>
      <w:r>
        <w:rPr>
          <w:lang w:val="en-US"/>
        </w:rPr>
        <w:fldChar w:fldCharType="begin"/>
      </w:r>
      <w:r>
        <w:rPr>
          <w:lang w:val="en-US"/>
        </w:rPr>
        <w:instrText xml:space="preserve"> HYPERLINK "file:///C:/Users/LENOVO/Desktop/2022部门预算.doc" \l "_Toc2762" </w:instrText>
      </w:r>
      <w:r>
        <w:rPr>
          <w:lang w:val="en-US"/>
        </w:rPr>
        <w:fldChar w:fldCharType="separate"/>
      </w:r>
      <w:r>
        <w:rPr>
          <w:rStyle w:val="8"/>
          <w:color w:val="auto"/>
          <w:u w:val="none"/>
          <w:lang w:val="en-US"/>
        </w:rPr>
        <w:t>（二）“三公”经费财政拨款支出预算具体情况说明</w:t>
      </w:r>
      <w:r>
        <w:rPr>
          <w:rStyle w:val="8"/>
          <w:color w:val="auto"/>
          <w:u w:val="none"/>
          <w:lang w:val="en-US"/>
        </w:rPr>
        <w:tab/>
      </w:r>
      <w:r>
        <w:rPr>
          <w:rStyle w:val="8"/>
          <w:rFonts w:hint="eastAsia"/>
          <w:color w:val="auto"/>
          <w:u w:val="none"/>
          <w:lang w:val="en-US" w:eastAsia="zh-CN"/>
        </w:rPr>
        <w:t>1</w:t>
      </w:r>
      <w:r>
        <w:rPr>
          <w:lang w:val="en-US"/>
        </w:rPr>
        <w:fldChar w:fldCharType="end"/>
      </w:r>
      <w:r>
        <w:rPr>
          <w:rFonts w:hint="eastAsia"/>
          <w:lang w:val="en-US" w:eastAsia="zh-CN"/>
        </w:rPr>
        <w:t>1</w:t>
      </w:r>
    </w:p>
    <w:p>
      <w:pPr>
        <w:pStyle w:val="4"/>
        <w:widowControl/>
        <w:rPr>
          <w:rFonts w:hint="eastAsia" w:eastAsia="仿宋"/>
          <w:lang w:val="en-US" w:eastAsia="zh-CN"/>
        </w:rPr>
      </w:pPr>
      <w:r>
        <w:rPr>
          <w:lang w:val="en-US"/>
        </w:rPr>
        <w:fldChar w:fldCharType="begin"/>
      </w:r>
      <w:r>
        <w:rPr>
          <w:lang w:val="en-US"/>
        </w:rPr>
        <w:instrText xml:space="preserve"> HYPERLINK "file:///C:/Users/LENOVO/Desktop/2022部门预算.doc" \l "_Toc26556" </w:instrText>
      </w:r>
      <w:r>
        <w:rPr>
          <w:lang w:val="en-US"/>
        </w:rPr>
        <w:fldChar w:fldCharType="separate"/>
      </w:r>
      <w:r>
        <w:rPr>
          <w:rStyle w:val="8"/>
          <w:color w:val="auto"/>
          <w:u w:val="none"/>
          <w:lang w:val="en-US"/>
        </w:rPr>
        <w:t>八、政府性基金预算财政拨款支出预算情况</w:t>
      </w:r>
      <w:r>
        <w:rPr>
          <w:rStyle w:val="8"/>
          <w:color w:val="auto"/>
          <w:u w:val="none"/>
          <w:lang w:val="en-US"/>
        </w:rPr>
        <w:tab/>
      </w:r>
      <w:r>
        <w:rPr>
          <w:rStyle w:val="8"/>
          <w:color w:val="auto"/>
          <w:u w:val="none"/>
          <w:lang w:val="en-US"/>
        </w:rPr>
        <w:t>1</w:t>
      </w:r>
      <w:r>
        <w:rPr>
          <w:lang w:val="en-US"/>
        </w:rPr>
        <w:fldChar w:fldCharType="end"/>
      </w:r>
      <w:r>
        <w:rPr>
          <w:rFonts w:hint="eastAsia"/>
          <w:lang w:val="en-US" w:eastAsia="zh-CN"/>
        </w:rPr>
        <w:t>1</w:t>
      </w:r>
    </w:p>
    <w:p>
      <w:pPr>
        <w:keepNext w:val="0"/>
        <w:keepLines w:val="0"/>
        <w:widowControl w:val="0"/>
        <w:suppressLineNumbers w:val="0"/>
        <w:spacing w:before="0" w:beforeAutospacing="0" w:after="0" w:afterAutospacing="0"/>
        <w:ind w:left="0" w:right="0"/>
        <w:jc w:val="both"/>
        <w:rPr>
          <w:lang w:val="en-US"/>
        </w:rPr>
      </w:pPr>
    </w:p>
    <w:p>
      <w:pPr>
        <w:pStyle w:val="4"/>
        <w:widowControl/>
        <w:jc w:val="both"/>
        <w:rPr>
          <w:rFonts w:hint="eastAsia" w:eastAsia="仿宋"/>
          <w:lang w:val="en-US" w:eastAsia="zh-CN"/>
        </w:rPr>
      </w:pPr>
      <w:r>
        <w:rPr>
          <w:lang w:val="en-US"/>
        </w:rPr>
        <w:fldChar w:fldCharType="begin"/>
      </w:r>
      <w:r>
        <w:rPr>
          <w:lang w:val="en-US"/>
        </w:rPr>
        <w:instrText xml:space="preserve"> HYPERLINK "file:///C:/Users/LENOVO/Desktop/2022部门预算.doc" \l "_Toc11209" </w:instrText>
      </w:r>
      <w:r>
        <w:rPr>
          <w:lang w:val="en-US"/>
        </w:rPr>
        <w:fldChar w:fldCharType="separate"/>
      </w:r>
      <w:r>
        <w:rPr>
          <w:rStyle w:val="8"/>
          <w:color w:val="auto"/>
          <w:u w:val="none"/>
          <w:lang w:val="en-US"/>
        </w:rPr>
        <w:t>九、其他重要事项的情况说明</w:t>
      </w:r>
      <w:r>
        <w:rPr>
          <w:rStyle w:val="8"/>
          <w:color w:val="auto"/>
          <w:u w:val="none"/>
          <w:lang w:val="en-US"/>
        </w:rPr>
        <w:tab/>
      </w:r>
      <w:r>
        <w:rPr>
          <w:rStyle w:val="8"/>
          <w:color w:val="auto"/>
          <w:u w:val="none"/>
          <w:lang w:val="en-US"/>
        </w:rPr>
        <w:t>1</w:t>
      </w:r>
      <w:r>
        <w:rPr>
          <w:lang w:val="en-US"/>
        </w:rPr>
        <w:fldChar w:fldCharType="end"/>
      </w:r>
      <w:r>
        <w:rPr>
          <w:rFonts w:hint="eastAsia"/>
          <w:lang w:val="en-US" w:eastAsia="zh-CN"/>
        </w:rPr>
        <w:t>1</w:t>
      </w:r>
    </w:p>
    <w:p>
      <w:pPr>
        <w:pStyle w:val="4"/>
        <w:widowControl/>
        <w:rPr>
          <w:rFonts w:hint="eastAsia" w:eastAsia="仿宋"/>
          <w:lang w:val="en-US" w:eastAsia="zh-CN"/>
        </w:rPr>
      </w:pPr>
      <w:r>
        <w:rPr>
          <w:lang w:val="en-US"/>
        </w:rPr>
        <w:fldChar w:fldCharType="begin"/>
      </w:r>
      <w:r>
        <w:rPr>
          <w:lang w:val="en-US"/>
        </w:rPr>
        <w:instrText xml:space="preserve"> HYPERLINK "file:///C:/Users/LENOVO/Desktop/2022部门预算.doc" \l "_Toc4355" </w:instrText>
      </w:r>
      <w:r>
        <w:rPr>
          <w:lang w:val="en-US"/>
        </w:rPr>
        <w:fldChar w:fldCharType="separate"/>
      </w:r>
      <w:r>
        <w:rPr>
          <w:rStyle w:val="8"/>
          <w:color w:val="auto"/>
          <w:u w:val="none"/>
          <w:lang w:val="en-US"/>
        </w:rPr>
        <w:t>（一）机关运行经费支出情况</w:t>
      </w:r>
      <w:r>
        <w:rPr>
          <w:rStyle w:val="8"/>
          <w:color w:val="auto"/>
          <w:u w:val="none"/>
          <w:lang w:val="en-US"/>
        </w:rPr>
        <w:tab/>
      </w:r>
      <w:r>
        <w:rPr>
          <w:rStyle w:val="8"/>
          <w:color w:val="auto"/>
          <w:u w:val="none"/>
          <w:lang w:val="en-US"/>
        </w:rPr>
        <w:t>1</w:t>
      </w:r>
      <w:r>
        <w:rPr>
          <w:lang w:val="en-US"/>
        </w:rPr>
        <w:fldChar w:fldCharType="end"/>
      </w:r>
      <w:r>
        <w:rPr>
          <w:rFonts w:hint="eastAsia"/>
          <w:lang w:val="en-US" w:eastAsia="zh-CN"/>
        </w:rPr>
        <w:t>1</w:t>
      </w:r>
    </w:p>
    <w:p>
      <w:pPr>
        <w:pStyle w:val="4"/>
        <w:widowControl/>
        <w:rPr>
          <w:rFonts w:hint="eastAsia" w:eastAsia="仿宋"/>
          <w:lang w:val="en-US" w:eastAsia="zh-CN"/>
        </w:rPr>
      </w:pPr>
      <w:r>
        <w:rPr>
          <w:lang w:val="en-US"/>
        </w:rPr>
        <w:fldChar w:fldCharType="begin"/>
      </w:r>
      <w:r>
        <w:rPr>
          <w:lang w:val="en-US"/>
        </w:rPr>
        <w:instrText xml:space="preserve"> HYPERLINK "file:///C:/Users/LENOVO/Desktop/2022部门预算.doc" \l "_Toc17192" </w:instrText>
      </w:r>
      <w:r>
        <w:rPr>
          <w:lang w:val="en-US"/>
        </w:rPr>
        <w:fldChar w:fldCharType="separate"/>
      </w:r>
      <w:r>
        <w:rPr>
          <w:rStyle w:val="8"/>
          <w:color w:val="auto"/>
          <w:u w:val="none"/>
          <w:lang w:val="en-US"/>
        </w:rPr>
        <w:t>（二）政府采购支出情况</w:t>
      </w:r>
      <w:r>
        <w:rPr>
          <w:rStyle w:val="8"/>
          <w:color w:val="auto"/>
          <w:u w:val="none"/>
          <w:lang w:val="en-US"/>
        </w:rPr>
        <w:tab/>
      </w:r>
      <w:r>
        <w:rPr>
          <w:rStyle w:val="8"/>
          <w:color w:val="auto"/>
          <w:u w:val="none"/>
          <w:lang w:val="en-US"/>
        </w:rPr>
        <w:t>1</w:t>
      </w:r>
      <w:r>
        <w:rPr>
          <w:lang w:val="en-US"/>
        </w:rPr>
        <w:fldChar w:fldCharType="end"/>
      </w:r>
      <w:r>
        <w:rPr>
          <w:rFonts w:hint="eastAsia"/>
          <w:lang w:val="en-US" w:eastAsia="zh-CN"/>
        </w:rPr>
        <w:t>1</w:t>
      </w:r>
    </w:p>
    <w:p>
      <w:pPr>
        <w:pStyle w:val="4"/>
        <w:widowControl/>
        <w:rPr>
          <w:rFonts w:hint="eastAsia" w:eastAsia="仿宋"/>
          <w:lang w:val="en-US" w:eastAsia="zh-CN"/>
        </w:rPr>
      </w:pPr>
      <w:r>
        <w:rPr>
          <w:lang w:val="en-US"/>
        </w:rPr>
        <w:fldChar w:fldCharType="begin"/>
      </w:r>
      <w:r>
        <w:rPr>
          <w:lang w:val="en-US"/>
        </w:rPr>
        <w:instrText xml:space="preserve"> HYPERLINK "file:///C:/Users/LENOVO/Desktop/2022部门预算.doc" \l "_Toc8299" </w:instrText>
      </w:r>
      <w:r>
        <w:rPr>
          <w:lang w:val="en-US"/>
        </w:rPr>
        <w:fldChar w:fldCharType="separate"/>
      </w:r>
      <w:r>
        <w:rPr>
          <w:rStyle w:val="8"/>
          <w:color w:val="auto"/>
          <w:u w:val="none"/>
          <w:lang w:val="en-US"/>
        </w:rPr>
        <w:t>（三）国有资产占有使用情况</w:t>
      </w:r>
      <w:r>
        <w:rPr>
          <w:rStyle w:val="8"/>
          <w:color w:val="auto"/>
          <w:u w:val="none"/>
          <w:lang w:val="en-US"/>
        </w:rPr>
        <w:tab/>
      </w:r>
      <w:r>
        <w:rPr>
          <w:rStyle w:val="8"/>
          <w:color w:val="auto"/>
          <w:u w:val="none"/>
          <w:lang w:val="en-US"/>
        </w:rPr>
        <w:t>1</w:t>
      </w:r>
      <w:r>
        <w:rPr>
          <w:lang w:val="en-US"/>
        </w:rPr>
        <w:fldChar w:fldCharType="end"/>
      </w:r>
      <w:r>
        <w:rPr>
          <w:rFonts w:hint="eastAsia"/>
          <w:lang w:val="en-US" w:eastAsia="zh-CN"/>
        </w:rPr>
        <w:t>1</w:t>
      </w:r>
    </w:p>
    <w:p>
      <w:pPr>
        <w:pStyle w:val="4"/>
        <w:widowControl/>
        <w:rPr>
          <w:rFonts w:hint="eastAsia" w:eastAsia="仿宋"/>
          <w:lang w:val="en-US" w:eastAsia="zh-CN"/>
        </w:rPr>
      </w:pPr>
      <w:r>
        <w:rPr>
          <w:lang w:val="en-US"/>
        </w:rPr>
        <w:fldChar w:fldCharType="begin"/>
      </w:r>
      <w:r>
        <w:rPr>
          <w:lang w:val="en-US"/>
        </w:rPr>
        <w:instrText xml:space="preserve"> HYPERLINK "file:///C:/Users/LENOVO/Desktop/2022部门预算.doc" \l "_Toc8700" </w:instrText>
      </w:r>
      <w:r>
        <w:rPr>
          <w:lang w:val="en-US"/>
        </w:rPr>
        <w:fldChar w:fldCharType="separate"/>
      </w:r>
      <w:r>
        <w:rPr>
          <w:rStyle w:val="8"/>
          <w:color w:val="auto"/>
          <w:u w:val="none"/>
          <w:lang w:val="en-US"/>
        </w:rPr>
        <w:t>（四）预算绩效</w:t>
      </w:r>
      <w:r>
        <w:rPr>
          <w:rStyle w:val="8"/>
          <w:rFonts w:hint="eastAsia"/>
          <w:color w:val="auto"/>
          <w:u w:val="none"/>
          <w:lang w:val="en-US" w:eastAsia="zh-CN"/>
        </w:rPr>
        <w:t>目标设置</w:t>
      </w:r>
      <w:r>
        <w:rPr>
          <w:rStyle w:val="8"/>
          <w:color w:val="auto"/>
          <w:u w:val="none"/>
          <w:lang w:val="en-US"/>
        </w:rPr>
        <w:t>情况</w:t>
      </w:r>
      <w:r>
        <w:rPr>
          <w:rStyle w:val="8"/>
          <w:color w:val="auto"/>
          <w:u w:val="none"/>
          <w:lang w:val="en-US"/>
        </w:rPr>
        <w:tab/>
      </w:r>
      <w:r>
        <w:rPr>
          <w:rStyle w:val="8"/>
          <w:color w:val="auto"/>
          <w:u w:val="none"/>
          <w:lang w:val="en-US"/>
        </w:rPr>
        <w:t>1</w:t>
      </w:r>
      <w:r>
        <w:rPr>
          <w:lang w:val="en-US"/>
        </w:rPr>
        <w:fldChar w:fldCharType="end"/>
      </w:r>
      <w:r>
        <w:rPr>
          <w:rFonts w:hint="eastAsia"/>
          <w:lang w:val="en-US" w:eastAsia="zh-CN"/>
        </w:rPr>
        <w:t>2</w:t>
      </w:r>
    </w:p>
    <w:p>
      <w:pPr>
        <w:pStyle w:val="4"/>
        <w:widowControl/>
        <w:rPr>
          <w:rFonts w:hint="eastAsia" w:eastAsia="仿宋"/>
          <w:lang w:val="en-US" w:eastAsia="zh-CN"/>
        </w:rPr>
      </w:pPr>
      <w:r>
        <w:rPr>
          <w:lang w:val="en-US"/>
        </w:rPr>
        <w:fldChar w:fldCharType="begin"/>
      </w:r>
      <w:r>
        <w:rPr>
          <w:lang w:val="en-US"/>
        </w:rPr>
        <w:instrText xml:space="preserve"> HYPERLINK "file:///C:/Users/LENOVO/Desktop/2022部门预算.doc" \l "_Toc29051" </w:instrText>
      </w:r>
      <w:r>
        <w:rPr>
          <w:lang w:val="en-US"/>
        </w:rPr>
        <w:fldChar w:fldCharType="separate"/>
      </w:r>
      <w:r>
        <w:rPr>
          <w:rStyle w:val="8"/>
          <w:color w:val="auto"/>
          <w:u w:val="none"/>
          <w:lang w:val="en-US"/>
        </w:rPr>
        <w:t>十、名词解释</w:t>
      </w:r>
      <w:r>
        <w:rPr>
          <w:rStyle w:val="8"/>
          <w:color w:val="auto"/>
          <w:u w:val="none"/>
          <w:lang w:val="en-US"/>
        </w:rPr>
        <w:tab/>
      </w:r>
      <w:r>
        <w:rPr>
          <w:rStyle w:val="8"/>
          <w:color w:val="auto"/>
          <w:u w:val="none"/>
          <w:lang w:val="en-US"/>
        </w:rPr>
        <w:t>1</w:t>
      </w:r>
      <w:r>
        <w:rPr>
          <w:lang w:val="en-US"/>
        </w:rPr>
        <w:fldChar w:fldCharType="end"/>
      </w:r>
      <w:r>
        <w:rPr>
          <w:rFonts w:hint="eastAsia"/>
          <w:lang w:val="en-US" w:eastAsia="zh-CN"/>
        </w:rPr>
        <w:t>2</w:t>
      </w:r>
    </w:p>
    <w:p>
      <w:pPr>
        <w:keepNext w:val="0"/>
        <w:keepLines w:val="0"/>
        <w:widowControl w:val="0"/>
        <w:suppressLineNumbers w:val="0"/>
        <w:spacing w:before="0" w:beforeAutospacing="0" w:after="0" w:afterAutospacing="0" w:line="600" w:lineRule="exact"/>
        <w:ind w:left="0" w:right="0"/>
        <w:jc w:val="center"/>
        <w:rPr>
          <w:lang w:val="en-US"/>
        </w:rPr>
      </w:pPr>
      <w:r>
        <w:rPr>
          <w:rFonts w:hint="default" w:ascii="MT Extra" w:hAnsi="MT Extra" w:eastAsia="宋体" w:cs="MT Extra"/>
          <w:kern w:val="2"/>
          <w:sz w:val="21"/>
          <w:szCs w:val="24"/>
          <w:lang w:val="en-US" w:eastAsia="zh-CN" w:bidi="ar"/>
        </w:rPr>
        <w:fldChar w:fldCharType="end"/>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sz w:val="40"/>
          <w:szCs w:val="40"/>
          <w:lang w:val="en-US"/>
        </w:rPr>
      </w:pP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sz w:val="40"/>
          <w:szCs w:val="40"/>
          <w:lang w:val="en-US"/>
        </w:rPr>
      </w:pP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sz w:val="40"/>
          <w:szCs w:val="40"/>
          <w:lang w:val="en-US"/>
        </w:rPr>
      </w:pP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sz w:val="40"/>
          <w:szCs w:val="40"/>
          <w:lang w:val="en-US"/>
        </w:rPr>
      </w:pP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sz w:val="40"/>
          <w:szCs w:val="40"/>
          <w:lang w:val="en-US"/>
        </w:rPr>
      </w:pP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sz w:val="40"/>
          <w:szCs w:val="40"/>
          <w:lang w:val="en-US"/>
        </w:rPr>
      </w:pP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sz w:val="40"/>
          <w:szCs w:val="40"/>
          <w:lang w:val="en-US"/>
        </w:rPr>
      </w:pP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sz w:val="40"/>
          <w:szCs w:val="40"/>
          <w:lang w:val="en-US"/>
        </w:rPr>
      </w:pP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sz w:val="40"/>
          <w:szCs w:val="40"/>
          <w:lang w:val="en-US"/>
        </w:rPr>
      </w:pP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sz w:val="40"/>
          <w:szCs w:val="40"/>
          <w:lang w:val="en-US"/>
        </w:rPr>
      </w:pP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sz w:val="40"/>
          <w:szCs w:val="40"/>
          <w:lang w:val="en-US"/>
        </w:rPr>
      </w:pP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sz w:val="40"/>
          <w:szCs w:val="40"/>
          <w:lang w:val="en-US"/>
        </w:rPr>
      </w:pPr>
    </w:p>
    <w:p>
      <w:pPr>
        <w:keepNext w:val="0"/>
        <w:keepLines w:val="0"/>
        <w:widowControl w:val="0"/>
        <w:suppressLineNumbers w:val="0"/>
        <w:spacing w:before="0" w:beforeAutospacing="0" w:after="0" w:afterAutospacing="0"/>
        <w:ind w:left="0" w:right="0"/>
        <w:jc w:val="both"/>
        <w:rPr>
          <w:rFonts w:hint="eastAsia" w:ascii="方正小标宋简体" w:hAnsi="方正小标宋简体" w:eastAsia="方正小标宋简体" w:cs="方正小标宋简体"/>
          <w:sz w:val="40"/>
          <w:szCs w:val="40"/>
          <w:lang w:val="en-US"/>
        </w:rPr>
      </w:pP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40"/>
          <w:szCs w:val="40"/>
          <w:lang w:val="en-US" w:eastAsia="zh-CN" w:bidi="ar"/>
        </w:rPr>
      </w:pPr>
    </w:p>
    <w:p>
      <w:pPr>
        <w:keepNext w:val="0"/>
        <w:keepLines w:val="0"/>
        <w:widowControl/>
        <w:suppressLineNumbers w:val="0"/>
        <w:spacing w:before="0" w:beforeAutospacing="0" w:after="0" w:afterAutospacing="0"/>
        <w:ind w:left="0" w:right="0"/>
        <w:jc w:val="both"/>
        <w:rPr>
          <w:kern w:val="0"/>
          <w:lang w:val="en-US"/>
        </w:rPr>
      </w:pP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kern w:val="2"/>
          <w:sz w:val="44"/>
          <w:szCs w:val="44"/>
          <w:lang w:val="en-US" w:eastAsia="zh-CN" w:bidi="ar"/>
        </w:rPr>
      </w:pPr>
      <w:r>
        <w:rPr>
          <w:rFonts w:hint="eastAsia" w:ascii="方正小标宋简体" w:hAnsi="方正小标宋简体" w:eastAsia="方正小标宋简体" w:cs="方正小标宋简体"/>
          <w:kern w:val="2"/>
          <w:sz w:val="44"/>
          <w:szCs w:val="44"/>
          <w:lang w:val="en-US" w:eastAsia="zh-CN" w:bidi="ar"/>
        </w:rPr>
        <w:t>金川县医疗保障局</w:t>
      </w:r>
    </w:p>
    <w:p>
      <w:pPr>
        <w:keepNext w:val="0"/>
        <w:keepLines w:val="0"/>
        <w:widowControl w:val="0"/>
        <w:suppressLineNumbers w:val="0"/>
        <w:spacing w:before="0" w:beforeAutospacing="0" w:after="0" w:afterAutospacing="0"/>
        <w:ind w:left="0" w:right="0"/>
        <w:jc w:val="center"/>
        <w:rPr>
          <w:rFonts w:hint="default" w:ascii="方正小标宋简体" w:hAnsi="方正小标宋简体" w:eastAsia="方正小标宋简体" w:cs="方正小标宋简体"/>
          <w:kern w:val="2"/>
          <w:sz w:val="44"/>
          <w:szCs w:val="44"/>
          <w:lang w:val="en-US" w:eastAsia="zh-CN" w:bidi="ar"/>
        </w:rPr>
      </w:pPr>
      <w:r>
        <w:rPr>
          <w:rFonts w:hint="eastAsia" w:ascii="方正小标宋简体" w:hAnsi="方正小标宋简体" w:eastAsia="方正小标宋简体" w:cs="方正小标宋简体"/>
          <w:kern w:val="2"/>
          <w:sz w:val="44"/>
          <w:szCs w:val="44"/>
          <w:lang w:val="en-US" w:eastAsia="zh-CN" w:bidi="ar"/>
        </w:rPr>
        <w:t>2022年部门预算编制说明</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b/>
          <w:bCs/>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kern w:val="2"/>
          <w:sz w:val="32"/>
          <w:szCs w:val="32"/>
          <w:lang w:val="en-US" w:eastAsia="zh-CN" w:bidi="ar"/>
        </w:rPr>
        <w:t>一、基本职能及主要工作</w:t>
      </w:r>
    </w:p>
    <w:p>
      <w:pPr>
        <w:keepNext w:val="0"/>
        <w:keepLines w:val="0"/>
        <w:widowControl w:val="0"/>
        <w:suppressLineNumbers w:val="0"/>
        <w:spacing w:before="0" w:beforeAutospacing="0" w:after="0" w:afterAutospacing="0"/>
        <w:ind w:left="0" w:right="0"/>
        <w:jc w:val="both"/>
        <w:rPr>
          <w:rFonts w:hint="default" w:ascii="宋体" w:hAnsi="宋体" w:eastAsia="宋体" w:cs="宋体"/>
          <w:b/>
          <w:bCs/>
          <w:sz w:val="32"/>
          <w:szCs w:val="32"/>
          <w:lang w:val="en-US"/>
        </w:rPr>
      </w:pPr>
      <w:r>
        <w:rPr>
          <w:rFonts w:hint="eastAsia" w:ascii="宋体" w:hAnsi="宋体" w:eastAsia="宋体" w:cs="宋体"/>
          <w:kern w:val="2"/>
          <w:sz w:val="32"/>
          <w:szCs w:val="32"/>
          <w:lang w:val="en-US" w:eastAsia="zh-CN" w:bidi="ar"/>
        </w:rPr>
        <w:t xml:space="preserve">　  </w:t>
      </w:r>
      <w:r>
        <w:rPr>
          <w:rFonts w:hint="eastAsia" w:ascii="宋体" w:hAnsi="宋体" w:eastAsia="宋体" w:cs="宋体"/>
          <w:b/>
          <w:bCs/>
          <w:kern w:val="2"/>
          <w:sz w:val="32"/>
          <w:szCs w:val="32"/>
          <w:lang w:val="en-US" w:eastAsia="zh-CN" w:bidi="ar"/>
        </w:rPr>
        <w:t>（一）主要职能简介</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1、负责对参保单位、职工医疗保险政策的宣传和医疗保险业务人员的培训；</w:t>
      </w:r>
    </w:p>
    <w:p>
      <w:pPr>
        <w:keepNext w:val="0"/>
        <w:keepLines w:val="0"/>
        <w:widowControl w:val="0"/>
        <w:suppressLineNumbers w:val="0"/>
        <w:spacing w:before="0" w:beforeAutospacing="0" w:after="0" w:afterAutospacing="0"/>
        <w:ind w:left="0" w:right="0" w:firstLine="640" w:firstLineChars="20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2、负责承办全县党政机关、事业单位、省、州、县企业的医疗保险参保登记、变更登记及参保职工医疗保险转移事项；</w:t>
      </w:r>
    </w:p>
    <w:p>
      <w:pPr>
        <w:keepNext w:val="0"/>
        <w:keepLines w:val="0"/>
        <w:widowControl w:val="0"/>
        <w:suppressLineNumbers w:val="0"/>
        <w:spacing w:before="0" w:beforeAutospacing="0" w:after="0" w:afterAutospacing="0"/>
        <w:ind w:left="0" w:right="0" w:firstLine="640" w:firstLineChars="20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3、负责对各参保单位、灵活就业人员的基础资料进行审核，制定各单位的基金征缴计划，具体征收、管理和支付基本医疗保险基金、大病补充保险基金和公务员医疗补助金；</w:t>
      </w:r>
    </w:p>
    <w:p>
      <w:pPr>
        <w:keepNext w:val="0"/>
        <w:keepLines w:val="0"/>
        <w:widowControl w:val="0"/>
        <w:suppressLineNumbers w:val="0"/>
        <w:spacing w:before="0" w:beforeAutospacing="0" w:after="0" w:afterAutospacing="0"/>
        <w:ind w:left="0" w:right="0" w:firstLine="640" w:firstLineChars="20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4、编制医疗保险基金收支预、决算报告，定期对基金收支情况进行分析、预测和内部审计，并向有关部门提供基金运行情况报告；</w:t>
      </w:r>
    </w:p>
    <w:p>
      <w:pPr>
        <w:keepNext w:val="0"/>
        <w:keepLines w:val="0"/>
        <w:widowControl w:val="0"/>
        <w:suppressLineNumbers w:val="0"/>
        <w:spacing w:before="0" w:beforeAutospacing="0" w:after="0" w:afterAutospacing="0"/>
        <w:ind w:left="0" w:right="0" w:firstLine="640" w:firstLineChars="20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5、负责对参保人员建立、管理个人账户及个人账户的结算转移，核拨退休人员的个人账户资金；</w:t>
      </w:r>
    </w:p>
    <w:p>
      <w:pPr>
        <w:keepNext w:val="0"/>
        <w:keepLines w:val="0"/>
        <w:widowControl w:val="0"/>
        <w:suppressLineNumbers w:val="0"/>
        <w:spacing w:before="0" w:beforeAutospacing="0" w:after="0" w:afterAutospacing="0"/>
        <w:ind w:left="0" w:right="0" w:firstLine="640" w:firstLineChars="20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6、配合有关部门审核确定定点医院、定点零售药店资格，签订定点协议，并对</w:t>
      </w:r>
      <w:r>
        <w:rPr>
          <w:rFonts w:hint="eastAsia" w:ascii="宋体" w:hAnsi="宋体" w:eastAsia="宋体" w:cs="宋体"/>
          <w:kern w:val="2"/>
          <w:sz w:val="32"/>
          <w:szCs w:val="32"/>
          <w:highlight w:val="none"/>
          <w:lang w:val="en-US" w:eastAsia="zh-CN" w:bidi="ar"/>
        </w:rPr>
        <w:t>两家</w:t>
      </w:r>
      <w:r>
        <w:rPr>
          <w:rFonts w:hint="eastAsia" w:ascii="宋体" w:hAnsi="宋体" w:eastAsia="宋体" w:cs="宋体"/>
          <w:kern w:val="2"/>
          <w:sz w:val="32"/>
          <w:szCs w:val="32"/>
          <w:lang w:val="en-US" w:eastAsia="zh-CN" w:bidi="ar"/>
        </w:rPr>
        <w:t>医疗机构进行监管；　　</w:t>
      </w:r>
    </w:p>
    <w:p>
      <w:pPr>
        <w:keepNext w:val="0"/>
        <w:keepLines w:val="0"/>
        <w:widowControl w:val="0"/>
        <w:suppressLineNumbers w:val="0"/>
        <w:spacing w:before="0" w:beforeAutospacing="0" w:after="0" w:afterAutospacing="0"/>
        <w:ind w:left="0" w:right="0" w:firstLine="640" w:firstLineChars="20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7、负责参保人员各项医疗保险待遇的审核和医疗费用支付工作；</w:t>
      </w:r>
    </w:p>
    <w:p>
      <w:pPr>
        <w:keepNext w:val="0"/>
        <w:keepLines w:val="0"/>
        <w:widowControl w:val="0"/>
        <w:suppressLineNumbers w:val="0"/>
        <w:spacing w:before="0" w:beforeAutospacing="0" w:after="0" w:afterAutospacing="0"/>
        <w:ind w:left="0" w:right="0" w:firstLine="640" w:firstLineChars="20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8、开展对参保单位办理参保登记和缴费基数。职工人数、财务状况等的稽核工作；</w:t>
      </w:r>
    </w:p>
    <w:p>
      <w:pPr>
        <w:keepNext w:val="0"/>
        <w:keepLines w:val="0"/>
        <w:widowControl w:val="0"/>
        <w:suppressLineNumbers w:val="0"/>
        <w:spacing w:before="0" w:beforeAutospacing="0" w:after="0" w:afterAutospacing="0"/>
        <w:ind w:left="0" w:right="0" w:firstLine="640" w:firstLineChars="200"/>
        <w:jc w:val="both"/>
        <w:rPr>
          <w:rFonts w:hint="eastAsia" w:ascii="宋体" w:hAnsi="宋体" w:eastAsia="宋体" w:cs="宋体"/>
          <w:kern w:val="2"/>
          <w:sz w:val="32"/>
          <w:szCs w:val="32"/>
          <w:lang w:val="en-US" w:eastAsia="zh-CN" w:bidi="ar"/>
        </w:rPr>
      </w:pPr>
      <w:r>
        <w:rPr>
          <w:rFonts w:hint="eastAsia" w:ascii="宋体" w:hAnsi="宋体" w:eastAsia="宋体" w:cs="宋体"/>
          <w:kern w:val="2"/>
          <w:sz w:val="32"/>
          <w:szCs w:val="32"/>
          <w:lang w:val="en-US" w:eastAsia="zh-CN" w:bidi="ar"/>
        </w:rPr>
        <w:t>9、负责全县机关事业单位和县属企业的老红军、离休干部以及革命伤残军人的医疗费用统筹管理。</w:t>
      </w:r>
    </w:p>
    <w:p>
      <w:pPr>
        <w:keepNext w:val="0"/>
        <w:keepLines w:val="0"/>
        <w:widowControl w:val="0"/>
        <w:suppressLineNumbers w:val="0"/>
        <w:spacing w:before="0" w:beforeAutospacing="0" w:after="0" w:afterAutospacing="0"/>
        <w:ind w:left="0" w:right="0" w:firstLine="643" w:firstLineChars="200"/>
        <w:jc w:val="both"/>
        <w:rPr>
          <w:rFonts w:hint="eastAsia" w:ascii="宋体" w:hAnsi="宋体" w:eastAsia="宋体" w:cs="宋体"/>
          <w:b/>
          <w:bCs/>
          <w:kern w:val="2"/>
          <w:sz w:val="32"/>
          <w:szCs w:val="32"/>
          <w:lang w:val="en-US" w:eastAsia="zh-CN" w:bidi="ar"/>
        </w:rPr>
      </w:pPr>
      <w:r>
        <w:rPr>
          <w:rFonts w:hint="eastAsia" w:ascii="宋体" w:hAnsi="宋体" w:eastAsia="宋体" w:cs="宋体"/>
          <w:b/>
          <w:bCs/>
          <w:kern w:val="2"/>
          <w:sz w:val="32"/>
          <w:szCs w:val="32"/>
          <w:lang w:val="en-US" w:eastAsia="zh-CN" w:bidi="ar"/>
        </w:rPr>
        <w:t>（二）2022年重点工作及完成情况</w:t>
      </w:r>
    </w:p>
    <w:p>
      <w:pPr>
        <w:keepNext w:val="0"/>
        <w:keepLines w:val="0"/>
        <w:widowControl w:val="0"/>
        <w:suppressLineNumbers w:val="0"/>
        <w:spacing w:before="0" w:beforeAutospacing="0" w:after="0" w:afterAutospacing="0"/>
        <w:ind w:left="0" w:right="0" w:firstLine="640" w:firstLineChars="200"/>
        <w:jc w:val="both"/>
        <w:rPr>
          <w:rFonts w:hint="eastAsia" w:ascii="宋体" w:hAnsi="宋体" w:eastAsia="宋体" w:cs="宋体"/>
          <w:kern w:val="2"/>
          <w:sz w:val="32"/>
          <w:szCs w:val="32"/>
          <w:lang w:val="en-US" w:eastAsia="zh-CN" w:bidi="ar"/>
        </w:rPr>
      </w:pPr>
      <w:r>
        <w:rPr>
          <w:rFonts w:hint="eastAsia" w:ascii="宋体" w:hAnsi="宋体" w:eastAsia="宋体" w:cs="宋体"/>
          <w:kern w:val="2"/>
          <w:sz w:val="32"/>
          <w:szCs w:val="32"/>
          <w:lang w:val="en-US" w:eastAsia="zh-CN" w:bidi="ar"/>
        </w:rPr>
        <w:t>落实了全县职工体检工作。以制度为核心，以监管为重点，确保了基金安全。有条不紊开展稽核工作。加强了医疗保险经办能力、我局继续坚持积极稳妥，收入预算与经济发展相协调；坚持民生优先，继续加大民生投入；坚持厉行节约，努力降低行政成本；坚持改革创新，着力提高财政绩效。全面完成年度各项工作，取得了实效。</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val="0"/>
          <w:kern w:val="2"/>
          <w:sz w:val="32"/>
          <w:szCs w:val="32"/>
          <w:lang w:val="en-US" w:eastAsia="zh-CN" w:bidi="ar"/>
        </w:rPr>
        <w:t>二、部门预算单位构成</w:t>
      </w:r>
    </w:p>
    <w:p>
      <w:pPr>
        <w:keepNext w:val="0"/>
        <w:keepLines w:val="0"/>
        <w:widowControl w:val="0"/>
        <w:suppressLineNumbers w:val="0"/>
        <w:spacing w:before="0" w:beforeAutospacing="0" w:after="0" w:afterAutospacing="0"/>
        <w:ind w:left="0" w:right="0" w:firstLine="57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本部门机构：本部门预算单位 1 个，其中内设机构2个中心，医疗保障事务中心及城乡基本医疗保险服务中心。</w:t>
      </w:r>
    </w:p>
    <w:p>
      <w:pPr>
        <w:keepNext w:val="0"/>
        <w:keepLines w:val="0"/>
        <w:widowControl w:val="0"/>
        <w:suppressLineNumbers w:val="0"/>
        <w:spacing w:before="0" w:beforeAutospacing="0" w:after="0" w:afterAutospacing="0"/>
        <w:ind w:left="0" w:right="0" w:firstLine="57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人员情况：总编制21人</w:t>
      </w:r>
      <w:r>
        <w:rPr>
          <w:rFonts w:hint="eastAsia" w:ascii="宋体" w:hAnsi="宋体" w:eastAsia="宋体" w:cs="宋体"/>
          <w:kern w:val="2"/>
          <w:sz w:val="32"/>
          <w:szCs w:val="32"/>
          <w:highlight w:val="none"/>
          <w:lang w:val="en-US" w:eastAsia="zh-CN" w:bidi="ar"/>
        </w:rPr>
        <w:t>，</w:t>
      </w:r>
      <w:r>
        <w:rPr>
          <w:rFonts w:hint="eastAsia" w:ascii="宋体" w:hAnsi="宋体" w:eastAsia="宋体" w:cs="宋体"/>
          <w:kern w:val="2"/>
          <w:sz w:val="32"/>
          <w:szCs w:val="32"/>
          <w:lang w:val="en-US" w:eastAsia="zh-CN" w:bidi="ar"/>
        </w:rPr>
        <w:t>行政编4人，事业编8人，参公编9人（包含机关工勤1人）；实际在职人数23人，其中：在职公务员4人、参公人员8人 、在职事业人员10人、机关工勤1人。退休人员1人。</w:t>
      </w:r>
    </w:p>
    <w:p>
      <w:pPr>
        <w:keepNext w:val="0"/>
        <w:keepLines w:val="0"/>
        <w:widowControl w:val="0"/>
        <w:suppressLineNumbers w:val="0"/>
        <w:spacing w:before="0" w:beforeAutospacing="0" w:after="0" w:afterAutospacing="0"/>
        <w:ind w:left="0" w:right="0" w:firstLine="320" w:firstLineChars="100"/>
        <w:jc w:val="both"/>
        <w:rPr>
          <w:rFonts w:hint="eastAsia" w:ascii="宋体" w:hAnsi="宋体" w:eastAsia="宋体" w:cs="宋体"/>
          <w:b/>
          <w:bCs w:val="0"/>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val="0"/>
          <w:kern w:val="2"/>
          <w:sz w:val="32"/>
          <w:szCs w:val="32"/>
          <w:lang w:val="en-US" w:eastAsia="zh-CN" w:bidi="ar"/>
        </w:rPr>
        <w:t>三、收支预算情况说明</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按照综合预算的原则，财政厅所有收入和支出均纳入部门预算管理。收入包括：一般公共预算拨款收入、上年结转；支出包括：一般公共服务支出、社会保障和就业支出、医疗卫生支出、社会保险费、住房保障支出等。医保局2022年收支总预算1148.31万元，比2021年收支预算总数减少128.09万元，主要原因是本年度财政对建档立卡贫困户大病商业补充保险不再纳入年初预算及本年体检预算不包含“两年一次”人员（“大三职”、“三老”干部、历任村干部）。</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xml:space="preserve">　 </w:t>
      </w:r>
      <w:r>
        <w:rPr>
          <w:rFonts w:hint="eastAsia" w:ascii="宋体" w:hAnsi="宋体" w:eastAsia="宋体" w:cs="宋体"/>
          <w:b/>
          <w:bCs/>
          <w:kern w:val="2"/>
          <w:sz w:val="32"/>
          <w:szCs w:val="32"/>
          <w:lang w:val="en-US" w:eastAsia="zh-CN" w:bidi="ar"/>
        </w:rPr>
        <w:t xml:space="preserve"> （一）收入预算情况</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医保局2022年收入预算1148.31年结转0万元，占0%；一般公共预算拨款收入1148.31万元，占100%。</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val="0"/>
          <w:kern w:val="2"/>
          <w:sz w:val="32"/>
          <w:szCs w:val="32"/>
          <w:lang w:val="en-US" w:eastAsia="zh-CN" w:bidi="ar"/>
        </w:rPr>
        <w:t>（二）支出预算情况</w:t>
      </w:r>
    </w:p>
    <w:p>
      <w:pPr>
        <w:keepNext w:val="0"/>
        <w:keepLines w:val="0"/>
        <w:widowControl w:val="0"/>
        <w:suppressLineNumbers w:val="0"/>
        <w:spacing w:before="0" w:beforeAutospacing="0" w:after="0" w:afterAutospacing="0"/>
        <w:ind w:left="0" w:right="0" w:firstLine="640" w:firstLineChars="20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医保局2022年支出预算1148.31元，其中：基本支出330.37万元，占28.77%，项目支出817.95万元，占71.23%。</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val="0"/>
          <w:kern w:val="2"/>
          <w:sz w:val="32"/>
          <w:szCs w:val="32"/>
          <w:lang w:val="en-US" w:eastAsia="zh-CN" w:bidi="ar"/>
        </w:rPr>
        <w:t>四、财政拨款收支预算情况说明</w:t>
      </w:r>
    </w:p>
    <w:p>
      <w:pPr>
        <w:keepNext w:val="0"/>
        <w:keepLines w:val="0"/>
        <w:widowControl w:val="0"/>
        <w:suppressLineNumbers w:val="0"/>
        <w:spacing w:before="0" w:beforeAutospacing="0" w:after="0" w:afterAutospacing="0"/>
        <w:ind w:left="0" w:right="0" w:firstLine="57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医保局2022年财政拨款收支总预算1148.31万元，比2021财政拨款收支总额预算减少128.09万元，主要原因是本年度财政对建档立卡贫困户大病商业补充保险不再纳入年初预算及本年体检预算不包含“两年一次”人员（“大三职”、“三老”干部、历任村干部）。</w:t>
      </w:r>
    </w:p>
    <w:p>
      <w:pPr>
        <w:keepNext w:val="0"/>
        <w:keepLines w:val="0"/>
        <w:widowControl w:val="0"/>
        <w:suppressLineNumbers w:val="0"/>
        <w:spacing w:before="0" w:beforeAutospacing="0" w:after="0" w:afterAutospacing="0"/>
        <w:ind w:left="0" w:right="0" w:firstLine="57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收入包括：本年一般公共预算拨款收入1148.31万元、上年结转一般公共预算拨款收入0万元；支出包括</w:t>
      </w:r>
      <w:r>
        <w:rPr>
          <w:rFonts w:hint="eastAsia" w:ascii="宋体" w:hAnsi="宋体" w:eastAsia="宋体" w:cs="宋体"/>
          <w:color w:val="000000"/>
          <w:kern w:val="2"/>
          <w:sz w:val="32"/>
          <w:szCs w:val="32"/>
          <w:lang w:val="en-US" w:eastAsia="zh-CN" w:bidi="ar"/>
        </w:rPr>
        <w:t>：教育支出1.2万元；社会保障和就业支出50.48万元、医疗卫生与计划生育支出1001.23万元、农林水支出70.17万元、住房保障支出25.24万元。</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val="0"/>
          <w:kern w:val="2"/>
          <w:sz w:val="32"/>
          <w:szCs w:val="32"/>
          <w:lang w:val="en-US" w:eastAsia="zh-CN" w:bidi="ar"/>
        </w:rPr>
        <w:t>五、一般公共预算当年拨款情况说明</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val="0"/>
          <w:kern w:val="2"/>
          <w:sz w:val="32"/>
          <w:szCs w:val="32"/>
          <w:lang w:val="en-US" w:eastAsia="zh-CN" w:bidi="ar"/>
        </w:rPr>
        <w:t>（一）一般公共预算当年拨款规模变化情况</w:t>
      </w:r>
    </w:p>
    <w:p>
      <w:pPr>
        <w:keepNext w:val="0"/>
        <w:keepLines w:val="0"/>
        <w:widowControl w:val="0"/>
        <w:suppressLineNumbers w:val="0"/>
        <w:spacing w:before="0" w:beforeAutospacing="0" w:after="0" w:afterAutospacing="0"/>
        <w:ind w:left="0" w:right="0" w:firstLine="57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医保局2022年一般公共预算当年拨款1148.31元，比2021年预算数减少128.09万元。主要原因是本年度财政对建档立卡贫困户大病商业补充保险不再纳入年初预算及本年体检预算不包含“两年一次”人员（“大三职”、“三老”干部、历任村干部）。</w:t>
      </w:r>
    </w:p>
    <w:p>
      <w:pPr>
        <w:keepNext w:val="0"/>
        <w:keepLines w:val="0"/>
        <w:widowControl w:val="0"/>
        <w:suppressLineNumbers w:val="0"/>
        <w:spacing w:before="0" w:beforeAutospacing="0" w:after="0" w:afterAutospacing="0"/>
        <w:ind w:left="0" w:right="0" w:firstLine="570"/>
        <w:jc w:val="both"/>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（二）一般公共预算当年拨款结构情况</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教育支出1.2万元，占0.10%；社会保障和就业支出50.48万元，占4.39%；医疗卫生与计划生育支出1001.23万元，占87.19%；农林水支出70.17万元，占6.12%；住房保障支出25.24万元，占2.19%。</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val="0"/>
          <w:kern w:val="2"/>
          <w:sz w:val="32"/>
          <w:szCs w:val="32"/>
          <w:lang w:val="en-US" w:eastAsia="zh-CN" w:bidi="ar"/>
        </w:rPr>
        <w:t>（三）一般公共预算当年拨款具体使用情况</w:t>
      </w:r>
    </w:p>
    <w:p>
      <w:pPr>
        <w:keepNext w:val="0"/>
        <w:keepLines w:val="0"/>
        <w:widowControl w:val="0"/>
        <w:suppressLineNumbers w:val="0"/>
        <w:spacing w:before="0" w:beforeAutospacing="0" w:after="0" w:afterAutospacing="0"/>
        <w:ind w:left="0" w:right="0" w:firstLine="480" w:firstLineChars="150"/>
        <w:jc w:val="both"/>
        <w:rPr>
          <w:rFonts w:hint="eastAsia" w:ascii="宋体" w:hAnsi="宋体" w:eastAsia="宋体" w:cs="宋体"/>
          <w:color w:val="000000"/>
          <w:kern w:val="0"/>
          <w:sz w:val="32"/>
          <w:szCs w:val="32"/>
          <w:lang w:val="en-US"/>
        </w:rPr>
      </w:pPr>
      <w:r>
        <w:rPr>
          <w:rFonts w:hint="eastAsia" w:ascii="宋体" w:hAnsi="宋体" w:eastAsia="宋体" w:cs="宋体"/>
          <w:kern w:val="2"/>
          <w:sz w:val="32"/>
          <w:szCs w:val="32"/>
          <w:lang w:val="en-US" w:eastAsia="zh-CN" w:bidi="ar"/>
        </w:rPr>
        <w:t>1.</w:t>
      </w:r>
      <w:r>
        <w:rPr>
          <w:rFonts w:hint="eastAsia" w:ascii="宋体" w:hAnsi="宋体" w:eastAsia="宋体" w:cs="宋体"/>
          <w:kern w:val="0"/>
          <w:sz w:val="32"/>
          <w:szCs w:val="32"/>
          <w:lang w:val="en-US" w:eastAsia="zh-CN" w:bidi="ar"/>
        </w:rPr>
        <w:t>教育支出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进修及培训</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 xml:space="preserve"> 培训支出</w:t>
      </w:r>
      <w:r>
        <w:rPr>
          <w:rFonts w:hint="eastAsia" w:ascii="宋体" w:hAnsi="宋体" w:eastAsia="宋体" w:cs="宋体"/>
          <w:kern w:val="2"/>
          <w:sz w:val="32"/>
          <w:szCs w:val="32"/>
          <w:lang w:val="en-US" w:eastAsia="zh-CN" w:bidi="ar"/>
        </w:rPr>
        <w:t>（项）:2022年预算数为1.2万元，主要用于：</w:t>
      </w:r>
      <w:r>
        <w:rPr>
          <w:rFonts w:hint="eastAsia" w:ascii="宋体" w:hAnsi="宋体" w:eastAsia="宋体" w:cs="宋体"/>
          <w:color w:val="000000"/>
          <w:kern w:val="2"/>
          <w:sz w:val="32"/>
          <w:szCs w:val="32"/>
          <w:lang w:val="en-US" w:eastAsia="zh-CN" w:bidi="ar"/>
        </w:rPr>
        <w:t>局机关及参公管理事业单位医疗保险医疗缴费综合业务、专门性财政管理工作的项目支出、医疗保险培训支出等。</w:t>
      </w:r>
    </w:p>
    <w:p>
      <w:pPr>
        <w:keepNext w:val="0"/>
        <w:keepLines w:val="0"/>
        <w:widowControl w:val="0"/>
        <w:suppressLineNumbers w:val="0"/>
        <w:spacing w:before="0" w:beforeAutospacing="0" w:after="0" w:afterAutospacing="0"/>
        <w:ind w:left="0" w:right="0" w:firstLine="640" w:firstLineChars="200"/>
        <w:jc w:val="both"/>
        <w:rPr>
          <w:rFonts w:hint="eastAsia" w:ascii="宋体" w:hAnsi="宋体" w:eastAsia="宋体" w:cs="宋体"/>
          <w:kern w:val="0"/>
          <w:sz w:val="32"/>
          <w:szCs w:val="32"/>
          <w:lang w:val="en-US"/>
        </w:rPr>
      </w:pPr>
      <w:r>
        <w:rPr>
          <w:rFonts w:hint="eastAsia" w:ascii="宋体" w:hAnsi="宋体" w:eastAsia="宋体" w:cs="宋体"/>
          <w:kern w:val="2"/>
          <w:sz w:val="32"/>
          <w:szCs w:val="32"/>
          <w:lang w:val="en-US" w:eastAsia="zh-CN" w:bidi="ar"/>
        </w:rPr>
        <w:t>2.</w:t>
      </w:r>
      <w:r>
        <w:rPr>
          <w:rFonts w:hint="eastAsia" w:ascii="宋体" w:hAnsi="宋体" w:eastAsia="宋体" w:cs="宋体"/>
          <w:kern w:val="0"/>
          <w:sz w:val="32"/>
          <w:szCs w:val="32"/>
          <w:lang w:val="en-US" w:eastAsia="zh-CN" w:bidi="ar"/>
        </w:rPr>
        <w:t>社会保障和就业支出</w:t>
      </w:r>
      <w:r>
        <w:rPr>
          <w:rFonts w:hint="eastAsia" w:ascii="宋体" w:hAnsi="宋体" w:eastAsia="宋体" w:cs="宋体"/>
          <w:kern w:val="0"/>
          <w:sz w:val="32"/>
          <w:szCs w:val="32"/>
          <w:highlight w:val="none"/>
          <w:lang w:val="en-US" w:eastAsia="zh-CN" w:bidi="ar"/>
        </w:rPr>
        <w:t>（</w:t>
      </w:r>
      <w:r>
        <w:rPr>
          <w:rFonts w:hint="eastAsia" w:ascii="宋体" w:hAnsi="宋体" w:eastAsia="宋体" w:cs="宋体"/>
          <w:kern w:val="2"/>
          <w:sz w:val="32"/>
          <w:szCs w:val="32"/>
          <w:lang w:val="en-US" w:eastAsia="zh-CN" w:bidi="ar"/>
        </w:rPr>
        <w:t>类</w:t>
      </w:r>
      <w:r>
        <w:rPr>
          <w:rFonts w:hint="eastAsia" w:ascii="宋体" w:hAnsi="宋体" w:eastAsia="宋体" w:cs="宋体"/>
          <w:kern w:val="2"/>
          <w:sz w:val="32"/>
          <w:szCs w:val="32"/>
          <w:highlight w:val="none"/>
          <w:lang w:val="en-US" w:eastAsia="zh-CN" w:bidi="ar"/>
        </w:rPr>
        <w:t>）</w:t>
      </w:r>
      <w:r>
        <w:rPr>
          <w:rFonts w:hint="eastAsia" w:ascii="宋体" w:hAnsi="宋体" w:eastAsia="宋体" w:cs="宋体"/>
          <w:kern w:val="0"/>
          <w:sz w:val="32"/>
          <w:szCs w:val="32"/>
          <w:lang w:val="en-US" w:eastAsia="zh-CN" w:bidi="ar"/>
        </w:rPr>
        <w:t>行政事业单位离退休</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机关事业单位基本养老保险缴费支出</w:t>
      </w:r>
      <w:r>
        <w:rPr>
          <w:rFonts w:hint="eastAsia" w:ascii="宋体" w:hAnsi="宋体" w:eastAsia="宋体" w:cs="宋体"/>
          <w:kern w:val="2"/>
          <w:sz w:val="32"/>
          <w:szCs w:val="32"/>
          <w:lang w:val="en-US" w:eastAsia="zh-CN" w:bidi="ar"/>
        </w:rPr>
        <w:t>（项）:2022年预算数33.65万元，其中医疗保障局7.93万元、医疗保险事务中心11.97万元、城乡居民医疗保险服务中心13.75万元，主要用于：机关事业单位实施养老保险制度由单位缴纳的基本养老保险支出。</w:t>
      </w:r>
    </w:p>
    <w:p>
      <w:pPr>
        <w:keepNext w:val="0"/>
        <w:keepLines w:val="0"/>
        <w:widowControl w:val="0"/>
        <w:suppressLineNumbers w:val="0"/>
        <w:spacing w:before="0" w:beforeAutospacing="0" w:after="0" w:afterAutospacing="0"/>
        <w:ind w:left="0" w:right="0" w:firstLine="640"/>
        <w:jc w:val="both"/>
        <w:rPr>
          <w:rFonts w:hint="eastAsia" w:ascii="宋体" w:hAnsi="宋体" w:eastAsia="宋体" w:cs="宋体"/>
          <w:kern w:val="2"/>
          <w:sz w:val="32"/>
          <w:szCs w:val="32"/>
          <w:lang w:val="en-US" w:eastAsia="zh-CN" w:bidi="ar"/>
        </w:rPr>
      </w:pPr>
      <w:r>
        <w:rPr>
          <w:rFonts w:hint="eastAsia" w:ascii="宋体" w:hAnsi="宋体" w:eastAsia="宋体" w:cs="宋体"/>
          <w:kern w:val="2"/>
          <w:sz w:val="32"/>
          <w:szCs w:val="32"/>
          <w:lang w:val="en-US" w:eastAsia="zh-CN" w:bidi="ar"/>
        </w:rPr>
        <w:t>3.</w:t>
      </w:r>
      <w:r>
        <w:rPr>
          <w:rFonts w:hint="eastAsia" w:ascii="宋体" w:hAnsi="宋体" w:eastAsia="宋体" w:cs="宋体"/>
          <w:kern w:val="0"/>
          <w:sz w:val="32"/>
          <w:szCs w:val="32"/>
          <w:lang w:val="en-US" w:eastAsia="zh-CN" w:bidi="ar"/>
        </w:rPr>
        <w:t>社会保障和就业支出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行政事业单位离退休</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机关事业单位职业年金缴费支出</w:t>
      </w:r>
      <w:r>
        <w:rPr>
          <w:rFonts w:hint="eastAsia" w:ascii="宋体" w:hAnsi="宋体" w:eastAsia="宋体" w:cs="宋体"/>
          <w:kern w:val="2"/>
          <w:sz w:val="32"/>
          <w:szCs w:val="32"/>
          <w:lang w:val="en-US" w:eastAsia="zh-CN" w:bidi="ar"/>
        </w:rPr>
        <w:t>（项）：2022年预算数为16.82万元，其中医疗保障局3.97万元、医疗保险事务中心5.98万元、城乡居民医疗保险服务中心6.87万元，主要用于：本单位位机构正常运行、开展日常工作的基本支出。</w:t>
      </w:r>
    </w:p>
    <w:p>
      <w:pPr>
        <w:keepNext w:val="0"/>
        <w:keepLines w:val="0"/>
        <w:widowControl w:val="0"/>
        <w:suppressLineNumbers w:val="0"/>
        <w:spacing w:before="0" w:beforeAutospacing="0" w:after="0" w:afterAutospacing="0"/>
        <w:ind w:left="0" w:right="0" w:firstLine="680"/>
        <w:jc w:val="both"/>
        <w:rPr>
          <w:rFonts w:hint="eastAsia" w:ascii="宋体" w:hAnsi="宋体" w:eastAsia="宋体" w:cs="宋体"/>
          <w:kern w:val="2"/>
          <w:sz w:val="32"/>
          <w:szCs w:val="32"/>
          <w:lang w:val="en-US" w:eastAsia="zh-CN" w:bidi="ar"/>
        </w:rPr>
      </w:pPr>
      <w:r>
        <w:rPr>
          <w:rFonts w:hint="eastAsia" w:ascii="宋体" w:hAnsi="宋体" w:eastAsia="宋体" w:cs="宋体"/>
          <w:kern w:val="2"/>
          <w:sz w:val="32"/>
          <w:szCs w:val="32"/>
          <w:lang w:val="en-US" w:eastAsia="zh-CN" w:bidi="ar"/>
        </w:rPr>
        <w:t>4.</w:t>
      </w:r>
      <w:r>
        <w:rPr>
          <w:rFonts w:hint="eastAsia" w:ascii="宋体" w:hAnsi="宋体" w:eastAsia="宋体" w:cs="宋体"/>
          <w:kern w:val="0"/>
          <w:sz w:val="32"/>
          <w:szCs w:val="32"/>
          <w:lang w:val="en-US" w:eastAsia="zh-CN" w:bidi="ar"/>
        </w:rPr>
        <w:t xml:space="preserve"> </w:t>
      </w:r>
      <w:r>
        <w:rPr>
          <w:rFonts w:hint="eastAsia" w:ascii="宋体" w:hAnsi="宋体" w:eastAsia="宋体" w:cs="宋体"/>
          <w:kern w:val="2"/>
          <w:sz w:val="32"/>
          <w:szCs w:val="32"/>
          <w:lang w:val="en-US" w:eastAsia="zh-CN" w:bidi="ar"/>
        </w:rPr>
        <w:t xml:space="preserve">住房保障（类）住房改革支出（款）住房公积金（项）:2022年预算数为25.15万元，主要用于：部门按人力资源和社会保障部、财政部规定的基本工资和津贴补贴以及规定比例为职工缴纳的住房公积金支出。 </w:t>
      </w:r>
    </w:p>
    <w:p>
      <w:pPr>
        <w:keepNext w:val="0"/>
        <w:keepLines w:val="0"/>
        <w:widowControl w:val="0"/>
        <w:suppressLineNumbers w:val="0"/>
        <w:spacing w:before="0" w:beforeAutospacing="0" w:after="0" w:afterAutospacing="0"/>
        <w:ind w:left="0" w:right="0" w:firstLine="680"/>
        <w:jc w:val="both"/>
        <w:rPr>
          <w:rFonts w:hint="eastAsia" w:ascii="宋体" w:hAnsi="宋体" w:eastAsia="宋体" w:cs="宋体"/>
          <w:kern w:val="0"/>
          <w:sz w:val="32"/>
          <w:szCs w:val="32"/>
          <w:lang w:val="en-US"/>
        </w:rPr>
      </w:pPr>
      <w:r>
        <w:rPr>
          <w:rFonts w:hint="eastAsia" w:ascii="宋体" w:hAnsi="宋体" w:eastAsia="宋体" w:cs="宋体"/>
          <w:kern w:val="0"/>
          <w:sz w:val="32"/>
          <w:szCs w:val="32"/>
          <w:lang w:val="en-US" w:eastAsia="zh-CN" w:bidi="ar"/>
        </w:rPr>
        <w:t>5.卫生健康支出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行政事业单位医疗</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 xml:space="preserve"> 事业单位医疗</w:t>
      </w:r>
      <w:r>
        <w:rPr>
          <w:rFonts w:hint="eastAsia" w:ascii="宋体" w:hAnsi="宋体" w:eastAsia="宋体" w:cs="宋体"/>
          <w:kern w:val="2"/>
          <w:sz w:val="32"/>
          <w:szCs w:val="32"/>
          <w:lang w:val="en-US" w:eastAsia="zh-CN" w:bidi="ar"/>
        </w:rPr>
        <w:t>（项）:2022年预算数为14.74万元，其中医疗保障局3.47万元、医疗保险事务中心5.24万元、城乡居民医疗保险服务中心6.03万元，主要用于：职工医疗保险单位缴纳部分。</w:t>
      </w:r>
    </w:p>
    <w:p>
      <w:pPr>
        <w:keepNext w:val="0"/>
        <w:keepLines w:val="0"/>
        <w:widowControl w:val="0"/>
        <w:suppressLineNumbers w:val="0"/>
        <w:spacing w:before="0" w:beforeAutospacing="0" w:after="0" w:afterAutospacing="0"/>
        <w:ind w:left="0" w:right="0"/>
        <w:jc w:val="both"/>
        <w:rPr>
          <w:rFonts w:hint="eastAsia" w:ascii="宋体" w:hAnsi="宋体" w:eastAsia="宋体" w:cs="宋体"/>
          <w:kern w:val="0"/>
          <w:sz w:val="32"/>
          <w:szCs w:val="32"/>
          <w:lang w:val="en-US"/>
        </w:rPr>
      </w:pPr>
      <w:r>
        <w:rPr>
          <w:rFonts w:hint="eastAsia" w:ascii="宋体" w:hAnsi="宋体" w:eastAsia="宋体" w:cs="宋体"/>
          <w:kern w:val="2"/>
          <w:sz w:val="32"/>
          <w:szCs w:val="32"/>
          <w:lang w:val="en-US" w:eastAsia="zh-CN" w:bidi="ar"/>
        </w:rPr>
        <w:t>　　6.</w:t>
      </w:r>
      <w:r>
        <w:rPr>
          <w:rFonts w:hint="eastAsia" w:ascii="宋体" w:hAnsi="宋体" w:eastAsia="宋体" w:cs="宋体"/>
          <w:kern w:val="0"/>
          <w:sz w:val="32"/>
          <w:szCs w:val="32"/>
          <w:lang w:val="en-US" w:eastAsia="zh-CN" w:bidi="ar"/>
        </w:rPr>
        <w:t>卫生健康支出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行政事业单位医疗</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公务员医疗补助</w:t>
      </w:r>
      <w:r>
        <w:rPr>
          <w:rFonts w:hint="eastAsia" w:ascii="宋体" w:hAnsi="宋体" w:eastAsia="宋体" w:cs="宋体"/>
          <w:kern w:val="2"/>
          <w:sz w:val="32"/>
          <w:szCs w:val="32"/>
          <w:lang w:val="en-US" w:eastAsia="zh-CN" w:bidi="ar"/>
        </w:rPr>
        <w:t>（项）:2022年预算数为4.59万元，其中医疗保障局0.92万元、医疗保险事务中心1.65万元、城乡居民医疗保险服务中心2.02万元，主要用于：医疗保险补助缴费支出等。</w:t>
      </w:r>
    </w:p>
    <w:p>
      <w:pPr>
        <w:keepNext w:val="0"/>
        <w:keepLines w:val="0"/>
        <w:widowControl w:val="0"/>
        <w:suppressLineNumbers w:val="0"/>
        <w:spacing w:before="0" w:beforeAutospacing="0" w:after="0" w:afterAutospacing="0"/>
        <w:ind w:left="0" w:right="0"/>
        <w:jc w:val="both"/>
        <w:rPr>
          <w:rFonts w:hint="eastAsia" w:ascii="宋体" w:hAnsi="宋体" w:eastAsia="宋体" w:cs="宋体"/>
          <w:kern w:val="0"/>
          <w:sz w:val="32"/>
          <w:szCs w:val="32"/>
          <w:lang w:val="en-US"/>
        </w:rPr>
      </w:pPr>
      <w:r>
        <w:rPr>
          <w:rFonts w:hint="eastAsia" w:ascii="宋体" w:hAnsi="宋体" w:eastAsia="宋体" w:cs="宋体"/>
          <w:kern w:val="2"/>
          <w:sz w:val="32"/>
          <w:szCs w:val="32"/>
          <w:lang w:val="en-US" w:eastAsia="zh-CN" w:bidi="ar"/>
        </w:rPr>
        <w:t>　　7.</w:t>
      </w:r>
      <w:r>
        <w:rPr>
          <w:rFonts w:hint="eastAsia" w:ascii="宋体" w:hAnsi="宋体" w:eastAsia="宋体" w:cs="宋体"/>
          <w:kern w:val="0"/>
          <w:sz w:val="32"/>
          <w:szCs w:val="32"/>
          <w:lang w:val="en-US" w:eastAsia="zh-CN" w:bidi="ar"/>
        </w:rPr>
        <w:t xml:space="preserve"> 卫生健康支出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行政事业单位医疗</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 xml:space="preserve"> 其他行政事业单位医疗支出</w:t>
      </w:r>
      <w:r>
        <w:rPr>
          <w:rFonts w:hint="eastAsia" w:ascii="宋体" w:hAnsi="宋体" w:eastAsia="宋体" w:cs="宋体"/>
          <w:kern w:val="2"/>
          <w:sz w:val="32"/>
          <w:szCs w:val="32"/>
          <w:lang w:val="en-US" w:eastAsia="zh-CN" w:bidi="ar"/>
        </w:rPr>
        <w:t>（项）:2022年预算数为570.54万元，主要用于：保障全县单位及离退休人员每年体检经费支出。</w:t>
      </w:r>
    </w:p>
    <w:p>
      <w:pPr>
        <w:keepNext w:val="0"/>
        <w:keepLines w:val="0"/>
        <w:widowControl w:val="0"/>
        <w:suppressLineNumbers w:val="0"/>
        <w:spacing w:before="0" w:beforeAutospacing="0" w:after="0" w:afterAutospacing="0"/>
        <w:ind w:left="0" w:right="0" w:firstLine="57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8.</w:t>
      </w:r>
      <w:r>
        <w:rPr>
          <w:rFonts w:hint="eastAsia" w:ascii="宋体" w:hAnsi="宋体" w:eastAsia="宋体" w:cs="宋体"/>
          <w:kern w:val="0"/>
          <w:sz w:val="32"/>
          <w:szCs w:val="32"/>
          <w:lang w:val="en-US" w:eastAsia="zh-CN" w:bidi="ar"/>
        </w:rPr>
        <w:t xml:space="preserve"> 卫生健康支出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财政对基本医疗保险基金的补助</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财政对城镇居民基本医疗保险基金的补助（项）</w:t>
      </w:r>
      <w:r>
        <w:rPr>
          <w:rFonts w:hint="eastAsia" w:ascii="宋体" w:hAnsi="宋体" w:eastAsia="宋体" w:cs="宋体"/>
          <w:kern w:val="2"/>
          <w:sz w:val="32"/>
          <w:szCs w:val="32"/>
          <w:lang w:val="en-US" w:eastAsia="zh-CN" w:bidi="ar"/>
        </w:rPr>
        <w:t>:2022年预算数为152.78万元，主要用于：城乡居民医疗保险县级配套资金（139.18万元）、失地农民医疗保险补助（13.60万元）。</w:t>
      </w:r>
    </w:p>
    <w:p>
      <w:pPr>
        <w:keepNext w:val="0"/>
        <w:keepLines w:val="0"/>
        <w:widowControl w:val="0"/>
        <w:suppressLineNumbers w:val="0"/>
        <w:spacing w:before="0" w:beforeAutospacing="0" w:after="0" w:afterAutospacing="0"/>
        <w:ind w:right="0" w:firstLine="640" w:firstLineChars="200"/>
        <w:jc w:val="both"/>
        <w:rPr>
          <w:rFonts w:hint="eastAsia" w:ascii="宋体" w:hAnsi="宋体" w:eastAsia="宋体" w:cs="宋体"/>
          <w:sz w:val="32"/>
          <w:szCs w:val="32"/>
          <w:lang w:val="en-US"/>
        </w:rPr>
      </w:pPr>
      <w:r>
        <w:rPr>
          <w:rFonts w:hint="eastAsia" w:ascii="宋体" w:hAnsi="宋体" w:eastAsia="宋体" w:cs="宋体"/>
          <w:kern w:val="0"/>
          <w:sz w:val="32"/>
          <w:szCs w:val="32"/>
          <w:lang w:val="en-US" w:eastAsia="zh-CN" w:bidi="ar"/>
        </w:rPr>
        <w:t>9.卫生健康支出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财政对基本医疗保险基金的补助</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财政对其他基本医疗保险基金的补助（项）：2022年预算为9.2万元，主要用于：</w:t>
      </w:r>
      <w:r>
        <w:rPr>
          <w:rFonts w:hint="eastAsia" w:ascii="宋体" w:hAnsi="宋体" w:eastAsia="宋体" w:cs="宋体"/>
          <w:kern w:val="2"/>
          <w:sz w:val="32"/>
          <w:szCs w:val="32"/>
          <w:lang w:val="en-US" w:eastAsia="zh-CN" w:bidi="ar"/>
        </w:rPr>
        <w:t>伤残、离休人员医疗补助。</w:t>
      </w:r>
    </w:p>
    <w:p>
      <w:pPr>
        <w:keepNext w:val="0"/>
        <w:keepLines w:val="0"/>
        <w:widowControl w:val="0"/>
        <w:suppressLineNumbers w:val="0"/>
        <w:spacing w:before="0" w:beforeAutospacing="0" w:after="0" w:afterAutospacing="0"/>
        <w:ind w:right="0" w:firstLine="640" w:firstLineChars="200"/>
        <w:jc w:val="both"/>
        <w:rPr>
          <w:rFonts w:hint="eastAsia" w:ascii="宋体" w:hAnsi="宋体" w:eastAsia="宋体" w:cs="宋体"/>
          <w:kern w:val="0"/>
          <w:sz w:val="32"/>
          <w:szCs w:val="32"/>
          <w:lang w:val="en-US"/>
        </w:rPr>
      </w:pPr>
      <w:r>
        <w:rPr>
          <w:rFonts w:hint="eastAsia" w:ascii="宋体" w:hAnsi="宋体" w:eastAsia="宋体" w:cs="宋体"/>
          <w:kern w:val="0"/>
          <w:sz w:val="32"/>
          <w:szCs w:val="32"/>
          <w:lang w:val="en-US" w:eastAsia="zh-CN" w:bidi="ar"/>
        </w:rPr>
        <w:t>10. 卫生健康支出</w:t>
      </w:r>
      <w:r>
        <w:rPr>
          <w:rFonts w:hint="eastAsia" w:ascii="宋体" w:hAnsi="宋体" w:eastAsia="宋体" w:cs="宋体"/>
          <w:kern w:val="2"/>
          <w:sz w:val="32"/>
          <w:szCs w:val="32"/>
          <w:lang w:val="en-US" w:eastAsia="zh-CN" w:bidi="ar"/>
        </w:rPr>
        <w:t>（类）医疗保障管理事务（款）医疗保障经办事务（项）：2</w:t>
      </w:r>
      <w:r>
        <w:rPr>
          <w:rFonts w:hint="eastAsia" w:ascii="宋体" w:hAnsi="宋体" w:eastAsia="宋体" w:cs="宋体"/>
          <w:kern w:val="0"/>
          <w:sz w:val="32"/>
          <w:szCs w:val="32"/>
          <w:lang w:val="en-US" w:eastAsia="zh-CN" w:bidi="ar"/>
        </w:rPr>
        <w:t>022年预算为15.26万元，主要用于：医保基金核算、精算、参保登记等医疗保障经办支出。</w:t>
      </w:r>
    </w:p>
    <w:p>
      <w:pPr>
        <w:keepNext w:val="0"/>
        <w:keepLines w:val="0"/>
        <w:widowControl w:val="0"/>
        <w:suppressLineNumbers w:val="0"/>
        <w:spacing w:before="0" w:beforeAutospacing="0" w:after="0" w:afterAutospacing="0"/>
        <w:ind w:left="0" w:right="0" w:firstLine="480" w:firstLineChars="150"/>
        <w:jc w:val="both"/>
        <w:rPr>
          <w:rFonts w:hint="eastAsia" w:ascii="宋体" w:hAnsi="宋体" w:eastAsia="宋体" w:cs="宋体"/>
          <w:kern w:val="0"/>
          <w:sz w:val="32"/>
          <w:szCs w:val="32"/>
          <w:lang w:val="en-US"/>
        </w:rPr>
      </w:pPr>
      <w:r>
        <w:rPr>
          <w:rFonts w:hint="eastAsia" w:ascii="宋体" w:hAnsi="宋体" w:eastAsia="宋体" w:cs="宋体"/>
          <w:kern w:val="0"/>
          <w:sz w:val="32"/>
          <w:szCs w:val="32"/>
          <w:lang w:val="en-US" w:eastAsia="zh-CN" w:bidi="ar"/>
        </w:rPr>
        <w:t>11. 卫生健康支出</w:t>
      </w:r>
      <w:r>
        <w:rPr>
          <w:rFonts w:hint="eastAsia" w:ascii="宋体" w:hAnsi="宋体" w:eastAsia="宋体" w:cs="宋体"/>
          <w:kern w:val="2"/>
          <w:sz w:val="32"/>
          <w:szCs w:val="32"/>
          <w:lang w:val="en-US" w:eastAsia="zh-CN" w:bidi="ar"/>
        </w:rPr>
        <w:t>（类）医疗保障管理事务（款）行政运行（项）：2022年预算为234.12万元，主要用于：机构正常运转，完成日常工作任务而发生的人员支出和公用支出。</w:t>
      </w:r>
    </w:p>
    <w:p>
      <w:pPr>
        <w:keepNext w:val="0"/>
        <w:keepLines w:val="0"/>
        <w:widowControl w:val="0"/>
        <w:suppressLineNumbers w:val="0"/>
        <w:spacing w:before="0" w:beforeAutospacing="0" w:after="0" w:afterAutospacing="0"/>
        <w:ind w:left="0" w:right="0" w:firstLine="480" w:firstLineChars="15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12.</w:t>
      </w:r>
      <w:r>
        <w:rPr>
          <w:rFonts w:hint="eastAsia" w:ascii="宋体" w:hAnsi="宋体" w:eastAsia="宋体" w:cs="宋体"/>
          <w:kern w:val="0"/>
          <w:sz w:val="32"/>
          <w:szCs w:val="32"/>
          <w:lang w:val="en-US" w:eastAsia="zh-CN" w:bidi="ar"/>
        </w:rPr>
        <w:t>农林水支出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扶贫</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其他扶贫支出（项）</w:t>
      </w:r>
      <w:r>
        <w:rPr>
          <w:rFonts w:hint="eastAsia" w:ascii="宋体" w:hAnsi="宋体" w:eastAsia="宋体" w:cs="宋体"/>
          <w:kern w:val="2"/>
          <w:sz w:val="32"/>
          <w:szCs w:val="32"/>
          <w:lang w:val="en-US" w:eastAsia="zh-CN" w:bidi="ar"/>
        </w:rPr>
        <w:t>:2022年预算数为135.95万元，主要用于：城乡居民（建档立卡户）医疗保险全额代缴。</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　  六、一般公共预算基本支出情况说明</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医保局2022年一般公共预算基本支出330.37万元，其中：</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人员经费310.34万元，其中医疗保障局72.95万元、医疗保险事务中心110.18万元、城乡居民医疗保险服务中心127.31万元，主要包括：基本工资、津贴补贴、奖金、社会保险缴费、绩效工资、机关事业单位基本养老保险缴费、职业年金缴费、其他工资福利支出、离休费、住房公积金、其他对个人和家庭的补助支出。</w:t>
      </w:r>
    </w:p>
    <w:p>
      <w:pPr>
        <w:keepNext w:val="0"/>
        <w:keepLines w:val="0"/>
        <w:widowControl w:val="0"/>
        <w:suppressLineNumbers w:val="0"/>
        <w:spacing w:before="0" w:beforeAutospacing="0" w:after="0" w:afterAutospacing="0"/>
        <w:ind w:left="0" w:right="0" w:firstLine="560"/>
        <w:jc w:val="both"/>
        <w:rPr>
          <w:rFonts w:hint="eastAsia" w:ascii="宋体" w:hAnsi="宋体" w:eastAsia="宋体" w:cs="宋体"/>
          <w:kern w:val="2"/>
          <w:sz w:val="32"/>
          <w:szCs w:val="32"/>
          <w:lang w:val="en-US" w:eastAsia="zh-CN" w:bidi="ar"/>
        </w:rPr>
      </w:pPr>
      <w:r>
        <w:rPr>
          <w:rFonts w:hint="eastAsia" w:ascii="宋体" w:hAnsi="宋体" w:eastAsia="宋体" w:cs="宋体"/>
          <w:kern w:val="2"/>
          <w:sz w:val="32"/>
          <w:szCs w:val="32"/>
          <w:lang w:val="en-US" w:eastAsia="zh-CN" w:bidi="ar"/>
        </w:rPr>
        <w:t>公用经费20.03万元，其中医疗保障局4.04万元、医疗保险事务中心9.64万元、城乡居民医疗保险服务中心6.35万元，主要包括：办公费、印刷费、手续费、水费、电费、邮电费、差旅费、维修（护）费、会议费、培训费、劳务费、工会经费、福利费、其他交通费、其他商品和服务支出。</w:t>
      </w:r>
    </w:p>
    <w:p>
      <w:pPr>
        <w:keepNext w:val="0"/>
        <w:keepLines w:val="0"/>
        <w:widowControl w:val="0"/>
        <w:suppressLineNumbers w:val="0"/>
        <w:spacing w:before="0" w:beforeAutospacing="0" w:after="0" w:afterAutospacing="0"/>
        <w:ind w:left="0" w:right="0" w:firstLine="560"/>
        <w:jc w:val="both"/>
        <w:rPr>
          <w:rFonts w:hint="eastAsia" w:ascii="宋体" w:hAnsi="宋体" w:eastAsia="宋体" w:cs="宋体"/>
          <w:kern w:val="2"/>
          <w:sz w:val="32"/>
          <w:szCs w:val="32"/>
          <w:lang w:val="en-US" w:eastAsia="zh-CN" w:bidi="ar"/>
        </w:rPr>
      </w:pPr>
      <w:r>
        <w:rPr>
          <w:rFonts w:hint="eastAsia" w:ascii="宋体" w:hAnsi="宋体" w:eastAsia="宋体" w:cs="宋体"/>
          <w:kern w:val="2"/>
          <w:sz w:val="32"/>
          <w:szCs w:val="32"/>
          <w:lang w:val="en-US" w:eastAsia="zh-CN" w:bidi="ar"/>
        </w:rPr>
        <w:t>医保局2022年一般公共预算项目支出817.95万元，主要包括：医保专项经费15.26万元、财政对失地农民医疗费补助13.60万元、建档立卡财政代缴补贴（全额代缴资金）33.40万元、行政事业单位职工体检费570.54万元、城乡居民基本医疗保险县级配套资金139.18万元、财政对伤残、离休医疗费补助9.2万元、城乡医疗救助资金（二次救助）36.77万元。</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　　七、“三公”经费财政拨款预算安排情况说明</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医保局2022年“三公”经费财政拨款预算数3.5万元，其中：因公出国（境）经费0万元，公务接待费0.26万元，公务用车购置及运行维护费3.5万元。</w:t>
      </w:r>
    </w:p>
    <w:p>
      <w:pPr>
        <w:keepNext w:val="0"/>
        <w:keepLines w:val="0"/>
        <w:widowControl w:val="0"/>
        <w:numPr>
          <w:ilvl w:val="0"/>
          <w:numId w:val="1"/>
        </w:numPr>
        <w:suppressLineNumbers w:val="0"/>
        <w:spacing w:before="0" w:beforeAutospacing="0" w:after="0" w:afterAutospacing="0"/>
        <w:ind w:left="640" w:right="0" w:firstLine="0"/>
        <w:jc w:val="both"/>
        <w:rPr>
          <w:rFonts w:hint="eastAsia" w:ascii="宋体" w:hAnsi="宋体" w:eastAsia="宋体" w:cs="宋体"/>
          <w:b/>
          <w:bCs/>
          <w:sz w:val="32"/>
          <w:szCs w:val="32"/>
          <w:lang w:val="en-US"/>
        </w:rPr>
      </w:pPr>
      <w:r>
        <w:rPr>
          <w:rFonts w:hint="eastAsia" w:ascii="宋体" w:hAnsi="宋体" w:eastAsia="宋体" w:cs="宋体"/>
          <w:b/>
          <w:bCs/>
          <w:kern w:val="2"/>
          <w:sz w:val="32"/>
          <w:szCs w:val="32"/>
          <w:lang w:val="en-US" w:eastAsia="zh-CN" w:bidi="ar"/>
        </w:rPr>
        <w:t>因公出国（境）经费较2021年预算增长0%。</w:t>
      </w:r>
    </w:p>
    <w:p>
      <w:pPr>
        <w:keepNext w:val="0"/>
        <w:keepLines w:val="0"/>
        <w:widowControl w:val="0"/>
        <w:suppressLineNumbers w:val="0"/>
        <w:spacing w:before="0" w:beforeAutospacing="0" w:after="0" w:afterAutospacing="0"/>
        <w:ind w:left="640" w:leftChars="305" w:right="0" w:firstLine="160" w:firstLineChars="5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2022年未预算因公出国（境）经费</w:t>
      </w:r>
    </w:p>
    <w:p>
      <w:pPr>
        <w:keepNext w:val="0"/>
        <w:keepLines w:val="0"/>
        <w:widowControl w:val="0"/>
        <w:suppressLineNumbers w:val="0"/>
        <w:spacing w:before="0" w:beforeAutospacing="0" w:after="0" w:afterAutospacing="0"/>
        <w:ind w:left="0" w:right="0" w:firstLine="555"/>
        <w:jc w:val="both"/>
        <w:rPr>
          <w:rFonts w:hint="eastAsia" w:ascii="宋体" w:hAnsi="宋体" w:eastAsia="宋体" w:cs="宋体"/>
          <w:b/>
          <w:bCs/>
          <w:sz w:val="32"/>
          <w:szCs w:val="32"/>
          <w:lang w:val="en-US"/>
        </w:rPr>
      </w:pPr>
      <w:r>
        <w:rPr>
          <w:rFonts w:hint="eastAsia" w:ascii="宋体" w:hAnsi="宋体" w:eastAsia="宋体" w:cs="宋体"/>
          <w:b/>
          <w:bCs/>
          <w:kern w:val="2"/>
          <w:sz w:val="32"/>
          <w:szCs w:val="32"/>
          <w:lang w:val="en-US" w:eastAsia="zh-CN" w:bidi="ar"/>
        </w:rPr>
        <w:t>（二）公务接待费与2021年预算持平。</w:t>
      </w:r>
    </w:p>
    <w:p>
      <w:pPr>
        <w:keepNext w:val="0"/>
        <w:keepLines w:val="0"/>
        <w:widowControl w:val="0"/>
        <w:suppressLineNumbers w:val="0"/>
        <w:spacing w:before="0" w:beforeAutospacing="0" w:after="0" w:afterAutospacing="0"/>
        <w:ind w:left="0" w:right="0" w:firstLine="793" w:firstLineChars="248"/>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2022年公务接待费计划用于执行公务、考察培训、检查指导等公务活动开支的交通费、住宿费、用餐费等。</w:t>
      </w:r>
    </w:p>
    <w:p>
      <w:pPr>
        <w:keepNext w:val="0"/>
        <w:keepLines w:val="0"/>
        <w:widowControl w:val="0"/>
        <w:suppressLineNumbers w:val="0"/>
        <w:spacing w:before="0" w:beforeAutospacing="0" w:after="0" w:afterAutospacing="0"/>
        <w:ind w:left="0" w:right="0" w:firstLine="555"/>
        <w:jc w:val="both"/>
        <w:rPr>
          <w:rFonts w:hint="eastAsia" w:ascii="宋体" w:hAnsi="宋体" w:eastAsia="宋体" w:cs="宋体"/>
          <w:b/>
          <w:bCs/>
          <w:sz w:val="32"/>
          <w:szCs w:val="32"/>
          <w:lang w:val="en-US"/>
        </w:rPr>
      </w:pPr>
      <w:r>
        <w:rPr>
          <w:rFonts w:hint="eastAsia" w:ascii="宋体" w:hAnsi="宋体" w:eastAsia="宋体" w:cs="宋体"/>
          <w:b/>
          <w:bCs/>
          <w:kern w:val="2"/>
          <w:sz w:val="32"/>
          <w:szCs w:val="32"/>
          <w:lang w:val="en-US" w:eastAsia="zh-CN" w:bidi="ar"/>
        </w:rPr>
        <w:t>（三）公务用车购置及运行维护费较2021年预算持平。</w:t>
      </w:r>
    </w:p>
    <w:p>
      <w:pPr>
        <w:keepNext w:val="0"/>
        <w:keepLines w:val="0"/>
        <w:widowControl w:val="0"/>
        <w:suppressLineNumbers w:val="0"/>
        <w:spacing w:before="0" w:beforeAutospacing="0" w:after="0" w:afterAutospacing="0"/>
        <w:ind w:left="0" w:right="0" w:firstLine="555"/>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单位现有公务用车1辆，其中：轿车1辆、越野车0辆。</w:t>
      </w:r>
    </w:p>
    <w:p>
      <w:pPr>
        <w:keepNext w:val="0"/>
        <w:keepLines w:val="0"/>
        <w:widowControl w:val="0"/>
        <w:suppressLineNumbers w:val="0"/>
        <w:spacing w:before="0" w:beforeAutospacing="0" w:after="0" w:afterAutospacing="0"/>
        <w:ind w:left="0" w:right="0" w:firstLine="640"/>
        <w:jc w:val="both"/>
        <w:rPr>
          <w:rFonts w:hint="eastAsia" w:ascii="宋体" w:hAnsi="宋体" w:eastAsia="宋体" w:cs="宋体"/>
          <w:kern w:val="2"/>
          <w:sz w:val="32"/>
          <w:szCs w:val="32"/>
          <w:lang w:val="en-US" w:eastAsia="zh-CN" w:bidi="ar"/>
        </w:rPr>
      </w:pPr>
      <w:r>
        <w:rPr>
          <w:rFonts w:hint="eastAsia" w:ascii="宋体" w:hAnsi="宋体" w:eastAsia="宋体" w:cs="宋体"/>
          <w:kern w:val="2"/>
          <w:sz w:val="32"/>
          <w:szCs w:val="32"/>
          <w:lang w:val="en-US" w:eastAsia="zh-CN" w:bidi="ar"/>
        </w:rPr>
        <w:t>2022年安排公务用车运行维护费3.5万元，用于1辆公务用车燃油、过路（桥）、维修、保险等方面支出，主要保障机关及下属单位财政改革工作调研、脱贫攻坚、财政监督检查及周转金清理、财政支出绩效评价等工作开展。</w:t>
      </w:r>
    </w:p>
    <w:p>
      <w:pPr>
        <w:keepNext w:val="0"/>
        <w:keepLines w:val="0"/>
        <w:widowControl w:val="0"/>
        <w:suppressLineNumbers w:val="0"/>
        <w:snapToGrid w:val="0"/>
        <w:spacing w:before="0" w:beforeAutospacing="0" w:after="0" w:afterAutospacing="0" w:line="520" w:lineRule="exact"/>
        <w:ind w:left="0" w:right="0" w:firstLine="643" w:firstLineChars="200"/>
        <w:jc w:val="both"/>
        <w:outlineLvl w:val="0"/>
        <w:rPr>
          <w:rFonts w:hint="eastAsia" w:ascii="宋体" w:hAnsi="宋体" w:eastAsia="宋体" w:cs="宋体"/>
          <w:b/>
          <w:bCs/>
          <w:sz w:val="32"/>
          <w:szCs w:val="32"/>
          <w:lang w:val="en-US"/>
        </w:rPr>
      </w:pPr>
      <w:r>
        <w:rPr>
          <w:rFonts w:hint="eastAsia" w:ascii="宋体" w:hAnsi="宋体" w:eastAsia="宋体" w:cs="宋体"/>
          <w:b/>
          <w:bCs/>
          <w:kern w:val="2"/>
          <w:sz w:val="32"/>
          <w:szCs w:val="32"/>
          <w:lang w:val="en-US" w:eastAsia="zh-CN" w:bidi="ar"/>
        </w:rPr>
        <w:t>八、政府性基金预算财政拨款支出预算情况</w:t>
      </w:r>
    </w:p>
    <w:p>
      <w:pPr>
        <w:keepNext w:val="0"/>
        <w:keepLines w:val="0"/>
        <w:widowControl w:val="0"/>
        <w:suppressLineNumbers w:val="0"/>
        <w:spacing w:before="0" w:beforeAutospacing="0" w:after="0" w:afterAutospacing="0" w:line="600" w:lineRule="exact"/>
        <w:ind w:left="0" w:right="0" w:firstLine="640"/>
        <w:jc w:val="both"/>
        <w:outlineLvl w:val="1"/>
        <w:rPr>
          <w:rFonts w:hint="eastAsia" w:ascii="宋体" w:hAnsi="宋体" w:eastAsia="宋体" w:cs="仿宋_GB2312"/>
          <w:sz w:val="32"/>
          <w:szCs w:val="32"/>
          <w:lang w:val="en-US"/>
        </w:rPr>
      </w:pPr>
      <w:r>
        <w:rPr>
          <w:rFonts w:hint="eastAsia" w:ascii="宋体" w:hAnsi="宋体" w:eastAsia="宋体" w:cs="仿宋_GB2312"/>
          <w:kern w:val="2"/>
          <w:sz w:val="32"/>
          <w:szCs w:val="32"/>
          <w:lang w:val="en-US" w:eastAsia="zh-CN" w:bidi="ar"/>
        </w:rPr>
        <w:t>金川县医保局无2022年政府性基金预算财政拨款收入。</w:t>
      </w:r>
    </w:p>
    <w:p>
      <w:pPr>
        <w:keepNext w:val="0"/>
        <w:keepLines w:val="0"/>
        <w:widowControl w:val="0"/>
        <w:suppressLineNumbers w:val="0"/>
        <w:spacing w:before="0" w:beforeAutospacing="0" w:after="0" w:afterAutospacing="0"/>
        <w:ind w:left="0" w:right="0" w:firstLine="643" w:firstLineChars="200"/>
        <w:jc w:val="both"/>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九、其他重要事项的情况说明</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xml:space="preserve">　　 </w:t>
      </w:r>
      <w:r>
        <w:rPr>
          <w:rFonts w:hint="eastAsia" w:ascii="宋体" w:hAnsi="宋体" w:eastAsia="宋体" w:cs="宋体"/>
          <w:b/>
          <w:bCs/>
          <w:kern w:val="2"/>
          <w:sz w:val="32"/>
          <w:szCs w:val="32"/>
          <w:lang w:val="en-US" w:eastAsia="zh-CN" w:bidi="ar"/>
        </w:rPr>
        <w:t>（一）机关运行经费</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2022年，机关运行经费财政拨款预算为20.03元，比2021年预算增加0.67万元，增加3.46%。主要原因是人员变动管理规模扩大导致成本增加，工作力度增强。</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xml:space="preserve">　　 </w:t>
      </w:r>
      <w:r>
        <w:rPr>
          <w:rFonts w:hint="eastAsia" w:ascii="宋体" w:hAnsi="宋体" w:eastAsia="宋体" w:cs="宋体"/>
          <w:b/>
          <w:bCs/>
          <w:kern w:val="2"/>
          <w:sz w:val="32"/>
          <w:szCs w:val="32"/>
          <w:lang w:val="en-US" w:eastAsia="zh-CN" w:bidi="ar"/>
        </w:rPr>
        <w:t>（二）政府采购情况</w:t>
      </w:r>
    </w:p>
    <w:p>
      <w:pPr>
        <w:keepNext w:val="0"/>
        <w:keepLines w:val="0"/>
        <w:widowControl w:val="0"/>
        <w:suppressLineNumbers w:val="0"/>
        <w:spacing w:before="0" w:beforeAutospacing="0" w:after="0" w:afterAutospacing="0"/>
        <w:ind w:left="0" w:right="0" w:firstLine="57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2022年，医保局安排政府采购预算0万元。</w:t>
      </w:r>
    </w:p>
    <w:p>
      <w:pPr>
        <w:keepNext w:val="0"/>
        <w:keepLines w:val="0"/>
        <w:widowControl w:val="0"/>
        <w:suppressLineNumbers w:val="0"/>
        <w:spacing w:before="0" w:beforeAutospacing="0" w:after="0" w:afterAutospacing="0"/>
        <w:ind w:left="0" w:right="0" w:firstLine="810" w:firstLineChars="252"/>
        <w:jc w:val="both"/>
        <w:rPr>
          <w:rFonts w:hint="eastAsia" w:ascii="宋体" w:hAnsi="宋体" w:eastAsia="宋体" w:cs="宋体"/>
          <w:sz w:val="32"/>
          <w:szCs w:val="32"/>
          <w:lang w:val="en-US"/>
        </w:rPr>
      </w:pPr>
      <w:r>
        <w:rPr>
          <w:rFonts w:hint="eastAsia" w:ascii="宋体" w:hAnsi="宋体" w:eastAsia="宋体" w:cs="宋体"/>
          <w:b/>
          <w:bCs/>
          <w:kern w:val="2"/>
          <w:sz w:val="32"/>
          <w:szCs w:val="32"/>
          <w:lang w:val="en-US" w:eastAsia="zh-CN" w:bidi="ar"/>
        </w:rPr>
        <w:t>（三）国有资产占有使用情况</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截至2021年底，本预算单位共有车辆1辆，其中，公务用车1辆、单位无价值50万元以上大型设备0台（套）。</w:t>
      </w:r>
    </w:p>
    <w:p>
      <w:pPr>
        <w:keepNext w:val="0"/>
        <w:keepLines w:val="0"/>
        <w:widowControl w:val="0"/>
        <w:suppressLineNumbers w:val="0"/>
        <w:spacing w:before="0" w:beforeAutospacing="0" w:after="0" w:afterAutospacing="0"/>
        <w:ind w:left="-199" w:leftChars="-95" w:right="-218" w:rightChars="-104"/>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2022年部门预算未安排购置车辆及单位价值50万元以上大型设备。</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kern w:val="2"/>
          <w:sz w:val="32"/>
          <w:szCs w:val="32"/>
          <w:lang w:val="en-US" w:eastAsia="zh-CN" w:bidi="ar"/>
        </w:rPr>
        <w:t>（四）预算绩效目标设置情况</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2022年本单位基本支出和项目支出均按要求实行绩效目标管理，涉及一般公共预算当年拨款1148.31万元。</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w:t>
      </w:r>
      <w:r>
        <w:rPr>
          <w:rFonts w:hint="eastAsia" w:ascii="宋体" w:hAnsi="宋体" w:eastAsia="宋体" w:cs="宋体"/>
          <w:b/>
          <w:bCs/>
          <w:kern w:val="2"/>
          <w:sz w:val="32"/>
          <w:szCs w:val="32"/>
          <w:lang w:val="en-US" w:eastAsia="zh-CN" w:bidi="ar"/>
        </w:rPr>
        <w:t>十、名词解释</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1.一般公共预算拨款收入：指省级财政当年拨付的资金。</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2.上年结转：指以前年度尚未完成，结转到本年仍按原规定用途继续使用的资金。</w:t>
      </w:r>
    </w:p>
    <w:p>
      <w:pPr>
        <w:keepNext w:val="0"/>
        <w:keepLines w:val="0"/>
        <w:widowControl w:val="0"/>
        <w:suppressLineNumbers w:val="0"/>
        <w:spacing w:before="0" w:beforeAutospacing="0" w:after="0" w:afterAutospacing="0"/>
        <w:ind w:left="0" w:right="0" w:firstLine="480" w:firstLineChars="150"/>
        <w:jc w:val="both"/>
        <w:rPr>
          <w:rFonts w:hint="eastAsia" w:ascii="宋体" w:hAnsi="宋体" w:eastAsia="宋体" w:cs="宋体"/>
          <w:color w:val="000000"/>
          <w:kern w:val="0"/>
          <w:sz w:val="32"/>
          <w:szCs w:val="32"/>
          <w:lang w:val="en-US"/>
        </w:rPr>
      </w:pPr>
      <w:r>
        <w:rPr>
          <w:rFonts w:hint="eastAsia" w:ascii="宋体" w:hAnsi="宋体" w:eastAsia="宋体" w:cs="宋体"/>
          <w:kern w:val="2"/>
          <w:sz w:val="32"/>
          <w:szCs w:val="32"/>
          <w:lang w:val="en-US" w:eastAsia="zh-CN" w:bidi="ar"/>
        </w:rPr>
        <w:t>　3.</w:t>
      </w:r>
      <w:r>
        <w:rPr>
          <w:rFonts w:hint="eastAsia" w:ascii="宋体" w:hAnsi="宋体" w:eastAsia="宋体" w:cs="宋体"/>
          <w:kern w:val="0"/>
          <w:sz w:val="32"/>
          <w:szCs w:val="32"/>
          <w:lang w:val="en-US" w:eastAsia="zh-CN" w:bidi="ar"/>
        </w:rPr>
        <w:t>教育支出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 xml:space="preserve"> 进修及培训</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 xml:space="preserve"> 培训支出</w:t>
      </w:r>
      <w:r>
        <w:rPr>
          <w:rFonts w:hint="eastAsia" w:ascii="宋体" w:hAnsi="宋体" w:eastAsia="宋体" w:cs="宋体"/>
          <w:kern w:val="2"/>
          <w:sz w:val="32"/>
          <w:szCs w:val="32"/>
          <w:lang w:val="en-US" w:eastAsia="zh-CN" w:bidi="ar"/>
        </w:rPr>
        <w:t>（项）</w:t>
      </w:r>
      <w:r>
        <w:rPr>
          <w:rFonts w:hint="eastAsia" w:ascii="宋体" w:hAnsi="宋体" w:eastAsia="宋体" w:cs="宋体"/>
          <w:kern w:val="2"/>
          <w:sz w:val="32"/>
          <w:szCs w:val="32"/>
          <w:highlight w:val="none"/>
          <w:lang w:val="en-US" w:eastAsia="zh-CN" w:bidi="ar"/>
        </w:rPr>
        <w:t>：</w:t>
      </w:r>
      <w:r>
        <w:rPr>
          <w:rFonts w:hint="eastAsia" w:ascii="宋体" w:hAnsi="宋体" w:eastAsia="宋体" w:cs="宋体"/>
          <w:kern w:val="2"/>
          <w:sz w:val="32"/>
          <w:szCs w:val="32"/>
          <w:lang w:val="en-US" w:eastAsia="zh-CN" w:bidi="ar"/>
        </w:rPr>
        <w:t>反映</w:t>
      </w:r>
      <w:r>
        <w:rPr>
          <w:rFonts w:hint="eastAsia" w:ascii="宋体" w:hAnsi="宋体" w:eastAsia="宋体" w:cs="宋体"/>
          <w:color w:val="000000"/>
          <w:kern w:val="2"/>
          <w:sz w:val="32"/>
          <w:szCs w:val="32"/>
          <w:lang w:val="en-US" w:eastAsia="zh-CN" w:bidi="ar"/>
        </w:rPr>
        <w:t>部门用于培训支出。</w:t>
      </w:r>
    </w:p>
    <w:p>
      <w:pPr>
        <w:keepNext w:val="0"/>
        <w:keepLines w:val="0"/>
        <w:widowControl w:val="0"/>
        <w:suppressLineNumbers w:val="0"/>
        <w:spacing w:before="0" w:beforeAutospacing="0" w:after="0" w:afterAutospacing="0"/>
        <w:ind w:left="0" w:right="0" w:firstLine="640" w:firstLineChars="20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4.</w:t>
      </w:r>
      <w:r>
        <w:rPr>
          <w:rFonts w:hint="eastAsia" w:ascii="宋体" w:hAnsi="宋体" w:eastAsia="宋体" w:cs="宋体"/>
          <w:kern w:val="0"/>
          <w:sz w:val="32"/>
          <w:szCs w:val="32"/>
          <w:lang w:val="en-US" w:eastAsia="zh-CN" w:bidi="ar"/>
        </w:rPr>
        <w:t>社会保障和就业支出</w:t>
      </w:r>
      <w:r>
        <w:rPr>
          <w:rFonts w:hint="eastAsia" w:ascii="宋体" w:hAnsi="宋体" w:eastAsia="宋体" w:cs="宋体"/>
          <w:kern w:val="0"/>
          <w:sz w:val="32"/>
          <w:szCs w:val="32"/>
          <w:highlight w:val="none"/>
          <w:lang w:val="en-US" w:eastAsia="zh-CN" w:bidi="ar"/>
        </w:rPr>
        <w:t>（</w:t>
      </w:r>
      <w:r>
        <w:rPr>
          <w:rFonts w:hint="eastAsia" w:ascii="宋体" w:hAnsi="宋体" w:eastAsia="宋体" w:cs="宋体"/>
          <w:kern w:val="2"/>
          <w:sz w:val="32"/>
          <w:szCs w:val="32"/>
          <w:lang w:val="en-US" w:eastAsia="zh-CN" w:bidi="ar"/>
        </w:rPr>
        <w:t>类</w:t>
      </w:r>
      <w:r>
        <w:rPr>
          <w:rFonts w:hint="eastAsia" w:ascii="宋体" w:hAnsi="宋体" w:eastAsia="宋体" w:cs="宋体"/>
          <w:kern w:val="2"/>
          <w:sz w:val="32"/>
          <w:szCs w:val="32"/>
          <w:highlight w:val="none"/>
          <w:lang w:val="en-US" w:eastAsia="zh-CN" w:bidi="ar"/>
        </w:rPr>
        <w:t>）</w:t>
      </w:r>
      <w:r>
        <w:rPr>
          <w:rFonts w:hint="eastAsia" w:ascii="宋体" w:hAnsi="宋体" w:eastAsia="宋体" w:cs="宋体"/>
          <w:kern w:val="0"/>
          <w:sz w:val="32"/>
          <w:szCs w:val="32"/>
          <w:lang w:val="en-US" w:eastAsia="zh-CN" w:bidi="ar"/>
        </w:rPr>
        <w:t>行政事业单位离退休</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机关事业单位基本养老保险缴费支出</w:t>
      </w:r>
      <w:r>
        <w:rPr>
          <w:rFonts w:hint="eastAsia" w:ascii="宋体" w:hAnsi="宋体" w:eastAsia="宋体" w:cs="宋体"/>
          <w:kern w:val="2"/>
          <w:sz w:val="32"/>
          <w:szCs w:val="32"/>
          <w:lang w:val="en-US" w:eastAsia="zh-CN" w:bidi="ar"/>
        </w:rPr>
        <w:t>（项）: 指部门实施养老保险制度由单位缴纳的养老保险费的支出。</w:t>
      </w:r>
    </w:p>
    <w:p>
      <w:pPr>
        <w:keepNext w:val="0"/>
        <w:keepLines w:val="0"/>
        <w:widowControl w:val="0"/>
        <w:suppressLineNumbers w:val="0"/>
        <w:spacing w:before="0" w:beforeAutospacing="0" w:after="0" w:afterAutospacing="0"/>
        <w:ind w:left="0" w:right="0" w:firstLine="57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5.</w:t>
      </w:r>
      <w:r>
        <w:rPr>
          <w:rFonts w:hint="eastAsia" w:ascii="宋体" w:hAnsi="宋体" w:eastAsia="宋体" w:cs="宋体"/>
          <w:kern w:val="0"/>
          <w:sz w:val="32"/>
          <w:szCs w:val="32"/>
          <w:lang w:val="en-US" w:eastAsia="zh-CN" w:bidi="ar"/>
        </w:rPr>
        <w:t>社会保障和就业支出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行政事业单位离退休</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机关事业单位职业年金缴费支出</w:t>
      </w:r>
      <w:r>
        <w:rPr>
          <w:rFonts w:hint="eastAsia" w:ascii="宋体" w:hAnsi="宋体" w:eastAsia="宋体" w:cs="宋体"/>
          <w:kern w:val="2"/>
          <w:sz w:val="32"/>
          <w:szCs w:val="32"/>
          <w:lang w:val="en-US" w:eastAsia="zh-CN" w:bidi="ar"/>
        </w:rPr>
        <w:t>（项）：指部门实施养老保险制度由单位缴纳的职业年金的支出。</w:t>
      </w:r>
    </w:p>
    <w:p>
      <w:pPr>
        <w:keepNext w:val="0"/>
        <w:keepLines w:val="0"/>
        <w:widowControl w:val="0"/>
        <w:suppressLineNumbers w:val="0"/>
        <w:spacing w:before="0" w:beforeAutospacing="0" w:after="0" w:afterAutospacing="0"/>
        <w:ind w:left="0" w:right="0" w:firstLine="57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6.</w:t>
      </w:r>
      <w:r>
        <w:rPr>
          <w:rFonts w:hint="eastAsia" w:ascii="宋体" w:hAnsi="宋体" w:eastAsia="宋体" w:cs="宋体"/>
          <w:kern w:val="0"/>
          <w:sz w:val="32"/>
          <w:szCs w:val="32"/>
          <w:lang w:val="en-US" w:eastAsia="zh-CN" w:bidi="ar"/>
        </w:rPr>
        <w:t>生健康支出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行政事业单位医疗</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 xml:space="preserve"> 事业单位医疗</w:t>
      </w:r>
      <w:r>
        <w:rPr>
          <w:rFonts w:hint="eastAsia" w:ascii="宋体" w:hAnsi="宋体" w:eastAsia="宋体" w:cs="宋体"/>
          <w:kern w:val="2"/>
          <w:sz w:val="32"/>
          <w:szCs w:val="32"/>
          <w:lang w:val="en-US" w:eastAsia="zh-CN" w:bidi="ar"/>
        </w:rPr>
        <w:t>（项）: 指厅机关及参公管理事业单位用于缴纳单位基本医疗保险支出。</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7.</w:t>
      </w:r>
      <w:r>
        <w:rPr>
          <w:rFonts w:hint="eastAsia" w:ascii="宋体" w:hAnsi="宋体" w:eastAsia="宋体" w:cs="宋体"/>
          <w:kern w:val="0"/>
          <w:sz w:val="32"/>
          <w:szCs w:val="32"/>
          <w:lang w:val="en-US" w:eastAsia="zh-CN" w:bidi="ar"/>
        </w:rPr>
        <w:t>卫生健康支出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行政事业单位医疗</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公务员医疗补助</w:t>
      </w:r>
      <w:r>
        <w:rPr>
          <w:rFonts w:hint="eastAsia" w:ascii="宋体" w:hAnsi="宋体" w:eastAsia="宋体" w:cs="宋体"/>
          <w:kern w:val="2"/>
          <w:sz w:val="32"/>
          <w:szCs w:val="32"/>
          <w:lang w:val="en-US" w:eastAsia="zh-CN" w:bidi="ar"/>
        </w:rPr>
        <w:t>（项）：指机关及参公管理事业单位用于集中缴纳公务员医疗补助支出。</w:t>
      </w:r>
    </w:p>
    <w:p>
      <w:pPr>
        <w:keepNext w:val="0"/>
        <w:keepLines w:val="0"/>
        <w:widowControl w:val="0"/>
        <w:suppressLineNumbers w:val="0"/>
        <w:spacing w:before="0" w:beforeAutospacing="0" w:after="0" w:afterAutospacing="0"/>
        <w:ind w:left="0" w:right="0"/>
        <w:jc w:val="both"/>
        <w:rPr>
          <w:rFonts w:hint="eastAsia" w:ascii="宋体" w:hAnsi="宋体" w:eastAsia="宋体" w:cs="宋体"/>
          <w:kern w:val="0"/>
          <w:sz w:val="32"/>
          <w:szCs w:val="32"/>
          <w:lang w:val="en-US"/>
        </w:rPr>
      </w:pPr>
      <w:r>
        <w:rPr>
          <w:rFonts w:hint="eastAsia" w:ascii="宋体" w:hAnsi="宋体" w:eastAsia="宋体" w:cs="宋体"/>
          <w:kern w:val="2"/>
          <w:sz w:val="32"/>
          <w:szCs w:val="32"/>
          <w:lang w:val="en-US" w:eastAsia="zh-CN" w:bidi="ar"/>
        </w:rPr>
        <w:t>　　8.</w:t>
      </w:r>
      <w:r>
        <w:rPr>
          <w:rFonts w:hint="eastAsia" w:ascii="宋体" w:hAnsi="宋体" w:eastAsia="宋体" w:cs="宋体"/>
          <w:kern w:val="0"/>
          <w:sz w:val="32"/>
          <w:szCs w:val="32"/>
          <w:lang w:val="en-US" w:eastAsia="zh-CN" w:bidi="ar"/>
        </w:rPr>
        <w:t>卫生健康支出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行政事业单位医疗</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 xml:space="preserve"> 其他行政事业单位医疗支出</w:t>
      </w:r>
      <w:r>
        <w:rPr>
          <w:rFonts w:hint="eastAsia" w:ascii="宋体" w:hAnsi="宋体" w:eastAsia="宋体" w:cs="宋体"/>
          <w:kern w:val="2"/>
          <w:sz w:val="32"/>
          <w:szCs w:val="32"/>
          <w:lang w:val="en-US" w:eastAsia="zh-CN" w:bidi="ar"/>
        </w:rPr>
        <w:t>（项）</w:t>
      </w:r>
      <w:r>
        <w:rPr>
          <w:rFonts w:hint="eastAsia" w:ascii="宋体" w:hAnsi="宋体" w:eastAsia="宋体" w:cs="宋体"/>
          <w:kern w:val="2"/>
          <w:sz w:val="32"/>
          <w:szCs w:val="32"/>
          <w:highlight w:val="none"/>
          <w:lang w:val="en-US" w:eastAsia="zh-CN" w:bidi="ar"/>
        </w:rPr>
        <w:t>：</w:t>
      </w:r>
      <w:r>
        <w:rPr>
          <w:rFonts w:hint="eastAsia" w:ascii="宋体" w:hAnsi="宋体" w:eastAsia="宋体" w:cs="宋体"/>
          <w:kern w:val="2"/>
          <w:sz w:val="32"/>
          <w:szCs w:val="32"/>
          <w:lang w:val="en-US" w:eastAsia="zh-CN" w:bidi="ar"/>
        </w:rPr>
        <w:t>反映其他用于行政事业单位医疗方面的支出。</w:t>
      </w:r>
    </w:p>
    <w:p>
      <w:pPr>
        <w:keepNext w:val="0"/>
        <w:keepLines w:val="0"/>
        <w:widowControl w:val="0"/>
        <w:suppressLineNumbers w:val="0"/>
        <w:spacing w:before="0" w:beforeAutospacing="0" w:after="0" w:afterAutospacing="0"/>
        <w:ind w:left="0" w:right="0" w:firstLine="57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9.</w:t>
      </w:r>
      <w:r>
        <w:rPr>
          <w:rFonts w:hint="eastAsia" w:ascii="宋体" w:hAnsi="宋体" w:eastAsia="宋体" w:cs="宋体"/>
          <w:kern w:val="0"/>
          <w:sz w:val="32"/>
          <w:szCs w:val="32"/>
          <w:lang w:val="en-US" w:eastAsia="zh-CN" w:bidi="ar"/>
        </w:rPr>
        <w:t>卫生健康支出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财政对基本医疗保险基金的补助</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财政对城镇居民基本医疗保险基金的补助（项）</w:t>
      </w:r>
      <w:r>
        <w:rPr>
          <w:rFonts w:hint="eastAsia" w:ascii="宋体" w:hAnsi="宋体" w:eastAsia="宋体" w:cs="宋体"/>
          <w:kern w:val="2"/>
          <w:sz w:val="32"/>
          <w:szCs w:val="32"/>
          <w:highlight w:val="none"/>
          <w:lang w:val="en-US" w:eastAsia="zh-CN" w:bidi="ar"/>
        </w:rPr>
        <w:t>：</w:t>
      </w:r>
      <w:r>
        <w:rPr>
          <w:rFonts w:hint="eastAsia" w:ascii="宋体" w:hAnsi="宋体" w:eastAsia="宋体" w:cs="宋体"/>
          <w:kern w:val="2"/>
          <w:sz w:val="32"/>
          <w:szCs w:val="32"/>
          <w:lang w:val="en-US" w:eastAsia="zh-CN" w:bidi="ar"/>
        </w:rPr>
        <w:t>反映财政对城乡居民基本医疗保险基金的补助支出。</w:t>
      </w:r>
    </w:p>
    <w:p>
      <w:pPr>
        <w:keepNext w:val="0"/>
        <w:keepLines w:val="0"/>
        <w:widowControl w:val="0"/>
        <w:suppressLineNumbers w:val="0"/>
        <w:spacing w:before="0" w:beforeAutospacing="0" w:after="0" w:afterAutospacing="0"/>
        <w:ind w:left="0" w:right="0" w:firstLine="570"/>
        <w:jc w:val="both"/>
        <w:rPr>
          <w:rFonts w:hint="eastAsia" w:ascii="宋体" w:hAnsi="宋体" w:eastAsia="宋体" w:cs="宋体"/>
          <w:sz w:val="32"/>
          <w:szCs w:val="32"/>
          <w:lang w:val="en-US"/>
        </w:rPr>
      </w:pPr>
      <w:r>
        <w:rPr>
          <w:rFonts w:hint="eastAsia" w:ascii="宋体" w:hAnsi="宋体" w:eastAsia="宋体" w:cs="宋体"/>
          <w:kern w:val="0"/>
          <w:sz w:val="32"/>
          <w:szCs w:val="32"/>
          <w:lang w:val="en-US" w:eastAsia="zh-CN" w:bidi="ar"/>
        </w:rPr>
        <w:t>10.健康支出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财政对基本医疗保险基金的补助</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财政对其他基本医疗保险基金的补助（项）：反映财政对其他基本医疗保险基金的补助支出。</w:t>
      </w:r>
    </w:p>
    <w:p>
      <w:pPr>
        <w:keepNext w:val="0"/>
        <w:keepLines w:val="0"/>
        <w:widowControl w:val="0"/>
        <w:suppressLineNumbers w:val="0"/>
        <w:spacing w:before="0" w:beforeAutospacing="0" w:after="0" w:afterAutospacing="0"/>
        <w:ind w:left="0" w:right="0" w:firstLine="480" w:firstLineChars="150"/>
        <w:jc w:val="both"/>
        <w:rPr>
          <w:rFonts w:hint="eastAsia" w:ascii="宋体" w:hAnsi="宋体" w:eastAsia="宋体" w:cs="宋体"/>
          <w:kern w:val="0"/>
          <w:sz w:val="32"/>
          <w:szCs w:val="32"/>
          <w:lang w:val="en-US"/>
        </w:rPr>
      </w:pPr>
      <w:r>
        <w:rPr>
          <w:rFonts w:hint="eastAsia" w:ascii="宋体" w:hAnsi="宋体" w:eastAsia="宋体" w:cs="宋体"/>
          <w:kern w:val="0"/>
          <w:sz w:val="32"/>
          <w:szCs w:val="32"/>
          <w:lang w:val="en-US" w:eastAsia="zh-CN" w:bidi="ar"/>
        </w:rPr>
        <w:t>11.卫生健康支出</w:t>
      </w:r>
      <w:r>
        <w:rPr>
          <w:rFonts w:hint="eastAsia" w:ascii="宋体" w:hAnsi="宋体" w:eastAsia="宋体" w:cs="宋体"/>
          <w:kern w:val="2"/>
          <w:sz w:val="32"/>
          <w:szCs w:val="32"/>
          <w:lang w:val="en-US" w:eastAsia="zh-CN" w:bidi="ar"/>
        </w:rPr>
        <w:t>（类）医疗救助（款）城乡医疗救助（项）：反映财政用于城乡困难群众医疗救助的支出</w:t>
      </w:r>
      <w:r>
        <w:rPr>
          <w:rFonts w:hint="eastAsia" w:ascii="宋体" w:hAnsi="宋体" w:eastAsia="宋体" w:cs="宋体"/>
          <w:kern w:val="0"/>
          <w:sz w:val="32"/>
          <w:szCs w:val="32"/>
          <w:lang w:val="en-US" w:eastAsia="zh-CN" w:bidi="ar"/>
        </w:rPr>
        <w:t>。</w:t>
      </w:r>
    </w:p>
    <w:p>
      <w:pPr>
        <w:keepNext w:val="0"/>
        <w:keepLines w:val="0"/>
        <w:widowControl w:val="0"/>
        <w:suppressLineNumbers w:val="0"/>
        <w:spacing w:before="0" w:beforeAutospacing="0" w:after="0" w:afterAutospacing="0"/>
        <w:ind w:left="0" w:right="0" w:firstLine="480" w:firstLineChars="150"/>
        <w:jc w:val="both"/>
        <w:rPr>
          <w:rFonts w:hint="eastAsia" w:ascii="宋体" w:hAnsi="宋体" w:eastAsia="宋体" w:cs="宋体"/>
          <w:kern w:val="2"/>
          <w:sz w:val="32"/>
          <w:szCs w:val="32"/>
          <w:lang w:val="en-US" w:eastAsia="zh-CN" w:bidi="ar"/>
        </w:rPr>
      </w:pPr>
      <w:r>
        <w:rPr>
          <w:rFonts w:hint="eastAsia" w:ascii="宋体" w:hAnsi="宋体" w:eastAsia="宋体" w:cs="宋体"/>
          <w:kern w:val="0"/>
          <w:sz w:val="32"/>
          <w:szCs w:val="32"/>
          <w:lang w:val="en-US" w:eastAsia="zh-CN" w:bidi="ar"/>
        </w:rPr>
        <w:t>12.卫生健康支出</w:t>
      </w:r>
      <w:r>
        <w:rPr>
          <w:rFonts w:hint="eastAsia" w:ascii="宋体" w:hAnsi="宋体" w:eastAsia="宋体" w:cs="宋体"/>
          <w:kern w:val="2"/>
          <w:sz w:val="32"/>
          <w:szCs w:val="32"/>
          <w:lang w:val="en-US" w:eastAsia="zh-CN" w:bidi="ar"/>
        </w:rPr>
        <w:t>（类）医疗保障管理事务（款）行政运行（项）：反映行政单位的基本支出。</w:t>
      </w:r>
    </w:p>
    <w:p>
      <w:pPr>
        <w:keepNext w:val="0"/>
        <w:keepLines w:val="0"/>
        <w:widowControl w:val="0"/>
        <w:suppressLineNumbers w:val="0"/>
        <w:spacing w:before="0" w:beforeAutospacing="0" w:after="0" w:afterAutospacing="0"/>
        <w:ind w:left="0" w:right="0" w:firstLine="480" w:firstLineChars="150"/>
        <w:jc w:val="both"/>
        <w:rPr>
          <w:rFonts w:hint="default" w:ascii="宋体" w:hAnsi="宋体" w:eastAsia="宋体" w:cs="宋体"/>
          <w:kern w:val="2"/>
          <w:sz w:val="32"/>
          <w:szCs w:val="32"/>
          <w:lang w:val="en-US" w:eastAsia="zh-CN" w:bidi="ar"/>
        </w:rPr>
      </w:pPr>
      <w:r>
        <w:rPr>
          <w:rFonts w:hint="eastAsia" w:ascii="宋体" w:hAnsi="宋体" w:eastAsia="宋体" w:cs="宋体"/>
          <w:kern w:val="2"/>
          <w:sz w:val="32"/>
          <w:szCs w:val="32"/>
          <w:lang w:val="en-US" w:eastAsia="zh-CN" w:bidi="ar"/>
        </w:rPr>
        <w:t>13.</w:t>
      </w:r>
      <w:r>
        <w:rPr>
          <w:rFonts w:hint="eastAsia" w:ascii="宋体" w:hAnsi="宋体" w:eastAsia="宋体" w:cs="宋体"/>
          <w:kern w:val="0"/>
          <w:sz w:val="32"/>
          <w:szCs w:val="32"/>
          <w:lang w:val="en-US" w:eastAsia="zh-CN" w:bidi="ar"/>
        </w:rPr>
        <w:t>卫生健康支出</w:t>
      </w:r>
      <w:r>
        <w:rPr>
          <w:rFonts w:hint="eastAsia" w:ascii="宋体" w:hAnsi="宋体" w:eastAsia="宋体" w:cs="宋体"/>
          <w:kern w:val="2"/>
          <w:sz w:val="32"/>
          <w:szCs w:val="32"/>
          <w:lang w:val="en-US" w:eastAsia="zh-CN" w:bidi="ar"/>
        </w:rPr>
        <w:t>（类）医疗保障管理事务（款）医疗保障经办事务（项）：反映</w:t>
      </w:r>
      <w:r>
        <w:rPr>
          <w:rFonts w:hint="eastAsia" w:ascii="宋体" w:hAnsi="宋体" w:eastAsia="宋体" w:cs="宋体"/>
          <w:kern w:val="0"/>
          <w:sz w:val="32"/>
          <w:szCs w:val="32"/>
          <w:lang w:val="en-US" w:eastAsia="zh-CN" w:bidi="ar"/>
        </w:rPr>
        <w:t>医保基金核算、精算、参保登记等医疗保障经办支出。</w:t>
      </w:r>
    </w:p>
    <w:p>
      <w:pPr>
        <w:keepNext w:val="0"/>
        <w:keepLines w:val="0"/>
        <w:widowControl w:val="0"/>
        <w:suppressLineNumbers w:val="0"/>
        <w:spacing w:before="0" w:beforeAutospacing="0" w:after="0" w:afterAutospacing="0"/>
        <w:ind w:left="0" w:right="0" w:firstLine="480" w:firstLineChars="15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14.</w:t>
      </w:r>
      <w:r>
        <w:rPr>
          <w:rFonts w:hint="eastAsia" w:ascii="宋体" w:hAnsi="宋体" w:eastAsia="宋体" w:cs="宋体"/>
          <w:kern w:val="0"/>
          <w:sz w:val="32"/>
          <w:szCs w:val="32"/>
          <w:lang w:val="en-US" w:eastAsia="zh-CN" w:bidi="ar"/>
        </w:rPr>
        <w:t>林水支出</w:t>
      </w:r>
      <w:r>
        <w:rPr>
          <w:rFonts w:hint="eastAsia" w:ascii="宋体" w:hAnsi="宋体" w:eastAsia="宋体" w:cs="宋体"/>
          <w:kern w:val="2"/>
          <w:sz w:val="32"/>
          <w:szCs w:val="32"/>
          <w:lang w:val="en-US" w:eastAsia="zh-CN" w:bidi="ar"/>
        </w:rPr>
        <w:t>（类）</w:t>
      </w:r>
      <w:r>
        <w:rPr>
          <w:rFonts w:hint="eastAsia" w:ascii="宋体" w:hAnsi="宋体" w:eastAsia="宋体" w:cs="宋体"/>
          <w:kern w:val="0"/>
          <w:sz w:val="32"/>
          <w:szCs w:val="32"/>
          <w:lang w:val="en-US" w:eastAsia="zh-CN" w:bidi="ar"/>
        </w:rPr>
        <w:t>扶贫</w:t>
      </w:r>
      <w:r>
        <w:rPr>
          <w:rFonts w:hint="eastAsia" w:ascii="宋体" w:hAnsi="宋体" w:eastAsia="宋体" w:cs="宋体"/>
          <w:kern w:val="2"/>
          <w:sz w:val="32"/>
          <w:szCs w:val="32"/>
          <w:lang w:val="en-US" w:eastAsia="zh-CN" w:bidi="ar"/>
        </w:rPr>
        <w:t>（款）</w:t>
      </w:r>
      <w:r>
        <w:rPr>
          <w:rFonts w:hint="eastAsia" w:ascii="宋体" w:hAnsi="宋体" w:eastAsia="宋体" w:cs="宋体"/>
          <w:kern w:val="0"/>
          <w:sz w:val="32"/>
          <w:szCs w:val="32"/>
          <w:lang w:val="en-US" w:eastAsia="zh-CN" w:bidi="ar"/>
        </w:rPr>
        <w:t>其他扶贫支出（项）</w:t>
      </w:r>
      <w:bookmarkStart w:id="19" w:name="_GoBack"/>
      <w:bookmarkEnd w:id="19"/>
      <w:r>
        <w:rPr>
          <w:rFonts w:hint="eastAsia" w:ascii="宋体" w:hAnsi="宋体" w:eastAsia="宋体" w:cs="宋体"/>
          <w:kern w:val="2"/>
          <w:sz w:val="32"/>
          <w:szCs w:val="32"/>
          <w:highlight w:val="none"/>
          <w:lang w:val="en-US" w:eastAsia="zh-CN" w:bidi="ar"/>
        </w:rPr>
        <w:t>：</w:t>
      </w:r>
      <w:r>
        <w:rPr>
          <w:rFonts w:hint="eastAsia" w:ascii="宋体" w:hAnsi="宋体" w:eastAsia="宋体" w:cs="宋体"/>
          <w:kern w:val="2"/>
          <w:sz w:val="32"/>
          <w:szCs w:val="32"/>
          <w:lang w:val="en-US" w:eastAsia="zh-CN" w:bidi="ar"/>
        </w:rPr>
        <w:t>反映其他用于扶贫方面的支出。</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15.保障（类）住房改革支出（款）住房公积金（项）：指按照《住房公积金管理条例》的规定，由单位及其在职职工缴存的长期住房储金。</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16.基本支出：指为保证机构正常运转，完成日常工作任务而发生的人员支出和公用支出。</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17.项目支出：指在基本支出之外为完成特定行政任务和事业发展目标所发生的支出。</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　　18.“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widowControl w:val="0"/>
        <w:suppressLineNumbers w:val="0"/>
        <w:spacing w:before="0" w:beforeAutospacing="0" w:after="0" w:afterAutospacing="0"/>
        <w:ind w:left="0" w:right="0" w:firstLine="66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19.机关运行经费：为保障行政单位（包含参照公务员法管理的事业单位）运行用于购买货物和服务的各项资金。包括办公及印刷费、邮电费、差旅费、会议费一般设备购置费等费用开支。</w:t>
      </w:r>
    </w:p>
    <w:p>
      <w:pPr>
        <w:keepNext w:val="0"/>
        <w:keepLines w:val="0"/>
        <w:widowControl w:val="0"/>
        <w:suppressLineNumbers w:val="0"/>
        <w:spacing w:before="0" w:beforeAutospacing="0" w:after="0" w:afterAutospacing="0"/>
        <w:ind w:left="0" w:right="0" w:firstLine="660"/>
        <w:jc w:val="both"/>
        <w:rPr>
          <w:rFonts w:hint="eastAsia" w:ascii="宋体" w:hAnsi="宋体" w:eastAsia="宋体" w:cs="宋体"/>
          <w:sz w:val="32"/>
          <w:szCs w:val="32"/>
          <w:lang w:val="en-US"/>
        </w:rPr>
      </w:pPr>
      <w:r>
        <w:rPr>
          <w:rFonts w:hint="eastAsia" w:ascii="宋体" w:hAnsi="宋体" w:eastAsia="宋体" w:cs="宋体"/>
          <w:kern w:val="2"/>
          <w:sz w:val="32"/>
          <w:szCs w:val="32"/>
          <w:lang w:val="en-US" w:eastAsia="zh-CN" w:bidi="ar"/>
        </w:rPr>
        <w:t>20.教育支出：保障对参保单位、职工医疗保险政策的宣传和医疗保险业务人员的培训。</w:t>
      </w:r>
    </w:p>
    <w:p>
      <w:pPr>
        <w:rPr>
          <w:rFonts w:hint="eastAsia" w:ascii="宋体" w:hAnsi="宋体" w:eastAsia="宋体" w:cs="宋体"/>
          <w:sz w:val="32"/>
          <w:szCs w:val="32"/>
        </w:rPr>
      </w:pPr>
    </w:p>
    <w:p>
      <w:pPr>
        <w:keepNext w:val="0"/>
        <w:keepLines w:val="0"/>
        <w:widowControl/>
        <w:suppressLineNumbers w:val="0"/>
        <w:spacing w:before="0" w:beforeAutospacing="0" w:after="0" w:afterAutospacing="0"/>
        <w:ind w:left="0" w:right="0"/>
        <w:jc w:val="both"/>
        <w:rPr>
          <w:kern w:val="0"/>
          <w:lang w:val="en-US"/>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T Extra">
    <w:panose1 w:val="05050102010205020202"/>
    <w:charset w:val="02"/>
    <w:family w:val="auto"/>
    <w:pitch w:val="default"/>
    <w:sig w:usb0="8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11A943"/>
    <w:multiLevelType w:val="multilevel"/>
    <w:tmpl w:val="EA11A943"/>
    <w:lvl w:ilvl="0" w:tentative="0">
      <w:start w:val="1"/>
      <w:numFmt w:val="chineseCounting"/>
      <w:suff w:val="nothing"/>
      <w:lvlText w:val="（%1）"/>
      <w:lvlJc w:val="left"/>
      <w:pPr>
        <w:ind w:left="64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D37B0D"/>
    <w:rsid w:val="0807398B"/>
    <w:rsid w:val="0C4B469E"/>
    <w:rsid w:val="0FBE4CF6"/>
    <w:rsid w:val="11B03ACD"/>
    <w:rsid w:val="16933A7B"/>
    <w:rsid w:val="17D14FE2"/>
    <w:rsid w:val="230C5434"/>
    <w:rsid w:val="2331067D"/>
    <w:rsid w:val="29282703"/>
    <w:rsid w:val="330601C3"/>
    <w:rsid w:val="368338EC"/>
    <w:rsid w:val="38530EB2"/>
    <w:rsid w:val="47FE462A"/>
    <w:rsid w:val="5A2C091C"/>
    <w:rsid w:val="6D073638"/>
    <w:rsid w:val="6FB44421"/>
    <w:rsid w:val="79940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MT Extra" w:hAnsi="MT Extra" w:eastAsia="宋体" w:cs="MT Extr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pPr>
      <w:keepNext w:val="0"/>
      <w:keepLines w:val="0"/>
      <w:widowControl/>
      <w:suppressLineNumbers w:val="0"/>
      <w:spacing w:before="0" w:beforeAutospacing="0" w:after="0" w:afterAutospacing="0"/>
      <w:ind w:left="0" w:right="0"/>
    </w:pPr>
    <w:rPr>
      <w:rFonts w:hint="default" w:ascii="MT Extra" w:hAnsi="MT Extra" w:eastAsia="MT Extra" w:cs="MT Extra"/>
      <w:sz w:val="20"/>
      <w:szCs w:val="20"/>
    </w:rPr>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rPr>
  </w:style>
  <w:style w:type="paragraph" w:styleId="3">
    <w:name w:val="header"/>
    <w:basedOn w:val="1"/>
    <w:link w:val="1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keepNext w:val="0"/>
      <w:keepLines w:val="0"/>
      <w:widowControl w:val="0"/>
      <w:suppressLineNumbers w:val="0"/>
      <w:tabs>
        <w:tab w:val="right" w:leader="dot" w:pos="8296"/>
      </w:tabs>
      <w:spacing w:before="93" w:beforeAutospacing="0" w:after="0" w:afterAutospacing="0"/>
      <w:ind w:left="0" w:right="0"/>
      <w:jc w:val="center"/>
    </w:pPr>
    <w:rPr>
      <w:rFonts w:hint="eastAsia" w:ascii="仿宋" w:hAnsi="仿宋" w:eastAsia="仿宋" w:cs="MT Extra"/>
      <w:kern w:val="2"/>
      <w:sz w:val="28"/>
      <w:szCs w:val="28"/>
      <w:lang w:val="en-US" w:eastAsia="zh-CN" w:bidi="ar"/>
    </w:rPr>
  </w:style>
  <w:style w:type="paragraph" w:styleId="5">
    <w:name w:val="table of figures"/>
    <w:basedOn w:val="1"/>
    <w:next w:val="1"/>
    <w:qFormat/>
    <w:uiPriority w:val="0"/>
    <w:pPr>
      <w:keepNext w:val="0"/>
      <w:keepLines w:val="0"/>
      <w:widowControl w:val="0"/>
      <w:suppressLineNumbers w:val="0"/>
      <w:spacing w:before="0" w:beforeAutospacing="0" w:after="0" w:afterAutospacing="0"/>
      <w:ind w:left="200" w:leftChars="200" w:right="0" w:hanging="200" w:hangingChars="200"/>
      <w:jc w:val="both"/>
    </w:pPr>
    <w:rPr>
      <w:rFonts w:hint="default" w:ascii="MT Extra" w:hAnsi="MT Extra" w:eastAsia="宋体" w:cs="MT Extra"/>
      <w:kern w:val="2"/>
      <w:sz w:val="21"/>
      <w:szCs w:val="24"/>
      <w:lang w:val="en-US" w:eastAsia="zh-CN" w:bidi="ar"/>
    </w:rPr>
  </w:style>
  <w:style w:type="character" w:styleId="8">
    <w:name w:val="Hyperlink"/>
    <w:basedOn w:val="7"/>
    <w:uiPriority w:val="0"/>
    <w:rPr>
      <w:color w:val="0000FF"/>
      <w:u w:val="single"/>
    </w:rPr>
  </w:style>
  <w:style w:type="character" w:customStyle="1" w:styleId="9">
    <w:name w:val="页脚 字符"/>
    <w:basedOn w:val="7"/>
    <w:link w:val="2"/>
    <w:qFormat/>
    <w:uiPriority w:val="0"/>
    <w:rPr>
      <w:kern w:val="2"/>
      <w:sz w:val="18"/>
      <w:szCs w:val="18"/>
    </w:rPr>
  </w:style>
  <w:style w:type="character" w:customStyle="1" w:styleId="10">
    <w:name w:val="页眉 字符"/>
    <w:basedOn w:val="7"/>
    <w:link w:val="3"/>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素『蝶』</cp:lastModifiedBy>
  <dcterms:modified xsi:type="dcterms:W3CDTF">2022-03-30T06:04:08Z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1E83EBA8474341B8AB36C57AB14D4BD6</vt:lpwstr>
  </property>
</Properties>
</file>