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2026年应急管理局部门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 年，我单位部门预算 773.71 万元，均严格按绩效管理要求实现项目绩效目标管理，其中重点项目预算 0 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 2026 年本级部门预算整体绩效目标申报，结合年度重点工作和职能职责，细化绩效指标设置，强化预算资金与绩效目标的关联性，确保预算执行全程可监控、可考核。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二、单位整体绩效目标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color w:val="000000"/>
          <w:sz w:val="16"/>
          <w:szCs w:val="16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（一）整体绩效目标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全面落实应急管理、安全生产和综合防灾减灾救灾各项工作部署，严厉查处安全生产非法违法行为，精准预警各类自然灾害，有效遏制重特大安全事故发生，最大限度降低灾害造成的生命财产损失，提升应急管理综合能力和公共安全保障水平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（二）年度主要任务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left="0" w:firstLineChars="200" w:firstLine="640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1.深化党风廉政建设。一是压实主体责任，压实从严治党责任，聚焦应急执法、救灾资金使用等关键领域，健全风险防控机制，严查形式主义、官僚主义隐形变异问题。二是强化廉政教育，丰富学习形式，深化警示教育与风险防控。将中央八项规定精神学习常态化长效化，计划开展警示教育2次、局党委书记讲廉政党课2次。三是严抓作风建设，紧盯关键岗位，严查违规违纪行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firstLineChars="200" w:firstLine="640"/>
        <w:textAlignment w:val="auto"/>
        <w:outlineLvl w:val="3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推动重点项目落地，极力争取资金支持。推进勒乌镇龙河村龙家山、二楷村大寨子，观音桥镇观音村观音慈悲路，安宁镇安宁村甘牛，庆宁乡新扎口隧洞上方共6处滑坡治理项目实施，争取2900万元项目资金落实。推动金川县防灭火建设项目开工，新建安宁、观音桥2个防灭火物资储备库及扑火队营房，争取2700万元项目资金，确保项目顺利启动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Chars="200" w:firstLine="640"/>
        <w:textAlignment w:val="auto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深化安全生产工作，计划聚焦四方面。一是压实“党政同责、一岗双责”，瞄准矿山、燃气等重点行业，推进治本攻坚，整治违规动火等突出问题，规范企业标准化创建与安全设施“三同时”。二是开展拉网式排查，建立隐患闭环机制，重大隐患挂牌督办，严打非法经营，落实“吹哨人”制度。三是开展重点岗位安全培训，借“安全生产月”推进“七进”宣传，推进智能化作业与智慧监管，提升预警能力。四是将安全生产纳入年度考核，严格值班值守，修订应急预案，常态化开展跨部门联合演练，筑牢安全防线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left="0" w:firstLineChars="200" w:firstLine="640"/>
        <w:textAlignment w:val="auto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森林草原防灭火，强化基础设施建设。协调推进防火通道等项目；严格火源管控，发挥现有卡点作用并按需增设哨点，紧盯高火险区，严审野外用火，坚守“火不上山、火不入林、火不离人”底线；提升扑火能力，依托三大片区驻防条件，常态化开展队伍培训演练，强化综合应急救援及各类扑火队伍建设；全面排查风险隐患，开展火灾风险普查与拉网式排查，深化输配电线路隐患治理，动态管控台账，推进可燃物清理及大风天气电力管控；深化宣传教育，结合相关活动普及法律法规与科普知识，发挥村“两委”作用，营造全民有责氛围；严格执行防火期24小时值班和领导带班制度，强化抽查通报，保障信息畅通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left="0" w:firstLineChars="200" w:firstLine="640"/>
        <w:textAlignment w:val="auto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应急管理体系建设上，健全应急预案体系。突出可操作性，完善监测预警、应急保障机制，规范处置程序；强化应急队伍建设，在现有基础上提升专业队伍素质与救援能力，构建统一高效的专业应急救援体系；加大应急宣传培训力度，完善培训计划，重点提升领导干部应急处置能力，借助媒体普及安全与应急知识，增强公众危机意识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left="0" w:firstLineChars="200" w:firstLine="640"/>
        <w:textAlignment w:val="auto"/>
        <w:rPr>
          <w:rFonts w:ascii="Times New Roman" w:cs="Times New Roman" w:hAnsi="Times New Roman"/>
          <w:sz w:val="32"/>
          <w:szCs w:val="32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.重点领域风险防控方面，紧盯地质灾害与道路安全。配合自然资源局加密地质灾害点监测预警，对庆宁乡、咯尔乡等重点区域开展拉网式隐患复查；配合交通运输局推进G317应急通道除冰防滑与隐患整治，保障道路畅通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（三）部门整体绩效情况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tLeast"/>
        <w:ind w:left="0" w:right="0" w:firstLineChars="200" w:firstLine="640"/>
        <w:jc w:val="left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共设置七个整体绩效目标，其中产出指标中设置数量指标一个、质量指标三个、时效指标两个、社会效益指标一个。</w:t>
      </w:r>
    </w:p>
    <w:p>
      <w:pPr>
        <w:pStyle w:val="15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15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  <w:t>金川县应急管理局2026 年度部门整体绩效目标</w:t>
      </w:r>
    </w:p>
    <w:p>
      <w:pPr>
        <w:pStyle w:val="15"/>
        <w:tabs>
          <w:tab w:val="center" w:pos="4153"/>
          <w:tab w:val="right" w:pos="8306"/>
        </w:tabs>
        <w:jc w:val="center"/>
        <w:rPr>
          <w:rFonts w:ascii="仿宋_GB2312" w:eastAsia="仿宋_GB2312" w:cs="仿宋_GB2312" w:hint="eastAsia"/>
          <w:b/>
          <w:bCs/>
          <w:kern w:val="2"/>
          <w:sz w:val="10"/>
          <w:szCs w:val="10"/>
          <w:lang w:val="en-US" w:eastAsia="zh-CN" w:bidi="ar-SA"/>
        </w:rPr>
      </w:pPr>
    </w:p>
    <w:tbl>
      <w:tblPr>
        <w:jc w:val="left"/>
        <w:tblInd w:w="0" w:type="dxa"/>
        <w:tblW w:w="8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150"/>
        <w:gridCol w:w="345"/>
        <w:gridCol w:w="487"/>
        <w:gridCol w:w="962"/>
        <w:gridCol w:w="1083"/>
        <w:gridCol w:w="1268"/>
        <w:gridCol w:w="125"/>
        <w:gridCol w:w="762"/>
        <w:gridCol w:w="233"/>
        <w:gridCol w:w="244"/>
        <w:gridCol w:w="423"/>
        <w:gridCol w:w="328"/>
        <w:gridCol w:w="909"/>
        <w:gridCol w:w="87"/>
      </w:tblGrid>
      <w:tr>
        <w:trPr>
          <w:trHeight w:val="400"/>
        </w:trPr>
        <w:tc>
          <w:tcPr>
            <w:tcW w:w="83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部门（单位）：147-金川县应急管理局本级</w:t>
            </w:r>
          </w:p>
        </w:tc>
      </w:tr>
      <w:tr>
        <w:trPr>
          <w:trHeight w:val="40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ascii="宋体" w:eastAsia="宋体" w:cs="宋体" w:hint="eastAsia"/>
                <w:b/>
                <w:i w:val="0"/>
                <w:color w:val="auto"/>
                <w:kern w:val="0"/>
                <w:sz w:val="22"/>
                <w:szCs w:val="22"/>
                <w:u w:val="none"/>
                <w:bdr w:val="none" w:sz="0" w:space="0" w:color="auto"/>
                <w:shd w:val="clear" w:color="auto" w:fill="auto"/>
                <w:lang w:val="en-US" w:eastAsia="zh-CN"/>
              </w:rPr>
              <w:t>取时点数</w:t>
            </w:r>
          </w:p>
        </w:tc>
        <w:tc>
          <w:tcPr>
            <w:tcW w:w="4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ascii="宋体" w:eastAsia="宋体" w:cs="宋体" w:hint="eastAsia"/>
                <w:b/>
                <w:i w:val="0"/>
                <w:color w:val="auto"/>
                <w:kern w:val="0"/>
                <w:sz w:val="22"/>
                <w:szCs w:val="22"/>
                <w:u w:val="none"/>
                <w:bdr w:val="none" w:sz="0" w:space="0" w:color="auto"/>
                <w:shd w:val="clear" w:color="auto" w:fill="auto"/>
                <w:lang w:val="en-US" w:eastAsia="zh-CN"/>
              </w:rPr>
              <w:t>年度部门整体预算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ascii="宋体" w:eastAsia="宋体" w:cs="宋体" w:hint="eastAsia"/>
                <w:b/>
                <w:i w:val="0"/>
                <w:color w:val="auto"/>
                <w:kern w:val="0"/>
                <w:sz w:val="22"/>
                <w:szCs w:val="22"/>
                <w:u w:val="none"/>
                <w:bdr w:val="none" w:sz="0" w:space="0" w:color="auto"/>
                <w:shd w:val="clear" w:color="auto" w:fill="auto"/>
                <w:lang w:val="en-US" w:eastAsia="zh-CN"/>
              </w:rPr>
              <w:t>资金总额(万元)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ascii="宋体" w:eastAsia="宋体" w:cs="宋体" w:hint="eastAsia"/>
                <w:b/>
                <w:i w:val="0"/>
                <w:color w:val="auto"/>
                <w:kern w:val="0"/>
                <w:sz w:val="22"/>
                <w:szCs w:val="22"/>
                <w:u w:val="none"/>
                <w:bdr w:val="none" w:sz="0" w:space="0" w:color="auto"/>
                <w:shd w:val="clear" w:color="auto" w:fill="auto"/>
                <w:lang w:val="en-US" w:eastAsia="zh-CN"/>
              </w:rPr>
              <w:t>财政拨款(万元)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ascii="宋体" w:eastAsia="宋体" w:cs="宋体" w:hint="eastAsia"/>
                <w:b/>
                <w:i w:val="0"/>
                <w:color w:val="auto"/>
                <w:kern w:val="0"/>
                <w:sz w:val="22"/>
                <w:szCs w:val="22"/>
                <w:u w:val="none"/>
                <w:bdr w:val="none" w:sz="0" w:space="0" w:color="auto"/>
                <w:shd w:val="clear" w:color="auto" w:fill="auto"/>
                <w:lang w:val="en-US" w:eastAsia="zh-CN"/>
              </w:rPr>
              <w:t>其他资金(万元)</w:t>
            </w:r>
          </w:p>
        </w:tc>
      </w:tr>
      <w:tr>
        <w:trPr>
          <w:trHeight w:val="400"/>
        </w:trPr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批复数</w:t>
            </w:r>
          </w:p>
        </w:tc>
        <w:tc>
          <w:tcPr>
            <w:tcW w:w="4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收入预算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773.71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773.71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400"/>
        </w:trPr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支出预算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773.71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773.71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162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年度总体目标</w:t>
            </w:r>
          </w:p>
        </w:tc>
        <w:tc>
          <w:tcPr>
            <w:tcW w:w="725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落实应急管理工作的重要部署，严肃查处安全生产的非法行为，预警各类灾害，力争降低灾害造成的生命财产安全。有效遏制各类安全事故发生。</w:t>
            </w:r>
          </w:p>
        </w:tc>
      </w:tr>
      <w:tr>
        <w:trPr>
          <w:trHeight w:val="400"/>
          <w:gridAfter w:val="3"/>
          <w:wAfter w:w="1324" w:type="dxa"/>
        </w:trPr>
        <w:tc>
          <w:tcPr>
            <w:tcW w:w="70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sz="0" w:space="0" w:color="auto"/>
                <w:lang w:val="en-US" w:eastAsia="zh-CN"/>
              </w:rPr>
              <w:t>管理效率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指标值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三年均值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2023年指标值 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2024年指标值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2025年指标值 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财政拨款预算偏离度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278%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278.25%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152.05%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228.22%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454.47%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预算年终结余率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2.8%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3%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1.52%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0.32%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7.15%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一般性支出金额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99.4万元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107.47万元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107.47万元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财务管理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财务管理规范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优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400"/>
          <w:gridAfter w:val="1"/>
          <w:wAfter w:w="87" w:type="dxa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采购管理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采购执行率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94%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93.67%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94.1%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98.79%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88.12%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82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sz="0" w:space="0" w:color="auto"/>
                <w:lang w:val="en-US" w:eastAsia="zh-CN"/>
              </w:rPr>
              <w:t>履职效能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指标值（包含数字及文字描述）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常态化应对突发事件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=100%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提升我县应急管理 、安全生产和综合防灾减灾管理水平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显著提升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应急值守时间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=24小时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安全生产综合督查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≥63次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应急处置响应时间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≦2小时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重、特大自然灾害和生产安全事故响应率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=100%</w:t>
            </w:r>
          </w:p>
        </w:tc>
      </w:tr>
      <w:tr>
        <w:trPr>
          <w:trHeight w:val="400"/>
          <w:gridAfter w:val="1"/>
          <w:wAfter w:w="87" w:type="dxa"/>
        </w:trPr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3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较大级以上自然灾害和生产安全事故核实及上报时效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≦2小时</w:t>
            </w:r>
          </w:p>
        </w:tc>
      </w:tr>
    </w:tbl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tLeast"/>
        <w:ind w:left="0" w:firstLineChars="200" w:firstLine="64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2000000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0"/>
    <w:next w:val="0"/>
    <w:pPr>
      <w:spacing w:before="0" w:beforeAutospacing="1" w:after="0" w:afterAutospacing="1"/>
      <w:jc w:val="left"/>
      <w:outlineLvl w:val="3"/>
    </w:pPr>
    <w:rPr>
      <w:rFonts w:asci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Body Text Indent"/>
    <w:basedOn w:val="0"/>
    <w:pPr>
      <w:spacing w:after="120"/>
      <w:ind w:leftChars="200" w:left="200"/>
    </w:p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8">
    <w:name w:val="Body Text First Indent 2"/>
    <w:basedOn w:val="16"/>
    <w:pPr>
      <w:ind w:firstLineChars="200" w:firstLine="200"/>
    </w:pPr>
  </w:style>
  <w:style w:type="character" w:styleId="19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Yozo_Office27021597764231179</Application>
  <Pages>4</Pages>
  <Words>1949</Words>
  <Characters>2102</Characters>
  <Lines>189</Lines>
  <Paragraphs>110</Paragraphs>
  <CharactersWithSpaces>2113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2023-02-06T22:46:00Z</dcterms:created>
  <dcterms:modified xsi:type="dcterms:W3CDTF">2026-03-19T02:24:18Z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  <property fmtid="{D5CDD505-2E9C-101B-9397-08002B2CF9AE}" pid="3" name="ICV">
    <vt:lpwstr>2E8CDE7C5A1FC8975FD0E265B42FEB2C</vt:lpwstr>
  </property>
  <property fmtid="{D5CDD505-2E9C-101B-9397-08002B2CF9AE}" pid="4" name="KSOTemplateDocerSaveRecord">
    <vt:lpwstr>eyJoZGlkIjoiZmIzY2U4YmQ3OWU0NmFiOTJmYWE2Y2MxY2E2Yjk0YzkiLCJ1c2VySWQiOiIxMzAwMTYxMDgxIn0=</vt:lpwstr>
  </property>
</Properties>
</file>