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widowControl/>
        <w:spacing w:line="560" w:lineRule="exact"/>
        <w:ind w:firstLine="60"/>
        <w:jc w:val="center"/>
        <w:rPr>
          <w:rFonts w:ascii="方正小标宋_GBK" w:eastAsia="方正小标宋_GBK" w:cs="方正小标宋简体" w:hint="eastAsia"/>
          <w:color w:val="auto"/>
          <w:kern w:val="0"/>
          <w:sz w:val="36"/>
          <w:szCs w:val="36"/>
          <w:lang w:eastAsia="zh-CN" w:bidi="ar-SA"/>
        </w:rPr>
      </w:pPr>
      <w:r>
        <w:rPr>
          <w:rFonts w:ascii="方正小标宋_GBK" w:eastAsia="方正小标宋_GBK" w:cs="方正小标宋简体" w:hint="eastAsia"/>
          <w:color w:val="auto"/>
          <w:kern w:val="0"/>
          <w:sz w:val="36"/>
          <w:szCs w:val="36"/>
          <w:lang w:eastAsia="zh-CN" w:bidi="ar-SA"/>
        </w:rPr>
        <w:t xml:space="preserve">金川县应急管理局 </w:t>
      </w:r>
    </w:p>
    <w:p>
      <w:pPr>
        <w:widowControl/>
        <w:spacing w:line="560" w:lineRule="exact"/>
        <w:ind w:firstLine="60"/>
        <w:jc w:val="center"/>
        <w:rPr>
          <w:rFonts w:ascii="方正小标宋_GBK" w:eastAsia="方正小标宋_GBK" w:cs="方正小标宋简体" w:hint="eastAsia"/>
          <w:color w:val="auto"/>
          <w:kern w:val="0"/>
          <w:sz w:val="36"/>
          <w:szCs w:val="36"/>
          <w:lang w:eastAsia="zh-CN" w:bidi="ar-SA"/>
        </w:rPr>
      </w:pPr>
      <w:r>
        <w:rPr>
          <w:rFonts w:ascii="方正小标宋_GBK" w:eastAsia="方正小标宋_GBK" w:cs="方正小标宋简体" w:hint="eastAsia"/>
          <w:color w:val="auto"/>
          <w:kern w:val="0"/>
          <w:sz w:val="36"/>
          <w:szCs w:val="36"/>
          <w:lang w:eastAsia="zh-CN" w:bidi="ar-SA"/>
        </w:rPr>
        <w:t>2026 年部门预算编制说明</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rPr>
          <w:color w:val="000000"/>
          <w:sz w:val="32"/>
          <w:szCs w:val="32"/>
          <w:shd w:val="clear" w:color="auto" w:fill="FFFFFF"/>
        </w:rPr>
      </w:pP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rPr>
          <w:rFonts w:ascii="方正黑体_GBK" w:eastAsia="方正黑体_GBK" w:cs="Times New Roman"/>
          <w:b w:val="0"/>
          <w:bCs w:val="0"/>
          <w:color w:val="333333"/>
          <w:kern w:val="0"/>
          <w:sz w:val="32"/>
          <w:szCs w:val="32"/>
          <w:lang w:val="en-US" w:bidi="ar-SA"/>
        </w:rPr>
      </w:pPr>
      <w:r>
        <w:rPr>
          <w:rFonts w:ascii="方正黑体_GBK" w:eastAsia="方正黑体_GBK" w:cs="Times New Roman"/>
          <w:b w:val="0"/>
          <w:bCs w:val="0"/>
          <w:color w:val="333333"/>
          <w:kern w:val="0"/>
          <w:sz w:val="32"/>
          <w:szCs w:val="32"/>
          <w:lang w:val="en-US" w:bidi="ar-SA"/>
        </w:rPr>
        <w:t>一、基本职能及主要工作</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（一）职能简介</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color w:val="333333"/>
          <w:kern w:val="0"/>
          <w:sz w:val="32"/>
          <w:szCs w:val="32"/>
          <w:lang w:val="en-US" w:bidi="ar-SA"/>
        </w:rPr>
        <w:t>1.</w:t>
      </w:r>
      <w:r>
        <w:rPr>
          <w:rFonts w:ascii="仿宋_GB2312" w:eastAsia="仿宋_GB2312" w:cs="仿宋_GB2312" w:hint="eastAsia"/>
          <w:color w:val="333333"/>
          <w:kern w:val="0"/>
          <w:sz w:val="32"/>
          <w:szCs w:val="32"/>
          <w:lang w:val="en-US" w:bidi="ar-SA"/>
        </w:rPr>
        <w:t>负责应急管理工作，组织和指导各乡（镇）、县级各部门（单位）应对安全生产类、自然灾害类等突发事件和综合防灾减灾救灾工作。负责安全生产综合监督管理和工矿商贸安全生产监督管理工作。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2.</w:t>
      </w:r>
      <w:r>
        <w:rPr>
          <w:rFonts w:ascii="仿宋_GB2312" w:eastAsia="仿宋_GB2312" w:cs="仿宋_GB2312" w:hint="eastAsia"/>
          <w:color w:val="333333"/>
          <w:kern w:val="0"/>
          <w:sz w:val="32"/>
          <w:szCs w:val="32"/>
          <w:lang w:val="en-US" w:bidi="ar-SA"/>
        </w:rPr>
        <w:t>拟订应急管理、安全生产等有关规范性文件，组织编制应急体系建设、安全生产和综合防灾减灾规划。</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3.</w:t>
      </w:r>
      <w:r>
        <w:rPr>
          <w:rFonts w:ascii="仿宋_GB2312" w:eastAsia="仿宋_GB2312" w:cs="仿宋_GB2312" w:hint="eastAsia"/>
          <w:color w:val="333333"/>
          <w:kern w:val="0"/>
          <w:sz w:val="32"/>
          <w:szCs w:val="32"/>
          <w:lang w:val="en-US" w:bidi="ar-SA"/>
        </w:rPr>
        <w:t>负责组织、指导应急预案体系建设，建立完善事故灾难和自然灾害分级应对制度，牵头组织编制综合应急防灾减灾预案和安全生产类、自然灾害类专项预案，负责应急预案衔接工作，组织开展预案演练并落实，推动应急避难设施建设。</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4.</w:t>
      </w:r>
      <w:r>
        <w:rPr>
          <w:rFonts w:ascii="仿宋_GB2312" w:eastAsia="仿宋_GB2312" w:cs="仿宋_GB2312" w:hint="eastAsia"/>
          <w:color w:val="333333"/>
          <w:kern w:val="0"/>
          <w:sz w:val="32"/>
          <w:szCs w:val="32"/>
          <w:lang w:val="en-US" w:bidi="ar-SA"/>
        </w:rPr>
        <w:t>牵头建立统一的应急管理信息系统，负责信息传输渠道的规划和布局，建立监测预警和灾情报告制度，健全自然灾害信息资源获取和共享机制，依法统一发布灾情。</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5.</w:t>
      </w:r>
      <w:r>
        <w:rPr>
          <w:rFonts w:ascii="仿宋_GB2312" w:eastAsia="仿宋_GB2312" w:cs="仿宋_GB2312" w:hint="eastAsia"/>
          <w:color w:val="333333"/>
          <w:kern w:val="0"/>
          <w:sz w:val="32"/>
          <w:szCs w:val="32"/>
          <w:lang w:val="en-US" w:bidi="ar-SA"/>
        </w:rPr>
        <w:t>负责组织、指导、协调安全生产类、自然灾害类等突发事件应急救援，承担全县应对较大及以上灾害指挥部工作，综合研判突发事件发展态势并提出应对建议，负责组织较大及以上灾害应急处置工作。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6.</w:t>
      </w:r>
      <w:r>
        <w:rPr>
          <w:rFonts w:ascii="仿宋_GB2312" w:eastAsia="仿宋_GB2312" w:cs="仿宋_GB2312" w:hint="eastAsia"/>
          <w:color w:val="333333"/>
          <w:kern w:val="0"/>
          <w:sz w:val="32"/>
          <w:szCs w:val="32"/>
          <w:lang w:val="en-US" w:bidi="ar-SA"/>
        </w:rPr>
        <w:t>统一协调指挥各类应急专业队伍，建立应急协调联动机制，推进指挥平台对接。</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7.</w:t>
      </w:r>
      <w:r>
        <w:rPr>
          <w:rFonts w:ascii="仿宋_GB2312" w:eastAsia="仿宋_GB2312" w:cs="仿宋_GB2312" w:hint="eastAsia"/>
          <w:color w:val="333333"/>
          <w:kern w:val="0"/>
          <w:sz w:val="32"/>
          <w:szCs w:val="32"/>
          <w:lang w:val="en-US" w:bidi="ar-SA"/>
        </w:rPr>
        <w:t>按照国家、省、州相关政策和规定负责消防、森林和草原火灾扑救、抗洪抢险、地震和地质灾害救援、生产安全事故救援等专业应急救援力量建设，依法依规统筹指导全县社会应急救援力量和应急保障能力建设。</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8.</w:t>
      </w:r>
      <w:r>
        <w:rPr>
          <w:rFonts w:ascii="仿宋_GB2312" w:eastAsia="仿宋_GB2312" w:cs="仿宋_GB2312" w:hint="eastAsia"/>
          <w:color w:val="333333"/>
          <w:kern w:val="0"/>
          <w:sz w:val="32"/>
          <w:szCs w:val="32"/>
          <w:lang w:val="en-US" w:bidi="ar-SA"/>
        </w:rPr>
        <w:t>按照国家、省、州相关政策和县委、县政府相关规定负责消防工作，组织和指导消防监督、火灾预防、火灾扑救等工作。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9.</w:t>
      </w:r>
      <w:r>
        <w:rPr>
          <w:rFonts w:ascii="仿宋_GB2312" w:eastAsia="仿宋_GB2312" w:cs="仿宋_GB2312" w:hint="eastAsia"/>
          <w:color w:val="333333"/>
          <w:kern w:val="0"/>
          <w:sz w:val="32"/>
          <w:szCs w:val="32"/>
          <w:lang w:val="en-US" w:bidi="ar-SA"/>
        </w:rPr>
        <w:t>负责自然灾害综合监测预警工作，承担自然灾害综合风险评估工作，指导协调森林和草原火灾、水旱灾害、地震和地质灾害等防治工作。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10.</w:t>
      </w:r>
      <w:r>
        <w:rPr>
          <w:rFonts w:ascii="仿宋_GB2312" w:eastAsia="仿宋_GB2312" w:cs="仿宋_GB2312" w:hint="eastAsia"/>
          <w:color w:val="333333"/>
          <w:kern w:val="0"/>
          <w:sz w:val="32"/>
          <w:szCs w:val="32"/>
          <w:lang w:val="en-US" w:bidi="ar-SA"/>
        </w:rPr>
        <w:t>负责组织、协调灾害救助工作，组织和指导灾情核查、损失评估、救灾捐赠工作，管理、分配中央、省、州下拨及县级救灾款物并监督使用。</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11.</w:t>
      </w:r>
      <w:r>
        <w:rPr>
          <w:rFonts w:ascii="仿宋_GB2312" w:eastAsia="仿宋_GB2312" w:cs="仿宋_GB2312" w:hint="eastAsia"/>
          <w:color w:val="333333"/>
          <w:kern w:val="0"/>
          <w:sz w:val="32"/>
          <w:szCs w:val="32"/>
          <w:lang w:val="en-US" w:bidi="ar-SA"/>
        </w:rPr>
        <w:t>依法承担县政府安全生产综合监督管理责任，指导协调、监督检查各乡（镇）和各部门（单位）安全生产工作，组织开展安全生产巡查、督查、考核工作。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12.</w:t>
      </w:r>
      <w:r>
        <w:rPr>
          <w:rFonts w:ascii="仿宋_GB2312" w:eastAsia="仿宋_GB2312" w:cs="仿宋_GB2312" w:hint="eastAsia"/>
          <w:color w:val="333333"/>
          <w:kern w:val="0"/>
          <w:sz w:val="32"/>
          <w:szCs w:val="32"/>
          <w:lang w:val="en-US" w:bidi="ar-SA"/>
        </w:rPr>
        <w:t>按照分级、属地原则，依法监督检查工矿商贸生产经营单位贯彻执行安全生产法律法规情况及其安全生产条件和有关设备（特种设备除外）、材料、劳动防护用品的安全生产管理工作。协助做好国家、省、州在县工矿商贸企业安全生产监督管理工作。负责危险化学品综合安全监督管理工作和烟花爆竹安全生产监督管理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13.</w:t>
      </w:r>
      <w:r>
        <w:rPr>
          <w:rFonts w:ascii="仿宋_GB2312" w:eastAsia="仿宋_GB2312" w:cs="仿宋_GB2312" w:hint="eastAsia"/>
          <w:color w:val="333333"/>
          <w:kern w:val="0"/>
          <w:sz w:val="32"/>
          <w:szCs w:val="32"/>
          <w:lang w:val="en-US" w:bidi="ar-SA"/>
        </w:rPr>
        <w:t>承担非煤矿山、危险化学品、非药品类易制毒化学品和烟花爆竹等生产经营单位安全生产准入管理责任。</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14.</w:t>
      </w:r>
      <w:r>
        <w:rPr>
          <w:rFonts w:ascii="仿宋_GB2312" w:eastAsia="仿宋_GB2312" w:cs="仿宋_GB2312" w:hint="eastAsia"/>
          <w:color w:val="333333"/>
          <w:kern w:val="0"/>
          <w:sz w:val="32"/>
          <w:szCs w:val="32"/>
          <w:lang w:val="en-US" w:bidi="ar-SA"/>
        </w:rPr>
        <w:t>依法组织、指导生产安全事故调查处理，监督事故查处和责任追究落实情况。组织开展自然灾害类突发事件的调查评估工作。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15.</w:t>
      </w:r>
      <w:r>
        <w:rPr>
          <w:rFonts w:ascii="仿宋_GB2312" w:eastAsia="仿宋_GB2312" w:cs="仿宋_GB2312" w:hint="eastAsia"/>
          <w:color w:val="333333"/>
          <w:kern w:val="0"/>
          <w:sz w:val="32"/>
          <w:szCs w:val="32"/>
          <w:lang w:val="en-US" w:bidi="ar-SA"/>
        </w:rPr>
        <w:t>开展应急管理和安全生产方面的交流与合作，组织参与安全生产类、自然灾害类等突发事件的跨区域救援工作。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16.</w:t>
      </w:r>
      <w:r>
        <w:rPr>
          <w:rFonts w:ascii="仿宋_GB2312" w:eastAsia="仿宋_GB2312" w:cs="仿宋_GB2312" w:hint="eastAsia"/>
          <w:color w:val="333333"/>
          <w:kern w:val="0"/>
          <w:sz w:val="32"/>
          <w:szCs w:val="32"/>
          <w:lang w:val="en-US" w:bidi="ar-SA"/>
        </w:rPr>
        <w:t>制定应急物资储备和应急救援装备规划并组织实施，会同县发展改革和经济商务信息化局等部门建立健全应急物资信息平台和调拨制度，在救灾时统一调度。</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17.</w:t>
      </w:r>
      <w:r>
        <w:rPr>
          <w:rFonts w:ascii="仿宋_GB2312" w:eastAsia="仿宋_GB2312" w:cs="仿宋_GB2312" w:hint="eastAsia"/>
          <w:color w:val="333333"/>
          <w:kern w:val="0"/>
          <w:sz w:val="32"/>
          <w:szCs w:val="32"/>
          <w:lang w:val="en-US" w:bidi="ar-SA"/>
        </w:rPr>
        <w:t>负责应急管理、安全生产宣传教育和培训工作，组织和指导应急管理、安全生产的科学技术推广应用和信息化建设工作。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18.</w:t>
      </w:r>
      <w:r>
        <w:rPr>
          <w:rFonts w:ascii="仿宋_GB2312" w:eastAsia="仿宋_GB2312" w:cs="仿宋_GB2312" w:hint="eastAsia"/>
          <w:color w:val="333333"/>
          <w:kern w:val="0"/>
          <w:sz w:val="32"/>
          <w:szCs w:val="32"/>
          <w:lang w:val="en-US" w:bidi="ar-SA"/>
        </w:rPr>
        <w:t>负责职责范围内的职业健康、生态环境保护、公共机构节能减排、审批服务便民化工作。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hint="eastAsia"/>
          <w:color w:val="333333"/>
          <w:kern w:val="0"/>
          <w:sz w:val="32"/>
          <w:szCs w:val="32"/>
          <w:lang w:val="en-US" w:eastAsia="zh-CN" w:bidi="ar-SA"/>
        </w:rPr>
        <w:t>19.</w:t>
      </w:r>
      <w:r>
        <w:rPr>
          <w:rFonts w:ascii="仿宋_GB2312" w:eastAsia="仿宋_GB2312" w:cs="仿宋_GB2312" w:hint="eastAsia"/>
          <w:color w:val="333333"/>
          <w:kern w:val="0"/>
          <w:sz w:val="32"/>
          <w:szCs w:val="32"/>
          <w:lang w:val="en-US" w:bidi="ar-SA"/>
        </w:rPr>
        <w:t>完成县委、县政府交办的其他任务。</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（二）2026 年重点工作</w:t>
      </w:r>
    </w:p>
    <w:p>
      <w:pPr>
        <w:widowControl/>
        <w:spacing w:line="560" w:lineRule="exact"/>
        <w:ind w:firstLineChars="227" w:firstLine="726"/>
        <w:rPr>
          <w:rFonts w:ascii="仿宋_GB2312" w:eastAsia="仿宋_GB2312" w:cs="仿宋_GB2312"/>
          <w:color w:val="333333"/>
          <w:kern w:val="0"/>
          <w:sz w:val="32"/>
          <w:szCs w:val="32"/>
          <w:lang w:val="en-US" w:bidi="ar-SA"/>
        </w:rPr>
      </w:pPr>
      <w:r>
        <w:rPr>
          <w:rFonts w:ascii="仿宋_GB2312" w:eastAsia="仿宋_GB2312" w:cs="仿宋_GB2312"/>
          <w:color w:val="333333"/>
          <w:kern w:val="0"/>
          <w:sz w:val="32"/>
          <w:szCs w:val="32"/>
          <w:lang w:val="en-US" w:bidi="ar-SA"/>
        </w:rPr>
        <w:t>2026年，金川县应急管理局紧扣“十五五”规划应急管理体系和能力现代化要求，深入贯彻州委、县委关于安全工作的部署安排，锚定“事前预防”转型核心，压实“党政同责”链条，聚焦森林草原防灭火、地质灾害防控及重点行业安全，以科技赋能、隐患整治、队伍提能为抓手，全力筑牢公共安全防线。</w:t>
      </w:r>
    </w:p>
    <w:p>
      <w:pPr>
        <w:pStyle w:val="16"/>
        <w:keepNext w:val="0"/>
        <w:keepLines w:val="0"/>
        <w:pageBreakBefore w:val="0"/>
        <w:widowControl w:val="0"/>
        <w:kinsoku/>
        <w:wordWrap/>
        <w:overflowPunct/>
        <w:topLinePunct w:val="0"/>
        <w:autoSpaceDE/>
        <w:autoSpaceDN/>
        <w:bidi w:val="0"/>
        <w:adjustRightInd/>
        <w:snapToGrid/>
        <w:spacing w:line="540" w:lineRule="exact"/>
        <w:ind w:leftChars="0" w:left="0" w:firstLineChars="200" w:firstLine="640"/>
        <w:textAlignment w:val="auto"/>
        <w:rPr>
          <w:rFonts w:ascii="仿宋_GB2312" w:eastAsia="仿宋_GB2312" w:cs="仿宋_GB2312"/>
          <w:color w:val="333333"/>
          <w:kern w:val="0"/>
          <w:sz w:val="32"/>
          <w:szCs w:val="32"/>
          <w:lang w:val="en-US" w:bidi="ar-SA"/>
        </w:rPr>
      </w:pPr>
      <w:r>
        <w:rPr>
          <w:rFonts w:ascii="Times New Roman" w:eastAsia="方正仿宋_GBK" w:cs="Times New Roman" w:hAnsi="Times New Roman"/>
          <w:b/>
          <w:bCs/>
          <w:i w:val="0"/>
          <w:iCs w:val="0"/>
          <w:caps w:val="0"/>
          <w:smallCaps w:val="0"/>
          <w:color w:val="1F2329"/>
          <w:spacing w:val="0"/>
          <w:sz w:val="32"/>
          <w:szCs w:val="32"/>
          <w:shd w:val="clear" w:color="auto" w:fill="FFFFFF"/>
          <w:lang w:val="en-US" w:eastAsia="zh-CN"/>
        </w:rPr>
        <w:t>1.</w:t>
      </w:r>
      <w:r>
        <w:rPr>
          <w:rFonts w:ascii="Times New Roman" w:eastAsia="方正仿宋_GBK" w:cs="Times New Roman" w:hAnsi="Times New Roman"/>
          <w:b/>
          <w:bCs/>
          <w:i w:val="0"/>
          <w:iCs w:val="0"/>
          <w:caps w:val="0"/>
          <w:smallCaps w:val="0"/>
          <w:color w:val="1F2329"/>
          <w:spacing w:val="0"/>
          <w:sz w:val="32"/>
          <w:szCs w:val="32"/>
          <w:shd w:val="clear" w:color="auto" w:fill="FFFFFF"/>
        </w:rPr>
        <w:t>深化党风廉政建设。</w:t>
      </w:r>
      <w:r>
        <w:rPr>
          <w:rFonts w:ascii="仿宋_GB2312" w:eastAsia="仿宋_GB2312" w:cs="仿宋_GB2312"/>
          <w:color w:val="333333"/>
          <w:kern w:val="0"/>
          <w:sz w:val="32"/>
          <w:szCs w:val="32"/>
          <w:lang w:val="en-US" w:bidi="ar-SA"/>
        </w:rPr>
        <w:t>一是压实主体责任，压实从严治党责任，聚焦应急执法、救灾资金使用等关键领域，健全风险防控机制，严查形式主义、官僚主义隐形变异问题。二是强化廉政教育，丰富学习形式，深化警示教育与风险防控。将中央八项规定精神学习常态化长效化，计划开展警示教育2次、局党委书记讲廉政党课2次。三是严抓作风建设，紧盯关键岗位，严查违规违纪行为。</w:t>
      </w:r>
    </w:p>
    <w:p>
      <w:pPr>
        <w:pStyle w:val="4"/>
        <w:keepNext w:val="0"/>
        <w:keepLines w:val="0"/>
        <w:pageBreakBefore w:val="0"/>
        <w:widowControl/>
        <w:suppressLineNumbers w:val="0"/>
        <w:kinsoku/>
        <w:wordWrap/>
        <w:overflowPunct/>
        <w:topLinePunct w:val="0"/>
        <w:autoSpaceDE/>
        <w:autoSpaceDN/>
        <w:bidi w:val="0"/>
        <w:adjustRightInd/>
        <w:snapToGrid/>
        <w:spacing w:beforeAutospacing="0" w:after="0" w:afterAutospacing="0" w:line="540" w:lineRule="exact"/>
        <w:ind w:left="0" w:firstLineChars="200" w:firstLine="640"/>
        <w:textAlignment w:val="auto"/>
        <w:outlineLvl w:val="3"/>
        <w:rPr>
          <w:rFonts w:ascii="仿宋_GB2312" w:eastAsia="仿宋_GB2312" w:cs="仿宋_GB2312"/>
          <w:b w:val="0"/>
          <w:bCs w:val="0"/>
          <w:color w:val="333333"/>
          <w:kern w:val="0"/>
          <w:sz w:val="32"/>
          <w:szCs w:val="32"/>
          <w:lang w:val="en-US" w:bidi="ar-SA"/>
        </w:rPr>
      </w:pPr>
      <w:r>
        <w:rPr>
          <w:rFonts w:ascii="Times New Roman" w:eastAsia="方正仿宋_GBK" w:cs="Times New Roman" w:hAnsi="Times New Roman"/>
          <w:b/>
          <w:bCs/>
          <w:kern w:val="0"/>
          <w:sz w:val="32"/>
          <w:szCs w:val="32"/>
          <w:lang w:val="en-US" w:eastAsia="zh-CN"/>
        </w:rPr>
        <w:t>2.</w:t>
      </w:r>
      <w:r>
        <w:rPr>
          <w:rFonts w:ascii="Times New Roman" w:eastAsia="方正仿宋_GBK" w:cs="Times New Roman" w:hAnsi="Times New Roman"/>
          <w:b/>
          <w:bCs/>
          <w:sz w:val="32"/>
          <w:szCs w:val="32"/>
        </w:rPr>
        <w:t>推动重点项目落地</w:t>
      </w:r>
      <w:r>
        <w:rPr>
          <w:rFonts w:ascii="Times New Roman" w:eastAsia="方正仿宋_GBK" w:cs="Times New Roman" w:hAnsi="Times New Roman"/>
          <w:b/>
          <w:bCs/>
          <w:sz w:val="32"/>
          <w:szCs w:val="32"/>
          <w:lang w:eastAsia="zh-CN"/>
        </w:rPr>
        <w:t>，</w:t>
      </w:r>
      <w:r>
        <w:rPr>
          <w:rFonts w:ascii="Times New Roman" w:eastAsia="方正仿宋_GBK" w:cs="Times New Roman" w:hAnsi="Times New Roman"/>
          <w:b/>
          <w:bCs/>
          <w:sz w:val="32"/>
          <w:szCs w:val="32"/>
        </w:rPr>
        <w:t>极</w:t>
      </w:r>
      <w:r>
        <w:rPr>
          <w:rFonts w:ascii="Times New Roman" w:eastAsia="方正仿宋_GBK" w:cs="Times New Roman" w:hAnsi="Times New Roman"/>
          <w:b/>
          <w:bCs/>
          <w:sz w:val="32"/>
          <w:szCs w:val="32"/>
          <w:lang w:val="en-US" w:eastAsia="zh-CN"/>
        </w:rPr>
        <w:t>力</w:t>
      </w:r>
      <w:r>
        <w:rPr>
          <w:rFonts w:ascii="Times New Roman" w:eastAsia="方正仿宋_GBK" w:cs="Times New Roman" w:hAnsi="Times New Roman"/>
          <w:b/>
          <w:bCs/>
          <w:sz w:val="32"/>
          <w:szCs w:val="32"/>
        </w:rPr>
        <w:t>争取资金支持</w:t>
      </w:r>
      <w:r>
        <w:rPr>
          <w:rFonts w:ascii="Times New Roman" w:eastAsia="方正仿宋_GBK" w:cs="Times New Roman" w:hAnsi="Times New Roman"/>
          <w:b/>
          <w:bCs/>
          <w:sz w:val="32"/>
          <w:szCs w:val="32"/>
          <w:lang w:eastAsia="zh-CN"/>
        </w:rPr>
        <w:t>。</w:t>
      </w:r>
      <w:r>
        <w:rPr>
          <w:rFonts w:ascii="仿宋_GB2312" w:eastAsia="仿宋_GB2312" w:cs="仿宋_GB2312"/>
          <w:b w:val="0"/>
          <w:bCs w:val="0"/>
          <w:color w:val="333333"/>
          <w:kern w:val="0"/>
          <w:sz w:val="32"/>
          <w:szCs w:val="32"/>
          <w:lang w:val="en-US" w:bidi="ar-SA"/>
        </w:rPr>
        <w:t>推进勒乌镇龙河村龙家山、二楷村大寨子，观音桥镇观音村观音慈悲路，安宁镇安宁村甘牛，庆宁乡新扎口隧洞上方共</w:t>
      </w:r>
      <w:r>
        <w:rPr>
          <w:rFonts w:ascii="仿宋_GB2312" w:eastAsia="仿宋_GB2312" w:cs="仿宋_GB2312"/>
          <w:b w:val="0"/>
          <w:bCs w:val="0"/>
          <w:color w:val="333333"/>
          <w:kern w:val="0"/>
          <w:sz w:val="32"/>
          <w:szCs w:val="32"/>
          <w:lang w:val="en-US" w:eastAsia="zh-CN" w:bidi="ar-SA"/>
        </w:rPr>
        <w:t>6</w:t>
      </w:r>
      <w:r>
        <w:rPr>
          <w:rFonts w:ascii="仿宋_GB2312" w:eastAsia="仿宋_GB2312" w:cs="仿宋_GB2312"/>
          <w:b w:val="0"/>
          <w:bCs w:val="0"/>
          <w:color w:val="333333"/>
          <w:kern w:val="0"/>
          <w:sz w:val="32"/>
          <w:szCs w:val="32"/>
          <w:lang w:val="en-US" w:bidi="ar-SA"/>
        </w:rPr>
        <w:t>处滑坡治理项目实施，争取</w:t>
      </w:r>
      <w:r>
        <w:rPr>
          <w:rFonts w:ascii="仿宋_GB2312" w:eastAsia="仿宋_GB2312" w:cs="仿宋_GB2312"/>
          <w:b w:val="0"/>
          <w:bCs w:val="0"/>
          <w:color w:val="333333"/>
          <w:kern w:val="0"/>
          <w:sz w:val="32"/>
          <w:szCs w:val="32"/>
          <w:lang w:val="en-US" w:eastAsia="zh-CN" w:bidi="ar-SA"/>
        </w:rPr>
        <w:t>2900</w:t>
      </w:r>
      <w:r>
        <w:rPr>
          <w:rFonts w:ascii="仿宋_GB2312" w:eastAsia="仿宋_GB2312" w:cs="仿宋_GB2312"/>
          <w:b w:val="0"/>
          <w:bCs w:val="0"/>
          <w:color w:val="333333"/>
          <w:kern w:val="0"/>
          <w:sz w:val="32"/>
          <w:szCs w:val="32"/>
          <w:lang w:val="en-US" w:bidi="ar-SA"/>
        </w:rPr>
        <w:t>万元项目资金落实。推动金川县防灭火建设项目开工，新建安宁、观音桥</w:t>
      </w:r>
      <w:r>
        <w:rPr>
          <w:rFonts w:ascii="仿宋_GB2312" w:eastAsia="仿宋_GB2312" w:cs="仿宋_GB2312"/>
          <w:b w:val="0"/>
          <w:bCs w:val="0"/>
          <w:color w:val="333333"/>
          <w:kern w:val="0"/>
          <w:sz w:val="32"/>
          <w:szCs w:val="32"/>
          <w:lang w:val="en-US" w:eastAsia="zh-CN" w:bidi="ar-SA"/>
        </w:rPr>
        <w:t>2</w:t>
      </w:r>
      <w:r>
        <w:rPr>
          <w:rFonts w:ascii="仿宋_GB2312" w:eastAsia="仿宋_GB2312" w:cs="仿宋_GB2312"/>
          <w:b w:val="0"/>
          <w:bCs w:val="0"/>
          <w:color w:val="333333"/>
          <w:kern w:val="0"/>
          <w:sz w:val="32"/>
          <w:szCs w:val="32"/>
          <w:lang w:val="en-US" w:bidi="ar-SA"/>
        </w:rPr>
        <w:t>个防灭火物资储备库及扑火队营房，争取</w:t>
      </w:r>
      <w:r>
        <w:rPr>
          <w:rFonts w:ascii="仿宋_GB2312" w:eastAsia="仿宋_GB2312" w:cs="仿宋_GB2312"/>
          <w:b w:val="0"/>
          <w:bCs w:val="0"/>
          <w:color w:val="333333"/>
          <w:kern w:val="0"/>
          <w:sz w:val="32"/>
          <w:szCs w:val="32"/>
          <w:lang w:val="en-US" w:eastAsia="zh-CN" w:bidi="ar-SA"/>
        </w:rPr>
        <w:t>2700</w:t>
      </w:r>
      <w:r>
        <w:rPr>
          <w:rFonts w:ascii="仿宋_GB2312" w:eastAsia="仿宋_GB2312" w:cs="仿宋_GB2312"/>
          <w:b w:val="0"/>
          <w:bCs w:val="0"/>
          <w:color w:val="333333"/>
          <w:kern w:val="0"/>
          <w:sz w:val="32"/>
          <w:szCs w:val="32"/>
          <w:lang w:val="en-US" w:bidi="ar-SA"/>
        </w:rPr>
        <w:t>万元项目资金，确保项目顺利启动建设。</w:t>
      </w:r>
    </w:p>
    <w:p>
      <w:pPr>
        <w:keepNext w:val="0"/>
        <w:keepLines w:val="0"/>
        <w:pageBreakBefore w:val="0"/>
        <w:widowControl w:val="0"/>
        <w:kinsoku/>
        <w:wordWrap/>
        <w:overflowPunct/>
        <w:topLinePunct w:val="0"/>
        <w:autoSpaceDE/>
        <w:autoSpaceDN/>
        <w:bidi w:val="0"/>
        <w:adjustRightInd/>
        <w:snapToGrid/>
        <w:spacing w:line="540" w:lineRule="exact"/>
        <w:ind w:left="0" w:firstLineChars="200" w:firstLine="640"/>
        <w:textAlignment w:val="auto"/>
        <w:rPr>
          <w:rFonts w:ascii="仿宋_GB2312" w:eastAsia="仿宋_GB2312" w:cs="仿宋_GB2312"/>
          <w:b w:val="0"/>
          <w:bCs w:val="0"/>
          <w:color w:val="333333"/>
          <w:kern w:val="0"/>
          <w:sz w:val="32"/>
          <w:szCs w:val="32"/>
          <w:lang w:val="en-US" w:bidi="ar-SA"/>
        </w:rPr>
      </w:pPr>
      <w:r>
        <w:rPr>
          <w:rFonts w:ascii="Times New Roman" w:eastAsia="方正仿宋_GBK" w:cs="Times New Roman" w:hAnsi="Times New Roman"/>
          <w:b/>
          <w:bCs/>
          <w:kern w:val="2"/>
          <w:sz w:val="32"/>
          <w:szCs w:val="32"/>
          <w:lang w:val="en-US" w:eastAsia="zh-CN" w:bidi="ar-SA"/>
        </w:rPr>
        <w:t>3.深化</w:t>
      </w:r>
      <w:r>
        <w:rPr>
          <w:rFonts w:ascii="Times New Roman" w:eastAsia="方正仿宋_GBK" w:cs="Times New Roman" w:hAnsi="Times New Roman"/>
          <w:b/>
          <w:bCs/>
          <w:i w:val="0"/>
          <w:iCs w:val="0"/>
          <w:caps w:val="0"/>
          <w:smallCaps w:val="0"/>
          <w:spacing w:val="0"/>
          <w:sz w:val="32"/>
          <w:szCs w:val="32"/>
          <w:shd w:val="clear" w:color="auto" w:fill="FFFFFF"/>
        </w:rPr>
        <w:t>安全生产工作</w:t>
      </w:r>
      <w:r>
        <w:rPr>
          <w:rFonts w:ascii="Times New Roman" w:eastAsia="方正仿宋_GBK" w:cs="Times New Roman" w:hAnsi="Times New Roman"/>
          <w:b/>
          <w:bCs/>
          <w:i w:val="0"/>
          <w:iCs w:val="0"/>
          <w:caps w:val="0"/>
          <w:smallCaps w:val="0"/>
          <w:spacing w:val="0"/>
          <w:sz w:val="32"/>
          <w:szCs w:val="32"/>
          <w:shd w:val="clear" w:color="auto" w:fill="FFFFFF"/>
          <w:lang w:eastAsia="zh-CN"/>
        </w:rPr>
        <w:t>，</w:t>
      </w:r>
      <w:r>
        <w:rPr>
          <w:rFonts w:ascii="Times New Roman" w:eastAsia="方正仿宋_GBK" w:cs="Times New Roman" w:hAnsi="Times New Roman"/>
          <w:b/>
          <w:bCs/>
          <w:i w:val="0"/>
          <w:iCs w:val="0"/>
          <w:caps w:val="0"/>
          <w:smallCaps w:val="0"/>
          <w:spacing w:val="0"/>
          <w:sz w:val="32"/>
          <w:szCs w:val="32"/>
          <w:shd w:val="clear" w:color="auto" w:fill="FFFFFF"/>
        </w:rPr>
        <w:t>计划聚焦四方面</w:t>
      </w:r>
      <w:r>
        <w:rPr>
          <w:rFonts w:ascii="Times New Roman" w:eastAsia="方正仿宋_GBK" w:cs="Times New Roman" w:hAnsi="Times New Roman"/>
          <w:b/>
          <w:bCs/>
          <w:i w:val="0"/>
          <w:iCs w:val="0"/>
          <w:caps w:val="0"/>
          <w:smallCaps w:val="0"/>
          <w:spacing w:val="0"/>
          <w:sz w:val="32"/>
          <w:szCs w:val="32"/>
          <w:shd w:val="clear" w:color="auto" w:fill="FFFFFF"/>
          <w:lang w:eastAsia="zh-CN"/>
        </w:rPr>
        <w:t>。</w:t>
      </w:r>
      <w:r>
        <w:rPr>
          <w:rFonts w:ascii="仿宋_GB2312" w:eastAsia="仿宋_GB2312" w:cs="仿宋_GB2312"/>
          <w:b w:val="0"/>
          <w:bCs w:val="0"/>
          <w:color w:val="333333"/>
          <w:kern w:val="0"/>
          <w:sz w:val="32"/>
          <w:szCs w:val="32"/>
          <w:lang w:val="en-US" w:bidi="ar-SA"/>
        </w:rPr>
        <w:t>一是压实“党政同责、一岗双责”，瞄准矿山、燃气等重点行业，推进治本攻坚，整治违规动火等突出问题，规范企业标准化创建与安全设施“三同时”。二是开展拉网式排查，建立隐患闭环机制，重大隐患挂牌督办，严打非法经营，落实“吹哨人”制度。三是开展重点岗位安全培训，借“安全生产月”推进“七进”宣传，推进智能化作业与智慧监管，提升预警能力。四是将安全生产纳入年度考核，严格值班值守，修订应急预案，常态化开展跨部门联合演练，筑牢安全防线。</w:t>
      </w:r>
    </w:p>
    <w:p>
      <w:pPr>
        <w:pStyle w:val="16"/>
        <w:keepNext w:val="0"/>
        <w:keepLines w:val="0"/>
        <w:pageBreakBefore w:val="0"/>
        <w:widowControl w:val="0"/>
        <w:kinsoku/>
        <w:wordWrap/>
        <w:overflowPunct/>
        <w:topLinePunct w:val="0"/>
        <w:autoSpaceDE/>
        <w:autoSpaceDN/>
        <w:bidi w:val="0"/>
        <w:adjustRightInd/>
        <w:snapToGrid/>
        <w:spacing w:line="540" w:lineRule="exact"/>
        <w:ind w:leftChars="0" w:left="0" w:firstLineChars="200" w:firstLine="640"/>
        <w:textAlignment w:val="auto"/>
        <w:rPr>
          <w:rFonts w:ascii="仿宋_GB2312" w:eastAsia="仿宋_GB2312" w:cs="仿宋_GB2312"/>
          <w:b w:val="0"/>
          <w:bCs w:val="0"/>
          <w:color w:val="333333"/>
          <w:kern w:val="0"/>
          <w:sz w:val="32"/>
          <w:szCs w:val="32"/>
          <w:lang w:val="en-US" w:bidi="ar-SA"/>
        </w:rPr>
      </w:pPr>
      <w:r>
        <w:rPr>
          <w:rFonts w:ascii="Times New Roman" w:eastAsia="方正仿宋_GBK" w:cs="Times New Roman" w:hAnsi="Times New Roman"/>
          <w:b/>
          <w:bCs/>
          <w:i w:val="0"/>
          <w:iCs w:val="0"/>
          <w:caps w:val="0"/>
          <w:smallCaps w:val="0"/>
          <w:color w:val="1F2329"/>
          <w:spacing w:val="0"/>
          <w:sz w:val="32"/>
          <w:szCs w:val="32"/>
          <w:shd w:val="clear" w:color="auto" w:fill="FFFFFF"/>
          <w:lang w:val="en-US" w:eastAsia="zh-CN"/>
        </w:rPr>
        <w:t>4.</w:t>
      </w:r>
      <w:r>
        <w:rPr>
          <w:rFonts w:ascii="Times New Roman" w:eastAsia="方正仿宋_GBK" w:cs="Times New Roman" w:hAnsi="Times New Roman"/>
          <w:b/>
          <w:bCs/>
          <w:i w:val="0"/>
          <w:iCs w:val="0"/>
          <w:caps w:val="0"/>
          <w:smallCaps w:val="0"/>
          <w:color w:val="1F2329"/>
          <w:spacing w:val="0"/>
          <w:sz w:val="32"/>
          <w:szCs w:val="32"/>
          <w:shd w:val="clear" w:color="auto" w:fill="FFFFFF"/>
        </w:rPr>
        <w:t>森林草原防灭火，强化基础设施建设</w:t>
      </w:r>
      <w:r>
        <w:rPr>
          <w:rFonts w:ascii="Times New Roman" w:eastAsia="方正仿宋_GBK" w:cs="Times New Roman" w:hAnsi="Times New Roman"/>
          <w:b/>
          <w:bCs/>
          <w:i w:val="0"/>
          <w:iCs w:val="0"/>
          <w:caps w:val="0"/>
          <w:smallCaps w:val="0"/>
          <w:color w:val="1F2329"/>
          <w:spacing w:val="0"/>
          <w:sz w:val="32"/>
          <w:szCs w:val="32"/>
          <w:shd w:val="clear" w:color="auto" w:fill="FFFFFF"/>
          <w:lang w:eastAsia="zh-CN"/>
        </w:rPr>
        <w:t>。</w:t>
      </w:r>
      <w:r>
        <w:rPr>
          <w:rFonts w:ascii="仿宋_GB2312" w:eastAsia="仿宋_GB2312" w:cs="仿宋_GB2312"/>
          <w:b w:val="0"/>
          <w:bCs w:val="0"/>
          <w:color w:val="333333"/>
          <w:kern w:val="0"/>
          <w:sz w:val="32"/>
          <w:szCs w:val="32"/>
          <w:lang w:val="en-US" w:bidi="ar-SA"/>
        </w:rPr>
        <w:t>协调推进防火通道等项目；严格火源管控，发挥现有卡点作用并按需增设哨点，紧盯高火险区，严审野外用火，坚守“火不上山、火不入林、火不离人”底线；提升扑火能力，依托三大片区驻防条件，常态化开展队伍培训演练，强化综合应急救援及各类扑火队伍建设；全面排查风险隐患，开展火灾风险普查与拉网式排查，深化输配电线路隐患治理，动态管控台账，推进可燃物清理及大风天气电力管控；深化宣传教育，结合相关活动普及法律法规与科普知识，发挥村“两委”作用，营造全民有责氛围；严格执行防火期24小时值班和领导带班制度，强化抽查通报，保障信息畅通。</w:t>
      </w:r>
    </w:p>
    <w:p>
      <w:pPr>
        <w:pStyle w:val="16"/>
        <w:keepNext w:val="0"/>
        <w:keepLines w:val="0"/>
        <w:pageBreakBefore w:val="0"/>
        <w:widowControl w:val="0"/>
        <w:kinsoku/>
        <w:wordWrap/>
        <w:overflowPunct/>
        <w:topLinePunct w:val="0"/>
        <w:autoSpaceDE/>
        <w:autoSpaceDN/>
        <w:bidi w:val="0"/>
        <w:adjustRightInd/>
        <w:snapToGrid/>
        <w:spacing w:line="540" w:lineRule="exact"/>
        <w:ind w:leftChars="0" w:left="0" w:firstLineChars="200" w:firstLine="640"/>
        <w:textAlignment w:val="auto"/>
        <w:rPr>
          <w:rFonts w:ascii="仿宋_GB2312" w:eastAsia="仿宋_GB2312" w:cs="仿宋_GB2312"/>
          <w:b w:val="0"/>
          <w:bCs w:val="0"/>
          <w:color w:val="333333"/>
          <w:kern w:val="0"/>
          <w:sz w:val="32"/>
          <w:szCs w:val="32"/>
          <w:lang w:val="en-US" w:bidi="ar-SA"/>
        </w:rPr>
      </w:pPr>
      <w:r>
        <w:rPr>
          <w:rFonts w:ascii="Times New Roman" w:eastAsia="方正仿宋_GBK" w:cs="Times New Roman" w:hAnsi="Times New Roman"/>
          <w:b/>
          <w:bCs/>
          <w:i w:val="0"/>
          <w:iCs w:val="0"/>
          <w:caps w:val="0"/>
          <w:smallCaps w:val="0"/>
          <w:color w:val="1F2329"/>
          <w:spacing w:val="0"/>
          <w:sz w:val="32"/>
          <w:szCs w:val="32"/>
          <w:shd w:val="clear" w:color="auto" w:fill="FFFFFF"/>
          <w:lang w:val="en-US" w:eastAsia="zh-CN"/>
        </w:rPr>
        <w:t>5.</w:t>
      </w:r>
      <w:r>
        <w:rPr>
          <w:rFonts w:ascii="Times New Roman" w:eastAsia="方正仿宋_GBK" w:cs="Times New Roman" w:hAnsi="Times New Roman"/>
          <w:b/>
          <w:bCs/>
          <w:i w:val="0"/>
          <w:iCs w:val="0"/>
          <w:caps w:val="0"/>
          <w:smallCaps w:val="0"/>
          <w:color w:val="1F2329"/>
          <w:spacing w:val="0"/>
          <w:sz w:val="32"/>
          <w:szCs w:val="32"/>
          <w:shd w:val="clear" w:color="auto" w:fill="FFFFFF"/>
        </w:rPr>
        <w:t>应急管理体系建设上，健全应急预案体系</w:t>
      </w:r>
      <w:r>
        <w:rPr>
          <w:rFonts w:ascii="Times New Roman" w:eastAsia="方正仿宋_GBK" w:cs="Times New Roman" w:hAnsi="Times New Roman"/>
          <w:b/>
          <w:bCs/>
          <w:i w:val="0"/>
          <w:iCs w:val="0"/>
          <w:caps w:val="0"/>
          <w:smallCaps w:val="0"/>
          <w:color w:val="1F2329"/>
          <w:spacing w:val="0"/>
          <w:sz w:val="32"/>
          <w:szCs w:val="32"/>
          <w:shd w:val="clear" w:color="auto" w:fill="FFFFFF"/>
          <w:lang w:eastAsia="zh-CN"/>
        </w:rPr>
        <w:t>。</w:t>
      </w:r>
      <w:r>
        <w:rPr>
          <w:rFonts w:ascii="仿宋_GB2312" w:eastAsia="仿宋_GB2312" w:cs="仿宋_GB2312"/>
          <w:b w:val="0"/>
          <w:bCs w:val="0"/>
          <w:color w:val="333333"/>
          <w:kern w:val="0"/>
          <w:sz w:val="32"/>
          <w:szCs w:val="32"/>
          <w:lang w:val="en-US" w:bidi="ar-SA"/>
        </w:rPr>
        <w:t>突出可操作性，完善监测预警、应急保障机制，规范处置程序；强化应急队伍建设，在现有基础上提升专业队伍素质与救援能力，构建统一高效的专业应急救援体系；加大应急宣传培训力度，完善培训计划，重点提升领导干部应急处置能力，借助媒体普及安全与应急知识，增强公众危机意识。</w:t>
      </w:r>
    </w:p>
    <w:p>
      <w:pPr>
        <w:pStyle w:val="16"/>
        <w:keepNext w:val="0"/>
        <w:keepLines w:val="0"/>
        <w:pageBreakBefore w:val="0"/>
        <w:widowControl w:val="0"/>
        <w:kinsoku/>
        <w:wordWrap/>
        <w:overflowPunct/>
        <w:topLinePunct w:val="0"/>
        <w:autoSpaceDE/>
        <w:autoSpaceDN/>
        <w:bidi w:val="0"/>
        <w:adjustRightInd/>
        <w:snapToGrid/>
        <w:spacing w:line="540" w:lineRule="exact"/>
        <w:ind w:leftChars="0" w:left="0" w:firstLineChars="200" w:firstLine="640"/>
        <w:textAlignment w:val="auto"/>
        <w:rPr>
          <w:rFonts w:ascii="Times New Roman" w:cs="Times New Roman" w:hAnsi="Times New Roman"/>
          <w:sz w:val="32"/>
          <w:szCs w:val="32"/>
        </w:rPr>
      </w:pPr>
      <w:r>
        <w:rPr>
          <w:rFonts w:ascii="Times New Roman" w:eastAsia="方正仿宋_GBK" w:cs="Times New Roman" w:hAnsi="Times New Roman"/>
          <w:b/>
          <w:bCs/>
          <w:i w:val="0"/>
          <w:iCs w:val="0"/>
          <w:caps w:val="0"/>
          <w:smallCaps w:val="0"/>
          <w:color w:val="1F2329"/>
          <w:spacing w:val="0"/>
          <w:sz w:val="32"/>
          <w:szCs w:val="32"/>
          <w:shd w:val="clear" w:color="auto" w:fill="FFFFFF"/>
          <w:lang w:val="en-US" w:eastAsia="zh-CN"/>
        </w:rPr>
        <w:t>6.</w:t>
      </w:r>
      <w:r>
        <w:rPr>
          <w:rFonts w:ascii="Times New Roman" w:eastAsia="方正仿宋_GBK" w:cs="Times New Roman" w:hAnsi="Times New Roman"/>
          <w:b/>
          <w:bCs/>
          <w:i w:val="0"/>
          <w:iCs w:val="0"/>
          <w:caps w:val="0"/>
          <w:smallCaps w:val="0"/>
          <w:color w:val="1F2329"/>
          <w:spacing w:val="0"/>
          <w:sz w:val="32"/>
          <w:szCs w:val="32"/>
          <w:shd w:val="clear" w:color="auto" w:fill="FFFFFF"/>
        </w:rPr>
        <w:t>重点领域风险防控方面，紧盯地质灾害与道路安全</w:t>
      </w:r>
      <w:r>
        <w:rPr>
          <w:rFonts w:ascii="Times New Roman" w:eastAsia="方正仿宋_GBK" w:cs="Times New Roman" w:hAnsi="Times New Roman"/>
          <w:b/>
          <w:bCs/>
          <w:i w:val="0"/>
          <w:iCs w:val="0"/>
          <w:caps w:val="0"/>
          <w:smallCaps w:val="0"/>
          <w:color w:val="1F2329"/>
          <w:spacing w:val="0"/>
          <w:sz w:val="32"/>
          <w:szCs w:val="32"/>
          <w:shd w:val="clear" w:color="auto" w:fill="FFFFFF"/>
          <w:lang w:eastAsia="zh-CN"/>
        </w:rPr>
        <w:t>。</w:t>
      </w:r>
      <w:r>
        <w:rPr>
          <w:rFonts w:ascii="仿宋_GB2312" w:eastAsia="仿宋_GB2312" w:cs="仿宋_GB2312"/>
          <w:b w:val="0"/>
          <w:bCs w:val="0"/>
          <w:color w:val="333333"/>
          <w:kern w:val="0"/>
          <w:sz w:val="32"/>
          <w:szCs w:val="32"/>
          <w:lang w:val="en-US" w:bidi="ar-SA"/>
        </w:rPr>
        <w:t>配合自然资源局加密地质灾害点监测预警，对庆宁乡、咯尔乡等重点区域开展拉网式隐患复查；配合交通运输局推进G317应急通道除冰防滑与隐患整治，保障道路畅通。</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二、部门预算单位构成</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金川县应急管理局下属二级预算单位 3 个，其中行政单位 1 个，参照公务员法管理的事业单位 1 个，其他事业单位 1 个。主要包括：金川县应急管理局</w:t>
      </w:r>
      <w:r>
        <w:rPr>
          <w:rFonts w:ascii="仿宋_GB2312" w:eastAsia="仿宋_GB2312" w:cs="仿宋_GB2312" w:hint="eastAsia"/>
          <w:b w:val="0"/>
          <w:bCs w:val="0"/>
          <w:color w:val="333333"/>
          <w:kern w:val="0"/>
          <w:sz w:val="32"/>
          <w:szCs w:val="32"/>
          <w:lang w:val="en-US" w:eastAsia="zh-CN" w:bidi="ar-SA"/>
        </w:rPr>
        <w:t>（本级）</w:t>
      </w:r>
      <w:r>
        <w:rPr>
          <w:rFonts w:ascii="仿宋_GB2312" w:eastAsia="仿宋_GB2312" w:cs="仿宋_GB2312"/>
          <w:b w:val="0"/>
          <w:bCs w:val="0"/>
          <w:color w:val="333333"/>
          <w:kern w:val="0"/>
          <w:sz w:val="32"/>
          <w:szCs w:val="32"/>
          <w:lang w:val="en-US" w:eastAsia="zh-CN" w:bidi="ar-SA"/>
        </w:rPr>
        <w:t>、金川县应急管理保障中心、金川县综合应急救援服务工作中心。</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三、收支预算情况说明</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按照综合预算的原则，金川县应急管理局所有收入和支出均纳入部门预算管理。收入包括：一般公共预算拨款收入、上年结转；支出包括：灾害防治及应急管理支出、社会保障和就业支出、卫生健康支出、住房保障支出。金川县应急管理局 2026 年收支总预算 773.71 万元，比 2025 年收支预算总数增加 55.20 万元，主要原因是根据工作任务拓展和人员队伍建设需要，</w:t>
      </w:r>
      <w:r>
        <w:rPr>
          <w:rFonts w:ascii="仿宋_GB2312" w:eastAsia="仿宋_GB2312" w:cs="仿宋_GB2312" w:hint="eastAsia"/>
          <w:b w:val="0"/>
          <w:bCs w:val="0"/>
          <w:color w:val="333333"/>
          <w:kern w:val="0"/>
          <w:sz w:val="32"/>
          <w:szCs w:val="32"/>
          <w:lang w:val="en-US" w:eastAsia="zh-CN" w:bidi="ar-SA"/>
        </w:rPr>
        <w:t>人员调动变化，全员性调资，公用经费增加，</w:t>
      </w:r>
      <w:r>
        <w:rPr>
          <w:rFonts w:ascii="仿宋_GB2312" w:eastAsia="仿宋_GB2312" w:cs="仿宋_GB2312"/>
          <w:b w:val="0"/>
          <w:bCs w:val="0"/>
          <w:color w:val="333333"/>
          <w:kern w:val="0"/>
          <w:sz w:val="32"/>
          <w:szCs w:val="32"/>
          <w:lang w:val="en-US" w:eastAsia="zh-CN" w:bidi="ar-SA"/>
        </w:rPr>
        <w:t>相应增加本年度预算收支总数。</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（一）收入预算情况</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金川县应急管理局 2026 年收入预算 773.71 万元，其中：上年结转 0 万元，占 0%；一般公共预算拨款收入 773.71 万元，占 100%。</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（二）支出预算情况</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金川县应急管理局 2026 年支出预算 773.71 万元，其中：基本支出 773.71 万元，占 100%；项目支出 0 万元，占 0%。</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四、财政拨款收支预算情况说明</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金川县</w:t>
      </w:r>
      <w:r>
        <w:rPr>
          <w:rFonts w:ascii="仿宋_GB2312" w:eastAsia="仿宋_GB2312" w:cs="仿宋_GB2312"/>
          <w:b w:val="0"/>
          <w:bCs w:val="0"/>
          <w:color w:val="333333"/>
          <w:kern w:val="0"/>
          <w:sz w:val="32"/>
          <w:szCs w:val="32"/>
          <w:lang w:val="en-US" w:eastAsia="zh-CN" w:bidi="ar-SA"/>
        </w:rPr>
        <w:t>应急管理局 2026 年财政拨款收支总预算 773.71 万元，比 2025 年财政拨款收支总额预算增加 55.20 万元，主要原因是根据工作任务拓展和人员队伍建设需要，</w:t>
      </w:r>
      <w:r>
        <w:rPr>
          <w:rFonts w:ascii="仿宋_GB2312" w:eastAsia="仿宋_GB2312" w:cs="仿宋_GB2312" w:hint="eastAsia"/>
          <w:b w:val="0"/>
          <w:bCs w:val="0"/>
          <w:color w:val="333333"/>
          <w:kern w:val="0"/>
          <w:sz w:val="32"/>
          <w:szCs w:val="32"/>
          <w:lang w:val="en-US" w:eastAsia="zh-CN" w:bidi="ar-SA"/>
        </w:rPr>
        <w:t>人员调动变化，全员性调资，公用经费增加，</w:t>
      </w:r>
      <w:r>
        <w:rPr>
          <w:rFonts w:ascii="仿宋_GB2312" w:eastAsia="仿宋_GB2312" w:cs="仿宋_GB2312"/>
          <w:b w:val="0"/>
          <w:bCs w:val="0"/>
          <w:color w:val="333333"/>
          <w:kern w:val="0"/>
          <w:sz w:val="32"/>
          <w:szCs w:val="32"/>
          <w:lang w:val="en-US" w:eastAsia="zh-CN" w:bidi="ar-SA"/>
        </w:rPr>
        <w:t>相应增加本年度预算收支总数。</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收入包括：本年一般公共预算拨款收入 773.71 万元、上年结转一般公共预算拨款收入 0 万元</w:t>
      </w:r>
      <w:r>
        <w:rPr>
          <w:rFonts w:ascii="仿宋_GB2312" w:eastAsia="仿宋_GB2312" w:cs="仿宋_GB2312" w:hint="eastAsia"/>
          <w:b w:val="0"/>
          <w:bCs w:val="0"/>
          <w:color w:val="333333"/>
          <w:kern w:val="0"/>
          <w:sz w:val="32"/>
          <w:szCs w:val="32"/>
          <w:lang w:val="en-US" w:eastAsia="zh-CN" w:bidi="ar-SA"/>
        </w:rPr>
        <w:t>。</w:t>
      </w:r>
      <w:r>
        <w:rPr>
          <w:rFonts w:ascii="仿宋_GB2312" w:eastAsia="仿宋_GB2312" w:cs="仿宋_GB2312"/>
          <w:b w:val="0"/>
          <w:bCs w:val="0"/>
          <w:color w:val="333333"/>
          <w:kern w:val="0"/>
          <w:sz w:val="32"/>
          <w:szCs w:val="32"/>
          <w:lang w:val="en-US" w:eastAsia="zh-CN" w:bidi="ar-SA"/>
        </w:rPr>
        <w:t>支出包括：灾害防治及应急管理支出 561.40 万元、社会保障和就业支出 110.41 万元、卫生健康支出 41.41 万元、住房保障支出 60.48 万元。</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五、一般公共预算当年拨款情况说明</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（一）一般公共预算当年拨款规模变化情况</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金川县</w:t>
      </w:r>
      <w:r>
        <w:rPr>
          <w:rFonts w:ascii="仿宋_GB2312" w:eastAsia="仿宋_GB2312" w:cs="仿宋_GB2312"/>
          <w:b w:val="0"/>
          <w:bCs w:val="0"/>
          <w:color w:val="333333"/>
          <w:kern w:val="0"/>
          <w:sz w:val="32"/>
          <w:szCs w:val="32"/>
          <w:lang w:val="en-US" w:eastAsia="zh-CN" w:bidi="ar-SA"/>
        </w:rPr>
        <w:t>应急管理局 2026 年一般公共预算当年拨款 773.71 万元，比 2025 年预算数增加 55.20 万元。主要原因是根据工作任务拓展和人员队伍建设需要，</w:t>
      </w:r>
      <w:r>
        <w:rPr>
          <w:rFonts w:ascii="仿宋_GB2312" w:eastAsia="仿宋_GB2312" w:cs="仿宋_GB2312" w:hint="eastAsia"/>
          <w:b w:val="0"/>
          <w:bCs w:val="0"/>
          <w:color w:val="333333"/>
          <w:kern w:val="0"/>
          <w:sz w:val="32"/>
          <w:szCs w:val="32"/>
          <w:lang w:val="en-US" w:eastAsia="zh-CN" w:bidi="ar-SA"/>
        </w:rPr>
        <w:t>人员调动变化，全员性调资，公用经费增加，</w:t>
      </w:r>
      <w:r>
        <w:rPr>
          <w:rFonts w:ascii="仿宋_GB2312" w:eastAsia="仿宋_GB2312" w:cs="仿宋_GB2312"/>
          <w:b w:val="0"/>
          <w:bCs w:val="0"/>
          <w:color w:val="333333"/>
          <w:kern w:val="0"/>
          <w:sz w:val="32"/>
          <w:szCs w:val="32"/>
          <w:lang w:val="en-US" w:eastAsia="zh-CN" w:bidi="ar-SA"/>
        </w:rPr>
        <w:t>相应增加本年度预算收支总数。</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（二）一般公共预算当年拨款结构情况</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灾害防治及应急管理支出 561.40 万元，占 72.56%；社会保障和就业支出 110.41 万元，占 14.27%；卫生健康支出 41.41 万元，占 5.35%；住房保障支出 60.48 万元，占 7.82%。</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hint="eastAsia"/>
          <w:b/>
          <w:bCs/>
          <w:color w:val="auto"/>
          <w:kern w:val="2"/>
          <w:sz w:val="32"/>
          <w:szCs w:val="32"/>
          <w:lang w:val="en-US" w:eastAsia="zh-CN" w:bidi="ar-SA"/>
        </w:rPr>
        <w:t>（三）</w:t>
      </w:r>
      <w:r>
        <w:rPr>
          <w:rFonts w:ascii="Times New Roman" w:eastAsia="方正仿宋_GBK" w:cs="Times New Roman" w:hAnsi="Times New Roman"/>
          <w:b/>
          <w:bCs/>
          <w:color w:val="auto"/>
          <w:kern w:val="2"/>
          <w:sz w:val="32"/>
          <w:szCs w:val="32"/>
          <w:lang w:val="en-US" w:bidi="ar-SA"/>
        </w:rPr>
        <w:t>一般公共预算当年拨款具体使用情况</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1.</w:t>
      </w:r>
      <w:r>
        <w:rPr>
          <w:rFonts w:ascii="仿宋_GB2312" w:eastAsia="仿宋_GB2312" w:cs="仿宋_GB2312"/>
          <w:b w:val="0"/>
          <w:bCs w:val="0"/>
          <w:color w:val="333333"/>
          <w:kern w:val="0"/>
          <w:sz w:val="32"/>
          <w:szCs w:val="32"/>
          <w:lang w:val="en-US" w:eastAsia="zh-CN" w:bidi="ar-SA"/>
        </w:rPr>
        <w:t>社会保障和就业支出（类）行政事业单位养老支出（款）机关事业单位基本养老保险缴费支出（项）:2026 年预算数为 73.61 万元，主要用于：实施养老保险制度后，部门按规定由单位缴纳的基本养老保险费支出。</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2.</w:t>
      </w:r>
      <w:r>
        <w:rPr>
          <w:rFonts w:ascii="仿宋_GB2312" w:eastAsia="仿宋_GB2312" w:cs="仿宋_GB2312"/>
          <w:b w:val="0"/>
          <w:bCs w:val="0"/>
          <w:color w:val="333333"/>
          <w:kern w:val="0"/>
          <w:sz w:val="32"/>
          <w:szCs w:val="32"/>
          <w:lang w:val="en-US" w:eastAsia="zh-CN" w:bidi="ar-SA"/>
        </w:rPr>
        <w:t>社会保障和就业支出（类）行政事业单位养老支出（款）机关事业单位职业年金缴费支出（项）：2026 年预算数为 36.80 万元，主要用于：实施养老保险制度后，部门按规定由单位缴纳的职业年金支出。</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3.</w:t>
      </w:r>
      <w:r>
        <w:rPr>
          <w:rFonts w:ascii="仿宋_GB2312" w:eastAsia="仿宋_GB2312" w:cs="仿宋_GB2312"/>
          <w:b w:val="0"/>
          <w:bCs w:val="0"/>
          <w:color w:val="333333"/>
          <w:kern w:val="0"/>
          <w:sz w:val="32"/>
          <w:szCs w:val="32"/>
          <w:lang w:val="en-US" w:eastAsia="zh-CN" w:bidi="ar-SA"/>
        </w:rPr>
        <w:t>卫生健康支出（类）行政事业单位医疗（款）行政单位医疗（项）:2026 年预算数为 30.54 万元，主要用于：财政部门安排的行政单位基本医疗保险缴费经费。</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4.</w:t>
      </w:r>
      <w:r>
        <w:rPr>
          <w:rFonts w:ascii="仿宋_GB2312" w:eastAsia="仿宋_GB2312" w:cs="仿宋_GB2312"/>
          <w:b w:val="0"/>
          <w:bCs w:val="0"/>
          <w:color w:val="333333"/>
          <w:kern w:val="0"/>
          <w:sz w:val="32"/>
          <w:szCs w:val="32"/>
          <w:lang w:val="en-US" w:eastAsia="zh-CN" w:bidi="ar-SA"/>
        </w:rPr>
        <w:t>卫生健康支出（类）行政事业单位医疗（款）事业单位医疗（项）:2026 年预算数为 4.74 万元，主要用于：财政部门安排的事业单位基本医疗保险缴费经费。</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5.</w:t>
      </w:r>
      <w:r>
        <w:rPr>
          <w:rFonts w:ascii="仿宋_GB2312" w:eastAsia="仿宋_GB2312" w:cs="仿宋_GB2312"/>
          <w:b w:val="0"/>
          <w:bCs w:val="0"/>
          <w:color w:val="333333"/>
          <w:kern w:val="0"/>
          <w:sz w:val="32"/>
          <w:szCs w:val="32"/>
          <w:lang w:val="en-US" w:eastAsia="zh-CN" w:bidi="ar-SA"/>
        </w:rPr>
        <w:t>卫生健康支出（类）行政事业单位医疗（款）公务员医疗补助（项）:2026 年预算数为 5.23 万元，主要用于：财政部门安排的本单位公务员医疗补助经费。</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6.</w:t>
      </w:r>
      <w:r>
        <w:rPr>
          <w:rFonts w:ascii="仿宋_GB2312" w:eastAsia="仿宋_GB2312" w:cs="仿宋_GB2312"/>
          <w:b w:val="0"/>
          <w:bCs w:val="0"/>
          <w:color w:val="333333"/>
          <w:kern w:val="0"/>
          <w:sz w:val="32"/>
          <w:szCs w:val="32"/>
          <w:lang w:val="en-US" w:eastAsia="zh-CN" w:bidi="ar-SA"/>
        </w:rPr>
        <w:t>卫生健康支出（类）行政事业单位医疗（款）其他行政事业单位医疗支出（项）:2026 年预算数为 0.90 万元，主要用于：其他用于行政事业单位医疗方面的支出。</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7.</w:t>
      </w:r>
      <w:r>
        <w:rPr>
          <w:rFonts w:ascii="仿宋_GB2312" w:eastAsia="仿宋_GB2312" w:cs="仿宋_GB2312"/>
          <w:b w:val="0"/>
          <w:bCs w:val="0"/>
          <w:color w:val="333333"/>
          <w:kern w:val="0"/>
          <w:sz w:val="32"/>
          <w:szCs w:val="32"/>
          <w:lang w:val="en-US" w:eastAsia="zh-CN" w:bidi="ar-SA"/>
        </w:rPr>
        <w:t>住房保障支出（类）住房改革支出（款）住房公积金（项）：2026 年预算数为 60.48 万元，主要用于：部门按人力资源和社会保障部、财政部规定的基本工资和津贴补贴以及规定比例为职工缴纳的住房公积金支出。</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8.</w:t>
      </w:r>
      <w:r>
        <w:rPr>
          <w:rFonts w:ascii="仿宋_GB2312" w:eastAsia="仿宋_GB2312" w:cs="仿宋_GB2312"/>
          <w:b w:val="0"/>
          <w:bCs w:val="0"/>
          <w:color w:val="333333"/>
          <w:kern w:val="0"/>
          <w:sz w:val="32"/>
          <w:szCs w:val="32"/>
          <w:lang w:val="en-US" w:eastAsia="zh-CN" w:bidi="ar-SA"/>
        </w:rPr>
        <w:t>灾害防治及应急管理支出（类）应急管理事务（款）行政运行（项）：2026 年预算数为 483.08 万元，主要用于：机关正常运转的基本支出，包括基本工资、津贴补贴等人员经费以及办公费、邮电费、公务用车运行维护费、劳务费、维修（护）费、电费等日常公用经费。</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9.</w:t>
      </w:r>
      <w:r>
        <w:rPr>
          <w:rFonts w:ascii="仿宋_GB2312" w:eastAsia="仿宋_GB2312" w:cs="仿宋_GB2312"/>
          <w:b w:val="0"/>
          <w:bCs w:val="0"/>
          <w:color w:val="333333"/>
          <w:kern w:val="0"/>
          <w:sz w:val="32"/>
          <w:szCs w:val="32"/>
          <w:lang w:val="en-US" w:eastAsia="zh-CN" w:bidi="ar-SA"/>
        </w:rPr>
        <w:t>灾害防治及应急管理支出（类）应急管理事务（款）事业运行（项）：2026 年预算数为 78.32 万元，主要用于：事业单位的基本支出，不包括行政单位（包括实行公务员管理事业单位）后勤服务中心、医务室等附属事业单位的支出。</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六、一般公共预算基本支出情况说明</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金川县</w:t>
      </w:r>
      <w:r>
        <w:rPr>
          <w:rFonts w:ascii="仿宋_GB2312" w:eastAsia="仿宋_GB2312" w:cs="仿宋_GB2312"/>
          <w:b w:val="0"/>
          <w:bCs w:val="0"/>
          <w:color w:val="333333"/>
          <w:kern w:val="0"/>
          <w:sz w:val="32"/>
          <w:szCs w:val="32"/>
          <w:lang w:val="en-US" w:eastAsia="zh-CN" w:bidi="ar-SA"/>
        </w:rPr>
        <w:t>应急管理局 2026 年一般公共预算基本支出 773.71 万元，其中：</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人员经费 674.31 万元，主要包括：基本工资 154.30 万元、津贴补贴 165.54 万元、奖金 125.36 万元、绩效工资 14.84 万元、机关事业单位基本养老保险缴费 73.61 万元、职业年金缴费 36.80 万元、职工基本医疗保险缴费 35.28 万元、公务员医疗补助缴费 5.23 万元、其他社会保险缴费 2.28 万元、住房公积金 60.48 万元、对个人和家庭的补助支出 0.58 万元（其中生活补助 0.57 万元、奖励金 0.01 万元）。</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公用经费 99.40 万元，主要包括：办公费 23.46 万元、印刷费 8.00 万元、水费 1.30 万元、电费 7.00 万元、邮电费 7.60 万元、差旅费 12.00 万元、维修（护）费 1.00 万元、劳务费 15.50 万元、委托业务费 1.00 万元、公务用车运行维护费 15.00 万元、其他交通费用 0.38 万元、其他商品和服务支出 7.16 万元。</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七、“三公” 经费财政拨款预算安排情况说明</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hint="eastAsia"/>
          <w:b w:val="0"/>
          <w:bCs w:val="0"/>
          <w:color w:val="333333"/>
          <w:kern w:val="0"/>
          <w:sz w:val="32"/>
          <w:szCs w:val="32"/>
          <w:lang w:val="en-US" w:eastAsia="zh-CN" w:bidi="ar-SA"/>
        </w:rPr>
        <w:t>金川县</w:t>
      </w:r>
      <w:r>
        <w:rPr>
          <w:rFonts w:ascii="仿宋_GB2312" w:eastAsia="仿宋_GB2312" w:cs="仿宋_GB2312"/>
          <w:b w:val="0"/>
          <w:bCs w:val="0"/>
          <w:color w:val="333333"/>
          <w:kern w:val="0"/>
          <w:sz w:val="32"/>
          <w:szCs w:val="32"/>
          <w:lang w:val="en-US" w:eastAsia="zh-CN" w:bidi="ar-SA"/>
        </w:rPr>
        <w:t>应急管理局 2026 年 “三公” 经费财政拨款预算数 15 万元，其中：因公出国（境）经费 0 万元，公务接待费 0 万元，公务用车购置及运行维护费 15 万元。</w:t>
      </w:r>
    </w:p>
    <w:p>
      <w:pPr>
        <w:pStyle w:val="3"/>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因公出国（境）经费较 2025 年预算持平。</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因公出国（境）经费与 2025 年预算持平，2025 年与 2026 年均无预算因公出国（境）经费。</w:t>
      </w:r>
    </w:p>
    <w:p>
      <w:pPr>
        <w:pStyle w:val="3"/>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公务接待费与 2025 年预算持平。</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公务接待费与 2025 年预算持平，2025 年与 2026 年均无预算公务接待费。</w:t>
      </w:r>
    </w:p>
    <w:p>
      <w:pPr>
        <w:pStyle w:val="3"/>
        <w:keepNext w:val="0"/>
        <w:keepLines w:val="0"/>
        <w:widowControl/>
        <w:numPr>
          <w:ilvl w:val="0"/>
          <w:numId w:val="1"/>
        </w:numPr>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公务用车购置及运行维护费与 2025 年预算持平。</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公务用车购置及运行维护费与 2025 年预算相比无变化。</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单位现有公务用车 2 辆，其中：应急保障车 1 辆、特种专业技术用车 1 辆。</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2026 年未安排公务用车购置费。</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2026 年安排公务用车运行维护费 15 万元，与 2025 年预算持平，主要用于车辆公务用车燃油、维修、保险等方面支出，保障单位日常运转、森林草原防灭火、安全生产、防汛减灾等工作开展。</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八、政府性基金预算支出情况说明</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金川县应急管理局 2026 年没有使用政府性基金预算拨款安排的支出。</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九、国有资本经营预算情况说明</w:t>
      </w:r>
    </w:p>
    <w:p>
      <w:pPr>
        <w:spacing w:line="560" w:lineRule="exact"/>
        <w:ind w:firstLineChars="200" w:firstLine="640"/>
        <w:rPr>
          <w:rFonts w:eastAsia="方正仿宋_GBK"/>
          <w:color w:val="auto"/>
          <w:sz w:val="32"/>
          <w:szCs w:val="32"/>
          <w:lang w:val="en-US" w:eastAsia="zh-CN"/>
        </w:rPr>
      </w:pPr>
      <w:r>
        <w:rPr>
          <w:rFonts w:ascii="仿宋_GB2312" w:eastAsia="仿宋_GB2312" w:cs="仿宋_GB2312"/>
          <w:b w:val="0"/>
          <w:bCs w:val="0"/>
          <w:color w:val="333333"/>
          <w:kern w:val="0"/>
          <w:sz w:val="32"/>
          <w:szCs w:val="32"/>
          <w:lang w:val="en-US" w:eastAsia="zh-CN" w:bidi="ar-SA"/>
        </w:rPr>
        <w:t>金川县应急管理局 2026 年没有使用国有资本经营预算拨款安排支出。</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十、其他重要事项的情况说明</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（一）机关运行经费</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2026年度，金川县应急管理局下属金川县应急管理局机关 1 家行政单位及金川县应急管理保障中心 1 家参公管理的事业单位的机关运行经费财政拨款预算为 82.3</w:t>
      </w:r>
      <w:r>
        <w:rPr>
          <w:rFonts w:ascii="仿宋_GB2312" w:eastAsia="仿宋_GB2312" w:cs="仿宋_GB2312" w:hint="eastAsia"/>
          <w:b w:val="0"/>
          <w:bCs w:val="0"/>
          <w:color w:val="333333"/>
          <w:kern w:val="0"/>
          <w:sz w:val="32"/>
          <w:szCs w:val="32"/>
          <w:lang w:val="en-US" w:eastAsia="zh-CN" w:bidi="ar-SA"/>
        </w:rPr>
        <w:t>6</w:t>
      </w:r>
      <w:r>
        <w:rPr>
          <w:rFonts w:ascii="仿宋_GB2312" w:eastAsia="仿宋_GB2312" w:cs="仿宋_GB2312"/>
          <w:b w:val="0"/>
          <w:bCs w:val="0"/>
          <w:color w:val="333333"/>
          <w:kern w:val="0"/>
          <w:sz w:val="32"/>
          <w:szCs w:val="32"/>
          <w:lang w:val="en-US" w:eastAsia="zh-CN" w:bidi="ar-SA"/>
        </w:rPr>
        <w:t>万元，比 2025 年预算</w:t>
      </w:r>
      <w:r>
        <w:rPr>
          <w:rFonts w:ascii="仿宋_GB2312" w:eastAsia="仿宋_GB2312" w:cs="仿宋_GB2312" w:hint="eastAsia"/>
          <w:b w:val="0"/>
          <w:bCs w:val="0"/>
          <w:color w:val="333333"/>
          <w:kern w:val="0"/>
          <w:sz w:val="32"/>
          <w:szCs w:val="32"/>
          <w:lang w:val="en-US" w:eastAsia="zh-CN" w:bidi="ar-SA"/>
        </w:rPr>
        <w:t>减少6.24</w:t>
      </w:r>
      <w:r>
        <w:rPr>
          <w:rFonts w:ascii="仿宋_GB2312" w:eastAsia="仿宋_GB2312" w:cs="仿宋_GB2312"/>
          <w:b w:val="0"/>
          <w:bCs w:val="0"/>
          <w:color w:val="333333"/>
          <w:kern w:val="0"/>
          <w:sz w:val="32"/>
          <w:szCs w:val="32"/>
          <w:lang w:val="en-US" w:eastAsia="zh-CN" w:bidi="ar-SA"/>
        </w:rPr>
        <w:t>万元，</w:t>
      </w:r>
      <w:r>
        <w:rPr>
          <w:rFonts w:ascii="仿宋_GB2312" w:eastAsia="仿宋_GB2312" w:cs="仿宋_GB2312" w:hint="eastAsia"/>
          <w:b w:val="0"/>
          <w:bCs w:val="0"/>
          <w:color w:val="333333"/>
          <w:kern w:val="0"/>
          <w:sz w:val="32"/>
          <w:szCs w:val="32"/>
          <w:lang w:val="en-US" w:eastAsia="zh-CN" w:bidi="ar-SA"/>
        </w:rPr>
        <w:t>减少7.04</w:t>
      </w:r>
      <w:r>
        <w:rPr>
          <w:rFonts w:ascii="仿宋_GB2312" w:eastAsia="仿宋_GB2312" w:cs="仿宋_GB2312"/>
          <w:b w:val="0"/>
          <w:bCs w:val="0"/>
          <w:color w:val="333333"/>
          <w:kern w:val="0"/>
          <w:sz w:val="32"/>
          <w:szCs w:val="32"/>
          <w:lang w:val="en-US" w:eastAsia="zh-CN" w:bidi="ar-SA"/>
        </w:rPr>
        <w:t>%，主要原因是</w:t>
      </w:r>
      <w:r>
        <w:rPr>
          <w:rFonts w:ascii="仿宋_GB2312" w:eastAsia="仿宋_GB2312" w:cs="仿宋_GB2312" w:hint="eastAsia"/>
          <w:b w:val="0"/>
          <w:bCs w:val="0"/>
          <w:color w:val="333333"/>
          <w:kern w:val="0"/>
          <w:sz w:val="32"/>
          <w:szCs w:val="32"/>
          <w:lang w:val="en-US" w:eastAsia="zh-CN" w:bidi="ar-SA"/>
        </w:rPr>
        <w:t>厉行节约</w:t>
      </w:r>
      <w:r>
        <w:rPr>
          <w:rFonts w:ascii="仿宋_GB2312" w:eastAsia="仿宋_GB2312" w:cs="仿宋_GB2312"/>
          <w:b w:val="0"/>
          <w:bCs w:val="0"/>
          <w:color w:val="333333"/>
          <w:kern w:val="0"/>
          <w:sz w:val="32"/>
          <w:szCs w:val="32"/>
          <w:lang w:val="en-US" w:eastAsia="zh-CN" w:bidi="ar-SA"/>
        </w:rPr>
        <w:t>。</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（二）政府采购情况</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2026 年度，金川县应急管理局安排政府采购预算 0 万元。</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（三）国有资产占有使用情况</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截至 2025 年底，我局所属各预算单位共有车辆 2 辆，其中：应急保障车 1 辆、特种专业技术用车 1 辆。无单价 50 万元以上通用设备及单价 100 万元以上专用设备。</w:t>
      </w:r>
    </w:p>
    <w:p>
      <w:pPr>
        <w:spacing w:line="560" w:lineRule="exact"/>
        <w:ind w:firstLineChars="200" w:firstLine="640"/>
        <w:rPr>
          <w:rFonts w:ascii="仿宋_GB2312" w:eastAsia="仿宋_GB2312" w:cs="仿宋_GB2312"/>
          <w:b w:val="0"/>
          <w:bCs w:val="0"/>
          <w:color w:val="333333"/>
          <w:kern w:val="0"/>
          <w:sz w:val="32"/>
          <w:szCs w:val="32"/>
          <w:lang w:val="en-US" w:eastAsia="zh-CN" w:bidi="ar-SA"/>
        </w:rPr>
      </w:pPr>
      <w:r>
        <w:rPr>
          <w:rFonts w:ascii="仿宋_GB2312" w:eastAsia="仿宋_GB2312" w:cs="仿宋_GB2312"/>
          <w:b w:val="0"/>
          <w:bCs w:val="0"/>
          <w:color w:val="333333"/>
          <w:kern w:val="0"/>
          <w:sz w:val="32"/>
          <w:szCs w:val="32"/>
          <w:lang w:val="en-US" w:eastAsia="zh-CN" w:bidi="ar-SA"/>
        </w:rPr>
        <w:t>2026 年部门预算未安排购置车辆及单价 50 万元以上通用设备及单价 100 万元以上专用设备。</w:t>
      </w:r>
    </w:p>
    <w:p>
      <w:pPr>
        <w:pStyle w:val="3"/>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Times New Roman" w:eastAsia="方正仿宋_GBK" w:cs="Times New Roman" w:hAnsi="Times New Roman"/>
          <w:b/>
          <w:bCs/>
          <w:color w:val="auto"/>
          <w:kern w:val="2"/>
          <w:sz w:val="32"/>
          <w:szCs w:val="32"/>
          <w:lang w:val="en-US" w:bidi="ar-SA"/>
        </w:rPr>
      </w:pPr>
      <w:r>
        <w:rPr>
          <w:rFonts w:ascii="Times New Roman" w:eastAsia="方正仿宋_GBK" w:cs="Times New Roman" w:hAnsi="Times New Roman"/>
          <w:b/>
          <w:bCs/>
          <w:color w:val="auto"/>
          <w:kern w:val="2"/>
          <w:sz w:val="32"/>
          <w:szCs w:val="32"/>
          <w:lang w:val="en-US" w:bidi="ar-SA"/>
        </w:rPr>
        <w:t>（四）预算绩效情况</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eastAsia="zh-CN" w:bidi="ar-SA"/>
        </w:rPr>
        <w:t>2026 年我局基本支出和项目支出均按要求实行绩效目标管理，涉及一般公共预算当年拨款 773.71 万元。绩效目标围绕应急管理核心职能，聚焦重点工作任务，从工作成效、服务质量、资金使用效率等方面设定，确保预算资金规范、高效使用，全面提升应急管理和防灾减灾救灾能力。</w:t>
      </w:r>
    </w:p>
    <w:p>
      <w:pPr>
        <w:pStyle w:val="2"/>
        <w:keepNext w:val="0"/>
        <w:keepLines w:val="0"/>
        <w:widowControl/>
        <w:suppressLineNumbers w:val="0"/>
        <w:pBdr>
          <w:top w:val="none" w:sz="0" w:space="0" w:color="auto"/>
          <w:left w:val="none" w:sz="0" w:space="0" w:color="auto"/>
          <w:bottom w:val="none" w:sz="0" w:space="0" w:color="auto"/>
          <w:right w:val="none" w:sz="0" w:space="0" w:color="auto"/>
        </w:pBdr>
        <w:spacing w:before="0" w:beforeAutospacing="0" w:after="0" w:afterAutospacing="0" w:line="240" w:lineRule="atLeast"/>
        <w:ind w:left="0" w:right="0" w:firstLineChars="200" w:firstLine="640"/>
        <w:jc w:val="left"/>
        <w:rPr>
          <w:rFonts w:ascii="方正黑体_GBK" w:eastAsia="方正黑体_GBK" w:cs="Times New Roman"/>
          <w:b w:val="0"/>
          <w:bCs w:val="0"/>
          <w:color w:val="auto"/>
          <w:kern w:val="2"/>
          <w:sz w:val="32"/>
          <w:szCs w:val="32"/>
          <w:lang w:val="en-US" w:bidi="ar-SA"/>
        </w:rPr>
      </w:pPr>
      <w:r>
        <w:rPr>
          <w:rFonts w:ascii="方正黑体_GBK" w:eastAsia="方正黑体_GBK" w:cs="Times New Roman"/>
          <w:b w:val="0"/>
          <w:bCs w:val="0"/>
          <w:color w:val="auto"/>
          <w:kern w:val="2"/>
          <w:sz w:val="32"/>
          <w:szCs w:val="32"/>
          <w:lang w:val="en-US" w:bidi="ar-SA"/>
        </w:rPr>
        <w:t>十</w:t>
      </w:r>
      <w:r>
        <w:rPr>
          <w:rFonts w:ascii="方正黑体_GBK" w:eastAsia="方正黑体_GBK" w:cs="Times New Roman"/>
          <w:b w:val="0"/>
          <w:bCs w:val="0"/>
          <w:color w:val="auto"/>
          <w:kern w:val="2"/>
          <w:sz w:val="32"/>
          <w:szCs w:val="32"/>
          <w:lang w:val="en-US" w:eastAsia="zh-CN" w:bidi="ar-SA"/>
        </w:rPr>
        <w:t>一</w:t>
      </w:r>
      <w:r>
        <w:rPr>
          <w:rFonts w:ascii="方正黑体_GBK" w:eastAsia="方正黑体_GBK" w:cs="Times New Roman"/>
          <w:b w:val="0"/>
          <w:bCs w:val="0"/>
          <w:color w:val="auto"/>
          <w:kern w:val="2"/>
          <w:sz w:val="32"/>
          <w:szCs w:val="32"/>
          <w:lang w:val="en-US" w:bidi="ar-SA"/>
        </w:rPr>
        <w:t>、名词解释</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1.一般公共预算拨款收入：指县级财政当年拨付的资金。</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2.上年结转：指以前年度尚未完成，结转到本年仍按原规定用途继续使用的资金。</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3.教育支出（类）进修及培训（款）培训支出（项）：指部门安排的用于培训的支出。</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4.社会保障和就业支出（类）行政事业单位养老支出（款）机关事业单位基本养老保险缴费支出（项）：指实施养老保险制度后，部门按规定由单位缴纳的基本养老保险费支出。</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5.社会保障和就业支出（类）行政事业单位养老支出（款）机关事业单位职业年金缴费支出（项）：指实施养老保险制度后，部门按规定由单位缴纳的职业年金支出。</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6.卫生健康支出（类）行政事业单位医疗（款）行政单位医疗（项）：指财政部门安排的行政单位基本医疗保险缴费经费。</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7.卫生健康支出（类）行政事业单位医疗（款）事业单位医疗（项）：指财政部门安排的事业单位基本医疗保险缴费经费。</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8.卫生健康支出（类）行政事业单位医疗（款）公务员医疗补助（项）：指财政部门安排的本单位公务员医疗补助经费。</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hint="eastAsia"/>
          <w:b w:val="0"/>
          <w:bCs w:val="0"/>
          <w:color w:val="333333"/>
          <w:kern w:val="0"/>
          <w:sz w:val="32"/>
          <w:szCs w:val="32"/>
          <w:lang w:val="en-US" w:eastAsia="zh-CN" w:bidi="ar-SA"/>
        </w:rPr>
        <w:t>9.</w:t>
      </w:r>
      <w:r>
        <w:rPr>
          <w:rFonts w:ascii="仿宋_GB2312" w:eastAsia="仿宋_GB2312" w:cs="仿宋_GB2312"/>
          <w:b w:val="0"/>
          <w:bCs w:val="0"/>
          <w:color w:val="333333"/>
          <w:kern w:val="0"/>
          <w:sz w:val="32"/>
          <w:szCs w:val="32"/>
          <w:lang w:val="en-US" w:bidi="ar-SA"/>
        </w:rPr>
        <w:t>卫生健康支出（类）行政事业单位医疗（款）</w:t>
      </w:r>
      <w:r>
        <w:rPr>
          <w:rFonts w:ascii="仿宋_GB2312" w:eastAsia="仿宋_GB2312" w:cs="仿宋_GB2312" w:hint="eastAsia"/>
          <w:b w:val="0"/>
          <w:bCs w:val="0"/>
          <w:color w:val="333333"/>
          <w:kern w:val="0"/>
          <w:sz w:val="32"/>
          <w:szCs w:val="32"/>
          <w:lang w:val="en-US" w:eastAsia="zh-CN" w:bidi="ar-SA"/>
        </w:rPr>
        <w:t>其他行政事业单位医疗支出</w:t>
      </w:r>
      <w:r>
        <w:rPr>
          <w:rFonts w:ascii="仿宋_GB2312" w:eastAsia="仿宋_GB2312" w:cs="仿宋_GB2312"/>
          <w:b w:val="0"/>
          <w:bCs w:val="0"/>
          <w:color w:val="333333"/>
          <w:kern w:val="0"/>
          <w:sz w:val="32"/>
          <w:szCs w:val="32"/>
          <w:lang w:val="en-US" w:bidi="ar-SA"/>
        </w:rPr>
        <w:t>（项）:</w:t>
      </w:r>
      <w:r>
        <w:rPr>
          <w:rFonts w:ascii="仿宋_GB2312" w:eastAsia="仿宋_GB2312" w:cs="仿宋_GB2312" w:hint="eastAsia"/>
          <w:b w:val="0"/>
          <w:bCs w:val="0"/>
          <w:color w:val="333333"/>
          <w:kern w:val="0"/>
          <w:sz w:val="32"/>
          <w:szCs w:val="32"/>
          <w:lang w:val="en-US" w:eastAsia="zh-CN" w:bidi="ar-SA"/>
        </w:rPr>
        <w:t>指其他用于行政事业单位医疗方面的支出</w:t>
      </w:r>
      <w:r>
        <w:rPr>
          <w:rFonts w:ascii="仿宋_GB2312" w:eastAsia="仿宋_GB2312" w:cs="仿宋_GB2312"/>
          <w:b w:val="0"/>
          <w:bCs w:val="0"/>
          <w:color w:val="333333"/>
          <w:kern w:val="0"/>
          <w:sz w:val="32"/>
          <w:szCs w:val="32"/>
          <w:lang w:val="en-US" w:bidi="ar-SA"/>
        </w:rPr>
        <w:t>。</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hint="eastAsia"/>
          <w:b w:val="0"/>
          <w:bCs w:val="0"/>
          <w:color w:val="333333"/>
          <w:kern w:val="0"/>
          <w:sz w:val="32"/>
          <w:szCs w:val="32"/>
          <w:lang w:val="en-US" w:eastAsia="zh-CN" w:bidi="ar-SA"/>
        </w:rPr>
        <w:t>10</w:t>
      </w:r>
      <w:r>
        <w:rPr>
          <w:rFonts w:ascii="仿宋_GB2312" w:eastAsia="仿宋_GB2312" w:cs="仿宋_GB2312"/>
          <w:b w:val="0"/>
          <w:bCs w:val="0"/>
          <w:color w:val="333333"/>
          <w:kern w:val="0"/>
          <w:sz w:val="32"/>
          <w:szCs w:val="32"/>
          <w:lang w:val="en-US" w:bidi="ar-SA"/>
        </w:rPr>
        <w:t>.住房保障支出（类）住房改革支出（款）住房公积金（项）指部门按人力资源和社会保障部、财政部规定的基本工资和津贴补贴以及规定比例为职工缴纳的住房公积金支出。</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1</w:t>
      </w:r>
      <w:r>
        <w:rPr>
          <w:rFonts w:ascii="仿宋_GB2312" w:eastAsia="仿宋_GB2312" w:cs="仿宋_GB2312" w:hint="eastAsia"/>
          <w:b w:val="0"/>
          <w:bCs w:val="0"/>
          <w:color w:val="333333"/>
          <w:kern w:val="0"/>
          <w:sz w:val="32"/>
          <w:szCs w:val="32"/>
          <w:lang w:val="en-US" w:eastAsia="zh-CN" w:bidi="ar-SA"/>
        </w:rPr>
        <w:t>1</w:t>
      </w:r>
      <w:r>
        <w:rPr>
          <w:rFonts w:ascii="仿宋_GB2312" w:eastAsia="仿宋_GB2312" w:cs="仿宋_GB2312"/>
          <w:b w:val="0"/>
          <w:bCs w:val="0"/>
          <w:color w:val="333333"/>
          <w:kern w:val="0"/>
          <w:sz w:val="32"/>
          <w:szCs w:val="32"/>
          <w:lang w:val="en-US" w:bidi="ar-SA"/>
        </w:rPr>
        <w:t>.灾害防治及应急管理支出（类）应急管理事务（款）行政运行（项）：指机关正常运转的基本支出，包括基本工资、津贴补贴等人员经费以及办公费、邮电费、公务用车运行维护费、劳务费、维修（护）费、电费等日常公用经费。</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1</w:t>
      </w:r>
      <w:r>
        <w:rPr>
          <w:rFonts w:ascii="仿宋_GB2312" w:eastAsia="仿宋_GB2312" w:cs="仿宋_GB2312" w:hint="eastAsia"/>
          <w:b w:val="0"/>
          <w:bCs w:val="0"/>
          <w:color w:val="333333"/>
          <w:kern w:val="0"/>
          <w:sz w:val="32"/>
          <w:szCs w:val="32"/>
          <w:lang w:val="en-US" w:eastAsia="zh-CN" w:bidi="ar-SA"/>
        </w:rPr>
        <w:t>2</w:t>
      </w:r>
      <w:r>
        <w:rPr>
          <w:rFonts w:ascii="仿宋_GB2312" w:eastAsia="仿宋_GB2312" w:cs="仿宋_GB2312"/>
          <w:b w:val="0"/>
          <w:bCs w:val="0"/>
          <w:color w:val="333333"/>
          <w:kern w:val="0"/>
          <w:sz w:val="32"/>
          <w:szCs w:val="32"/>
          <w:lang w:val="en-US" w:bidi="ar-SA"/>
        </w:rPr>
        <w:t>.灾害防治及应急管理支出（类）应急管理事务（款）</w:t>
      </w:r>
      <w:r>
        <w:rPr>
          <w:rFonts w:ascii="仿宋_GB2312" w:eastAsia="仿宋_GB2312" w:cs="仿宋_GB2312" w:hint="eastAsia"/>
          <w:b w:val="0"/>
          <w:bCs w:val="0"/>
          <w:color w:val="333333"/>
          <w:kern w:val="0"/>
          <w:sz w:val="32"/>
          <w:szCs w:val="32"/>
          <w:lang w:val="en-US" w:eastAsia="zh-CN" w:bidi="ar-SA"/>
        </w:rPr>
        <w:t>事业运行</w:t>
      </w:r>
      <w:r>
        <w:rPr>
          <w:rFonts w:ascii="仿宋_GB2312" w:eastAsia="仿宋_GB2312" w:cs="仿宋_GB2312"/>
          <w:b w:val="0"/>
          <w:bCs w:val="0"/>
          <w:color w:val="333333"/>
          <w:kern w:val="0"/>
          <w:sz w:val="32"/>
          <w:szCs w:val="32"/>
          <w:lang w:val="en-US" w:bidi="ar-SA"/>
        </w:rPr>
        <w:t>（项）：</w:t>
      </w:r>
      <w:r>
        <w:rPr>
          <w:rFonts w:ascii="仿宋_GB2312" w:eastAsia="仿宋_GB2312" w:cs="仿宋_GB2312" w:hint="eastAsia"/>
          <w:b w:val="0"/>
          <w:bCs w:val="0"/>
          <w:color w:val="333333"/>
          <w:kern w:val="0"/>
          <w:sz w:val="32"/>
          <w:szCs w:val="32"/>
          <w:lang w:val="en-US" w:eastAsia="zh-CN" w:bidi="ar-SA"/>
        </w:rPr>
        <w:t>指事业单位的基本支出，不包括</w:t>
      </w:r>
      <w:r>
        <w:rPr>
          <w:rFonts w:ascii="仿宋_GB2312" w:eastAsia="仿宋_GB2312" w:cs="仿宋_GB2312"/>
          <w:b w:val="0"/>
          <w:bCs w:val="0"/>
          <w:color w:val="333333"/>
          <w:kern w:val="0"/>
          <w:sz w:val="32"/>
          <w:szCs w:val="32"/>
          <w:lang w:val="en-US" w:bidi="ar-SA"/>
        </w:rPr>
        <w:t>行政单位（包括实行公务员管理事业单位）后勤服务中心、医务室等附属事业单位的支出。</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1</w:t>
      </w:r>
      <w:r>
        <w:rPr>
          <w:rFonts w:ascii="仿宋_GB2312" w:eastAsia="仿宋_GB2312" w:cs="仿宋_GB2312" w:hint="eastAsia"/>
          <w:b w:val="0"/>
          <w:bCs w:val="0"/>
          <w:color w:val="333333"/>
          <w:kern w:val="0"/>
          <w:sz w:val="32"/>
          <w:szCs w:val="32"/>
          <w:lang w:val="en-US" w:eastAsia="zh-CN" w:bidi="ar-SA"/>
        </w:rPr>
        <w:t>3</w:t>
      </w:r>
      <w:r>
        <w:rPr>
          <w:rFonts w:ascii="仿宋_GB2312" w:eastAsia="仿宋_GB2312" w:cs="仿宋_GB2312"/>
          <w:b w:val="0"/>
          <w:bCs w:val="0"/>
          <w:color w:val="333333"/>
          <w:kern w:val="0"/>
          <w:sz w:val="32"/>
          <w:szCs w:val="32"/>
          <w:lang w:val="en-US" w:bidi="ar-SA"/>
        </w:rPr>
        <w:t>.基本支出：指为保障机构正常运转、完成日常工作任务而发生的人员支出和公用支出。</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1</w:t>
      </w:r>
      <w:r>
        <w:rPr>
          <w:rFonts w:ascii="仿宋_GB2312" w:eastAsia="仿宋_GB2312" w:cs="仿宋_GB2312" w:hint="eastAsia"/>
          <w:b w:val="0"/>
          <w:bCs w:val="0"/>
          <w:color w:val="333333"/>
          <w:kern w:val="0"/>
          <w:sz w:val="32"/>
          <w:szCs w:val="32"/>
          <w:lang w:val="en-US" w:eastAsia="zh-CN" w:bidi="ar-SA"/>
        </w:rPr>
        <w:t>4</w:t>
      </w:r>
      <w:r>
        <w:rPr>
          <w:rFonts w:ascii="仿宋_GB2312" w:eastAsia="仿宋_GB2312" w:cs="仿宋_GB2312"/>
          <w:b w:val="0"/>
          <w:bCs w:val="0"/>
          <w:color w:val="333333"/>
          <w:kern w:val="0"/>
          <w:sz w:val="32"/>
          <w:szCs w:val="32"/>
          <w:lang w:val="en-US" w:bidi="ar-SA"/>
        </w:rPr>
        <w:t>.项目支出：指在基本支出之外为完成特定行政任务和事业发展目标所发生的支出。</w:t>
      </w:r>
    </w:p>
    <w:p>
      <w:pPr>
        <w:spacing w:line="560" w:lineRule="exact"/>
        <w:ind w:firstLineChars="200" w:firstLine="640"/>
        <w:rPr>
          <w:rFonts w:ascii="仿宋_GB2312" w:eastAsia="仿宋_GB2312" w:cs="仿宋_GB2312"/>
          <w:b w:val="0"/>
          <w:bCs w:val="0"/>
          <w:color w:val="333333"/>
          <w:kern w:val="0"/>
          <w:sz w:val="32"/>
          <w:szCs w:val="32"/>
          <w:lang w:val="en-US" w:bidi="ar-SA"/>
        </w:rPr>
      </w:pPr>
      <w:r>
        <w:rPr>
          <w:rFonts w:ascii="仿宋_GB2312" w:eastAsia="仿宋_GB2312" w:cs="仿宋_GB2312"/>
          <w:b w:val="0"/>
          <w:bCs w:val="0"/>
          <w:color w:val="333333"/>
          <w:kern w:val="0"/>
          <w:sz w:val="32"/>
          <w:szCs w:val="32"/>
          <w:lang w:val="en-US" w:bidi="ar-SA"/>
        </w:rPr>
        <w:t>1</w:t>
      </w:r>
      <w:r>
        <w:rPr>
          <w:rFonts w:ascii="仿宋_GB2312" w:eastAsia="仿宋_GB2312" w:cs="仿宋_GB2312" w:hint="eastAsia"/>
          <w:b w:val="0"/>
          <w:bCs w:val="0"/>
          <w:color w:val="333333"/>
          <w:kern w:val="0"/>
          <w:sz w:val="32"/>
          <w:szCs w:val="32"/>
          <w:lang w:val="en-US" w:eastAsia="zh-CN" w:bidi="ar-SA"/>
        </w:rPr>
        <w:t>5</w:t>
      </w:r>
      <w:r>
        <w:rPr>
          <w:rFonts w:ascii="仿宋_GB2312" w:eastAsia="仿宋_GB2312" w:cs="仿宋_GB2312"/>
          <w:b w:val="0"/>
          <w:bCs w:val="0"/>
          <w:color w:val="333333"/>
          <w:kern w:val="0"/>
          <w:sz w:val="32"/>
          <w:szCs w:val="32"/>
          <w:lang w:val="en-US" w:bidi="ar-SA"/>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ascii="仿宋_GB2312" w:eastAsia="仿宋_GB2312" w:cs="仿宋_GB2312"/>
          <w:color w:val="333333"/>
          <w:kern w:val="0"/>
          <w:sz w:val="32"/>
          <w:szCs w:val="32"/>
        </w:rPr>
      </w:pPr>
      <w:r>
        <w:rPr>
          <w:rFonts w:ascii="仿宋_GB2312" w:eastAsia="仿宋_GB2312" w:cs="仿宋_GB2312"/>
          <w:b w:val="0"/>
          <w:bCs w:val="0"/>
          <w:color w:val="333333"/>
          <w:kern w:val="0"/>
          <w:sz w:val="32"/>
          <w:szCs w:val="32"/>
          <w:lang w:val="en-US" w:bidi="ar-SA"/>
        </w:rPr>
        <w:t>1</w:t>
      </w:r>
      <w:r>
        <w:rPr>
          <w:rFonts w:ascii="仿宋_GB2312" w:eastAsia="仿宋_GB2312" w:cs="仿宋_GB2312" w:hint="eastAsia"/>
          <w:b w:val="0"/>
          <w:bCs w:val="0"/>
          <w:color w:val="333333"/>
          <w:kern w:val="0"/>
          <w:sz w:val="32"/>
          <w:szCs w:val="32"/>
          <w:lang w:val="en-US" w:eastAsia="zh-CN" w:bidi="ar-SA"/>
        </w:rPr>
        <w:t>6</w:t>
      </w:r>
      <w:r>
        <w:rPr>
          <w:rFonts w:ascii="仿宋_GB2312" w:eastAsia="仿宋_GB2312" w:cs="仿宋_GB2312"/>
          <w:b w:val="0"/>
          <w:bCs w:val="0"/>
          <w:color w:val="333333"/>
          <w:kern w:val="0"/>
          <w:sz w:val="32"/>
          <w:szCs w:val="32"/>
          <w:lang w:val="en-US" w:bidi="ar-SA"/>
        </w:rPr>
        <w:t xml:space="preserve">.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bookmarkStart w:id="0" w:name="_GoBack"/>
      <w:bookmarkEnd w:id="0"/>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3000509000000000000"/>
    <w:charset w:val="86"/>
    <w:family w:val="script"/>
    <w:pitch w:val="variable"/>
    <w:sig w:usb0="00000000" w:usb1="00000000" w:usb2="00000000" w:usb3="00000000" w:csb0="00040000" w:csb1="00000000"/>
  </w:font>
  <w:font w:name="方正小标宋简体">
    <w:panose1 w:val="03000509000000000000"/>
    <w:charset w:val="86"/>
    <w:family w:val="auto"/>
    <w:pitch w:val="variable"/>
    <w:sig w:usb0="00000001" w:usb1="080E0000" w:usb2="00000000" w:usb3="00000000" w:csb0="00040000" w:csb1="00000000"/>
  </w:font>
  <w:font w:name="方正黑体_GBK">
    <w:panose1 w:val="02000000000000000000"/>
    <w:charset w:val="86"/>
    <w:family w:val="script"/>
    <w:pitch w:val="variable"/>
    <w:sig w:usb0="A00002BF" w:usb1="38CF7CFA" w:usb2="00082016" w:usb3="00000000" w:csb0="00040001" w:csb1="00000000"/>
  </w:font>
  <w:font w:name="Times New Roman">
    <w:panose1 w:val="02020603050405020304"/>
    <w:charset w:val="01"/>
    <w:family w:val="auto"/>
    <w:pitch w:val="variable"/>
    <w:sig w:usb0="E0002AFF" w:usb1="C0007841" w:usb2="00000009" w:usb3="00000000" w:csb0="400001FF" w:csb1="FFFF0000"/>
  </w:font>
  <w:font w:name="方正仿宋_GBK">
    <w:altName w:val="微软雅黑"/>
    <w:panose1 w:val="03000509000000000000"/>
    <w:charset w:val="86"/>
    <w:family w:val="auto"/>
    <w:pitch w:val="variable"/>
    <w:sig w:usb0="00000000" w:usb1="00000000" w:usb2="00000000" w:usb3="00000000" w:csb0="00040000" w:csb1="00000000"/>
  </w:font>
  <w:font w:name="仿宋_GB2312">
    <w:panose1 w:val="02010609030101010101"/>
    <w:charset w:val="86"/>
    <w:family w:val="modern"/>
    <w:pitch w:val="variable"/>
    <w:sig w:usb0="00000001" w:usb1="080E0000" w:usb2="00000000" w:usb3="00000000" w:csb0="00040000" w:csb1="00000000"/>
  </w:font>
  <w:font w:name="宋体">
    <w:panose1 w:val="02010600030101010101"/>
    <w:charset w:val="7A"/>
    <w:family w:val="auto"/>
    <w:pitch w:val="variable"/>
    <w:sig w:usb0="00000003" w:usb1="288F0000" w:usb2="00000006" w:usb3="00000000" w:csb0="00040001" w:csb1="00000000"/>
  </w:font>
  <w:font w:name="Calibri">
    <w:altName w:val="Times New Roman"/>
    <w:panose1 w:val="020F0502020204030204"/>
    <w:charset w:val="00"/>
    <w:family w:val="swiss"/>
    <w:pitch w:val="variable"/>
    <w:sig w:usb0="E00002FF" w:usb1="4000ACFF" w:usb2="00000001" w:usb3="00000000" w:csb0="2000019F" w:csb1="00000000"/>
  </w:font>
  <w:font w:name="Arial">
    <w:altName w:val="DejaVu Sans"/>
    <w:panose1 w:val="020B0604020202020204"/>
    <w:charset w:val="01"/>
    <w:family w:val="swiss"/>
    <w:pitch w:val="variable"/>
    <w:sig w:usb0="E0002AFF" w:usb1="C0007843" w:usb2="00000009" w:usb3="00000000" w:csb0="400001FF" w:csb1="FFFF0000"/>
  </w:font>
</w:fonts>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AE4E1AA"/>
    <w:multiLevelType w:val="singleLevel"/>
    <w:tmpl w:val="AAE4E1AA"/>
    <w:lvl w:ilvl="0">
      <w:start w:val="1"/>
      <w:numFmt w:val="chineseCounting"/>
      <w:lvlRestart w:val="0"/>
      <w:suff w:val="nothing"/>
      <w:lvlText w:val="（%1）"/>
      <w:lvlJc w:val="left"/>
      <w:pPr>
        <w:tabs>
          <w:tab w:val="num" w:pos="0"/>
        </w:tabs>
        <w:ind w:left="0" w:hanging="0"/>
      </w:pPr>
      <w:rPr>
        <w:rFonts w:hint="eastAsia"/>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4"/>
      <w:lang w:val="en-US" w:eastAsia="zh-CN" w:bidi="ar-SA"/>
    </w:rPr>
  </w:style>
  <w:style w:type="paragraph" w:styleId="1">
    <w:name w:val="heading 1"/>
    <w:basedOn w:val="0"/>
    <w:next w:val="0"/>
    <w:pPr>
      <w:spacing w:before="0" w:beforeAutospacing="1" w:after="0" w:afterAutospacing="1"/>
      <w:jc w:val="left"/>
      <w:outlineLvl w:val="0"/>
    </w:pPr>
    <w:rPr>
      <w:rFonts w:ascii="宋体" w:eastAsia="宋体" w:cs="宋体"/>
      <w:b/>
      <w:bCs/>
      <w:kern w:val="44"/>
      <w:sz w:val="48"/>
      <w:szCs w:val="48"/>
      <w:lang w:val="en-US" w:eastAsia="zh-CN"/>
    </w:rPr>
  </w:style>
  <w:style w:type="paragraph" w:styleId="2">
    <w:name w:val="heading 2"/>
    <w:basedOn w:val="0"/>
    <w:next w:val="0"/>
    <w:pPr>
      <w:spacing w:before="0" w:beforeAutospacing="1" w:after="0" w:afterAutospacing="1"/>
      <w:jc w:val="left"/>
      <w:outlineLvl w:val="1"/>
    </w:pPr>
    <w:rPr>
      <w:rFonts w:ascii="宋体" w:eastAsia="宋体" w:cs="宋体"/>
      <w:b/>
      <w:bCs/>
      <w:kern w:val="0"/>
      <w:sz w:val="36"/>
      <w:szCs w:val="36"/>
      <w:lang w:val="en-US" w:eastAsia="zh-CN"/>
    </w:rPr>
  </w:style>
  <w:style w:type="paragraph" w:styleId="3">
    <w:name w:val="heading 3"/>
    <w:basedOn w:val="0"/>
    <w:next w:val="0"/>
    <w:pPr>
      <w:spacing w:before="0" w:beforeAutospacing="1" w:after="0" w:afterAutospacing="1"/>
      <w:jc w:val="left"/>
      <w:outlineLvl w:val="2"/>
    </w:pPr>
    <w:rPr>
      <w:rFonts w:ascii="宋体" w:eastAsia="宋体" w:cs="宋体"/>
      <w:b/>
      <w:bCs/>
      <w:kern w:val="0"/>
      <w:sz w:val="27"/>
      <w:szCs w:val="27"/>
      <w:lang w:val="en-US" w:eastAsia="zh-CN"/>
    </w:rPr>
  </w:style>
  <w:style w:type="paragraph" w:styleId="4">
    <w:name w:val="heading 4"/>
    <w:basedOn w:val="0"/>
    <w:next w:val="0"/>
    <w:pPr>
      <w:spacing w:before="0" w:beforeAutospacing="1" w:after="0" w:afterAutospacing="1"/>
      <w:jc w:val="left"/>
      <w:outlineLvl w:val="3"/>
    </w:pPr>
    <w:rPr>
      <w:rFonts w:ascii="宋体" w:eastAsia="宋体" w:cs="宋体"/>
      <w:b/>
      <w:bCs/>
      <w:kern w:val="0"/>
      <w:sz w:val="24"/>
      <w:szCs w:val="24"/>
      <w:lang w:val="en-US" w:eastAsia="zh-CN"/>
    </w:rPr>
  </w:style>
  <w:style w:type="character" w:default="1" w:styleId="10">
    <w:name w:val="Default Paragraph Font"/>
  </w:style>
  <w:style w:type="paragraph" w:styleId="15">
    <w:name w:val="Body Text Indent"/>
    <w:basedOn w:val="0"/>
    <w:pPr>
      <w:spacing w:after="120"/>
      <w:ind w:leftChars="200" w:left="200"/>
    </w:pPr>
  </w:style>
  <w:style w:type="paragraph" w:styleId="16">
    <w:name w:val="Body Text First Indent 2"/>
    <w:basedOn w:val="15"/>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6</TotalTime>
  <Application>Yozo_Office27021597764231179</Application>
  <Pages>14</Pages>
  <Words>6432</Words>
  <Characters>6921</Characters>
  <Lines>319</Lines>
  <Paragraphs>103</Paragraphs>
  <CharactersWithSpaces>7164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dc:creator>
  <cp:lastModifiedBy>user</cp:lastModifiedBy>
  <cp:revision>0</cp:revision>
  <dcterms:created xsi:type="dcterms:W3CDTF">2026-01-29T03:22:00Z</dcterms:created>
  <dcterms:modified xsi:type="dcterms:W3CDTF">2026-03-19T02:23:56Z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2052-11.1.0.9912</vt:lpwstr>
  </property>
  <property fmtid="{D5CDD505-2E9C-101B-9397-08002B2CF9AE}" pid="3" name="KSOTemplateDocerSaveRecord">
    <vt:lpwstr>eyJoZGlkIjoiZmIzY2U4YmQ3OWU0NmFiOTJmYWE2Y2MxY2E2Yjk0YzkiLCJ1c2VySWQiOiIxMzAwMTYxMDgxIn0=</vt:lpwstr>
  </property>
  <property fmtid="{D5CDD505-2E9C-101B-9397-08002B2CF9AE}" pid="4" name="ICV">
    <vt:lpwstr>5922746827FC47E9B81D24C0C378F5BF_12</vt:lpwstr>
  </property>
</Properties>
</file>