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eastAsia" w:ascii="方正小标宋简体" w:eastAsia="方正小标宋简体" w:cs="方正小标宋简体"/>
          <w:color w:val="000000"/>
          <w:sz w:val="72"/>
          <w:szCs w:val="72"/>
          <w:lang w:val="en-US" w:eastAsia="zh-CN"/>
        </w:rPr>
      </w:pPr>
      <w:bookmarkStart w:id="0" w:name="_Toc15396598"/>
      <w:bookmarkStart w:id="1" w:name="_Toc15377426"/>
      <w:bookmarkStart w:id="2" w:name="_Toc15377194"/>
      <w:bookmarkStart w:id="3" w:name="_Toc15396476"/>
      <w:bookmarkStart w:id="4" w:name="_Toc15306267"/>
      <w:bookmarkStart w:id="5" w:name="_Toc15378442"/>
    </w:p>
    <w:p>
      <w:pPr>
        <w:pStyle w:val="5"/>
        <w:jc w:val="center"/>
        <w:rPr>
          <w:rFonts w:hint="eastAsia" w:ascii="方正小标宋简体" w:eastAsia="方正小标宋简体" w:cs="方正小标宋简体"/>
          <w:color w:val="000000"/>
          <w:sz w:val="72"/>
          <w:szCs w:val="72"/>
          <w:lang w:val="en-US" w:eastAsia="zh-CN"/>
        </w:rPr>
      </w:pP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方正小标宋简体" w:eastAsia="方正小标宋简体" w:cs="方正小标宋简体"/>
          <w:color w:val="000000"/>
          <w:sz w:val="72"/>
          <w:szCs w:val="72"/>
          <w:lang w:val="en-US" w:eastAsia="zh-CN"/>
        </w:rPr>
        <w:t>2024</w:t>
      </w:r>
      <w:bookmarkEnd w:id="0"/>
      <w:bookmarkEnd w:id="1"/>
      <w:bookmarkEnd w:id="2"/>
      <w:bookmarkEnd w:id="3"/>
      <w:bookmarkEnd w:id="4"/>
      <w:bookmarkEnd w:id="5"/>
      <w:r>
        <w:rPr>
          <w:rFonts w:hint="eastAsia" w:ascii="方正小标宋简体" w:eastAsia="方正小标宋简体"/>
          <w:color w:val="000000"/>
          <w:sz w:val="72"/>
          <w:szCs w:val="72"/>
        </w:rPr>
        <w:t>年度</w:t>
      </w:r>
      <w:bookmarkStart w:id="6" w:name="_Toc20266"/>
      <w:bookmarkStart w:id="7" w:name="_Toc28892"/>
      <w:bookmarkStart w:id="8" w:name="_Toc15964"/>
      <w:r>
        <w:rPr>
          <w:rFonts w:hint="eastAsia" w:ascii="方正小标宋简体" w:eastAsia="方正小标宋简体" w:cs="方正小标宋简体"/>
          <w:color w:val="000000"/>
          <w:sz w:val="72"/>
          <w:szCs w:val="72"/>
          <w:lang w:val="en-US" w:eastAsia="zh-CN"/>
        </w:rPr>
        <w:t>金川县</w:t>
      </w:r>
      <w:bookmarkEnd w:id="6"/>
      <w:bookmarkEnd w:id="7"/>
      <w:bookmarkStart w:id="9" w:name="_Toc32513"/>
      <w:bookmarkStart w:id="10" w:name="_Toc16040"/>
      <w:r>
        <w:rPr>
          <w:rFonts w:hint="eastAsia" w:ascii="方正小标宋简体" w:eastAsia="方正小标宋简体" w:cs="方正小标宋简体"/>
          <w:color w:val="000000"/>
          <w:sz w:val="72"/>
          <w:szCs w:val="72"/>
          <w:lang w:val="en-US" w:eastAsia="zh-CN"/>
        </w:rPr>
        <w:t>应急管理局部门决算</w:t>
      </w:r>
      <w:bookmarkEnd w:id="8"/>
      <w:bookmarkEnd w:id="9"/>
      <w:bookmarkEnd w:id="10"/>
      <w:r>
        <w:rPr>
          <w:rFonts w:hint="eastAsia" w:ascii="方正小标宋简体" w:eastAsia="方正小标宋简体" w:cs="方正小标宋简体"/>
          <w:color w:val="000000"/>
          <w:sz w:val="72"/>
          <w:szCs w:val="72"/>
          <w:lang w:val="en-US" w:eastAsia="zh-CN"/>
        </w:rPr>
        <w:t>分析报告</w:t>
      </w:r>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20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4"/>
        <w:bidi w:val="0"/>
        <w:ind w:left="0" w:leftChars="0" w:firstLine="0" w:firstLineChars="0"/>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第一部分 部门概</w:t>
      </w:r>
      <w:r>
        <w:rPr>
          <w:rFonts w:hint="eastAsia" w:eastAsia="黑体" w:cs="黑体"/>
          <w:color w:val="auto"/>
          <w:sz w:val="32"/>
          <w:szCs w:val="32"/>
          <w:highlight w:val="none"/>
          <w:lang w:eastAsia="zh-CN"/>
        </w:rPr>
        <w:t>况</w:t>
      </w:r>
      <w:r>
        <w:rPr>
          <w:rFonts w:ascii="仿宋" w:eastAsia="仿宋"/>
          <w:sz w:val="28"/>
          <w:szCs w:val="28"/>
        </w:rPr>
        <w:tab/>
      </w:r>
      <w:r>
        <w:rPr>
          <w:rFonts w:hint="eastAsia" w:ascii="仿宋" w:eastAsia="仿宋"/>
          <w:sz w:val="28"/>
          <w:szCs w:val="28"/>
          <w:lang w:val="en-US" w:eastAsia="zh-CN"/>
        </w:rPr>
        <w:t>1</w:t>
      </w:r>
    </w:p>
    <w:p>
      <w:pPr>
        <w:pStyle w:val="14"/>
        <w:bidi w:val="0"/>
        <w:ind w:left="0" w:leftChars="0" w:firstLine="640" w:firstLineChars="200"/>
        <w:rPr>
          <w:rFonts w:hint="default" w:ascii="Times New Roman" w:hAnsi="Times New Roman" w:eastAsia="黑体" w:cs="黑体"/>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ascii="仿宋" w:eastAsia="仿宋"/>
          <w:sz w:val="28"/>
          <w:szCs w:val="28"/>
        </w:rPr>
        <w:tab/>
      </w:r>
      <w:r>
        <w:rPr>
          <w:rFonts w:hint="eastAsia" w:ascii="仿宋" w:eastAsia="仿宋"/>
          <w:sz w:val="28"/>
          <w:szCs w:val="28"/>
          <w:lang w:val="en-US" w:eastAsia="zh-CN"/>
        </w:rPr>
        <w:t>1</w:t>
      </w:r>
    </w:p>
    <w:p>
      <w:pPr>
        <w:pStyle w:val="14"/>
        <w:bidi w:val="0"/>
        <w:ind w:left="0" w:leftChars="0" w:firstLine="640" w:firstLineChars="200"/>
        <w:rPr>
          <w:rFonts w:hint="default" w:ascii="Times New Roman" w:hAnsi="Times New Roman" w:eastAsia="黑体" w:cs="黑体"/>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ascii="仿宋" w:eastAsia="仿宋"/>
          <w:sz w:val="28"/>
          <w:szCs w:val="28"/>
        </w:rPr>
        <w:tab/>
      </w:r>
      <w:r>
        <w:rPr>
          <w:rFonts w:hint="eastAsia" w:ascii="仿宋" w:eastAsia="仿宋"/>
          <w:sz w:val="28"/>
          <w:szCs w:val="28"/>
          <w:lang w:val="en-US" w:eastAsia="zh-CN"/>
        </w:rPr>
        <w:t>2</w:t>
      </w:r>
    </w:p>
    <w:p>
      <w:pPr>
        <w:pStyle w:val="14"/>
        <w:bidi w:val="0"/>
        <w:ind w:left="0" w:leftChars="0" w:firstLine="0" w:firstLineChars="0"/>
        <w:jc w:val="left"/>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ascii="仿宋" w:eastAsia="仿宋"/>
          <w:sz w:val="28"/>
          <w:szCs w:val="28"/>
        </w:rPr>
        <w:tab/>
      </w:r>
      <w:r>
        <w:rPr>
          <w:rFonts w:hint="eastAsia" w:ascii="仿宋" w:eastAsia="仿宋"/>
          <w:sz w:val="28"/>
          <w:szCs w:val="28"/>
          <w:lang w:val="en-US" w:eastAsia="zh-CN"/>
        </w:rPr>
        <w:t>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ascii="仿宋" w:eastAsia="仿宋"/>
          <w:sz w:val="28"/>
          <w:szCs w:val="28"/>
        </w:rPr>
        <w:tab/>
      </w:r>
      <w:r>
        <w:rPr>
          <w:rFonts w:hint="eastAsia" w:ascii="仿宋" w:eastAsia="仿宋"/>
          <w:sz w:val="28"/>
          <w:szCs w:val="28"/>
          <w:lang w:val="en-US" w:eastAsia="zh-CN"/>
        </w:rPr>
        <w:t>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ascii="仿宋" w:eastAsia="仿宋"/>
          <w:sz w:val="28"/>
          <w:szCs w:val="28"/>
        </w:rPr>
        <w:tab/>
      </w:r>
      <w:r>
        <w:rPr>
          <w:rFonts w:hint="eastAsia" w:ascii="仿宋" w:eastAsia="仿宋"/>
          <w:sz w:val="28"/>
          <w:szCs w:val="28"/>
          <w:lang w:val="en-US" w:eastAsia="zh-CN"/>
        </w:rPr>
        <w:t>4</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ascii="仿宋" w:eastAsia="仿宋"/>
          <w:sz w:val="28"/>
          <w:szCs w:val="28"/>
        </w:rPr>
        <w:tab/>
      </w:r>
      <w:r>
        <w:rPr>
          <w:rFonts w:hint="eastAsia" w:ascii="仿宋" w:eastAsia="仿宋"/>
          <w:sz w:val="28"/>
          <w:szCs w:val="28"/>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ascii="仿宋" w:eastAsia="仿宋"/>
          <w:sz w:val="28"/>
          <w:szCs w:val="28"/>
        </w:rPr>
        <w:tab/>
      </w:r>
      <w:r>
        <w:rPr>
          <w:rFonts w:hint="eastAsia" w:ascii="仿宋" w:eastAsia="仿宋"/>
          <w:sz w:val="28"/>
          <w:szCs w:val="28"/>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r>
        <w:rPr>
          <w:rFonts w:ascii="仿宋" w:eastAsia="仿宋"/>
          <w:sz w:val="28"/>
          <w:szCs w:val="28"/>
        </w:rPr>
        <w:tab/>
      </w:r>
      <w:r>
        <w:rPr>
          <w:rFonts w:hint="eastAsia" w:ascii="仿宋" w:eastAsia="仿宋"/>
          <w:sz w:val="28"/>
          <w:szCs w:val="28"/>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r>
        <w:rPr>
          <w:rFonts w:ascii="仿宋" w:eastAsia="仿宋"/>
          <w:sz w:val="28"/>
          <w:szCs w:val="28"/>
        </w:rPr>
        <w:tab/>
      </w:r>
      <w:r>
        <w:rPr>
          <w:rFonts w:hint="eastAsia" w:ascii="仿宋" w:eastAsia="仿宋"/>
          <w:sz w:val="28"/>
          <w:szCs w:val="28"/>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ascii="仿宋" w:eastAsia="仿宋"/>
          <w:sz w:val="28"/>
          <w:szCs w:val="28"/>
        </w:rPr>
        <w:tab/>
      </w:r>
      <w:r>
        <w:rPr>
          <w:rFonts w:hint="eastAsia" w:ascii="仿宋" w:eastAsia="仿宋"/>
          <w:sz w:val="28"/>
          <w:szCs w:val="28"/>
          <w:lang w:val="en-US" w:eastAsia="zh-CN"/>
        </w:rPr>
        <w:t>10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八、政府性基金预算支出决算情况说明</w:t>
      </w:r>
      <w:r>
        <w:rPr>
          <w:rFonts w:ascii="仿宋" w:eastAsia="仿宋"/>
          <w:sz w:val="28"/>
          <w:szCs w:val="28"/>
        </w:rPr>
        <w:tab/>
      </w:r>
      <w:r>
        <w:rPr>
          <w:rFonts w:hint="eastAsia" w:ascii="仿宋" w:eastAsia="仿宋"/>
          <w:sz w:val="28"/>
          <w:szCs w:val="28"/>
          <w:lang w:val="en-US" w:eastAsia="zh-CN"/>
        </w:rPr>
        <w:t>12</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ascii="仿宋" w:eastAsia="仿宋"/>
          <w:sz w:val="28"/>
          <w:szCs w:val="28"/>
        </w:rPr>
        <w:tab/>
      </w:r>
      <w:r>
        <w:rPr>
          <w:rFonts w:hint="eastAsia" w:ascii="仿宋" w:eastAsia="仿宋"/>
          <w:sz w:val="28"/>
          <w:szCs w:val="28"/>
          <w:lang w:val="en-US" w:eastAsia="zh-CN"/>
        </w:rPr>
        <w:t>12</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ascii="仿宋" w:eastAsia="仿宋"/>
          <w:sz w:val="28"/>
          <w:szCs w:val="28"/>
        </w:rPr>
        <w:tab/>
      </w:r>
      <w:r>
        <w:rPr>
          <w:rFonts w:hint="eastAsia" w:ascii="仿宋" w:eastAsia="仿宋"/>
          <w:sz w:val="28"/>
          <w:szCs w:val="28"/>
          <w:lang w:val="en-US" w:eastAsia="zh-CN"/>
        </w:rPr>
        <w:t>13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both"/>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黑体" w:cs="黑体"/>
          <w:color w:val="auto"/>
          <w:sz w:val="32"/>
          <w:szCs w:val="32"/>
          <w:highlight w:val="none"/>
        </w:rPr>
        <w:t>第三部分 名词解释</w:t>
      </w:r>
      <w:r>
        <w:rPr>
          <w:rFonts w:ascii="仿宋" w:eastAsia="仿宋"/>
          <w:sz w:val="28"/>
          <w:szCs w:val="28"/>
        </w:rPr>
        <w:tab/>
      </w:r>
      <w:r>
        <w:rPr>
          <w:rFonts w:hint="eastAsia" w:ascii="仿宋" w:eastAsia="仿宋"/>
          <w:sz w:val="28"/>
          <w:szCs w:val="28"/>
          <w:lang w:val="en-US" w:eastAsia="zh-CN"/>
        </w:rPr>
        <w:t>15</w:t>
      </w:r>
      <w:bookmarkStart w:id="71" w:name="_GoBack"/>
      <w:bookmarkEnd w:id="71"/>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ascii="仿宋" w:eastAsia="仿宋"/>
          <w:sz w:val="28"/>
          <w:szCs w:val="28"/>
        </w:rPr>
        <w:tab/>
      </w:r>
      <w:r>
        <w:rPr>
          <w:rFonts w:hint="eastAsia" w:ascii="仿宋" w:eastAsia="仿宋"/>
          <w:sz w:val="28"/>
          <w:szCs w:val="28"/>
          <w:lang w:val="en-US" w:eastAsia="zh-CN"/>
        </w:rPr>
        <w:t>19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黑体" w:cs="黑体"/>
          <w:color w:val="auto"/>
          <w:sz w:val="32"/>
          <w:szCs w:val="32"/>
          <w:highlight w:val="none"/>
        </w:rPr>
        <w:t>第五部分 附表</w:t>
      </w:r>
      <w:r>
        <w:rPr>
          <w:rFonts w:ascii="仿宋" w:eastAsia="仿宋"/>
          <w:sz w:val="28"/>
          <w:szCs w:val="28"/>
        </w:rPr>
        <w:tab/>
      </w:r>
      <w:r>
        <w:rPr>
          <w:rFonts w:hint="eastAsia" w:ascii="仿宋" w:eastAsia="仿宋"/>
          <w:sz w:val="28"/>
          <w:szCs w:val="28"/>
          <w:lang w:val="en-US" w:eastAsia="zh-CN"/>
        </w:rPr>
        <w:t>60</w:t>
      </w:r>
    </w:p>
    <w:p>
      <w:pPr>
        <w:pStyle w:val="11"/>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ascii="仿宋" w:eastAsia="仿宋"/>
          <w:sz w:val="28"/>
          <w:szCs w:val="28"/>
        </w:rPr>
        <w:tab/>
      </w:r>
      <w:r>
        <w:rPr>
          <w:rFonts w:hint="eastAsia" w:ascii="仿宋" w:eastAsia="仿宋"/>
          <w:sz w:val="28"/>
          <w:szCs w:val="28"/>
          <w:lang w:val="en-US" w:eastAsia="zh-CN"/>
        </w:rPr>
        <w:t>60</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ascii="仿宋" w:eastAsia="仿宋"/>
          <w:sz w:val="28"/>
          <w:szCs w:val="28"/>
        </w:rPr>
        <w:tab/>
      </w:r>
      <w:r>
        <w:rPr>
          <w:rFonts w:hint="eastAsia" w:ascii="仿宋" w:eastAsia="仿宋"/>
          <w:sz w:val="28"/>
          <w:szCs w:val="28"/>
          <w:lang w:val="en-US" w:eastAsia="zh-CN"/>
        </w:rPr>
        <w:t>60</w:t>
      </w:r>
    </w:p>
    <w:p>
      <w:pPr>
        <w:pStyle w:val="2"/>
        <w:jc w:val="center"/>
        <w:rPr>
          <w:rFonts w:hint="eastAsia" w:ascii="Times New Roman" w:hAnsi="Times New Roman" w:eastAsia="方正小标宋简体" w:cs="方正小标宋简体"/>
          <w:b w:val="0"/>
          <w:color w:val="auto"/>
          <w:highlight w:val="none"/>
        </w:rPr>
        <w:sectPr>
          <w:headerReference r:id="rId3" w:type="default"/>
          <w:footerReference r:id="rId4" w:type="default"/>
          <w:pgSz w:w="11906" w:h="16838"/>
          <w:pgMar w:top="2098" w:right="1474" w:bottom="1984" w:left="1587" w:header="964" w:footer="1304" w:gutter="0"/>
          <w:pgNumType w:fmt="numberInDash" w:start="2"/>
          <w:cols w:space="0" w:num="1"/>
          <w:docGrid w:type="lines" w:linePitch="313" w:charSpace="0"/>
        </w:sectPr>
      </w:pPr>
      <w:bookmarkStart w:id="11" w:name="_Toc15396599"/>
      <w:bookmarkStart w:id="12" w:name="_Toc15377196"/>
    </w:p>
    <w:p>
      <w:pPr>
        <w:pStyle w:val="2"/>
        <w:jc w:val="center"/>
        <w:rPr>
          <w:rStyle w:val="3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11"/>
      <w:bookmarkEnd w:id="12"/>
    </w:p>
    <w:p>
      <w:pPr>
        <w:widowControl/>
        <w:jc w:val="left"/>
        <w:rPr>
          <w:rFonts w:ascii="Times New Roman" w:hAnsi="Times New Roman" w:eastAsia="黑体"/>
          <w:color w:val="auto"/>
          <w:sz w:val="32"/>
          <w:szCs w:val="32"/>
          <w:highlight w:val="none"/>
        </w:rPr>
      </w:pPr>
    </w:p>
    <w:p>
      <w:pPr>
        <w:pStyle w:val="3"/>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widowControl/>
        <w:numPr>
          <w:ilvl w:val="0"/>
          <w:numId w:val="0"/>
        </w:numPr>
        <w:spacing w:line="360" w:lineRule="auto"/>
        <w:ind w:firstLine="640" w:firstLineChars="200"/>
        <w:jc w:val="left"/>
        <w:rPr>
          <w:rFonts w:hint="eastAsia"/>
          <w:lang w:eastAsia="zh-CN"/>
        </w:rPr>
      </w:pPr>
      <w:r>
        <w:rPr>
          <w:rFonts w:hint="eastAsia" w:ascii="仿宋_GB2312" w:eastAsia="仿宋_GB2312" w:cs="仿宋_GB2312"/>
          <w:kern w:val="0"/>
          <w:sz w:val="32"/>
          <w:szCs w:val="32"/>
          <w:lang w:eastAsia="zh-CN"/>
        </w:rPr>
        <w:t>本单位负责应急管理工作，组织和指导各乡（镇）、县级各部门（单位）应对安全生产类、自然灾害类等突发事件和综合防灾减灾救灾工作。负责安全生产综合监督管理和工矿商贸安全生产监督管理工作。拟订应急管理、安全生产等有关规范性文件，组织编制应急体系建设、安全生产和综合防灾减灾规划。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牵头建立统一的应急管理信息系统，负责信息传输渠道的规划和布局，建立监测预警和灾情报告制度，健全自然灾害信息资源获取和共享机制，依法统一发布灾情。负责组织、指导、协调安全生产类、自然灾害类等突发事件应急救援，承担全县应对较大及以上灾害指挥部工作，综合研判突发事件发展态势并提出应对建议，负责组织较大及以上灾害应急处置工作。统一协调指挥各类应急专业队伍，建立应急协调联动机制，推进指挥平台对接。按照国家、省、州相关政策和规定负责消防、森林和草原火灾扑救、抗洪抢险、地震和地质灾害救援、生产安全事故救援等专业应急救援力量建设，依法依规统筹指导全县社会应急救援力量和应急保障能力建设。按照国家、省、州相关政策和县委、县政府相关规定负责消防工作，组织和指导消防监督、火灾预防、火灾扑救等工作。负责自然灾害综合监测预警工作，承担自然灾害综合风险评估工作，指导协调森林和草原火灾、水旱灾害、地震和地质灾害等防治工作。负责组织、协调灾害救助工作，组织和指导灾情核查、损失评估、救灾捐赠工作，管理、分配中央、省、州下拨及县级救灾款物并监督使用。依法承担县政府安全生产综合监督管理责任，指导协调、监督检查各乡（镇）和各部门（单位）安全生产工作，组织开展安全生产巡查、督查、考核工作。负责应急管理、安全生产宣传教育和培训工作，组织和指导应急管理、安全生产的科学技术推广应用和信息化建设工作。负责职责范围内的职业健康、生态环境保护、公共机构节能减排、审批服务便民化工作。完成县委、县政府交办的其他任务。</w:t>
      </w:r>
    </w:p>
    <w:p>
      <w:pPr>
        <w:pStyle w:val="3"/>
        <w:rPr>
          <w:rStyle w:val="32"/>
          <w:rFonts w:ascii="Times New Roman" w:hAnsi="Times New Roman"/>
          <w:b w:val="0"/>
          <w:bCs w:val="0"/>
          <w:color w:val="auto"/>
          <w:highlight w:val="none"/>
        </w:rPr>
      </w:pPr>
      <w:bookmarkStart w:id="13" w:name="_Toc15377200"/>
      <w:bookmarkStart w:id="14" w:name="_Toc15396601"/>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13"/>
      <w:bookmarkEnd w:id="14"/>
    </w:p>
    <w:p>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金川县应急管理局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pPr>
        <w:pStyle w:val="5"/>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金川县应急管理局</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pPr>
        <w:pStyle w:val="5"/>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bookmarkStart w:id="15" w:name="_Toc15378449"/>
      <w:bookmarkStart w:id="16" w:name="_Toc15377202"/>
      <w:bookmarkStart w:id="17" w:name="_Toc15306276"/>
      <w:bookmarkStart w:id="18" w:name="_Toc15377433"/>
      <w:r>
        <w:rPr>
          <w:rFonts w:hint="eastAsia" w:ascii="仿宋_GB2312" w:eastAsia="仿宋_GB2312" w:cs="仿宋_GB2312"/>
          <w:color w:val="000000"/>
          <w:kern w:val="0"/>
          <w:sz w:val="32"/>
          <w:szCs w:val="32"/>
          <w:lang w:eastAsia="zh-CN"/>
        </w:rPr>
        <w:t>县应急管理局（</w:t>
      </w:r>
      <w:r>
        <w:rPr>
          <w:rFonts w:hint="eastAsia" w:ascii="仿宋_GB2312" w:eastAsia="仿宋_GB2312" w:cs="仿宋_GB2312"/>
          <w:color w:val="auto"/>
          <w:sz w:val="32"/>
          <w:szCs w:val="32"/>
        </w:rPr>
        <w:t>内设办公室、安全生产综合监管股、</w:t>
      </w:r>
      <w:r>
        <w:rPr>
          <w:rFonts w:hint="eastAsia" w:ascii="仿宋_GB2312" w:eastAsia="仿宋_GB2312" w:cs="仿宋_GB2312"/>
          <w:color w:val="auto"/>
          <w:spacing w:val="-14"/>
          <w:sz w:val="32"/>
          <w:szCs w:val="32"/>
        </w:rPr>
        <w:t>应急指挥中心</w:t>
      </w:r>
      <w:r>
        <w:rPr>
          <w:rFonts w:hint="eastAsia" w:ascii="仿宋_GB2312" w:eastAsia="仿宋_GB2312" w:cs="仿宋_GB2312"/>
          <w:color w:val="auto"/>
          <w:spacing w:val="-14"/>
          <w:sz w:val="32"/>
          <w:szCs w:val="32"/>
          <w:lang w:eastAsia="zh-CN"/>
        </w:rPr>
        <w:t>、应急管理综合行政执法</w:t>
      </w:r>
      <w:r>
        <w:rPr>
          <w:rFonts w:hint="eastAsia" w:ascii="仿宋_GB2312" w:eastAsia="仿宋_GB2312" w:cs="仿宋_GB2312"/>
          <w:color w:val="auto"/>
          <w:sz w:val="32"/>
          <w:szCs w:val="32"/>
        </w:rPr>
        <w:t>大队、</w:t>
      </w:r>
      <w:r>
        <w:rPr>
          <w:rFonts w:hint="default" w:ascii="仿宋_GB2312" w:hAnsi="Times New Roman" w:eastAsia="仿宋_GB2312" w:cs="仿宋_GB2312"/>
          <w:color w:val="auto"/>
          <w:sz w:val="32"/>
          <w:szCs w:val="32"/>
          <w:lang w:val="en-US" w:eastAsia="zh-CN"/>
        </w:rPr>
        <w:t>县消防指导服务中心</w:t>
      </w:r>
      <w:r>
        <w:rPr>
          <w:rFonts w:hint="eastAsia" w:ascii="仿宋_GB2312" w:hAnsi="Times New Roman" w:eastAsia="仿宋_GB2312" w:cs="仿宋_GB2312"/>
          <w:color w:val="auto"/>
          <w:sz w:val="32"/>
          <w:szCs w:val="32"/>
          <w:lang w:val="en-US" w:eastAsia="zh-CN"/>
        </w:rPr>
        <w:t>、</w:t>
      </w:r>
      <w:r>
        <w:rPr>
          <w:rFonts w:hint="eastAsia" w:ascii="仿宋_GB2312" w:eastAsia="仿宋_GB2312" w:cs="仿宋_GB2312"/>
          <w:color w:val="auto"/>
          <w:spacing w:val="-14"/>
          <w:sz w:val="32"/>
          <w:szCs w:val="32"/>
          <w:lang w:eastAsia="zh-CN"/>
        </w:rPr>
        <w:t>金川县防汛抗旱工作中心、森林草原防灭火指挥部办公室</w:t>
      </w:r>
      <w:r>
        <w:rPr>
          <w:rFonts w:hint="eastAsia" w:ascii="仿宋_GB2312" w:eastAsia="仿宋_GB2312" w:cs="仿宋_GB2312"/>
          <w:color w:val="auto"/>
          <w:spacing w:val="-14"/>
          <w:sz w:val="32"/>
          <w:szCs w:val="32"/>
          <w:lang w:val="en-US" w:eastAsia="zh-CN"/>
        </w:rPr>
        <w:t>)</w:t>
      </w:r>
      <w:bookmarkEnd w:id="15"/>
      <w:bookmarkEnd w:id="16"/>
      <w:bookmarkEnd w:id="17"/>
      <w:bookmarkEnd w:id="18"/>
    </w:p>
    <w:p>
      <w:pPr>
        <w:pStyle w:val="5"/>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pacing w:val="-14"/>
          <w:sz w:val="32"/>
          <w:szCs w:val="32"/>
          <w:lang w:val="en-US" w:eastAsia="zh-CN"/>
        </w:rPr>
        <w:t>县应急管理保障中心</w:t>
      </w:r>
    </w:p>
    <w:p>
      <w:pPr>
        <w:pStyle w:val="5"/>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pacing w:val="-14"/>
          <w:sz w:val="32"/>
          <w:szCs w:val="32"/>
          <w:lang w:val="en-US" w:eastAsia="zh-CN"/>
        </w:rPr>
        <w:t>县综合应急救援服务工作中心</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jc w:val="left"/>
        <w:textAlignment w:val="auto"/>
        <w:rPr>
          <w:rFonts w:hint="eastAsia" w:ascii="仿宋_GB2312" w:hAnsi="Times New Roman" w:eastAsia="仿宋_GB2312" w:cs="仿宋_GB2312"/>
          <w:color w:val="auto"/>
          <w:spacing w:val="-14"/>
          <w:kern w:val="0"/>
          <w:sz w:val="32"/>
          <w:szCs w:val="32"/>
          <w:lang w:val="en-US" w:eastAsia="zh-CN" w:bidi="ar-SA"/>
        </w:rPr>
      </w:pPr>
      <w:r>
        <w:rPr>
          <w:rFonts w:hint="eastAsia" w:ascii="仿宋_GB2312" w:eastAsia="仿宋_GB2312" w:cs="仿宋_GB2312"/>
          <w:kern w:val="0"/>
          <w:sz w:val="32"/>
          <w:szCs w:val="32"/>
          <w:lang w:eastAsia="zh-CN"/>
        </w:rPr>
        <w:t>本单位202</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lang w:eastAsia="zh-CN"/>
        </w:rPr>
        <w:t>年有</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lang w:eastAsia="zh-CN"/>
        </w:rPr>
        <w:t>个独立核算机构，</w:t>
      </w:r>
      <w:r>
        <w:rPr>
          <w:rFonts w:hint="eastAsia" w:ascii="仿宋_GB2312" w:hAnsi="Times New Roman" w:eastAsia="仿宋_GB2312" w:cs="仿宋_GB2312"/>
          <w:color w:val="auto"/>
          <w:spacing w:val="-14"/>
          <w:kern w:val="0"/>
          <w:sz w:val="32"/>
          <w:szCs w:val="32"/>
          <w:lang w:val="en-US" w:eastAsia="zh-CN" w:bidi="ar-SA"/>
        </w:rPr>
        <w:t>我单位2024总编制数35名，其中：行政编制11名，机关工勤编制1名，参公事业编制17名，事业编制6名。2024年末实有人数28人，其中：行政人员 11人、行政工勤1人，参公人员10人，事业人员6人。离休人员0人，退休人员3人。</w:t>
      </w:r>
      <w:bookmarkStart w:id="19" w:name="_Toc15396602"/>
      <w:bookmarkStart w:id="20" w:name="_Toc15377204"/>
    </w:p>
    <w:p>
      <w:pPr>
        <w:keepNext w:val="0"/>
        <w:keepLines w:val="0"/>
        <w:pageBreakBefore w:val="0"/>
        <w:widowControl/>
        <w:kinsoku/>
        <w:wordWrap/>
        <w:overflowPunct/>
        <w:topLinePunct w:val="0"/>
        <w:autoSpaceDE/>
        <w:autoSpaceDN/>
        <w:bidi w:val="0"/>
        <w:adjustRightInd w:val="0"/>
        <w:snapToGrid w:val="0"/>
        <w:spacing w:line="540" w:lineRule="atLeast"/>
        <w:ind w:firstLine="584" w:firstLineChars="200"/>
        <w:jc w:val="left"/>
        <w:textAlignment w:val="auto"/>
        <w:rPr>
          <w:rFonts w:hint="eastAsia" w:ascii="仿宋_GB2312" w:hAnsi="Times New Roman" w:eastAsia="仿宋_GB2312" w:cs="仿宋_GB2312"/>
          <w:color w:val="auto"/>
          <w:spacing w:val="-14"/>
          <w:kern w:val="0"/>
          <w:sz w:val="32"/>
          <w:szCs w:val="32"/>
          <w:lang w:val="en-US" w:eastAsia="zh-CN" w:bidi="ar-SA"/>
        </w:rPr>
      </w:pPr>
    </w:p>
    <w:p>
      <w:pPr>
        <w:widowControl/>
        <w:ind w:firstLine="440" w:firstLineChars="100"/>
        <w:jc w:val="both"/>
        <w:rPr>
          <w:rFonts w:hint="eastAsia" w:ascii="黑体" w:hAnsi="Times New Roman" w:eastAsia="黑体" w:cs="Times New Roman"/>
          <w:b w:val="0"/>
          <w:bCs/>
          <w:color w:val="000000"/>
          <w:kern w:val="44"/>
          <w:sz w:val="44"/>
          <w:szCs w:val="44"/>
          <w:lang w:val="en-US" w:eastAsia="zh-CN" w:bidi="ar-SA"/>
        </w:rPr>
      </w:pPr>
      <w:r>
        <w:rPr>
          <w:rFonts w:hint="eastAsia" w:ascii="黑体" w:hAnsi="Times New Roman" w:eastAsia="黑体" w:cs="Times New Roman"/>
          <w:b w:val="0"/>
          <w:bCs/>
          <w:color w:val="000000"/>
          <w:kern w:val="44"/>
          <w:sz w:val="44"/>
          <w:szCs w:val="44"/>
          <w:lang w:val="en-US" w:eastAsia="zh-CN" w:bidi="ar-SA"/>
        </w:rPr>
        <w:t>第二部分  2024年度部门决算情况说明</w:t>
      </w:r>
      <w:bookmarkEnd w:id="19"/>
      <w:bookmarkEnd w:id="20"/>
    </w:p>
    <w:p>
      <w:pPr>
        <w:rPr>
          <w:rFonts w:ascii="Times New Roman" w:hAnsi="Times New Roman"/>
          <w:color w:val="auto"/>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1" w:name="_Toc15377205"/>
      <w:bookmarkStart w:id="22"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1"/>
      <w:bookmarkEnd w:id="22"/>
    </w:p>
    <w:p>
      <w:pPr>
        <w:pStyle w:val="15"/>
        <w:keepNext w:val="0"/>
        <w:keepLines w:val="0"/>
        <w:widowControl/>
        <w:suppressLineNumbers w:val="0"/>
        <w:spacing w:before="0" w:beforeAutospacing="0"/>
        <w:ind w:left="0" w:firstLine="640" w:firstLineChars="200"/>
        <w:jc w:val="left"/>
        <w:rPr>
          <w:rFonts w:hint="default" w:ascii="仿宋_GB2312" w:hAnsi="Times New Roman" w:eastAsia="仿宋_GB2312" w:cs="仿宋_GB2312"/>
          <w:b w:val="0"/>
          <w:bCs w:val="0"/>
          <w:color w:val="auto"/>
          <w:kern w:val="2"/>
          <w:sz w:val="32"/>
          <w:szCs w:val="32"/>
          <w:lang w:val="en-US" w:eastAsia="zh-CN" w:bidi="ar-SA"/>
        </w:rPr>
      </w:pPr>
      <w:r>
        <w:rPr>
          <w:rFonts w:hint="eastAsia" w:ascii="仿宋_GB2312" w:eastAsia="仿宋_GB2312" w:cs="仿宋_GB2312"/>
          <w:b w:val="0"/>
          <w:bCs w:val="0"/>
          <w:color w:val="auto"/>
          <w:kern w:val="2"/>
          <w:sz w:val="32"/>
          <w:szCs w:val="32"/>
          <w:lang w:val="en-US" w:eastAsia="zh-CN" w:bidi="ar-SA"/>
        </w:rPr>
        <w:t>2024</w:t>
      </w:r>
      <w:r>
        <w:rPr>
          <w:rFonts w:hint="eastAsia" w:ascii="仿宋_GB2312" w:hAnsi="Times New Roman" w:eastAsia="仿宋_GB2312" w:cs="仿宋_GB2312"/>
          <w:b w:val="0"/>
          <w:bCs w:val="0"/>
          <w:color w:val="auto"/>
          <w:kern w:val="2"/>
          <w:sz w:val="32"/>
          <w:szCs w:val="32"/>
          <w:lang w:val="en-US" w:eastAsia="zh-CN" w:bidi="ar-SA"/>
        </w:rPr>
        <w:t>年度收入全年预算数为</w:t>
      </w:r>
      <w:r>
        <w:rPr>
          <w:rFonts w:hint="eastAsia" w:ascii="仿宋_GB2312" w:hAnsi="仿宋_GB2312" w:eastAsia="仿宋_GB2312" w:cs="仿宋_GB2312"/>
          <w:sz w:val="32"/>
          <w:szCs w:val="32"/>
        </w:rPr>
        <w:t>1890.03</w:t>
      </w:r>
      <w:r>
        <w:rPr>
          <w:rFonts w:hint="eastAsia" w:ascii="仿宋_GB2312" w:hAnsi="Times New Roman" w:eastAsia="仿宋_GB2312" w:cs="仿宋_GB2312"/>
          <w:b w:val="0"/>
          <w:bCs w:val="0"/>
          <w:color w:val="auto"/>
          <w:kern w:val="2"/>
          <w:sz w:val="32"/>
          <w:szCs w:val="32"/>
          <w:lang w:val="en-US" w:eastAsia="zh-CN" w:bidi="ar-SA"/>
        </w:rPr>
        <w:t>万元，收入决算数为</w:t>
      </w:r>
      <w:r>
        <w:rPr>
          <w:rFonts w:hint="eastAsia" w:ascii="仿宋_GB2312" w:hAnsi="仿宋_GB2312" w:eastAsia="仿宋_GB2312" w:cs="仿宋_GB2312"/>
          <w:sz w:val="32"/>
          <w:szCs w:val="32"/>
        </w:rPr>
        <w:t>1890.03</w:t>
      </w:r>
      <w:r>
        <w:rPr>
          <w:rFonts w:hint="eastAsia" w:ascii="仿宋_GB2312" w:hAnsi="Times New Roman" w:eastAsia="仿宋_GB2312" w:cs="仿宋_GB2312"/>
          <w:b w:val="0"/>
          <w:bCs w:val="0"/>
          <w:color w:val="auto"/>
          <w:kern w:val="2"/>
          <w:sz w:val="32"/>
          <w:szCs w:val="32"/>
          <w:lang w:val="en-US" w:eastAsia="zh-CN" w:bidi="ar-SA"/>
        </w:rPr>
        <w:t>万元，预算完成度为100.00%</w:t>
      </w:r>
      <w:r>
        <w:rPr>
          <w:rFonts w:hint="eastAsia" w:ascii="仿宋_GB2312" w:eastAsia="仿宋_GB2312" w:cs="仿宋_GB2312"/>
          <w:b w:val="0"/>
          <w:bCs w:val="0"/>
          <w:color w:val="auto"/>
          <w:kern w:val="2"/>
          <w:sz w:val="32"/>
          <w:szCs w:val="32"/>
          <w:lang w:val="en-US" w:eastAsia="zh-CN" w:bidi="ar-SA"/>
        </w:rPr>
        <w:t>。2024</w:t>
      </w:r>
      <w:r>
        <w:rPr>
          <w:rFonts w:hint="eastAsia" w:ascii="仿宋_GB2312" w:hAnsi="Times New Roman" w:eastAsia="仿宋_GB2312" w:cs="仿宋_GB2312"/>
          <w:b w:val="0"/>
          <w:bCs w:val="0"/>
          <w:color w:val="auto"/>
          <w:kern w:val="2"/>
          <w:sz w:val="32"/>
          <w:szCs w:val="32"/>
          <w:lang w:val="en-US" w:eastAsia="zh-CN" w:bidi="ar-SA"/>
        </w:rPr>
        <w:t>年度支出全年预算数为</w:t>
      </w:r>
      <w:r>
        <w:rPr>
          <w:rFonts w:hint="eastAsia" w:ascii="仿宋_GB2312" w:hAnsi="仿宋_GB2312" w:eastAsia="仿宋_GB2312" w:cs="仿宋_GB2312"/>
          <w:sz w:val="32"/>
          <w:szCs w:val="32"/>
        </w:rPr>
        <w:t>1890.03</w:t>
      </w:r>
      <w:r>
        <w:rPr>
          <w:rFonts w:hint="eastAsia" w:ascii="仿宋_GB2312" w:hAnsi="Times New Roman" w:eastAsia="仿宋_GB2312" w:cs="仿宋_GB2312"/>
          <w:b w:val="0"/>
          <w:bCs w:val="0"/>
          <w:color w:val="auto"/>
          <w:kern w:val="2"/>
          <w:sz w:val="32"/>
          <w:szCs w:val="32"/>
          <w:lang w:val="en-US" w:eastAsia="zh-CN" w:bidi="ar-SA"/>
        </w:rPr>
        <w:t>万元，支出决算数为</w:t>
      </w:r>
      <w:r>
        <w:rPr>
          <w:rFonts w:hint="eastAsia" w:ascii="仿宋_GB2312" w:hAnsi="仿宋_GB2312" w:eastAsia="仿宋_GB2312" w:cs="仿宋_GB2312"/>
          <w:sz w:val="32"/>
          <w:szCs w:val="32"/>
        </w:rPr>
        <w:t>1890.03</w:t>
      </w:r>
      <w:r>
        <w:rPr>
          <w:rFonts w:hint="eastAsia" w:ascii="仿宋_GB2312" w:hAnsi="Times New Roman" w:eastAsia="仿宋_GB2312" w:cs="仿宋_GB2312"/>
          <w:b w:val="0"/>
          <w:bCs w:val="0"/>
          <w:color w:val="auto"/>
          <w:kern w:val="2"/>
          <w:sz w:val="32"/>
          <w:szCs w:val="32"/>
          <w:lang w:val="en-US" w:eastAsia="zh-CN" w:bidi="ar-SA"/>
        </w:rPr>
        <w:t>万元，预算完成度为100.00%</w:t>
      </w:r>
      <w:r>
        <w:rPr>
          <w:rFonts w:hint="eastAsia" w:ascii="仿宋_GB2312" w:eastAsia="仿宋_GB2312" w:cs="仿宋_GB2312"/>
          <w:b w:val="0"/>
          <w:bCs w:val="0"/>
          <w:color w:val="auto"/>
          <w:kern w:val="2"/>
          <w:sz w:val="32"/>
          <w:szCs w:val="32"/>
          <w:lang w:val="en-US" w:eastAsia="zh-CN" w:bidi="ar-SA"/>
        </w:rPr>
        <w:t>。</w:t>
      </w:r>
    </w:p>
    <w:p>
      <w:pPr>
        <w:snapToGrid w:val="0"/>
        <w:spacing w:line="520" w:lineRule="exact"/>
        <w:ind w:firstLine="632" w:firstLineChars="200"/>
        <w:rPr>
          <w:rFonts w:hint="eastAsia"/>
          <w:lang w:val="en-US" w:eastAsia="zh-CN"/>
        </w:rPr>
      </w:pPr>
      <w:r>
        <w:rPr>
          <w:rFonts w:hint="eastAsia" w:ascii="仿宋_GB2312" w:eastAsia="仿宋_GB2312"/>
          <w:color w:val="000000"/>
          <w:spacing w:val="-2"/>
          <w:kern w:val="2"/>
          <w:sz w:val="32"/>
          <w:szCs w:val="32"/>
          <w:lang w:val="en-US" w:eastAsia="zh-CN" w:bidi="ar-SA"/>
        </w:rPr>
        <w:t>1、2024年度总收入</w:t>
      </w:r>
      <w:r>
        <w:rPr>
          <w:rFonts w:hint="eastAsia" w:ascii="仿宋_GB2312" w:hAnsi="仿宋_GB2312" w:eastAsia="仿宋_GB2312" w:cs="仿宋_GB2312"/>
          <w:sz w:val="32"/>
          <w:szCs w:val="32"/>
        </w:rPr>
        <w:t>1890.03</w:t>
      </w:r>
      <w:r>
        <w:rPr>
          <w:rFonts w:hint="eastAsia" w:ascii="仿宋_GB2312" w:eastAsia="仿宋_GB2312"/>
          <w:color w:val="000000"/>
          <w:spacing w:val="-2"/>
          <w:kern w:val="2"/>
          <w:sz w:val="32"/>
          <w:szCs w:val="32"/>
          <w:lang w:val="en-US" w:eastAsia="zh-CN" w:bidi="ar-SA"/>
        </w:rPr>
        <w:t>万元，较上年收入增加483.69万元，增加34.39%。增加的主要原因是2024年本年项目增加。</w:t>
      </w:r>
    </w:p>
    <w:p>
      <w:pPr>
        <w:snapToGrid w:val="0"/>
        <w:spacing w:line="520" w:lineRule="exact"/>
        <w:ind w:firstLine="632" w:firstLineChars="200"/>
        <w:rPr>
          <w:rFonts w:hint="eastAsia" w:ascii="黑体" w:eastAsia="黑体" w:cs="Times New Roman"/>
          <w:color w:val="000000"/>
          <w:kern w:val="2"/>
          <w:sz w:val="32"/>
          <w:szCs w:val="32"/>
          <w:lang w:val="en-US" w:eastAsia="zh-CN" w:bidi="ar-SA"/>
        </w:rPr>
      </w:pPr>
      <w:r>
        <w:rPr>
          <w:rFonts w:hint="eastAsia" w:ascii="仿宋_GB2312" w:eastAsia="仿宋_GB2312"/>
          <w:color w:val="auto"/>
          <w:spacing w:val="-2"/>
          <w:kern w:val="2"/>
          <w:sz w:val="32"/>
          <w:szCs w:val="32"/>
          <w:lang w:val="en-US" w:eastAsia="zh-CN" w:bidi="ar-SA"/>
        </w:rPr>
        <w:t>2、2024年度总支出</w:t>
      </w:r>
      <w:r>
        <w:rPr>
          <w:rFonts w:hint="eastAsia" w:ascii="仿宋_GB2312" w:hAnsi="仿宋_GB2312" w:eastAsia="仿宋_GB2312" w:cs="仿宋_GB2312"/>
          <w:sz w:val="32"/>
          <w:szCs w:val="32"/>
        </w:rPr>
        <w:t>1890.03</w:t>
      </w:r>
      <w:r>
        <w:rPr>
          <w:rFonts w:hint="eastAsia" w:ascii="仿宋_GB2312" w:eastAsia="仿宋_GB2312"/>
          <w:color w:val="auto"/>
          <w:spacing w:val="-2"/>
          <w:kern w:val="2"/>
          <w:sz w:val="32"/>
          <w:szCs w:val="32"/>
          <w:lang w:val="en-US" w:eastAsia="zh-CN" w:bidi="ar-SA"/>
        </w:rPr>
        <w:t>万元，较上年支出增加</w:t>
      </w:r>
      <w:r>
        <w:rPr>
          <w:rFonts w:hint="eastAsia" w:ascii="仿宋_GB2312" w:eastAsia="仿宋_GB2312"/>
          <w:color w:val="000000"/>
          <w:spacing w:val="-2"/>
          <w:kern w:val="2"/>
          <w:sz w:val="32"/>
          <w:szCs w:val="32"/>
          <w:lang w:val="en-US" w:eastAsia="zh-CN" w:bidi="ar-SA"/>
        </w:rPr>
        <w:t>483.69</w:t>
      </w:r>
      <w:r>
        <w:rPr>
          <w:rFonts w:hint="eastAsia" w:ascii="仿宋_GB2312" w:eastAsia="仿宋_GB2312"/>
          <w:color w:val="auto"/>
          <w:spacing w:val="-2"/>
          <w:kern w:val="2"/>
          <w:sz w:val="32"/>
          <w:szCs w:val="32"/>
          <w:lang w:val="en-US" w:eastAsia="zh-CN" w:bidi="ar-SA"/>
        </w:rPr>
        <w:t>万元，</w:t>
      </w:r>
      <w:r>
        <w:rPr>
          <w:rFonts w:hint="eastAsia" w:ascii="仿宋_GB2312" w:eastAsia="仿宋_GB2312"/>
          <w:color w:val="000000"/>
          <w:spacing w:val="-2"/>
          <w:kern w:val="2"/>
          <w:sz w:val="32"/>
          <w:szCs w:val="32"/>
          <w:lang w:val="en-US" w:eastAsia="zh-CN" w:bidi="ar-SA"/>
        </w:rPr>
        <w:t>增加34.39%</w:t>
      </w:r>
      <w:r>
        <w:rPr>
          <w:rFonts w:hint="eastAsia" w:ascii="仿宋_GB2312" w:eastAsia="仿宋_GB2312"/>
          <w:color w:val="auto"/>
          <w:spacing w:val="-2"/>
          <w:kern w:val="2"/>
          <w:sz w:val="32"/>
          <w:szCs w:val="32"/>
          <w:lang w:val="en-US" w:eastAsia="zh-CN" w:bidi="ar-SA"/>
        </w:rPr>
        <w:t>。增加的主要原因是项目支出增加。</w:t>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黑体"/>
          <w:color w:val="auto"/>
          <w:sz w:val="32"/>
          <w:szCs w:val="32"/>
          <w:highlight w:val="none"/>
          <w:lang w:eastAsia="zh-CN"/>
        </w:rPr>
      </w:pPr>
      <w:r>
        <w:rPr>
          <w:rFonts w:hint="eastAsia" w:ascii="黑体" w:eastAsia="黑体" w:cs="Times New Roman"/>
          <w:color w:val="000000"/>
          <w:kern w:val="2"/>
          <w:sz w:val="32"/>
          <w:szCs w:val="32"/>
          <w:lang w:val="en-US" w:eastAsia="zh-CN" w:bidi="ar-SA"/>
        </w:rPr>
        <w:drawing>
          <wp:anchor distT="0" distB="0" distL="114300" distR="114300" simplePos="0" relativeHeight="251660288" behindDoc="0" locked="0" layoutInCell="1" allowOverlap="1">
            <wp:simplePos x="0" y="0"/>
            <wp:positionH relativeFrom="column">
              <wp:posOffset>219075</wp:posOffset>
            </wp:positionH>
            <wp:positionV relativeFrom="paragraph">
              <wp:posOffset>231775</wp:posOffset>
            </wp:positionV>
            <wp:extent cx="5198110" cy="3012440"/>
            <wp:effectExtent l="4445" t="4445" r="17145" b="12065"/>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23" w:name="_Toc15396604"/>
      <w:bookmarkStart w:id="24" w:name="_Toc15377206"/>
      <w:r>
        <w:rPr>
          <w:rFonts w:hint="eastAsia" w:ascii="黑体" w:eastAsia="黑体" w:cs="Times New Roman"/>
          <w:color w:val="000000"/>
          <w:kern w:val="2"/>
          <w:sz w:val="32"/>
          <w:szCs w:val="32"/>
          <w:lang w:val="en-US" w:eastAsia="zh-CN" w:bidi="ar-SA"/>
        </w:rPr>
        <w:t xml:space="preserve">    </w:t>
      </w:r>
      <w:r>
        <w:rPr>
          <w:rFonts w:hint="eastAsia" w:ascii="Times New Roman" w:hAnsi="Times New Roman" w:eastAsia="黑体"/>
          <w:color w:val="auto"/>
          <w:sz w:val="32"/>
          <w:szCs w:val="32"/>
          <w:highlight w:val="none"/>
          <w:lang w:eastAsia="zh-CN"/>
        </w:rPr>
        <w:t>二、收入决算情况说明</w:t>
      </w:r>
      <w:bookmarkEnd w:id="23"/>
      <w:bookmarkEnd w:id="24"/>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1890.03万元，其中：一般公共预算财政拨款收入1890.03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ind w:firstLine="525" w:firstLineChars="250"/>
        <w:rPr>
          <w:rStyle w:val="32"/>
          <w:rFonts w:hint="eastAsia" w:ascii="Times New Roman" w:hAnsi="Times New Roman" w:eastAsia="黑体"/>
          <w:b w:val="0"/>
          <w:color w:val="auto"/>
          <w:highlight w:val="none"/>
        </w:rPr>
      </w:pPr>
      <w:r>
        <w:drawing>
          <wp:anchor distT="0" distB="0" distL="114300" distR="114300" simplePos="0" relativeHeight="251667456" behindDoc="0" locked="0" layoutInCell="1" allowOverlap="1">
            <wp:simplePos x="0" y="0"/>
            <wp:positionH relativeFrom="column">
              <wp:posOffset>502285</wp:posOffset>
            </wp:positionH>
            <wp:positionV relativeFrom="paragraph">
              <wp:posOffset>170180</wp:posOffset>
            </wp:positionV>
            <wp:extent cx="4572000" cy="2743200"/>
            <wp:effectExtent l="4445" t="4445" r="14605" b="14605"/>
            <wp:wrapTopAndBottom/>
            <wp:docPr id="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25" w:name="_Toc15377207"/>
      <w:bookmarkStart w:id="26"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5"/>
      <w:bookmarkEnd w:id="26"/>
    </w:p>
    <w:p>
      <w:pPr>
        <w:ind w:firstLine="525" w:firstLineChars="250"/>
        <w:rPr>
          <w:rFonts w:hint="eastAsia" w:ascii="仿宋_GB2312" w:hAnsi="仿宋_GB2312" w:eastAsia="仿宋_GB2312" w:cs="仿宋_GB2312"/>
          <w:color w:val="auto"/>
          <w:sz w:val="32"/>
          <w:szCs w:val="32"/>
          <w:highlight w:val="none"/>
          <w:lang w:eastAsia="zh-CN"/>
        </w:rPr>
      </w:pPr>
      <w:r>
        <w:drawing>
          <wp:anchor distT="0" distB="0" distL="114300" distR="114300" simplePos="0" relativeHeight="251666432" behindDoc="0" locked="0" layoutInCell="1" allowOverlap="1">
            <wp:simplePos x="0" y="0"/>
            <wp:positionH relativeFrom="column">
              <wp:posOffset>533400</wp:posOffset>
            </wp:positionH>
            <wp:positionV relativeFrom="paragraph">
              <wp:posOffset>1734185</wp:posOffset>
            </wp:positionV>
            <wp:extent cx="4572000" cy="2743200"/>
            <wp:effectExtent l="4445" t="4445" r="14605" b="14605"/>
            <wp:wrapTopAndBottom/>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1890.03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696.18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36.83</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1193.85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63.16</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pPr>
        <w:pStyle w:val="22"/>
        <w:ind w:firstLine="643" w:firstLineChars="200"/>
        <w:rPr>
          <w:rStyle w:val="32"/>
          <w:rFonts w:ascii="Times New Roman" w:hAnsi="Times New Roman" w:eastAsia="黑体"/>
          <w:b w:val="0"/>
          <w:color w:val="auto"/>
          <w:highlight w:val="none"/>
        </w:rPr>
      </w:pPr>
      <w:bookmarkStart w:id="27" w:name="_Toc15377208"/>
      <w:bookmarkStart w:id="28" w:name="_Toc15396606"/>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27"/>
      <w:bookmarkEnd w:id="28"/>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 w:eastAsia="仿宋"/>
          <w:color w:val="000000"/>
          <w:sz w:val="32"/>
          <w:szCs w:val="32"/>
          <w:lang w:val="en-US" w:eastAsia="zh-CN"/>
        </w:rPr>
        <w:t>2024年度财政拨款收入总决算数为</w:t>
      </w:r>
      <w:r>
        <w:rPr>
          <w:rFonts w:hint="eastAsia" w:ascii="仿宋_GB2312" w:hAnsi="仿宋_GB2312" w:eastAsia="仿宋_GB2312" w:cs="仿宋_GB2312"/>
          <w:sz w:val="32"/>
          <w:szCs w:val="32"/>
        </w:rPr>
        <w:t>1890.03</w:t>
      </w:r>
      <w:r>
        <w:rPr>
          <w:rFonts w:hint="eastAsia" w:ascii="仿宋" w:eastAsia="仿宋"/>
          <w:color w:val="000000"/>
          <w:sz w:val="32"/>
          <w:szCs w:val="32"/>
          <w:lang w:val="en-US" w:eastAsia="zh-CN"/>
        </w:rPr>
        <w:t>万元。与2023年相比，一般公共预算财政拨款收入较上年</w:t>
      </w:r>
      <w:r>
        <w:rPr>
          <w:rFonts w:hint="eastAsia" w:ascii="仿宋_GB2312" w:eastAsia="仿宋_GB2312"/>
          <w:color w:val="000000"/>
          <w:spacing w:val="-2"/>
          <w:kern w:val="2"/>
          <w:sz w:val="32"/>
          <w:szCs w:val="32"/>
          <w:lang w:val="en-US" w:eastAsia="zh-CN" w:bidi="ar-SA"/>
        </w:rPr>
        <w:t>增加483.69万元，增加34.39%。增加的主要原因是2024年本年项目增加。</w:t>
      </w:r>
      <w:r>
        <w:rPr>
          <w:rFonts w:hint="eastAsia" w:ascii="仿宋" w:eastAsia="仿宋"/>
          <w:color w:val="000000"/>
          <w:sz w:val="32"/>
          <w:szCs w:val="32"/>
          <w:lang w:val="en-US" w:eastAsia="zh-CN"/>
        </w:rPr>
        <w:t>2024年财政拨款支出决算数为</w:t>
      </w:r>
      <w:r>
        <w:rPr>
          <w:rFonts w:hint="eastAsia" w:ascii="仿宋_GB2312" w:hAnsi="仿宋_GB2312" w:eastAsia="仿宋_GB2312" w:cs="仿宋_GB2312"/>
          <w:sz w:val="32"/>
          <w:szCs w:val="32"/>
        </w:rPr>
        <w:t>1890.03</w:t>
      </w:r>
      <w:r>
        <w:rPr>
          <w:rFonts w:hint="eastAsia" w:ascii="仿宋" w:eastAsia="仿宋"/>
          <w:color w:val="000000"/>
          <w:sz w:val="32"/>
          <w:szCs w:val="32"/>
          <w:lang w:val="en-US" w:eastAsia="zh-CN"/>
        </w:rPr>
        <w:t>万元，</w:t>
      </w:r>
      <w:r>
        <w:rPr>
          <w:rFonts w:hint="eastAsia" w:ascii="仿宋_GB2312" w:eastAsia="仿宋_GB2312"/>
          <w:color w:val="auto"/>
          <w:spacing w:val="-2"/>
          <w:kern w:val="2"/>
          <w:sz w:val="32"/>
          <w:szCs w:val="32"/>
          <w:lang w:val="en-US" w:eastAsia="zh-CN" w:bidi="ar-SA"/>
        </w:rPr>
        <w:t>较上年支出增加</w:t>
      </w:r>
      <w:r>
        <w:rPr>
          <w:rFonts w:hint="eastAsia" w:ascii="仿宋_GB2312" w:eastAsia="仿宋_GB2312"/>
          <w:color w:val="000000"/>
          <w:spacing w:val="-2"/>
          <w:kern w:val="2"/>
          <w:sz w:val="32"/>
          <w:szCs w:val="32"/>
          <w:lang w:val="en-US" w:eastAsia="zh-CN" w:bidi="ar-SA"/>
        </w:rPr>
        <w:t>483.69</w:t>
      </w:r>
      <w:r>
        <w:rPr>
          <w:rFonts w:hint="eastAsia" w:ascii="仿宋_GB2312" w:eastAsia="仿宋_GB2312"/>
          <w:color w:val="auto"/>
          <w:spacing w:val="-2"/>
          <w:kern w:val="2"/>
          <w:sz w:val="32"/>
          <w:szCs w:val="32"/>
          <w:lang w:val="en-US" w:eastAsia="zh-CN" w:bidi="ar-SA"/>
        </w:rPr>
        <w:t>万元，</w:t>
      </w:r>
      <w:r>
        <w:rPr>
          <w:rFonts w:hint="eastAsia" w:ascii="仿宋_GB2312" w:eastAsia="仿宋_GB2312"/>
          <w:color w:val="000000"/>
          <w:spacing w:val="-2"/>
          <w:kern w:val="2"/>
          <w:sz w:val="32"/>
          <w:szCs w:val="32"/>
          <w:lang w:val="en-US" w:eastAsia="zh-CN" w:bidi="ar-SA"/>
        </w:rPr>
        <w:t>增加34.39%</w:t>
      </w:r>
      <w:r>
        <w:rPr>
          <w:rFonts w:hint="eastAsia" w:ascii="仿宋_GB2312" w:eastAsia="仿宋_GB2312"/>
          <w:color w:val="auto"/>
          <w:spacing w:val="-2"/>
          <w:kern w:val="2"/>
          <w:sz w:val="32"/>
          <w:szCs w:val="32"/>
          <w:lang w:val="en-US" w:eastAsia="zh-CN" w:bidi="ar-SA"/>
        </w:rPr>
        <w:t>。增加的主要原因是项目支出增加。</w:t>
      </w:r>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hint="eastAsia" w:ascii="仿宋" w:eastAsia="仿宋"/>
          <w:color w:val="000000"/>
          <w:sz w:val="32"/>
          <w:szCs w:val="32"/>
        </w:rPr>
        <w:drawing>
          <wp:anchor distT="0" distB="0" distL="114300" distR="114300" simplePos="0" relativeHeight="251678720" behindDoc="0" locked="0" layoutInCell="1" allowOverlap="1">
            <wp:simplePos x="0" y="0"/>
            <wp:positionH relativeFrom="column">
              <wp:posOffset>364490</wp:posOffset>
            </wp:positionH>
            <wp:positionV relativeFrom="paragraph">
              <wp:posOffset>266065</wp:posOffset>
            </wp:positionV>
            <wp:extent cx="4799965" cy="2752090"/>
            <wp:effectExtent l="4445" t="5080" r="15240" b="508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1"/>
        <w:rPr>
          <w:rStyle w:val="32"/>
          <w:rFonts w:ascii="Times New Roman" w:hAnsi="Times New Roman" w:eastAsia="黑体"/>
          <w:b w:val="0"/>
          <w:color w:val="auto"/>
          <w:highlight w:val="none"/>
        </w:rPr>
      </w:pPr>
      <w:bookmarkStart w:id="29" w:name="_Toc15377209"/>
      <w:bookmarkStart w:id="30"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29"/>
      <w:bookmarkEnd w:id="30"/>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1"/>
    </w:p>
    <w:p>
      <w:pPr>
        <w:spacing w:line="600" w:lineRule="exact"/>
        <w:ind w:firstLine="640"/>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1890.03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仿宋_GB2312" w:eastAsia="仿宋_GB2312"/>
          <w:color w:val="auto"/>
          <w:spacing w:val="-2"/>
          <w:kern w:val="2"/>
          <w:sz w:val="32"/>
          <w:szCs w:val="32"/>
          <w:lang w:val="en-US" w:eastAsia="zh-CN" w:bidi="ar-SA"/>
        </w:rPr>
        <w:t>增加</w:t>
      </w:r>
      <w:r>
        <w:rPr>
          <w:rFonts w:hint="eastAsia" w:ascii="仿宋_GB2312" w:eastAsia="仿宋_GB2312"/>
          <w:color w:val="000000"/>
          <w:spacing w:val="-2"/>
          <w:kern w:val="2"/>
          <w:sz w:val="32"/>
          <w:szCs w:val="32"/>
          <w:lang w:val="en-US" w:eastAsia="zh-CN" w:bidi="ar-SA"/>
        </w:rPr>
        <w:t>483.69</w:t>
      </w:r>
      <w:r>
        <w:rPr>
          <w:rFonts w:hint="eastAsia" w:ascii="仿宋_GB2312" w:eastAsia="仿宋_GB2312"/>
          <w:color w:val="auto"/>
          <w:spacing w:val="-2"/>
          <w:kern w:val="2"/>
          <w:sz w:val="32"/>
          <w:szCs w:val="32"/>
          <w:lang w:val="en-US" w:eastAsia="zh-CN" w:bidi="ar-SA"/>
        </w:rPr>
        <w:t>万元，</w:t>
      </w:r>
      <w:r>
        <w:rPr>
          <w:rFonts w:hint="eastAsia" w:ascii="仿宋_GB2312" w:eastAsia="仿宋_GB2312"/>
          <w:color w:val="000000"/>
          <w:spacing w:val="-2"/>
          <w:kern w:val="2"/>
          <w:sz w:val="32"/>
          <w:szCs w:val="32"/>
          <w:lang w:val="en-US" w:eastAsia="zh-CN" w:bidi="ar-SA"/>
        </w:rPr>
        <w:t>增加34.39%</w:t>
      </w:r>
      <w:r>
        <w:rPr>
          <w:rFonts w:hint="eastAsia" w:ascii="仿宋_GB2312" w:eastAsia="仿宋_GB2312"/>
          <w:color w:val="auto"/>
          <w:spacing w:val="-2"/>
          <w:kern w:val="2"/>
          <w:sz w:val="32"/>
          <w:szCs w:val="32"/>
          <w:lang w:val="en-US" w:eastAsia="zh-CN" w:bidi="ar-SA"/>
        </w:rPr>
        <w:t>。增加的主要原因是项目支出增加。</w:t>
      </w:r>
    </w:p>
    <w:p>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32" w:name="_Toc15377211"/>
      <w:r>
        <w:rPr>
          <w:rFonts w:hint="eastAsia" w:ascii="仿宋" w:eastAsia="仿宋"/>
          <w:b w:val="0"/>
          <w:bCs w:val="0"/>
          <w:color w:val="000000"/>
          <w:sz w:val="32"/>
          <w:szCs w:val="32"/>
        </w:rPr>
        <w:drawing>
          <wp:anchor distT="0" distB="0" distL="114300" distR="114300" simplePos="0" relativeHeight="251673600" behindDoc="0" locked="0" layoutInCell="1" allowOverlap="1">
            <wp:simplePos x="0" y="0"/>
            <wp:positionH relativeFrom="column">
              <wp:posOffset>226060</wp:posOffset>
            </wp:positionH>
            <wp:positionV relativeFrom="paragraph">
              <wp:posOffset>-149860</wp:posOffset>
            </wp:positionV>
            <wp:extent cx="5087620" cy="3051175"/>
            <wp:effectExtent l="4445" t="4445" r="13335" b="11430"/>
            <wp:wrapTopAndBottom/>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32"/>
    </w:p>
    <w:p>
      <w:pPr>
        <w:spacing w:line="600" w:lineRule="exact"/>
        <w:ind w:firstLine="630" w:firstLineChars="300"/>
        <w:rPr>
          <w:rFonts w:hint="eastAsia" w:ascii="仿宋" w:eastAsia="仿宋"/>
          <w:color w:val="000000"/>
          <w:sz w:val="32"/>
          <w:szCs w:val="32"/>
          <w:lang w:eastAsia="zh-CN"/>
        </w:rPr>
      </w:pPr>
      <w:r>
        <w:drawing>
          <wp:anchor distT="0" distB="0" distL="114300" distR="114300" simplePos="0" relativeHeight="251664384" behindDoc="0" locked="0" layoutInCell="1" allowOverlap="1">
            <wp:simplePos x="0" y="0"/>
            <wp:positionH relativeFrom="column">
              <wp:posOffset>391160</wp:posOffset>
            </wp:positionH>
            <wp:positionV relativeFrom="paragraph">
              <wp:posOffset>1638300</wp:posOffset>
            </wp:positionV>
            <wp:extent cx="4749800" cy="2800350"/>
            <wp:effectExtent l="4445" t="5080" r="8255" b="13970"/>
            <wp:wrapTopAndBottom/>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1890.03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社会保障和就业</w:t>
      </w:r>
      <w:r>
        <w:rPr>
          <w:rFonts w:hint="eastAsia" w:ascii="仿宋" w:eastAsia="仿宋"/>
          <w:b/>
          <w:bCs/>
          <w:color w:val="000000"/>
          <w:sz w:val="32"/>
          <w:szCs w:val="32"/>
        </w:rPr>
        <w:t>支出</w:t>
      </w:r>
      <w:r>
        <w:rPr>
          <w:rFonts w:hint="eastAsia" w:ascii="仿宋" w:eastAsia="仿宋"/>
          <w:color w:val="000000"/>
          <w:sz w:val="32"/>
          <w:szCs w:val="32"/>
          <w:lang w:val="en-US" w:eastAsia="zh-CN"/>
        </w:rPr>
        <w:t>91.32</w:t>
      </w:r>
      <w:r>
        <w:rPr>
          <w:rFonts w:hint="eastAsia" w:ascii="仿宋" w:eastAsia="仿宋"/>
          <w:color w:val="000000"/>
          <w:sz w:val="32"/>
          <w:szCs w:val="32"/>
        </w:rPr>
        <w:t>万元，占</w:t>
      </w:r>
      <w:r>
        <w:rPr>
          <w:rFonts w:hint="eastAsia" w:ascii="仿宋" w:eastAsia="仿宋"/>
          <w:color w:val="000000"/>
          <w:sz w:val="32"/>
          <w:szCs w:val="32"/>
          <w:lang w:val="en-US" w:eastAsia="zh-CN"/>
        </w:rPr>
        <w:t>4.83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eastAsia="仿宋"/>
          <w:color w:val="000000"/>
          <w:sz w:val="32"/>
          <w:szCs w:val="32"/>
          <w:lang w:val="en-US" w:eastAsia="zh-CN"/>
        </w:rPr>
        <w:t>36.62</w:t>
      </w:r>
      <w:r>
        <w:rPr>
          <w:rFonts w:hint="eastAsia" w:ascii="仿宋" w:eastAsia="仿宋"/>
          <w:color w:val="000000"/>
          <w:sz w:val="32"/>
          <w:szCs w:val="32"/>
        </w:rPr>
        <w:t>万元，占</w:t>
      </w:r>
      <w:r>
        <w:rPr>
          <w:rFonts w:hint="eastAsia" w:ascii="仿宋" w:eastAsia="仿宋"/>
          <w:color w:val="000000"/>
          <w:sz w:val="32"/>
          <w:szCs w:val="32"/>
          <w:lang w:val="en-US" w:eastAsia="zh-CN"/>
        </w:rPr>
        <w:t>1.94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lang w:val="en-US" w:eastAsia="zh-CN"/>
        </w:rPr>
        <w:t>49.77</w:t>
      </w:r>
      <w:r>
        <w:rPr>
          <w:rFonts w:hint="eastAsia" w:ascii="仿宋" w:eastAsia="仿宋"/>
          <w:color w:val="000000"/>
          <w:sz w:val="32"/>
          <w:szCs w:val="32"/>
        </w:rPr>
        <w:t>万元，占</w:t>
      </w:r>
      <w:r>
        <w:rPr>
          <w:rFonts w:hint="eastAsia" w:ascii="仿宋" w:eastAsia="仿宋"/>
          <w:color w:val="000000"/>
          <w:sz w:val="32"/>
          <w:szCs w:val="32"/>
          <w:lang w:val="en-US" w:eastAsia="zh-CN"/>
        </w:rPr>
        <w:t>2.63</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b/>
          <w:bCs/>
          <w:color w:val="000000"/>
          <w:sz w:val="32"/>
          <w:szCs w:val="32"/>
          <w:lang w:eastAsia="zh-CN"/>
        </w:rPr>
        <w:t>灾害防治及应急管理支出</w:t>
      </w:r>
      <w:r>
        <w:rPr>
          <w:rFonts w:hint="eastAsia" w:ascii="仿宋" w:eastAsia="仿宋"/>
          <w:b w:val="0"/>
          <w:bCs w:val="0"/>
          <w:color w:val="000000"/>
          <w:sz w:val="32"/>
          <w:szCs w:val="32"/>
          <w:lang w:val="en-US" w:eastAsia="zh-CN"/>
        </w:rPr>
        <w:t>1712.32万元，</w:t>
      </w:r>
      <w:r>
        <w:rPr>
          <w:rFonts w:hint="eastAsia" w:ascii="仿宋" w:eastAsia="仿宋"/>
          <w:color w:val="000000"/>
          <w:sz w:val="32"/>
          <w:szCs w:val="32"/>
        </w:rPr>
        <w:t>占</w:t>
      </w:r>
      <w:r>
        <w:rPr>
          <w:rFonts w:hint="eastAsia" w:ascii="仿宋" w:eastAsia="仿宋"/>
          <w:color w:val="000000"/>
          <w:sz w:val="32"/>
          <w:szCs w:val="32"/>
          <w:lang w:val="en-US" w:eastAsia="zh-CN"/>
        </w:rPr>
        <w:t>90.60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960" w:firstLineChars="30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4" w:name="_Toc15377213"/>
      <w:bookmarkStart w:id="35" w:name="_Toc15377444"/>
      <w:bookmarkStart w:id="36"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1890.03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4"/>
      <w:bookmarkEnd w:id="35"/>
      <w:bookmarkEnd w:id="36"/>
    </w:p>
    <w:p>
      <w:pPr>
        <w:spacing w:line="600" w:lineRule="exact"/>
        <w:ind w:firstLine="640"/>
        <w:rPr>
          <w:rStyle w:val="19"/>
          <w:rFonts w:hint="eastAsia" w:ascii="仿宋" w:hAnsi="Calibri" w:eastAsia="仿宋"/>
          <w:bCs/>
          <w:color w:val="000000"/>
          <w:sz w:val="32"/>
          <w:szCs w:val="32"/>
          <w:lang w:val="en-US" w:eastAsia="zh-CN"/>
        </w:rPr>
      </w:pPr>
      <w:bookmarkStart w:id="37" w:name="_Toc15396608"/>
      <w:bookmarkStart w:id="38" w:name="_Toc15377214"/>
      <w:r>
        <w:rPr>
          <w:rStyle w:val="19"/>
          <w:rFonts w:hint="eastAsia" w:ascii="仿宋" w:hAnsi="Calibri" w:eastAsia="仿宋"/>
          <w:bCs/>
          <w:color w:val="000000"/>
          <w:sz w:val="32"/>
          <w:szCs w:val="32"/>
          <w:lang w:val="en-US" w:eastAsia="zh-CN"/>
        </w:rPr>
        <w:t xml:space="preserve">1、灾害防治及应急管理（类）应急管理事务（款）行政运行（项）: </w:t>
      </w:r>
      <w:r>
        <w:rPr>
          <w:rStyle w:val="19"/>
          <w:rFonts w:hint="eastAsia" w:ascii="仿宋" w:hAnsi="Calibri" w:eastAsia="仿宋"/>
          <w:b w:val="0"/>
          <w:bCs/>
          <w:color w:val="000000"/>
          <w:sz w:val="32"/>
          <w:szCs w:val="32"/>
          <w:lang w:val="en-US" w:eastAsia="zh-CN"/>
        </w:rPr>
        <w:t>支出决算为421.35万元，完成预算数的100%。</w:t>
      </w:r>
    </w:p>
    <w:p>
      <w:pPr>
        <w:spacing w:line="600" w:lineRule="exact"/>
        <w:ind w:firstLine="640"/>
        <w:rPr>
          <w:rFonts w:ascii="仿宋" w:eastAsia="仿宋"/>
          <w:color w:val="000000"/>
          <w:sz w:val="32"/>
          <w:szCs w:val="32"/>
        </w:rPr>
      </w:pPr>
      <w:r>
        <w:rPr>
          <w:rStyle w:val="19"/>
          <w:rFonts w:hint="eastAsia" w:ascii="仿宋" w:eastAsia="仿宋"/>
          <w:bCs/>
          <w:color w:val="000000"/>
          <w:sz w:val="32"/>
          <w:szCs w:val="32"/>
          <w:lang w:val="en-US" w:eastAsia="zh-CN"/>
        </w:rPr>
        <w:t>2、</w:t>
      </w:r>
      <w:r>
        <w:rPr>
          <w:rStyle w:val="19"/>
          <w:rFonts w:hint="eastAsia" w:ascii="仿宋" w:eastAsia="仿宋"/>
          <w:bCs/>
          <w:color w:val="000000"/>
          <w:sz w:val="32"/>
          <w:szCs w:val="32"/>
          <w:lang w:eastAsia="zh-CN"/>
        </w:rPr>
        <w:t>灾害防治及应急管理</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应急管理事务</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安全监管</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198.05</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3、</w:t>
      </w:r>
      <w:r>
        <w:rPr>
          <w:rStyle w:val="19"/>
          <w:rFonts w:hint="eastAsia" w:ascii="仿宋" w:eastAsia="仿宋"/>
          <w:bCs/>
          <w:color w:val="000000"/>
          <w:sz w:val="32"/>
          <w:szCs w:val="32"/>
          <w:lang w:eastAsia="zh-CN"/>
        </w:rPr>
        <w:t>灾害防治及应急管理</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应急管理事务</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应急救援</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83.62</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eastAsia="zh-CN"/>
        </w:rPr>
        <w:t>数的</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lang w:eastAsia="zh-CN"/>
        </w:rPr>
        <w:t>。</w:t>
      </w:r>
    </w:p>
    <w:p>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4、</w:t>
      </w:r>
      <w:r>
        <w:rPr>
          <w:rStyle w:val="19"/>
          <w:rFonts w:hint="eastAsia" w:ascii="仿宋" w:eastAsia="仿宋"/>
          <w:bCs/>
          <w:color w:val="000000"/>
          <w:sz w:val="32"/>
          <w:szCs w:val="32"/>
          <w:lang w:eastAsia="zh-CN"/>
        </w:rPr>
        <w:t>灾害防治及应急管理</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应急管理事务</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事业运行</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97.12</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eastAsia="zh-CN"/>
        </w:rPr>
        <w:t>数的</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lang w:eastAsia="zh-CN"/>
        </w:rPr>
        <w:t>。</w:t>
      </w:r>
    </w:p>
    <w:p>
      <w:pPr>
        <w:spacing w:line="600" w:lineRule="exact"/>
        <w:ind w:firstLine="643" w:firstLineChars="200"/>
        <w:rPr>
          <w:rStyle w:val="19"/>
          <w:rFonts w:hint="eastAsia" w:ascii="仿宋" w:eastAsia="仿宋"/>
          <w:b w:val="0"/>
          <w:bCs/>
          <w:color w:val="000000"/>
          <w:sz w:val="32"/>
          <w:szCs w:val="32"/>
          <w:lang w:eastAsia="zh-CN"/>
        </w:rPr>
      </w:pPr>
      <w:r>
        <w:rPr>
          <w:rStyle w:val="19"/>
          <w:rFonts w:hint="eastAsia" w:ascii="仿宋" w:eastAsia="仿宋"/>
          <w:bCs/>
          <w:color w:val="000000"/>
          <w:sz w:val="32"/>
          <w:szCs w:val="32"/>
          <w:lang w:val="en-US" w:eastAsia="zh-CN"/>
        </w:rPr>
        <w:t>5、</w:t>
      </w:r>
      <w:r>
        <w:rPr>
          <w:rStyle w:val="19"/>
          <w:rFonts w:hint="eastAsia" w:ascii="仿宋" w:eastAsia="仿宋"/>
          <w:bCs/>
          <w:color w:val="000000"/>
          <w:sz w:val="32"/>
          <w:szCs w:val="32"/>
          <w:lang w:eastAsia="zh-CN"/>
        </w:rPr>
        <w:t>灾害防治及应急管理</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应急管理事务</w:t>
      </w:r>
      <w:r>
        <w:rPr>
          <w:rStyle w:val="19"/>
          <w:rFonts w:hint="eastAsia" w:ascii="仿宋" w:eastAsia="仿宋"/>
          <w:bCs/>
          <w:color w:val="000000"/>
          <w:sz w:val="32"/>
          <w:szCs w:val="32"/>
        </w:rPr>
        <w:t>（款）</w:t>
      </w:r>
      <w:r>
        <w:rPr>
          <w:rStyle w:val="19"/>
          <w:rFonts w:hint="eastAsia" w:ascii="仿宋" w:eastAsia="仿宋"/>
          <w:bCs/>
          <w:color w:val="000000"/>
          <w:sz w:val="32"/>
          <w:szCs w:val="32"/>
          <w:lang w:eastAsia="zh-CN"/>
        </w:rPr>
        <w:t>其他应急管理支出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29.58</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eastAsia="zh-CN"/>
        </w:rPr>
        <w:t>数的</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lang w:eastAsia="zh-CN"/>
        </w:rPr>
        <w:t>。</w:t>
      </w:r>
    </w:p>
    <w:p>
      <w:pPr>
        <w:spacing w:line="600" w:lineRule="exact"/>
        <w:ind w:firstLine="643" w:firstLineChars="200"/>
        <w:rPr>
          <w:rStyle w:val="19"/>
          <w:rFonts w:hint="eastAsia" w:ascii="仿宋" w:hAnsi="Calibri" w:eastAsia="仿宋"/>
          <w:b w:val="0"/>
          <w:bCs/>
          <w:color w:val="000000"/>
          <w:sz w:val="32"/>
          <w:szCs w:val="32"/>
          <w:lang w:val="en-US" w:eastAsia="zh-CN"/>
        </w:rPr>
      </w:pPr>
      <w:r>
        <w:rPr>
          <w:rStyle w:val="19"/>
          <w:rFonts w:hint="eastAsia" w:ascii="仿宋" w:hAnsi="Calibri" w:eastAsia="仿宋"/>
          <w:bCs/>
          <w:color w:val="000000"/>
          <w:sz w:val="32"/>
          <w:szCs w:val="32"/>
          <w:lang w:val="en-US" w:eastAsia="zh-CN"/>
        </w:rPr>
        <w:t xml:space="preserve">6、灾害防治及应急管理（类）消防救援事务（款）消防应急救援（项）: </w:t>
      </w:r>
      <w:r>
        <w:rPr>
          <w:rStyle w:val="19"/>
          <w:rFonts w:hint="eastAsia" w:ascii="仿宋" w:hAnsi="Calibri" w:eastAsia="仿宋"/>
          <w:b w:val="0"/>
          <w:bCs/>
          <w:color w:val="000000"/>
          <w:sz w:val="32"/>
          <w:szCs w:val="32"/>
          <w:lang w:val="en-US" w:eastAsia="zh-CN"/>
        </w:rPr>
        <w:t>支出决算为21.15万元，完成预算数的100%。</w:t>
      </w:r>
    </w:p>
    <w:p>
      <w:pPr>
        <w:spacing w:line="600" w:lineRule="exact"/>
        <w:ind w:firstLine="640"/>
        <w:rPr>
          <w:rFonts w:hint="eastAsia" w:ascii="仿宋" w:eastAsia="仿宋"/>
          <w:color w:val="000000"/>
          <w:sz w:val="32"/>
          <w:szCs w:val="32"/>
        </w:rPr>
      </w:pPr>
      <w:r>
        <w:rPr>
          <w:rStyle w:val="19"/>
          <w:rFonts w:hint="eastAsia" w:ascii="仿宋" w:eastAsia="仿宋"/>
          <w:bCs/>
          <w:color w:val="000000"/>
          <w:sz w:val="32"/>
          <w:szCs w:val="32"/>
          <w:lang w:val="en-US" w:eastAsia="zh-CN"/>
        </w:rPr>
        <w:t>7、</w:t>
      </w:r>
      <w:r>
        <w:rPr>
          <w:rStyle w:val="19"/>
          <w:rFonts w:hint="eastAsia" w:ascii="仿宋" w:eastAsia="仿宋"/>
          <w:bCs/>
          <w:color w:val="000000"/>
          <w:sz w:val="32"/>
          <w:szCs w:val="32"/>
          <w:lang w:eastAsia="zh-CN"/>
        </w:rPr>
        <w:t>灾害防治及应急管理</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自然灾害防治</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森林草原防灾减灾</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165.53</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rPr>
      </w:pPr>
      <w:r>
        <w:rPr>
          <w:rStyle w:val="19"/>
          <w:rFonts w:hint="eastAsia" w:ascii="仿宋" w:eastAsia="仿宋"/>
          <w:bCs/>
          <w:color w:val="000000"/>
          <w:sz w:val="32"/>
          <w:szCs w:val="32"/>
          <w:lang w:val="en-US" w:eastAsia="zh-CN"/>
        </w:rPr>
        <w:t>8、</w:t>
      </w:r>
      <w:r>
        <w:rPr>
          <w:rStyle w:val="19"/>
          <w:rFonts w:hint="eastAsia" w:ascii="仿宋" w:eastAsia="仿宋"/>
          <w:bCs/>
          <w:color w:val="000000"/>
          <w:sz w:val="32"/>
          <w:szCs w:val="32"/>
          <w:lang w:eastAsia="zh-CN"/>
        </w:rPr>
        <w:t>灾害防治及应急管理</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自然灾害救灾及恢复重建支出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自然灾害救灾补助</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695.92</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9、</w:t>
      </w:r>
      <w:r>
        <w:rPr>
          <w:rStyle w:val="19"/>
          <w:rFonts w:hint="eastAsia" w:ascii="仿宋" w:eastAsia="仿宋"/>
          <w:bCs/>
          <w:color w:val="000000"/>
          <w:sz w:val="32"/>
          <w:szCs w:val="32"/>
        </w:rPr>
        <w:t>社会保障和就业</w:t>
      </w:r>
      <w:r>
        <w:rPr>
          <w:rStyle w:val="19"/>
          <w:rFonts w:hint="eastAsia" w:ascii="仿宋" w:eastAsia="仿宋"/>
          <w:bCs/>
          <w:color w:val="000000"/>
          <w:sz w:val="32"/>
          <w:szCs w:val="32"/>
          <w:lang w:eastAsia="zh-CN"/>
        </w:rPr>
        <w:t>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行政事业单位养老支出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机关事业单位基本养老保险缴费支出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61.17</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Style w:val="19"/>
          <w:rFonts w:hint="eastAsia" w:ascii="仿宋" w:eastAsia="仿宋"/>
          <w:b w:val="0"/>
          <w:bCs/>
          <w:color w:val="000000"/>
          <w:sz w:val="32"/>
          <w:szCs w:val="32"/>
        </w:rPr>
        <w:t>。</w:t>
      </w:r>
    </w:p>
    <w:p>
      <w:pPr>
        <w:spacing w:line="600" w:lineRule="exact"/>
        <w:ind w:firstLine="640"/>
        <w:rPr>
          <w:rFonts w:hint="eastAsia" w:ascii="仿宋" w:eastAsia="仿宋"/>
          <w:color w:val="000000"/>
          <w:sz w:val="32"/>
          <w:szCs w:val="32"/>
          <w:lang w:eastAsia="zh-CN"/>
        </w:rPr>
      </w:pPr>
      <w:r>
        <w:rPr>
          <w:rStyle w:val="19"/>
          <w:rFonts w:hint="eastAsia" w:ascii="仿宋" w:eastAsia="仿宋"/>
          <w:bCs/>
          <w:color w:val="000000"/>
          <w:sz w:val="32"/>
          <w:szCs w:val="32"/>
          <w:lang w:val="en-US" w:eastAsia="zh-CN"/>
        </w:rPr>
        <w:t>10、</w:t>
      </w:r>
      <w:r>
        <w:rPr>
          <w:rStyle w:val="19"/>
          <w:rFonts w:hint="eastAsia" w:ascii="仿宋" w:eastAsia="仿宋"/>
          <w:bCs/>
          <w:color w:val="000000"/>
          <w:sz w:val="32"/>
          <w:szCs w:val="32"/>
        </w:rPr>
        <w:t>社会保障和就业</w:t>
      </w:r>
      <w:r>
        <w:rPr>
          <w:rStyle w:val="19"/>
          <w:rFonts w:hint="eastAsia" w:ascii="仿宋" w:eastAsia="仿宋"/>
          <w:bCs/>
          <w:color w:val="000000"/>
          <w:sz w:val="32"/>
          <w:szCs w:val="32"/>
          <w:lang w:eastAsia="zh-CN"/>
        </w:rPr>
        <w:t>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行政事业单位养老支出</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机关事业单位职业年金缴费支出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30.15</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rPr>
          <w:rFonts w:hint="eastAsia" w:ascii="仿宋" w:eastAsia="仿宋"/>
          <w:color w:val="000000"/>
          <w:sz w:val="32"/>
          <w:szCs w:val="32"/>
        </w:rPr>
      </w:pPr>
      <w:r>
        <w:rPr>
          <w:rStyle w:val="19"/>
          <w:rFonts w:hint="eastAsia" w:ascii="仿宋" w:eastAsia="仿宋"/>
          <w:bCs/>
          <w:color w:val="000000"/>
          <w:sz w:val="32"/>
          <w:szCs w:val="32"/>
          <w:lang w:val="en-US" w:eastAsia="zh-CN"/>
        </w:rPr>
        <w:t>11、</w:t>
      </w:r>
      <w:r>
        <w:rPr>
          <w:rStyle w:val="19"/>
          <w:rFonts w:hint="eastAsia" w:ascii="仿宋" w:eastAsia="仿宋"/>
          <w:bCs/>
          <w:color w:val="000000"/>
          <w:sz w:val="32"/>
          <w:szCs w:val="32"/>
          <w:lang w:eastAsia="zh-CN"/>
        </w:rPr>
        <w:t>卫生健康支出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行政事业单位医疗</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行政单位医疗</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23.78</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r>
        <w:rPr>
          <w:rStyle w:val="19"/>
          <w:rFonts w:hint="eastAsia" w:ascii="仿宋" w:eastAsia="仿宋"/>
          <w:bCs/>
          <w:color w:val="000000"/>
          <w:sz w:val="32"/>
          <w:szCs w:val="32"/>
          <w:lang w:val="en-US" w:eastAsia="zh-CN"/>
        </w:rPr>
        <w:t>12、</w:t>
      </w:r>
      <w:r>
        <w:rPr>
          <w:rStyle w:val="19"/>
          <w:rFonts w:hint="eastAsia" w:ascii="仿宋" w:eastAsia="仿宋"/>
          <w:bCs/>
          <w:color w:val="000000"/>
          <w:sz w:val="32"/>
          <w:szCs w:val="32"/>
          <w:lang w:eastAsia="zh-CN"/>
        </w:rPr>
        <w:t>卫生健康支出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行政事业单位医疗</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事业单位医疗</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5.93</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hint="eastAsia" w:ascii="仿宋" w:eastAsia="仿宋"/>
          <w:color w:val="000000"/>
          <w:sz w:val="32"/>
          <w:szCs w:val="32"/>
        </w:rPr>
      </w:pPr>
      <w:r>
        <w:rPr>
          <w:rStyle w:val="19"/>
          <w:rFonts w:hint="eastAsia" w:ascii="仿宋" w:eastAsia="仿宋"/>
          <w:bCs/>
          <w:color w:val="000000"/>
          <w:sz w:val="32"/>
          <w:szCs w:val="32"/>
          <w:lang w:val="en-US" w:eastAsia="zh-CN"/>
        </w:rPr>
        <w:t>13、</w:t>
      </w:r>
      <w:r>
        <w:rPr>
          <w:rStyle w:val="19"/>
          <w:rFonts w:hint="eastAsia" w:ascii="仿宋" w:eastAsia="仿宋"/>
          <w:bCs/>
          <w:color w:val="000000"/>
          <w:sz w:val="32"/>
          <w:szCs w:val="32"/>
          <w:lang w:eastAsia="zh-CN"/>
        </w:rPr>
        <w:t>卫生健康支出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行政事业单位医疗</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公务员医疗补助</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5.42</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rPr>
      </w:pPr>
      <w:r>
        <w:rPr>
          <w:rStyle w:val="19"/>
          <w:rFonts w:hint="eastAsia" w:ascii="仿宋" w:eastAsia="仿宋"/>
          <w:bCs/>
          <w:color w:val="000000"/>
          <w:sz w:val="32"/>
          <w:szCs w:val="32"/>
          <w:lang w:val="en-US" w:eastAsia="zh-CN"/>
        </w:rPr>
        <w:t>14、</w:t>
      </w:r>
      <w:r>
        <w:rPr>
          <w:rStyle w:val="19"/>
          <w:rFonts w:hint="eastAsia" w:ascii="仿宋" w:eastAsia="仿宋"/>
          <w:bCs/>
          <w:color w:val="000000"/>
          <w:sz w:val="32"/>
          <w:szCs w:val="32"/>
          <w:lang w:eastAsia="zh-CN"/>
        </w:rPr>
        <w:t>卫生健康支出</w:t>
      </w:r>
      <w:r>
        <w:rPr>
          <w:rStyle w:val="19"/>
          <w:rFonts w:hint="eastAsia" w:ascii="仿宋" w:eastAsia="仿宋"/>
          <w:bCs/>
          <w:color w:val="000000"/>
          <w:sz w:val="32"/>
          <w:szCs w:val="32"/>
        </w:rPr>
        <w:t>（类）</w:t>
      </w:r>
      <w:r>
        <w:rPr>
          <w:rStyle w:val="19"/>
          <w:rFonts w:hint="eastAsia" w:ascii="仿宋" w:eastAsia="仿宋"/>
          <w:bCs/>
          <w:color w:val="000000"/>
          <w:sz w:val="32"/>
          <w:szCs w:val="32"/>
          <w:lang w:val="en-US" w:eastAsia="zh-CN"/>
        </w:rPr>
        <w:t>行政事业单位医疗</w:t>
      </w:r>
      <w:r>
        <w:rPr>
          <w:rStyle w:val="19"/>
          <w:rFonts w:hint="eastAsia" w:ascii="仿宋" w:eastAsia="仿宋"/>
          <w:bCs/>
          <w:color w:val="000000"/>
          <w:sz w:val="32"/>
          <w:szCs w:val="32"/>
        </w:rPr>
        <w:t>（款）</w:t>
      </w:r>
      <w:r>
        <w:rPr>
          <w:rStyle w:val="19"/>
          <w:rFonts w:hint="eastAsia" w:ascii="仿宋" w:eastAsia="仿宋"/>
          <w:bCs/>
          <w:color w:val="000000"/>
          <w:sz w:val="32"/>
          <w:szCs w:val="32"/>
          <w:lang w:val="en-US" w:eastAsia="zh-CN"/>
        </w:rPr>
        <w:t>其他行政事业单位医疗支出</w:t>
      </w:r>
      <w:r>
        <w:rPr>
          <w:rStyle w:val="19"/>
          <w:rFonts w:hint="eastAsia" w:ascii="仿宋" w:eastAsia="仿宋"/>
          <w:bCs/>
          <w:color w:val="000000"/>
          <w:sz w:val="32"/>
          <w:szCs w:val="32"/>
        </w:rPr>
        <w:t>（项）</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1.49</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lang w:val="en-US" w:eastAsia="zh-CN"/>
        </w:rPr>
      </w:pPr>
      <w:r>
        <w:rPr>
          <w:rStyle w:val="19"/>
          <w:rFonts w:hint="eastAsia" w:ascii="仿宋" w:eastAsia="仿宋"/>
          <w:bCs/>
          <w:color w:val="000000"/>
          <w:sz w:val="32"/>
          <w:szCs w:val="32"/>
          <w:lang w:val="en-US" w:eastAsia="zh-CN"/>
        </w:rPr>
        <w:t>15、住房保障支出（类）住房改革支出（款）住房公积金（项）：</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49.77</w:t>
      </w:r>
      <w:r>
        <w:rPr>
          <w:rStyle w:val="19"/>
          <w:rFonts w:hint="eastAsia" w:ascii="仿宋" w:eastAsia="仿宋"/>
          <w:b w:val="0"/>
          <w:bCs/>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eastAsia="zh-CN"/>
        </w:rPr>
        <w:t>数的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tabs>
          <w:tab w:val="right" w:pos="8306"/>
        </w:tabs>
        <w:spacing w:line="600" w:lineRule="exact"/>
        <w:ind w:firstLine="640"/>
        <w:outlineLvl w:val="1"/>
        <w:rPr>
          <w:rStyle w:val="32"/>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37"/>
      <w:bookmarkEnd w:id="38"/>
      <w:r>
        <w:rPr>
          <w:rStyle w:val="32"/>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696.18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638.61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元，主要包括：基本工资120.60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、津贴补贴164.50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、奖金147.38</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、伙食补助费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、绩效工资19.56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、机关事业单位基本养老保险缴费61.17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、职业年金缴费30.15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、职工基本医疗保险缴费29.70</w:t>
      </w:r>
      <w:r>
        <w:rPr>
          <w:rFonts w:hint="eastAsia" w:eastAsia="仿宋_GB2312" w:cs="仿宋_GB2312"/>
          <w:color w:val="auto"/>
          <w:kern w:val="2"/>
          <w:sz w:val="32"/>
          <w:szCs w:val="32"/>
          <w:highlight w:val="none"/>
          <w:lang w:val="en-US" w:eastAsia="zh-CN" w:bidi="ar-SA"/>
        </w:rPr>
        <w:t>万元、公务员医疗补助缴费5.42万元、</w:t>
      </w:r>
      <w:r>
        <w:rPr>
          <w:rFonts w:hint="eastAsia" w:ascii="Times New Roman" w:hAnsi="Times New Roman" w:eastAsia="仿宋_GB2312" w:cs="仿宋_GB2312"/>
          <w:color w:val="auto"/>
          <w:kern w:val="2"/>
          <w:sz w:val="32"/>
          <w:szCs w:val="32"/>
          <w:highlight w:val="none"/>
          <w:lang w:val="en-US" w:eastAsia="zh-CN" w:bidi="ar-SA"/>
        </w:rPr>
        <w:t>其他社会保障缴费7.47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、其他工资福利支出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、离休费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、退休费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、抚恤金</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、生活补助2.85</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、医疗费补助</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、奖励金0.02</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、住房公积金49.77</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、其他对个人和家庭的补助支出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57.57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元，主要包括：办公费12.92</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、印刷费5.63</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、咨询费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、手续费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、水费1.00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、电费2.90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、邮电费4.30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、取暖费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、物业管理费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、差旅费9.96</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、因公出国（境）费用</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、维修（护）费0.99</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、租赁费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、会议费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、培训费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、公务接待费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、劳务费8.64</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、委托业务费1.00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、工会经费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、福利费0.50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、公务用车运行维护费7.00</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、其他交通费2.74</w:t>
      </w:r>
      <w:r>
        <w:rPr>
          <w:rFonts w:hint="eastAsia"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、税金及附加费用</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、其他商品和服务支出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、办公设备购置</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、专用设备购置</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、信息网络及软件购置更新</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、其他资本性支出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等。</w:t>
      </w:r>
    </w:p>
    <w:p>
      <w:pPr>
        <w:spacing w:line="600" w:lineRule="exact"/>
        <w:ind w:firstLine="640"/>
        <w:outlineLvl w:val="1"/>
        <w:rPr>
          <w:rStyle w:val="32"/>
          <w:rFonts w:ascii="Times New Roman" w:hAnsi="Times New Roman" w:eastAsia="黑体"/>
          <w:b w:val="0"/>
          <w:color w:val="auto"/>
          <w:highlight w:val="none"/>
        </w:rPr>
      </w:pPr>
      <w:bookmarkStart w:id="39" w:name="_Toc15377215"/>
      <w:bookmarkStart w:id="40" w:name="_Toc15396609"/>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9"/>
      <w:bookmarkEnd w:id="40"/>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1"/>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46.7</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96.68</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39.7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567</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eastAsia="仿宋_GB2312" w:cs="仿宋_GB2312"/>
          <w:color w:val="auto"/>
          <w:kern w:val="2"/>
          <w:sz w:val="32"/>
          <w:szCs w:val="32"/>
          <w:highlight w:val="none"/>
          <w:lang w:val="en-US" w:eastAsia="zh-CN" w:bidi="ar-SA"/>
        </w:rPr>
        <w:t>电费无法预支。</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2"/>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46.7</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5408" behindDoc="0" locked="0" layoutInCell="1" allowOverlap="1">
            <wp:simplePos x="0" y="0"/>
            <wp:positionH relativeFrom="column">
              <wp:posOffset>537845</wp:posOffset>
            </wp:positionH>
            <wp:positionV relativeFrom="paragraph">
              <wp:posOffset>-210185</wp:posOffset>
            </wp:positionV>
            <wp:extent cx="4410075" cy="2809875"/>
            <wp:effectExtent l="4445" t="5080" r="5080" b="4445"/>
            <wp:wrapTopAndBottom/>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lang w:val="en-US" w:eastAsia="zh-CN"/>
        </w:rPr>
        <w:t xml:space="preserve">      </w:t>
      </w: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。因公出国（境）支出决算比2023年增减</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万元，增减</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仿宋_GB2312" w:hAnsi="仿宋" w:eastAsia="仿宋_GB2312" w:cs="仿宋"/>
          <w:color w:val="000000" w:themeColor="text1"/>
          <w:sz w:val="32"/>
          <w:szCs w:val="32"/>
          <w:lang w:eastAsia="zh-CN"/>
          <w14:textFill>
            <w14:solidFill>
              <w14:schemeClr w14:val="tx1"/>
            </w14:solidFill>
          </w14:textFill>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46.7万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96.68</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公务用车购置及运行维护费支出决算比2023年度增加增加</w:t>
      </w:r>
      <w:r>
        <w:rPr>
          <w:rFonts w:hint="eastAsia" w:eastAsia="仿宋_GB2312" w:cs="仿宋_GB2312"/>
          <w:color w:val="auto"/>
          <w:kern w:val="2"/>
          <w:sz w:val="32"/>
          <w:szCs w:val="32"/>
          <w:highlight w:val="none"/>
          <w:lang w:val="en-US" w:eastAsia="zh-CN" w:bidi="ar-SA"/>
        </w:rPr>
        <w:t>39.7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567</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hAnsi="仿宋" w:eastAsia="仿宋_GB2312" w:cs="仿宋"/>
          <w:color w:val="000000" w:themeColor="text1"/>
          <w:sz w:val="32"/>
          <w:szCs w:val="32"/>
          <w:lang w:eastAsia="zh-CN"/>
          <w14:textFill>
            <w14:solidFill>
              <w14:schemeClr w14:val="tx1"/>
            </w14:solidFill>
          </w14:textFill>
        </w:rPr>
        <w:t>本年度有购置车辆。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39.7</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39.7</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单位</w:t>
      </w:r>
      <w:r>
        <w:rPr>
          <w:rFonts w:hint="eastAsia" w:ascii="仿宋_GB2312" w:eastAsia="仿宋_GB2312"/>
          <w:color w:val="000000" w:themeColor="text1"/>
          <w:sz w:val="32"/>
          <w:szCs w:val="32"/>
          <w:lang w:val="en-US" w:eastAsia="zh-CN"/>
          <w14:textFill>
            <w14:solidFill>
              <w14:schemeClr w14:val="tx1"/>
            </w14:solidFill>
          </w14:textFill>
        </w:rPr>
        <w:t>日常工作</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7</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公务用车</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bookmarkStart w:id="43" w:name="_Toc15396610"/>
      <w:bookmarkStart w:id="44" w:name="_Toc15377218"/>
    </w:p>
    <w:p>
      <w:pPr>
        <w:spacing w:line="600" w:lineRule="exact"/>
        <w:ind w:firstLine="640"/>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43"/>
      <w:bookmarkEnd w:id="44"/>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。与2023年度相比，政府性基金预算财政拨款支出增减</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firstLine="640" w:firstLineChars="200"/>
        <w:outlineLvl w:val="1"/>
        <w:rPr>
          <w:rStyle w:val="32"/>
          <w:rFonts w:ascii="Times New Roman" w:hAnsi="Times New Roman" w:eastAsia="黑体"/>
          <w:b w:val="0"/>
          <w:color w:val="auto"/>
          <w:highlight w:val="none"/>
        </w:rPr>
      </w:pPr>
      <w:bookmarkStart w:id="45" w:name="_Toc15377219"/>
      <w:bookmarkStart w:id="46" w:name="_Toc15396611"/>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45"/>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万元，增降</w:t>
      </w:r>
      <w:r>
        <w:rPr>
          <w:rFonts w:hint="eastAsia" w:eastAsia="仿宋_GB2312" w:cs="仿宋_GB2312"/>
          <w:color w:val="auto"/>
          <w:kern w:val="2"/>
          <w:sz w:val="32"/>
          <w:szCs w:val="32"/>
          <w:highlight w:val="none"/>
          <w:lang w:val="en-US" w:eastAsia="zh-CN" w:bidi="ar-SA"/>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47" w:name="_Toc15377221"/>
      <w:bookmarkStart w:id="48"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47"/>
      <w:bookmarkEnd w:id="48"/>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2"/>
      <w:r>
        <w:rPr>
          <w:rFonts w:hint="eastAsia" w:ascii="Times New Roman" w:hAnsi="Times New Roman" w:eastAsia="楷体_GB2312" w:cs="楷体_GB2312"/>
          <w:b/>
          <w:color w:val="auto"/>
          <w:sz w:val="32"/>
          <w:szCs w:val="32"/>
          <w:highlight w:val="none"/>
        </w:rPr>
        <w:t>（一）机关运行经费支出情况</w:t>
      </w:r>
      <w:bookmarkEnd w:id="4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金川县应急管理局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46.28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1.42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color w:val="auto"/>
          <w:sz w:val="32"/>
          <w:szCs w:val="32"/>
          <w:lang w:eastAsia="zh-CN"/>
        </w:rPr>
        <w:t>人员变动等。</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3"/>
      <w:r>
        <w:rPr>
          <w:rFonts w:hint="eastAsia" w:ascii="Times New Roman" w:hAnsi="Times New Roman" w:eastAsia="楷体_GB2312" w:cs="楷体_GB2312"/>
          <w:b/>
          <w:color w:val="auto"/>
          <w:sz w:val="32"/>
          <w:szCs w:val="32"/>
          <w:highlight w:val="none"/>
        </w:rPr>
        <w:t>（二）政府采购支出情况</w:t>
      </w:r>
      <w:bookmarkEnd w:id="5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金川县应急管理局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244.4</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214.78</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29.63</w:t>
      </w:r>
      <w:r>
        <w:rPr>
          <w:rFonts w:hint="eastAsia" w:ascii="仿宋_GB2312" w:hAnsi="仿宋_GB2312"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rPr>
        <w:t>主要用于</w:t>
      </w:r>
      <w:r>
        <w:rPr>
          <w:rFonts w:hint="eastAsia" w:ascii="仿宋_GB2312" w:eastAsia="仿宋_GB2312"/>
          <w:color w:val="000000" w:themeColor="text1"/>
          <w:sz w:val="32"/>
          <w:szCs w:val="32"/>
          <w:lang w:val="en-US" w:eastAsia="zh-CN"/>
          <w14:textFill>
            <w14:solidFill>
              <w14:schemeClr w14:val="tx1"/>
            </w14:solidFill>
          </w14:textFill>
        </w:rPr>
        <w:t>专用设备购置、专用材料、办公设备、应急救援装备物资、第三方服务经费</w:t>
      </w:r>
      <w:r>
        <w:rPr>
          <w:rFonts w:hint="eastAsia" w:ascii="仿宋_GB2312" w:eastAsia="仿宋_GB2312"/>
          <w:color w:val="auto"/>
          <w:sz w:val="32"/>
          <w:szCs w:val="32"/>
          <w:lang w:val="en-US" w:eastAsia="zh-CN"/>
        </w:rPr>
        <w:t>等</w:t>
      </w:r>
      <w:r>
        <w:rPr>
          <w:rFonts w:hint="eastAsia" w:ascii="仿宋_GB2312" w:hAnsi="仿宋_GB2312" w:eastAsia="仿宋_GB2312" w:cs="仿宋_GB2312"/>
          <w:color w:val="auto"/>
          <w:kern w:val="2"/>
          <w:sz w:val="32"/>
          <w:szCs w:val="32"/>
          <w:highlight w:val="none"/>
          <w:lang w:val="en-US" w:eastAsia="zh-CN" w:bidi="ar-SA"/>
        </w:rPr>
        <w:t>。授予中小企业合同金额</w:t>
      </w:r>
      <w:r>
        <w:rPr>
          <w:rFonts w:hint="eastAsia" w:ascii="仿宋_GB2312" w:hAnsi="仿宋_GB2312" w:eastAsia="仿宋_GB2312" w:cs="仿宋_GB2312"/>
          <w:sz w:val="32"/>
          <w:szCs w:val="32"/>
        </w:rPr>
        <w:t>244.4</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244.4</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1" w:name="_Toc15377224"/>
      <w:r>
        <w:rPr>
          <w:rFonts w:hint="eastAsia" w:ascii="Times New Roman" w:hAnsi="Times New Roman" w:eastAsia="楷体_GB2312" w:cs="楷体_GB2312"/>
          <w:b/>
          <w:color w:val="auto"/>
          <w:sz w:val="32"/>
          <w:szCs w:val="32"/>
          <w:highlight w:val="none"/>
        </w:rPr>
        <w:t>（三）国有资产占有使用情况</w:t>
      </w:r>
      <w:bookmarkEnd w:id="5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金川县应急管理局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auto"/>
          <w:kern w:val="2"/>
          <w:sz w:val="32"/>
          <w:szCs w:val="32"/>
          <w:highlight w:val="none"/>
          <w:lang w:val="en-US" w:eastAsia="zh-CN" w:bidi="ar-SA"/>
        </w:rPr>
        <w:t>辆，其他用车主要是用于</w:t>
      </w:r>
      <w:r>
        <w:rPr>
          <w:rFonts w:hint="eastAsia" w:ascii="仿宋_GB2312" w:eastAsia="仿宋_GB2312"/>
          <w:color w:val="000000" w:themeColor="text1"/>
          <w:sz w:val="32"/>
          <w:szCs w:val="32"/>
          <w:lang w:val="en-US" w:eastAsia="zh-CN"/>
          <w14:textFill>
            <w14:solidFill>
              <w14:schemeClr w14:val="tx1"/>
            </w14:solidFill>
          </w14:textFill>
        </w:rPr>
        <w:t>日常工作</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pStyle w:val="37"/>
        <w:keepNext w:val="0"/>
        <w:keepLines w:val="0"/>
        <w:pageBreakBefore w:val="0"/>
        <w:widowControl w:val="0"/>
        <w:kinsoku/>
        <w:wordWrap/>
        <w:overflowPunct/>
        <w:topLinePunct w:val="0"/>
        <w:autoSpaceDE/>
        <w:autoSpaceDN/>
        <w:bidi w:val="0"/>
        <w:spacing w:line="578" w:lineRule="exact"/>
        <w:ind w:left="0" w:leftChars="0"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eastAsia="仿宋_GB2312" w:cs="仿宋_GB2312"/>
          <w:sz w:val="32"/>
          <w:szCs w:val="32"/>
        </w:rPr>
        <w:t>本</w:t>
      </w:r>
      <w:r>
        <w:rPr>
          <w:rFonts w:hint="eastAsia" w:ascii="仿宋_GB2312" w:eastAsia="仿宋_GB2312" w:cs="仿宋_GB2312"/>
          <w:sz w:val="32"/>
          <w:szCs w:val="32"/>
          <w:lang w:eastAsia="zh-CN"/>
        </w:rPr>
        <w:t>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default" w:ascii="Times New Roman" w:hAnsi="Times New Roman" w:eastAsia="仿宋_GB2312" w:cs="仿宋_GB2312"/>
          <w:color w:val="auto"/>
          <w:kern w:val="2"/>
          <w:sz w:val="32"/>
          <w:szCs w:val="32"/>
          <w:highlight w:val="none"/>
          <w:lang w:val="en-US" w:eastAsia="zh-CN" w:bidi="ar-SA"/>
        </w:rPr>
        <w:t>安全生产工作经费</w:t>
      </w:r>
      <w:r>
        <w:rPr>
          <w:rFonts w:hint="eastAsia" w:ascii="Times New Roman" w:hAnsi="Times New Roman" w:eastAsia="仿宋_GB2312" w:cs="仿宋_GB2312"/>
          <w:color w:val="auto"/>
          <w:kern w:val="2"/>
          <w:sz w:val="32"/>
          <w:szCs w:val="32"/>
          <w:highlight w:val="none"/>
          <w:lang w:val="en-US" w:eastAsia="zh-CN" w:bidi="ar-SA"/>
        </w:rPr>
        <w:t>等14个项目开展了预算事前绩效评估，对14个项目编制了绩效目标，预算执行过程中，选取14个项目开展绩效监控。</w:t>
      </w:r>
    </w:p>
    <w:p>
      <w:pPr>
        <w:pStyle w:val="5"/>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金川县应急管理局</w:t>
      </w:r>
      <w:r>
        <w:rPr>
          <w:rFonts w:hint="eastAsia" w:ascii="Times New Roman" w:hAnsi="Times New Roman" w:eastAsia="仿宋_GB2312" w:cs="仿宋_GB2312"/>
          <w:color w:val="auto"/>
          <w:kern w:val="2"/>
          <w:sz w:val="32"/>
          <w:szCs w:val="32"/>
          <w:highlight w:val="none"/>
          <w:lang w:val="en-US" w:eastAsia="zh-CN" w:bidi="ar-SA"/>
        </w:rPr>
        <w:t>部门整体绩效自评报告、</w:t>
      </w:r>
      <w:r>
        <w:rPr>
          <w:rFonts w:hint="default" w:ascii="Times New Roman" w:hAnsi="Times New Roman" w:eastAsia="仿宋_GB2312" w:cs="仿宋_GB2312"/>
          <w:color w:val="auto"/>
          <w:kern w:val="2"/>
          <w:sz w:val="32"/>
          <w:szCs w:val="32"/>
          <w:highlight w:val="none"/>
          <w:lang w:val="en-US" w:eastAsia="zh-CN" w:bidi="ar-SA"/>
        </w:rPr>
        <w:t>安全生产工作经费</w:t>
      </w:r>
      <w:r>
        <w:rPr>
          <w:rFonts w:hint="eastAsia" w:ascii="Times New Roman" w:hAnsi="Times New Roman" w:eastAsia="仿宋_GB2312" w:cs="仿宋_GB2312"/>
          <w:color w:val="auto"/>
          <w:kern w:val="2"/>
          <w:sz w:val="32"/>
          <w:szCs w:val="32"/>
          <w:highlight w:val="none"/>
          <w:lang w:val="en-US" w:eastAsia="zh-CN" w:bidi="ar-SA"/>
        </w:rPr>
        <w:t>等专项预算项目绩效自评报告，其中，</w:t>
      </w:r>
      <w:r>
        <w:rPr>
          <w:rFonts w:hint="eastAsia" w:eastAsia="仿宋_GB2312" w:cs="仿宋_GB2312"/>
          <w:color w:val="auto"/>
          <w:kern w:val="2"/>
          <w:sz w:val="32"/>
          <w:szCs w:val="32"/>
          <w:highlight w:val="none"/>
          <w:lang w:val="en-US" w:eastAsia="zh-CN" w:bidi="ar-SA"/>
        </w:rPr>
        <w:t>金川县应急管理局</w:t>
      </w:r>
      <w:r>
        <w:rPr>
          <w:rFonts w:hint="eastAsia" w:ascii="Times New Roman" w:hAnsi="Times New Roman" w:eastAsia="仿宋_GB2312" w:cs="仿宋_GB2312"/>
          <w:color w:val="auto"/>
          <w:kern w:val="2"/>
          <w:sz w:val="32"/>
          <w:szCs w:val="32"/>
          <w:highlight w:val="none"/>
          <w:lang w:val="en-US" w:eastAsia="zh-CN" w:bidi="ar-SA"/>
        </w:rPr>
        <w:t>部门整体绩效自评得分为89</w:t>
      </w:r>
      <w:r>
        <w:rPr>
          <w:rFonts w:hint="default" w:ascii="Times New Roman" w:hAnsi="Times New Roman" w:eastAsia="仿宋_GB2312" w:cs="仿宋_GB2312"/>
          <w:color w:val="auto"/>
          <w:kern w:val="2"/>
          <w:sz w:val="32"/>
          <w:szCs w:val="32"/>
          <w:highlight w:val="none"/>
          <w:lang w:val="en-US" w:eastAsia="zh-CN" w:bidi="ar-SA"/>
        </w:rPr>
        <w:t>分，自评等级为优</w:t>
      </w:r>
      <w:r>
        <w:rPr>
          <w:rFonts w:hint="eastAsia" w:ascii="Times New Roman" w:hAnsi="Times New Roman" w:eastAsia="仿宋_GB2312" w:cs="仿宋_GB2312"/>
          <w:color w:val="auto"/>
          <w:kern w:val="2"/>
          <w:sz w:val="32"/>
          <w:szCs w:val="32"/>
          <w:highlight w:val="none"/>
          <w:lang w:val="en-US" w:eastAsia="zh-CN" w:bidi="ar-SA"/>
        </w:rPr>
        <w:t>；</w:t>
      </w:r>
      <w:r>
        <w:rPr>
          <w:rFonts w:hint="default" w:ascii="Times New Roman" w:hAnsi="Times New Roman" w:eastAsia="仿宋_GB2312" w:cs="仿宋_GB2312"/>
          <w:color w:val="auto"/>
          <w:kern w:val="2"/>
          <w:sz w:val="32"/>
          <w:szCs w:val="32"/>
          <w:highlight w:val="none"/>
          <w:lang w:val="en-US" w:eastAsia="zh-CN" w:bidi="ar-SA"/>
        </w:rPr>
        <w:t>安全生产工作经费</w:t>
      </w:r>
      <w:r>
        <w:rPr>
          <w:rFonts w:hint="eastAsia" w:ascii="Times New Roman" w:hAnsi="Times New Roman" w:eastAsia="仿宋_GB2312" w:cs="仿宋_GB2312"/>
          <w:color w:val="auto"/>
          <w:kern w:val="2"/>
          <w:sz w:val="32"/>
          <w:szCs w:val="32"/>
          <w:highlight w:val="none"/>
          <w:lang w:val="en-US" w:eastAsia="zh-CN" w:bidi="ar-SA"/>
        </w:rPr>
        <w:t>专项预算项目绩效自评得分为100分，绩效自评评估等级综合评定为优；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2023-2024年冬春困难群众生活救助项目</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自评得分为100分，绩效自评评估等级综合评定为优；2023年非煤矿及重点非煤矿山重大灾害风险防控项目自评得分为100分，绩效自评评估等级综合评定为优；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森林草原防灭火工作经费</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自评得分为100分，绩效自评评估等级综合评定为优；金川县应急管理局应急管理值班补贴经费自评得分为100分，绩效自评评估等级综合评定为优；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中央和省级自然灾害救灾（受灾群众救助）预拨资金</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2024年应急抢险救灾经费</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2024年州级自然灾害应急资金</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安全生产第三方技术服务采购项目</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金川县防灾减灾物资装备采购项目</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金川县森林草原防灭火物资装备采购项目</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金川县森林草原防灭火指挥部办公室车辆购置项目</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四川省应急救援能力提升行动计划项目</w:t>
      </w:r>
      <w:r>
        <w:rPr>
          <w:rFonts w:hint="eastAsia" w:ascii="Times New Roman" w:hAnsi="Times New Roman" w:eastAsia="仿宋_GB2312" w:cs="仿宋_GB2312"/>
          <w:color w:val="auto"/>
          <w:kern w:val="2"/>
          <w:sz w:val="32"/>
          <w:szCs w:val="32"/>
          <w:highlight w:val="none"/>
          <w:lang w:val="en-US" w:eastAsia="zh-CN" w:bidi="ar-SA"/>
        </w:rPr>
        <w:t>自评得分为100分，绩效自评评估等级综合评定为优；</w:t>
      </w:r>
      <w:r>
        <w:rPr>
          <w:rFonts w:hint="default" w:ascii="Times New Roman" w:hAnsi="Times New Roman" w:eastAsia="仿宋_GB2312" w:cs="仿宋_GB2312"/>
          <w:color w:val="auto"/>
          <w:kern w:val="2"/>
          <w:sz w:val="32"/>
          <w:szCs w:val="32"/>
          <w:highlight w:val="none"/>
          <w:lang w:val="en-US" w:eastAsia="zh-CN" w:bidi="ar-SA"/>
        </w:rPr>
        <w:t>消防救援大队被装采购项目</w:t>
      </w:r>
      <w:r>
        <w:rPr>
          <w:rFonts w:hint="eastAsia" w:ascii="Times New Roman" w:hAnsi="Times New Roman" w:eastAsia="仿宋_GB2312" w:cs="Times New Roman"/>
          <w:kern w:val="2"/>
          <w:position w:val="0"/>
          <w:sz w:val="32"/>
          <w:szCs w:val="32"/>
          <w:u w:val="none"/>
          <w:lang w:val="zh-CN" w:eastAsia="zh-CN" w:bidi="ar-SA"/>
        </w:rPr>
        <w:t>自评得分</w:t>
      </w:r>
      <w:r>
        <w:rPr>
          <w:rFonts w:hint="eastAsia" w:ascii="Times New Roman" w:hAnsi="Times New Roman" w:eastAsia="仿宋_GB2312" w:cs="Times New Roman"/>
          <w:kern w:val="2"/>
          <w:position w:val="0"/>
          <w:sz w:val="32"/>
          <w:szCs w:val="32"/>
          <w:u w:val="none"/>
          <w:lang w:val="en-US" w:eastAsia="zh-CN" w:bidi="ar-SA"/>
        </w:rPr>
        <w:t>100分，评估等级优。</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both"/>
        <w:outlineLvl w:val="0"/>
        <w:rPr>
          <w:rFonts w:hint="eastAsia" w:ascii="Times New Roman" w:hAnsi="Times New Roman" w:eastAsia="黑体"/>
          <w:color w:val="auto"/>
          <w:sz w:val="44"/>
          <w:szCs w:val="44"/>
          <w:highlight w:val="none"/>
        </w:rPr>
      </w:pPr>
      <w:bookmarkStart w:id="52" w:name="_Toc15396613"/>
      <w:bookmarkStart w:id="53" w:name="_Toc15377225"/>
    </w:p>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2"/>
      <w:bookmarkEnd w:id="53"/>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Times New Roman" w:hAnsi="Times New Roman" w:eastAsia="仿宋_GB2312" w:cs="仿宋_GB2312"/>
          <w:color w:val="auto"/>
          <w:kern w:val="2"/>
          <w:sz w:val="32"/>
          <w:szCs w:val="32"/>
          <w:highlight w:val="none"/>
          <w:lang w:val="en-US" w:eastAsia="zh-CN" w:bidi="ar-SA"/>
        </w:rPr>
        <w:t xml:space="preserve">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9、灾害防治及应急管理（类）应急管理事务（款）行政运行（项）：指行政单位的基本支出。</w:t>
      </w:r>
    </w:p>
    <w:p>
      <w:pPr>
        <w:pStyle w:val="29"/>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10、</w:t>
      </w:r>
      <w:r>
        <w:rPr>
          <w:rFonts w:hint="eastAsia" w:ascii="仿宋_GB2312" w:eastAsia="仿宋_GB2312"/>
          <w:sz w:val="32"/>
          <w:szCs w:val="32"/>
          <w:lang w:eastAsia="zh-CN"/>
        </w:rPr>
        <w:t>灾害防治及应急管理</w:t>
      </w:r>
      <w:r>
        <w:rPr>
          <w:rFonts w:hint="eastAsia" w:ascii="仿宋_GB2312" w:eastAsia="仿宋_GB2312"/>
          <w:sz w:val="32"/>
          <w:szCs w:val="32"/>
        </w:rPr>
        <w:t>（类）</w:t>
      </w:r>
      <w:r>
        <w:rPr>
          <w:rFonts w:hint="eastAsia" w:ascii="仿宋_GB2312" w:eastAsia="仿宋_GB2312"/>
          <w:sz w:val="32"/>
          <w:szCs w:val="32"/>
          <w:lang w:val="en-US" w:eastAsia="zh-CN"/>
        </w:rPr>
        <w:t>应急管理事务</w:t>
      </w:r>
      <w:r>
        <w:rPr>
          <w:rFonts w:hint="eastAsia" w:ascii="仿宋_GB2312" w:eastAsia="仿宋_GB2312"/>
          <w:sz w:val="32"/>
          <w:szCs w:val="32"/>
        </w:rPr>
        <w:t>（款）</w:t>
      </w:r>
      <w:r>
        <w:rPr>
          <w:rFonts w:hint="eastAsia" w:ascii="仿宋_GB2312" w:eastAsia="仿宋_GB2312"/>
          <w:sz w:val="32"/>
          <w:szCs w:val="32"/>
          <w:lang w:val="en-US" w:eastAsia="zh-CN"/>
        </w:rPr>
        <w:t>应急救援</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lang w:eastAsia="zh-CN"/>
        </w:rPr>
        <w:t>反映安全生产、自然灾害应急救援方面的支出。</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11、灾害防治及应急管理（类）应急管理事务（款）事业运行（项）：反映事业单位的基本支出，不包括行政单位（包括实行公务员管理的事业单位）后勤服务中心、医务室等附属事业单位。</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12、灾害防治及应急管理（类）应急管理事务（款）安全监管（项）：反映安全生产监管方面的支出。</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13、灾害防治及应急管理（类）应急管理事务（款）其他应急管理支出（项）:反映其他应急管理方面的支出。</w:t>
      </w:r>
    </w:p>
    <w:p>
      <w:pPr>
        <w:pStyle w:val="29"/>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14、</w:t>
      </w:r>
      <w:r>
        <w:rPr>
          <w:rFonts w:hint="eastAsia" w:ascii="仿宋_GB2312" w:eastAsia="仿宋_GB2312"/>
          <w:sz w:val="32"/>
          <w:szCs w:val="32"/>
          <w:lang w:eastAsia="zh-CN"/>
        </w:rPr>
        <w:t>灾害防治及应急管理</w:t>
      </w:r>
      <w:r>
        <w:rPr>
          <w:rFonts w:hint="eastAsia" w:ascii="仿宋_GB2312" w:eastAsia="仿宋_GB2312"/>
          <w:sz w:val="32"/>
          <w:szCs w:val="32"/>
        </w:rPr>
        <w:t>（类）</w:t>
      </w:r>
      <w:r>
        <w:rPr>
          <w:rFonts w:hint="eastAsia" w:ascii="仿宋_GB2312" w:eastAsia="仿宋_GB2312"/>
          <w:sz w:val="32"/>
          <w:szCs w:val="32"/>
          <w:lang w:val="en-US" w:eastAsia="zh-CN"/>
        </w:rPr>
        <w:t>自然灾害防治</w:t>
      </w:r>
      <w:r>
        <w:rPr>
          <w:rFonts w:hint="eastAsia" w:ascii="仿宋_GB2312" w:eastAsia="仿宋_GB2312"/>
          <w:sz w:val="32"/>
          <w:szCs w:val="32"/>
        </w:rPr>
        <w:t>（款）</w:t>
      </w:r>
      <w:r>
        <w:rPr>
          <w:rFonts w:hint="eastAsia" w:ascii="仿宋_GB2312" w:eastAsia="仿宋_GB2312"/>
          <w:sz w:val="32"/>
          <w:szCs w:val="32"/>
          <w:lang w:eastAsia="zh-CN"/>
        </w:rPr>
        <w:t>森林草原防灾减灾</w:t>
      </w:r>
      <w:r>
        <w:rPr>
          <w:rFonts w:hint="eastAsia" w:ascii="仿宋_GB2312" w:eastAsia="仿宋_GB2312"/>
          <w:sz w:val="32"/>
          <w:szCs w:val="32"/>
        </w:rPr>
        <w:t>（项）</w:t>
      </w:r>
      <w:r>
        <w:rPr>
          <w:rFonts w:ascii="仿宋_GB2312" w:eastAsia="仿宋_GB2312"/>
          <w:sz w:val="32"/>
          <w:szCs w:val="32"/>
        </w:rPr>
        <w:t xml:space="preserve">: </w:t>
      </w:r>
      <w:r>
        <w:rPr>
          <w:rFonts w:hint="eastAsia" w:ascii="仿宋_GB2312" w:eastAsia="仿宋_GB2312"/>
          <w:sz w:val="32"/>
          <w:szCs w:val="32"/>
          <w:lang w:eastAsia="zh-CN"/>
        </w:rPr>
        <w:t>反映防治森林草原火灾、自然水旱灾害等发生的支出。</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15、</w:t>
      </w:r>
      <w:r>
        <w:rPr>
          <w:rFonts w:hint="eastAsia" w:ascii="仿宋_GB2312" w:eastAsia="仿宋_GB2312"/>
          <w:sz w:val="32"/>
          <w:szCs w:val="32"/>
          <w:lang w:eastAsia="zh-CN"/>
        </w:rPr>
        <w:t>灾害防治及应急管理</w:t>
      </w:r>
      <w:r>
        <w:rPr>
          <w:rFonts w:hint="eastAsia" w:ascii="仿宋_GB2312" w:eastAsia="仿宋_GB2312"/>
          <w:sz w:val="32"/>
          <w:szCs w:val="32"/>
        </w:rPr>
        <w:t>（类）</w:t>
      </w:r>
      <w:r>
        <w:rPr>
          <w:rFonts w:hint="eastAsia" w:ascii="仿宋_GB2312" w:eastAsia="仿宋_GB2312"/>
          <w:sz w:val="32"/>
          <w:szCs w:val="32"/>
          <w:lang w:val="en-US" w:eastAsia="zh-CN"/>
        </w:rPr>
        <w:t>自然灾害救灾及恢复重建支出</w:t>
      </w:r>
      <w:r>
        <w:rPr>
          <w:rFonts w:hint="eastAsia" w:ascii="仿宋_GB2312" w:eastAsia="仿宋_GB2312"/>
          <w:sz w:val="32"/>
          <w:szCs w:val="32"/>
        </w:rPr>
        <w:t>（款）</w:t>
      </w:r>
      <w:r>
        <w:rPr>
          <w:rFonts w:hint="eastAsia" w:ascii="仿宋_GB2312" w:eastAsia="仿宋_GB2312"/>
          <w:sz w:val="32"/>
          <w:szCs w:val="32"/>
          <w:lang w:val="en-US" w:eastAsia="zh-CN"/>
        </w:rPr>
        <w:t>自然灾害救灾补助</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lang w:eastAsia="zh-CN"/>
        </w:rPr>
        <w:t>反映用于应对重大自然灾害应急救援和受灾群众救助的支出。</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17、</w:t>
      </w:r>
      <w:r>
        <w:rPr>
          <w:rFonts w:hint="eastAsia" w:ascii="仿宋_GB2312" w:eastAsia="仿宋_GB2312"/>
          <w:sz w:val="32"/>
          <w:szCs w:val="32"/>
          <w:lang w:eastAsia="zh-CN"/>
        </w:rPr>
        <w:t>灾害防治及应急管理</w:t>
      </w:r>
      <w:r>
        <w:rPr>
          <w:rFonts w:hint="eastAsia" w:ascii="仿宋_GB2312" w:eastAsia="仿宋_GB2312"/>
          <w:sz w:val="32"/>
          <w:szCs w:val="32"/>
        </w:rPr>
        <w:t>（类）</w:t>
      </w:r>
      <w:r>
        <w:rPr>
          <w:rFonts w:hint="eastAsia" w:ascii="仿宋_GB2312" w:eastAsia="仿宋_GB2312"/>
          <w:sz w:val="32"/>
          <w:szCs w:val="32"/>
          <w:lang w:val="en-US" w:eastAsia="zh-CN"/>
        </w:rPr>
        <w:t>消防救援事务</w:t>
      </w:r>
      <w:r>
        <w:rPr>
          <w:rFonts w:hint="eastAsia" w:ascii="仿宋_GB2312" w:eastAsia="仿宋_GB2312"/>
          <w:sz w:val="32"/>
          <w:szCs w:val="32"/>
        </w:rPr>
        <w:t>（款）</w:t>
      </w:r>
      <w:r>
        <w:rPr>
          <w:rFonts w:hint="eastAsia" w:ascii="仿宋_GB2312" w:eastAsia="仿宋_GB2312"/>
          <w:sz w:val="32"/>
          <w:szCs w:val="32"/>
          <w:lang w:val="en-US" w:eastAsia="zh-CN"/>
        </w:rPr>
        <w:t>消防应急救援</w:t>
      </w:r>
      <w:r>
        <w:rPr>
          <w:rFonts w:hint="eastAsia" w:ascii="仿宋_GB2312" w:eastAsia="仿宋_GB2312"/>
          <w:sz w:val="32"/>
          <w:szCs w:val="32"/>
        </w:rPr>
        <w:t>（项）</w:t>
      </w:r>
      <w:r>
        <w:rPr>
          <w:rFonts w:ascii="仿宋_GB2312" w:eastAsia="仿宋_GB2312"/>
          <w:sz w:val="32"/>
          <w:szCs w:val="32"/>
        </w:rPr>
        <w:t xml:space="preserve">: </w:t>
      </w:r>
      <w:r>
        <w:rPr>
          <w:rFonts w:hint="eastAsia" w:ascii="仿宋_GB2312" w:eastAsia="仿宋_GB2312"/>
          <w:sz w:val="32"/>
          <w:szCs w:val="32"/>
          <w:lang w:eastAsia="zh-CN"/>
        </w:rPr>
        <w:t>反映用于消防应急救援队伍（不包括行政单位）人员基本支出、装备购置、基础设施及运行维护等方面支出。</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18、社会保障和就业支出（类）行政事业单位养老支出（款）机关事业单位基本养老保险缴费支出（项）: 指单位为职工缴纳的基本养老保险费。</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19、社会保障和就业支出（类）行政事业单位养老支出（款）机关事业单位职业年金缴费支出（项）: 指单位为职工实际缴纳的职业年金。</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20、卫生健康支出（类）行政事业单位医疗（款）行政单位医疗（项）:指反映职工缴纳的基本医疗保险费。</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21</w:t>
      </w:r>
      <w:r>
        <w:rPr>
          <w:rFonts w:hint="eastAsia" w:ascii="仿宋_GB2312" w:eastAsia="仿宋_GB2312"/>
          <w:sz w:val="32"/>
          <w:szCs w:val="32"/>
          <w:lang w:eastAsia="zh-CN"/>
        </w:rPr>
        <w:t>卫生健康支出</w:t>
      </w:r>
      <w:r>
        <w:rPr>
          <w:rFonts w:hint="eastAsia" w:ascii="仿宋_GB2312" w:eastAsia="仿宋_GB2312"/>
          <w:sz w:val="32"/>
          <w:szCs w:val="32"/>
        </w:rPr>
        <w:t>（类）</w:t>
      </w:r>
      <w:r>
        <w:rPr>
          <w:rFonts w:hint="eastAsia" w:ascii="仿宋_GB2312" w:eastAsia="仿宋_GB2312"/>
          <w:sz w:val="32"/>
          <w:szCs w:val="32"/>
          <w:lang w:val="en-US" w:eastAsia="zh-CN"/>
        </w:rPr>
        <w:t>行政事业单位医疗</w:t>
      </w:r>
      <w:r>
        <w:rPr>
          <w:rFonts w:hint="eastAsia" w:ascii="仿宋_GB2312" w:eastAsia="仿宋_GB2312"/>
          <w:sz w:val="32"/>
          <w:szCs w:val="32"/>
        </w:rPr>
        <w:t>（款）</w:t>
      </w:r>
      <w:r>
        <w:rPr>
          <w:rFonts w:hint="eastAsia" w:ascii="仿宋_GB2312" w:eastAsia="仿宋_GB2312"/>
          <w:sz w:val="32"/>
          <w:szCs w:val="32"/>
          <w:lang w:val="en-US" w:eastAsia="zh-CN"/>
        </w:rPr>
        <w:t>事业单位医疗</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lang w:eastAsia="zh-CN"/>
        </w:rPr>
        <w:t>事业单位基本医疗保险缴费。</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22、卫生健康支出（类）行政事业单位医疗（款）公务员医疗补助（项）:指按规定可享受公务员医疗补助单位为职工缴纳的公务员医疗补助费。</w:t>
      </w:r>
    </w:p>
    <w:p>
      <w:pPr>
        <w:pStyle w:val="29"/>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23、</w:t>
      </w:r>
      <w:r>
        <w:rPr>
          <w:rFonts w:hint="eastAsia" w:ascii="仿宋_GB2312" w:eastAsia="仿宋_GB2312"/>
          <w:sz w:val="32"/>
          <w:szCs w:val="32"/>
          <w:lang w:eastAsia="zh-CN"/>
        </w:rPr>
        <w:t>卫生健康支出</w:t>
      </w:r>
      <w:r>
        <w:rPr>
          <w:rFonts w:hint="eastAsia" w:ascii="仿宋_GB2312" w:eastAsia="仿宋_GB2312"/>
          <w:sz w:val="32"/>
          <w:szCs w:val="32"/>
        </w:rPr>
        <w:t>（类）</w:t>
      </w:r>
      <w:r>
        <w:rPr>
          <w:rFonts w:hint="eastAsia" w:ascii="仿宋_GB2312" w:eastAsia="仿宋_GB2312"/>
          <w:sz w:val="32"/>
          <w:szCs w:val="32"/>
          <w:lang w:val="en-US" w:eastAsia="zh-CN"/>
        </w:rPr>
        <w:t>行政事业单位医疗</w:t>
      </w:r>
      <w:r>
        <w:rPr>
          <w:rFonts w:hint="eastAsia" w:ascii="仿宋_GB2312" w:eastAsia="仿宋_GB2312"/>
          <w:sz w:val="32"/>
          <w:szCs w:val="32"/>
        </w:rPr>
        <w:t>（款）</w:t>
      </w:r>
      <w:r>
        <w:rPr>
          <w:rFonts w:hint="eastAsia" w:ascii="仿宋_GB2312" w:eastAsia="仿宋_GB2312"/>
          <w:sz w:val="32"/>
          <w:szCs w:val="32"/>
          <w:lang w:val="en-US" w:eastAsia="zh-CN"/>
        </w:rPr>
        <w:t>其他行政事业单位医疗支出</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lang w:eastAsia="zh-CN"/>
        </w:rPr>
        <w:t>指其他用于行政事业单位医疗方面的支出。</w:t>
      </w:r>
    </w:p>
    <w:p>
      <w:pPr>
        <w:pStyle w:val="2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24、住房保障支出（类）住房改革支出（款）住房公积金（项）：指单位按规定为职工缴纳的住房公积金。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31"/>
          <w:rFonts w:hint="eastAsia" w:ascii="Times New Roman" w:hAnsi="Times New Roman" w:eastAsia="黑体"/>
          <w:b w:val="0"/>
          <w:color w:val="auto"/>
          <w:highlight w:val="none"/>
          <w:lang w:eastAsia="zh-CN"/>
        </w:rPr>
      </w:pPr>
      <w:bookmarkStart w:id="54"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5"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5"/>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keepNext w:val="0"/>
        <w:keepLines w:val="0"/>
        <w:pageBreakBefore w:val="0"/>
        <w:widowControl/>
        <w:kinsoku w:val="0"/>
        <w:wordWrap/>
        <w:overflowPunct/>
        <w:topLinePunct w:val="0"/>
        <w:autoSpaceDE w:val="0"/>
        <w:autoSpaceDN w:val="0"/>
        <w:bidi w:val="0"/>
        <w:adjustRightInd w:val="0"/>
        <w:snapToGrid w:val="0"/>
        <w:spacing w:line="576" w:lineRule="exact"/>
        <w:jc w:val="center"/>
        <w:textAlignment w:val="baseline"/>
        <w:outlineLvl w:val="0"/>
        <w:rPr>
          <w:rFonts w:hint="default" w:ascii="Times New Roman" w:hAnsi="Times New Roman" w:eastAsia="方正小标宋_GBK" w:cs="Times New Roman"/>
          <w:b w:val="0"/>
          <w:bCs w:val="0"/>
          <w:spacing w:val="4"/>
          <w:sz w:val="44"/>
          <w:szCs w:val="44"/>
        </w:rPr>
      </w:pPr>
      <w:r>
        <w:rPr>
          <w:rFonts w:hint="default" w:ascii="Times New Roman" w:hAnsi="Times New Roman" w:eastAsia="方正小标宋_GBK" w:cs="Times New Roman"/>
          <w:b w:val="0"/>
          <w:bCs w:val="0"/>
          <w:spacing w:val="4"/>
          <w:sz w:val="44"/>
          <w:szCs w:val="44"/>
        </w:rPr>
        <w:t>金川县</w:t>
      </w:r>
      <w:r>
        <w:rPr>
          <w:rFonts w:hint="default" w:ascii="Times New Roman" w:hAnsi="Times New Roman" w:eastAsia="方正小标宋_GBK" w:cs="Times New Roman"/>
          <w:b w:val="0"/>
          <w:bCs w:val="0"/>
          <w:spacing w:val="4"/>
          <w:sz w:val="44"/>
          <w:szCs w:val="44"/>
          <w:lang w:val="en-US" w:eastAsia="zh-CN"/>
        </w:rPr>
        <w:t>应急管理局</w:t>
      </w:r>
      <w:r>
        <w:rPr>
          <w:rFonts w:hint="default" w:ascii="Times New Roman" w:hAnsi="Times New Roman" w:eastAsia="方正小标宋_GBK" w:cs="Times New Roman"/>
          <w:b w:val="0"/>
          <w:bCs w:val="0"/>
          <w:spacing w:val="4"/>
          <w:sz w:val="44"/>
          <w:szCs w:val="44"/>
          <w:lang w:eastAsia="zh-CN"/>
        </w:rPr>
        <w:t>预算</w:t>
      </w:r>
      <w:r>
        <w:rPr>
          <w:rFonts w:hint="default" w:ascii="Times New Roman" w:hAnsi="Times New Roman" w:eastAsia="方正小标宋_GBK" w:cs="Times New Roman"/>
          <w:b w:val="0"/>
          <w:bCs w:val="0"/>
          <w:spacing w:val="4"/>
          <w:sz w:val="44"/>
          <w:szCs w:val="44"/>
        </w:rPr>
        <w:t>绩效</w:t>
      </w:r>
      <w:r>
        <w:rPr>
          <w:rFonts w:hint="default" w:ascii="Times New Roman" w:hAnsi="Times New Roman" w:eastAsia="方正小标宋_GBK" w:cs="Times New Roman"/>
          <w:b w:val="0"/>
          <w:bCs w:val="0"/>
          <w:spacing w:val="4"/>
          <w:sz w:val="44"/>
          <w:szCs w:val="44"/>
          <w:lang w:eastAsia="zh-CN"/>
        </w:rPr>
        <w:t>评价</w:t>
      </w:r>
      <w:r>
        <w:rPr>
          <w:rFonts w:hint="default" w:ascii="Times New Roman" w:hAnsi="Times New Roman" w:eastAsia="方正小标宋_GBK" w:cs="Times New Roman"/>
          <w:b w:val="0"/>
          <w:bCs w:val="0"/>
          <w:spacing w:val="4"/>
          <w:sz w:val="44"/>
          <w:szCs w:val="44"/>
        </w:rPr>
        <w:t>报告</w:t>
      </w:r>
    </w:p>
    <w:p>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sz w:val="32"/>
          <w:szCs w:val="32"/>
          <w:lang w:val="zh-CN" w:eastAsia="zh-CN"/>
        </w:rPr>
        <w:t>（一）机构组成。</w:t>
      </w:r>
      <w:r>
        <w:rPr>
          <w:rFonts w:hint="eastAsia" w:ascii="Times New Roman" w:hAnsi="Times New Roman" w:eastAsia="方正仿宋_GBK" w:cs="Times New Roman"/>
          <w:kern w:val="0"/>
          <w:sz w:val="32"/>
          <w:szCs w:val="32"/>
          <w:lang w:val="zh-CN" w:eastAsia="zh-CN"/>
        </w:rPr>
        <w:t>应急管理局为县级一级预算单位</w:t>
      </w:r>
      <w:r>
        <w:rPr>
          <w:rFonts w:hint="eastAsia" w:ascii="Times New Roman" w:hAnsi="Times New Roman" w:eastAsia="方正仿宋_GBK" w:cs="Times New Roman"/>
          <w:kern w:val="0"/>
          <w:sz w:val="32"/>
          <w:szCs w:val="32"/>
          <w:lang w:eastAsia="zh-CN"/>
        </w:rPr>
        <w:t>。县应急管理局（内设办公室、安全生产综合监管股、应急指挥中心、应急管理综合行政执法大队、金川县防汛抗旱工作中心、森林草原防灭火指挥部办公室、县消防指导服务中心</w:t>
      </w:r>
      <w:r>
        <w:rPr>
          <w:rFonts w:hint="eastAsia" w:ascii="Times New Roman" w:hAnsi="Times New Roman" w:eastAsia="方正仿宋_GBK" w:cs="Times New Roman"/>
          <w:kern w:val="0"/>
          <w:sz w:val="32"/>
          <w:szCs w:val="32"/>
          <w:lang w:val="en-US" w:eastAsia="zh-CN"/>
        </w:rPr>
        <w:t>)、代管县应急管理保障中心、县综合应急救援服务工作中心</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jc w:val="left"/>
        <w:textAlignment w:val="auto"/>
        <w:rPr>
          <w:rFonts w:hint="default" w:ascii="Times New Roman" w:hAnsi="Times New Roman" w:eastAsia="方正仿宋_GBK" w:cs="Times New Roman"/>
          <w:kern w:val="0"/>
          <w:sz w:val="32"/>
          <w:szCs w:val="32"/>
          <w:lang w:eastAsia="zh-CN"/>
        </w:rPr>
        <w:sectPr>
          <w:footerReference r:id="rId5" w:type="default"/>
          <w:pgSz w:w="11906" w:h="16838"/>
          <w:pgMar w:top="2098" w:right="1474" w:bottom="1984" w:left="1587" w:header="964" w:footer="1304" w:gutter="0"/>
          <w:pgNumType w:fmt="numberInDash" w:start="1"/>
          <w:cols w:space="0" w:num="1"/>
          <w:docGrid w:type="lines" w:linePitch="313" w:charSpace="0"/>
        </w:sectPr>
      </w:pPr>
      <w:r>
        <w:rPr>
          <w:rFonts w:hint="default" w:ascii="Times New Roman" w:hAnsi="Times New Roman" w:eastAsia="方正楷体_GBK" w:cs="Times New Roman"/>
          <w:b/>
          <w:bCs/>
          <w:sz w:val="32"/>
          <w:szCs w:val="32"/>
          <w:lang w:val="zh-CN" w:eastAsia="zh-CN"/>
        </w:rPr>
        <w:t>（二）机构职能。</w:t>
      </w:r>
      <w:r>
        <w:rPr>
          <w:rFonts w:hint="default" w:ascii="Times New Roman" w:hAnsi="Times New Roman" w:eastAsia="方正仿宋_GBK" w:cs="Times New Roman"/>
          <w:kern w:val="0"/>
          <w:sz w:val="32"/>
          <w:szCs w:val="32"/>
          <w:lang w:eastAsia="zh-CN"/>
        </w:rPr>
        <w:t>本部门负责应急管理工作，组织和指导各乡（镇）、县级各部门（单位）应对安全生产类、自然灾害类等突发事件和综合防灾减灾救灾工作。负责安全生产综合监督管理和工矿商贸安全生产监督管理工作。拟订应急管理、安全生产等有关规范性文件，组织编制应急体系建设、安全生产和综合防灾减灾规划。负责组织、指导应急预案体系建设，建立完善事故灾难和自然灾害分级应对制度，牵头组织编制综合应急防灾减灾预案和安全生产类、自然灾害类专项预案，负责应急预案衔接工作，</w:t>
      </w:r>
    </w:p>
    <w:p>
      <w:pPr>
        <w:keepNext w:val="0"/>
        <w:keepLines w:val="0"/>
        <w:pageBreakBefore w:val="0"/>
        <w:widowControl/>
        <w:kinsoku/>
        <w:wordWrap/>
        <w:overflowPunct/>
        <w:topLinePunct w:val="0"/>
        <w:autoSpaceDE/>
        <w:autoSpaceDN/>
        <w:bidi w:val="0"/>
        <w:adjustRightInd w:val="0"/>
        <w:snapToGrid w:val="0"/>
        <w:spacing w:line="540" w:lineRule="atLeast"/>
        <w:jc w:val="left"/>
        <w:textAlignment w:val="auto"/>
        <w:rPr>
          <w:rFonts w:hint="default" w:ascii="Times New Roman" w:hAnsi="Times New Roman" w:eastAsia="方正仿宋_GBK" w:cs="Times New Roman"/>
          <w:kern w:val="0"/>
          <w:sz w:val="32"/>
          <w:szCs w:val="32"/>
          <w:lang w:val="zh-CN" w:eastAsia="zh-CN"/>
        </w:rPr>
      </w:pPr>
      <w:r>
        <w:rPr>
          <w:rFonts w:hint="default" w:ascii="Times New Roman" w:hAnsi="Times New Roman" w:eastAsia="方正仿宋_GBK" w:cs="Times New Roman"/>
          <w:kern w:val="0"/>
          <w:sz w:val="32"/>
          <w:szCs w:val="32"/>
          <w:lang w:eastAsia="zh-CN"/>
        </w:rPr>
        <w:t>组织开展预案演练并落实，推动应急避难设施建设。牵头建立统一的应急管理信息系统，负责信息传输渠道的规划和布局，建立监测预警和灾情报告制度，健全自然灾害信息资源获取和共享机制，依法统一发布灾情。负责组织、指导、协调安全生产类、自然灾害类等突发事件应急救援，承担全县应对较大及以上灾害指挥部工作，综合研判突发事件发展态势并提出应对建议，负责组织较大及以上灾害应急处置工作。统一协调指挥各类应急专业队伍，建立应急协调联动机制，推进指挥平台对接。按照国家、省、州相关政策和规定负责消防、森林和草原火灾扑救、抗洪抢险、地震和地质灾害救援、生产安全事故救援等专业应急救援力量建设，依法依规统筹指导全县社会应急救援力量和应急保障能力建设。按照国家、省、州相关政策和县委、县政府相关规定负责消防工作，组织和指导消防监督、火灾预防、火灾扑救等工作。负责自然灾害综合监测预警工作，承担自然灾害综合风险评估工作，指导协调森林和草原火灾、水旱灾害、地震和地质灾害等防治工作。负责组织、协调灾害救助工作，组织和指导灾情核查、损失评估、救灾捐赠工作，管理、分配中央、省、州下拨及县级救灾款物并监督使用。依法承担县政府安全生产综合监督管理责任，指导协调、监督检查各乡（镇）和各部门（单位）安全生产工作，组织开展安全生产巡查、督查、考核工作。负责应急管理、安全生产宣传教育和培训工作，组织和指导应急管理、安全生产的科学技术推广应用和信息化建设工作。负责职责范围内的职业健康、生态环境保护、公共机构节能减排、审批服务便民化工作。完成县委、县政府交办的其他任务。</w:t>
      </w:r>
    </w:p>
    <w:p>
      <w:pPr>
        <w:pStyle w:val="38"/>
        <w:keepNext w:val="0"/>
        <w:keepLines w:val="0"/>
        <w:pageBreakBefore w:val="0"/>
        <w:widowControl/>
        <w:suppressAutoHyphens w:val="0"/>
        <w:kinsoku/>
        <w:wordWrap/>
        <w:overflowPunct/>
        <w:topLinePunct w:val="0"/>
        <w:autoSpaceDE/>
        <w:autoSpaceDN/>
        <w:bidi w:val="0"/>
        <w:snapToGrid w:val="0"/>
        <w:spacing w:line="540" w:lineRule="atLeast"/>
        <w:ind w:firstLine="640" w:firstLineChars="200"/>
        <w:jc w:val="left"/>
        <w:textAlignment w:val="auto"/>
        <w:rPr>
          <w:rFonts w:hint="eastAsia" w:ascii="Times New Roman" w:hAnsi="Times New Roman" w:eastAsia="方正楷体_GBK" w:cs="Times New Roman"/>
          <w:b/>
          <w:bCs/>
          <w:color w:val="auto"/>
          <w:kern w:val="2"/>
          <w:sz w:val="32"/>
          <w:szCs w:val="32"/>
          <w:lang w:val="zh-CN" w:eastAsia="zh-CN" w:bidi="ar-SA"/>
        </w:rPr>
      </w:pPr>
      <w:r>
        <w:rPr>
          <w:rFonts w:hint="eastAsia" w:ascii="Times New Roman" w:hAnsi="Times New Roman" w:eastAsia="方正楷体_GBK" w:cs="Times New Roman"/>
          <w:b/>
          <w:bCs/>
          <w:color w:val="auto"/>
          <w:kern w:val="2"/>
          <w:sz w:val="32"/>
          <w:szCs w:val="32"/>
          <w:lang w:val="zh-CN" w:eastAsia="zh-CN" w:bidi="ar-SA"/>
        </w:rPr>
        <w:t>（三）人员概况</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jc w:val="left"/>
        <w:textAlignment w:val="auto"/>
        <w:rPr>
          <w:rFonts w:hint="eastAsia" w:ascii="Times New Roman" w:hAnsi="Times New Roman" w:eastAsia="方正仿宋_GBK" w:cs="Times New Roman"/>
          <w:kern w:val="0"/>
          <w:sz w:val="32"/>
          <w:szCs w:val="32"/>
          <w:lang w:val="zh-CN" w:eastAsia="zh-CN"/>
        </w:rPr>
      </w:pPr>
      <w:r>
        <w:rPr>
          <w:rFonts w:hint="eastAsia" w:ascii="Times New Roman" w:hAnsi="Times New Roman" w:eastAsia="方正仿宋_GBK" w:cs="Times New Roman"/>
          <w:kern w:val="0"/>
          <w:sz w:val="32"/>
          <w:szCs w:val="32"/>
          <w:lang w:val="en-US" w:eastAsia="zh-CN"/>
        </w:rPr>
        <w:t>我单位2024总编制数35名，其中：行政编制11名，机关工勤编制1名，参公事业编制17名，事业编制6名。2024年末实有人数28人，其中：行政人员 11人、行政工勤1人，参公人员10人，事业人员6人。离休人员0人，退休人员3人。</w:t>
      </w:r>
    </w:p>
    <w:p>
      <w:pPr>
        <w:keepNext w:val="0"/>
        <w:keepLines w:val="0"/>
        <w:pageBreakBefore w:val="0"/>
        <w:widowControl/>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pPr>
        <w:keepNext w:val="0"/>
        <w:keepLines w:val="0"/>
        <w:pageBreakBefore w:val="0"/>
        <w:kinsoku/>
        <w:wordWrap/>
        <w:overflowPunct/>
        <w:topLinePunct w:val="0"/>
        <w:autoSpaceDE/>
        <w:autoSpaceDN/>
        <w:bidi w:val="0"/>
        <w:snapToGrid w:val="0"/>
        <w:spacing w:line="540" w:lineRule="atLeast"/>
        <w:ind w:firstLine="640" w:firstLineChars="200"/>
        <w:textAlignment w:val="auto"/>
        <w:rPr>
          <w:rFonts w:hint="eastAsia"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color w:val="auto"/>
          <w:kern w:val="2"/>
          <w:sz w:val="32"/>
          <w:szCs w:val="32"/>
          <w:lang w:val="zh-CN" w:eastAsia="zh-CN" w:bidi="ar-SA"/>
        </w:rPr>
        <w:t>（一）收入情况。</w:t>
      </w:r>
      <w:r>
        <w:rPr>
          <w:rFonts w:hint="default" w:ascii="Times New Roman" w:hAnsi="Times New Roman" w:eastAsia="方正仿宋_GBK" w:cs="Times New Roman"/>
          <w:kern w:val="0"/>
          <w:sz w:val="32"/>
          <w:szCs w:val="32"/>
          <w:lang w:val="en-US" w:eastAsia="zh-CN"/>
        </w:rPr>
        <w:t>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年度收入全年预算数为</w:t>
      </w:r>
      <w:r>
        <w:rPr>
          <w:rFonts w:hint="eastAsia" w:ascii="Times New Roman" w:hAnsi="Times New Roman" w:eastAsia="方正仿宋_GBK" w:cs="Times New Roman"/>
          <w:kern w:val="0"/>
          <w:sz w:val="32"/>
          <w:szCs w:val="32"/>
          <w:lang w:val="en-US" w:eastAsia="zh-CN"/>
        </w:rPr>
        <w:t>1890.03</w:t>
      </w:r>
      <w:r>
        <w:rPr>
          <w:rFonts w:hint="default" w:ascii="Times New Roman" w:hAnsi="Times New Roman" w:eastAsia="方正仿宋_GBK" w:cs="Times New Roman"/>
          <w:kern w:val="0"/>
          <w:sz w:val="32"/>
          <w:szCs w:val="32"/>
          <w:lang w:val="en-US" w:eastAsia="zh-CN"/>
        </w:rPr>
        <w:t>万元，收入决算数为</w:t>
      </w:r>
      <w:r>
        <w:rPr>
          <w:rFonts w:hint="eastAsia" w:ascii="Times New Roman" w:hAnsi="Times New Roman" w:eastAsia="方正仿宋_GBK" w:cs="Times New Roman"/>
          <w:kern w:val="0"/>
          <w:sz w:val="32"/>
          <w:szCs w:val="32"/>
          <w:lang w:val="en-US" w:eastAsia="zh-CN"/>
        </w:rPr>
        <w:t>1890.03</w:t>
      </w:r>
      <w:r>
        <w:rPr>
          <w:rFonts w:hint="default" w:ascii="Times New Roman" w:hAnsi="Times New Roman" w:eastAsia="方正仿宋_GBK" w:cs="Times New Roman"/>
          <w:kern w:val="0"/>
          <w:sz w:val="32"/>
          <w:szCs w:val="32"/>
          <w:lang w:val="en-US" w:eastAsia="zh-CN"/>
        </w:rPr>
        <w:t>万元，预算完成度为100.00%。</w:t>
      </w:r>
    </w:p>
    <w:p>
      <w:pPr>
        <w:keepNext w:val="0"/>
        <w:keepLines w:val="0"/>
        <w:pageBreakBefore w:val="0"/>
        <w:kinsoku/>
        <w:wordWrap/>
        <w:overflowPunct/>
        <w:topLinePunct w:val="0"/>
        <w:autoSpaceDE/>
        <w:autoSpaceDN/>
        <w:bidi w:val="0"/>
        <w:snapToGrid w:val="0"/>
        <w:spacing w:line="540" w:lineRule="atLeas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楷体_GBK" w:cs="Times New Roman"/>
          <w:b/>
          <w:bCs/>
          <w:color w:val="auto"/>
          <w:kern w:val="2"/>
          <w:sz w:val="32"/>
          <w:szCs w:val="32"/>
          <w:lang w:val="zh-CN" w:eastAsia="zh-CN" w:bidi="ar-SA"/>
        </w:rPr>
        <w:t>（二）支出情况。</w:t>
      </w:r>
      <w:r>
        <w:rPr>
          <w:rFonts w:hint="default" w:ascii="Times New Roman" w:hAnsi="Times New Roman" w:eastAsia="方正仿宋_GBK" w:cs="Times New Roman"/>
          <w:kern w:val="0"/>
          <w:sz w:val="32"/>
          <w:szCs w:val="32"/>
          <w:lang w:val="en-US" w:eastAsia="zh-CN"/>
        </w:rPr>
        <w:t>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年度支出全年预算数为</w:t>
      </w:r>
      <w:r>
        <w:rPr>
          <w:rFonts w:hint="eastAsia" w:ascii="Times New Roman" w:hAnsi="Times New Roman" w:eastAsia="方正仿宋_GBK" w:cs="Times New Roman"/>
          <w:kern w:val="0"/>
          <w:sz w:val="32"/>
          <w:szCs w:val="32"/>
          <w:lang w:val="en-US" w:eastAsia="zh-CN"/>
        </w:rPr>
        <w:t>1890.03</w:t>
      </w:r>
      <w:r>
        <w:rPr>
          <w:rFonts w:hint="default" w:ascii="Times New Roman" w:hAnsi="Times New Roman" w:eastAsia="方正仿宋_GBK" w:cs="Times New Roman"/>
          <w:kern w:val="0"/>
          <w:sz w:val="32"/>
          <w:szCs w:val="32"/>
          <w:lang w:val="en-US" w:eastAsia="zh-CN"/>
        </w:rPr>
        <w:t>万元，支出决算数为</w:t>
      </w:r>
      <w:r>
        <w:rPr>
          <w:rFonts w:hint="eastAsia" w:ascii="Times New Roman" w:hAnsi="Times New Roman" w:eastAsia="方正仿宋_GBK" w:cs="Times New Roman"/>
          <w:kern w:val="0"/>
          <w:sz w:val="32"/>
          <w:szCs w:val="32"/>
          <w:lang w:val="en-US" w:eastAsia="zh-CN"/>
        </w:rPr>
        <w:t>1890.03</w:t>
      </w:r>
      <w:r>
        <w:rPr>
          <w:rFonts w:hint="default" w:ascii="Times New Roman" w:hAnsi="Times New Roman" w:eastAsia="方正仿宋_GBK" w:cs="Times New Roman"/>
          <w:kern w:val="0"/>
          <w:sz w:val="32"/>
          <w:szCs w:val="32"/>
          <w:lang w:val="en-US" w:eastAsia="zh-CN"/>
        </w:rPr>
        <w:t>万元，预算完成度为100.00%。</w:t>
      </w:r>
    </w:p>
    <w:p>
      <w:pPr>
        <w:keepNext w:val="0"/>
        <w:keepLines w:val="0"/>
        <w:pageBreakBefore w:val="0"/>
        <w:kinsoku/>
        <w:wordWrap/>
        <w:overflowPunct/>
        <w:topLinePunct w:val="0"/>
        <w:autoSpaceDE/>
        <w:autoSpaceDN/>
        <w:bidi w:val="0"/>
        <w:snapToGrid w:val="0"/>
        <w:spacing w:line="540" w:lineRule="atLeast"/>
        <w:ind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人员经费638.60万元，主要包括：基本工资120.60万元、津贴补贴164.50万元、奖金147.38万元、绩效工资19.56万元、机关事业单位基本养老保险缴费61.16万元、职业年金缴费30.15万元、职工基本医疗保险缴费29.70万元、公务员医疗补助缴费5.42万元、其他社会保障缴费7.47万元、住房公积金49.77万元、生活补助2.85万元、奖励金0.02万元等。</w:t>
      </w:r>
    </w:p>
    <w:p>
      <w:pPr>
        <w:keepNext w:val="0"/>
        <w:keepLines w:val="0"/>
        <w:pageBreakBefore w:val="0"/>
        <w:kinsoku/>
        <w:wordWrap/>
        <w:overflowPunct/>
        <w:topLinePunct w:val="0"/>
        <w:autoSpaceDE/>
        <w:autoSpaceDN/>
        <w:bidi w:val="0"/>
        <w:snapToGrid w:val="0"/>
        <w:spacing w:line="540" w:lineRule="atLeast"/>
        <w:ind w:firstLine="640" w:firstLineChars="200"/>
        <w:textAlignment w:val="auto"/>
        <w:rPr>
          <w:rFonts w:hint="eastAsia"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公用经费57.57万元，主要包括：办公费12.92万元、印刷费5.63万元、水费1万元、电费2.9万元、邮电费4.30万元、差旅费9.96万元、维修（护）费0.99万元、劳务费8.64万元、委托业务费1万元、福利费0.5万元、公务用车运行维护费7万元、其他交通费用2.74万元。</w:t>
      </w:r>
    </w:p>
    <w:p>
      <w:pPr>
        <w:keepNext w:val="0"/>
        <w:keepLines w:val="0"/>
        <w:pageBreakBefore w:val="0"/>
        <w:kinsoku/>
        <w:wordWrap/>
        <w:overflowPunct/>
        <w:topLinePunct w:val="0"/>
        <w:autoSpaceDE/>
        <w:autoSpaceDN/>
        <w:bidi w:val="0"/>
        <w:snapToGrid w:val="0"/>
        <w:spacing w:line="540" w:lineRule="atLeast"/>
        <w:ind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Times New Roman" w:hAnsi="Times New Roman" w:eastAsia="方正仿宋_GBK" w:cs="Times New Roman"/>
          <w:kern w:val="0"/>
          <w:sz w:val="32"/>
          <w:szCs w:val="32"/>
          <w:lang w:val="en-US" w:eastAsia="zh-CN"/>
        </w:rPr>
        <w:t>项目支出1193.85万元。其中：办公费8.11万元、印刷费10万元、差旅费6.92万元、专用材料费19.85万元、</w:t>
      </w:r>
      <w:r>
        <w:rPr>
          <w:rFonts w:hint="eastAsia" w:ascii="Times New Roman" w:hAnsi="Times New Roman" w:eastAsia="方正仿宋_GBK" w:cs="Times New Roman"/>
          <w:kern w:val="0"/>
          <w:sz w:val="32"/>
          <w:szCs w:val="32"/>
          <w:lang w:val="zh-CN" w:eastAsia="zh-CN"/>
        </w:rPr>
        <w:t>委托业务费</w:t>
      </w:r>
      <w:r>
        <w:rPr>
          <w:rFonts w:hint="eastAsia" w:ascii="Times New Roman" w:hAnsi="Times New Roman" w:eastAsia="方正仿宋_GBK" w:cs="Times New Roman"/>
          <w:kern w:val="0"/>
          <w:sz w:val="32"/>
          <w:szCs w:val="32"/>
          <w:lang w:val="en-US" w:eastAsia="zh-CN"/>
        </w:rPr>
        <w:t>43.49万元、生活补助92.24万元、其他对个人和家庭的补助8.29万元、资本性支出房屋建筑物构建35.24万元、办公设备购置9.98万元、大型修缮624.98万元、物资储备146.55万元、公务用车购置39.70万元、其他对企业补助148.50万元</w:t>
      </w:r>
      <w:r>
        <w:rPr>
          <w:rFonts w:hint="eastAsia" w:ascii="Times New Roman" w:hAnsi="Times New Roman" w:eastAsia="方正仿宋_GBK" w:cs="Times New Roman"/>
          <w:kern w:val="0"/>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jc w:val="left"/>
        <w:textAlignment w:val="auto"/>
        <w:rPr>
          <w:rFonts w:hint="default" w:ascii="Times New Roman" w:hAnsi="Times New Roman" w:eastAsia="仿宋_GB2312" w:cs="Times New Roman"/>
          <w:b w:val="0"/>
          <w:bCs w:val="0"/>
          <w:color w:val="000000"/>
          <w:kern w:val="0"/>
          <w:szCs w:val="32"/>
          <w:highlight w:val="none"/>
          <w:shd w:val="clear" w:color="auto" w:fill="FFFFFF"/>
          <w:lang w:val="zh-CN" w:eastAsia="zh-CN"/>
        </w:rPr>
      </w:pPr>
      <w:r>
        <w:rPr>
          <w:rFonts w:hint="default" w:ascii="Times New Roman" w:hAnsi="Times New Roman" w:eastAsia="方正楷体_GBK" w:cs="Times New Roman"/>
          <w:b/>
          <w:bCs/>
          <w:color w:val="auto"/>
          <w:kern w:val="2"/>
          <w:sz w:val="32"/>
          <w:szCs w:val="32"/>
          <w:lang w:val="zh-CN" w:eastAsia="zh-CN" w:bidi="ar-SA"/>
        </w:rPr>
        <w:t>（三）结余分配和结转结余情况。</w:t>
      </w:r>
      <w:r>
        <w:rPr>
          <w:rFonts w:hint="default" w:ascii="Times New Roman" w:hAnsi="Times New Roman" w:eastAsia="方正仿宋_GBK" w:cs="Times New Roman"/>
          <w:kern w:val="0"/>
          <w:sz w:val="32"/>
          <w:szCs w:val="32"/>
          <w:lang w:val="en-US" w:eastAsia="zh-CN"/>
        </w:rPr>
        <w:t>我单位202</w:t>
      </w:r>
      <w:r>
        <w:rPr>
          <w:rFonts w:hint="eastAsia" w:ascii="Times New Roman" w:hAnsi="Times New Roman"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年决算无结转结余。</w:t>
      </w:r>
    </w:p>
    <w:p>
      <w:pPr>
        <w:keepNext w:val="0"/>
        <w:keepLines w:val="0"/>
        <w:pageBreakBefore w:val="0"/>
        <w:widowControl/>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三、部门</w:t>
      </w:r>
      <w:r>
        <w:rPr>
          <w:rFonts w:hint="default" w:ascii="Times New Roman" w:hAnsi="Times New Roman" w:eastAsia="黑体" w:cs="Times New Roman"/>
          <w:color w:val="000000"/>
          <w:kern w:val="0"/>
          <w:sz w:val="32"/>
          <w:szCs w:val="32"/>
          <w:highlight w:val="none"/>
          <w:shd w:val="clear" w:color="auto" w:fill="FFFFFF"/>
          <w:lang w:val="zh-CN" w:eastAsia="zh-CN"/>
        </w:rPr>
        <w:t>预算</w:t>
      </w:r>
      <w:r>
        <w:rPr>
          <w:rFonts w:hint="default" w:ascii="Times New Roman" w:hAnsi="Times New Roman" w:eastAsia="黑体" w:cs="Times New Roman"/>
          <w:color w:val="000000"/>
          <w:kern w:val="0"/>
          <w:sz w:val="32"/>
          <w:szCs w:val="32"/>
          <w:highlight w:val="none"/>
          <w:shd w:val="clear" w:color="auto" w:fill="FFFFFF"/>
          <w:lang w:val="zh-CN"/>
        </w:rPr>
        <w:t>绩效</w:t>
      </w:r>
      <w:r>
        <w:rPr>
          <w:rFonts w:hint="default" w:ascii="Times New Roman" w:hAnsi="Times New Roman" w:eastAsia="黑体" w:cs="Times New Roman"/>
          <w:color w:val="000000"/>
          <w:kern w:val="0"/>
          <w:sz w:val="32"/>
          <w:szCs w:val="32"/>
          <w:highlight w:val="none"/>
          <w:shd w:val="clear" w:color="auto" w:fill="FFFFFF"/>
          <w:lang w:val="zh-CN" w:eastAsia="zh-CN"/>
        </w:rPr>
        <w:t>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方正仿宋_GBK" w:cs="Times New Roman"/>
          <w:kern w:val="0"/>
          <w:sz w:val="32"/>
          <w:szCs w:val="32"/>
          <w:lang w:val="zh-CN" w:eastAsia="zh-CN"/>
        </w:rPr>
      </w:pPr>
      <w:r>
        <w:rPr>
          <w:rFonts w:hint="default" w:ascii="Times New Roman" w:hAnsi="Times New Roman" w:eastAsia="方正楷体_GBK" w:cs="Times New Roman"/>
          <w:b/>
          <w:bCs/>
          <w:color w:val="auto"/>
          <w:kern w:val="2"/>
          <w:sz w:val="32"/>
          <w:szCs w:val="32"/>
          <w:lang w:val="zh-CN" w:eastAsia="zh-CN" w:bidi="ar-SA"/>
        </w:rPr>
        <w:t>（一）部门预算总体绩效分析。</w:t>
      </w:r>
      <w:r>
        <w:rPr>
          <w:rFonts w:hint="default" w:ascii="Times New Roman" w:hAnsi="Times New Roman" w:eastAsia="方正仿宋_GBK" w:cs="Times New Roman"/>
          <w:kern w:val="0"/>
          <w:sz w:val="32"/>
          <w:szCs w:val="32"/>
          <w:lang w:val="zh-CN" w:eastAsia="zh-CN"/>
        </w:rPr>
        <w:t>根据部门预算绩效评价指标体系“总体绩效”涉及二、三级指标进行逐项绩效分析并评分，依次包括履职效能、预算管理、财务管理、资产管理、采购管理等情况。</w:t>
      </w:r>
    </w:p>
    <w:p>
      <w:pPr>
        <w:keepNext w:val="0"/>
        <w:keepLines w:val="0"/>
        <w:pageBreakBefore w:val="0"/>
        <w:kinsoku/>
        <w:wordWrap/>
        <w:overflowPunct/>
        <w:topLinePunct w:val="0"/>
        <w:autoSpaceDE/>
        <w:autoSpaceDN/>
        <w:bidi w:val="0"/>
        <w:spacing w:line="540" w:lineRule="atLeast"/>
        <w:ind w:firstLine="640" w:firstLineChars="200"/>
        <w:textAlignment w:val="auto"/>
        <w:rPr>
          <w:rFonts w:hint="default" w:ascii="Times New Roman" w:hAnsi="Times New Roman" w:eastAsia="楷体_GB2312" w:cs="Times New Roman"/>
          <w:color w:val="000000"/>
          <w:kern w:val="0"/>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1.</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履职效能。</w:t>
      </w:r>
    </w:p>
    <w:p>
      <w:pPr>
        <w:keepNext w:val="0"/>
        <w:keepLines w:val="0"/>
        <w:pageBreakBefore w:val="0"/>
        <w:widowControl w:val="0"/>
        <w:kinsoku/>
        <w:wordWrap/>
        <w:overflowPunct/>
        <w:topLinePunct w:val="0"/>
        <w:autoSpaceDE/>
        <w:autoSpaceDN/>
        <w:bidi w:val="0"/>
        <w:adjustRightInd/>
        <w:snapToGrid w:val="0"/>
        <w:spacing w:line="540" w:lineRule="atLeast"/>
        <w:ind w:left="0" w:leftChars="0" w:firstLine="640" w:firstLineChars="200"/>
        <w:textAlignment w:val="auto"/>
        <w:outlineLvl w:val="9"/>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zh-CN" w:eastAsia="zh-CN"/>
        </w:rPr>
        <w:t>（</w:t>
      </w:r>
      <w:r>
        <w:rPr>
          <w:rFonts w:hint="default" w:ascii="Times New Roman" w:hAnsi="Times New Roman" w:eastAsia="方正仿宋_GBK" w:cs="Times New Roman"/>
          <w:b/>
          <w:bCs/>
          <w:color w:val="000000"/>
          <w:kern w:val="0"/>
          <w:sz w:val="32"/>
          <w:szCs w:val="32"/>
          <w:highlight w:val="none"/>
          <w:shd w:val="clear" w:color="auto" w:fill="FFFFFF"/>
          <w:lang w:val="en-US" w:eastAsia="zh-CN"/>
        </w:rPr>
        <w:t>1</w:t>
      </w:r>
      <w:r>
        <w:rPr>
          <w:rFonts w:hint="default" w:ascii="Times New Roman" w:hAnsi="Times New Roman" w:eastAsia="方正仿宋_GBK" w:cs="Times New Roman"/>
          <w:b/>
          <w:bCs/>
          <w:color w:val="000000"/>
          <w:kern w:val="0"/>
          <w:sz w:val="32"/>
          <w:szCs w:val="32"/>
          <w:highlight w:val="none"/>
          <w:shd w:val="clear" w:color="auto" w:fill="FFFFFF"/>
          <w:lang w:val="zh-CN" w:eastAsia="zh-CN"/>
        </w:rPr>
        <w:t>）安全生产监管履职效果。</w:t>
      </w:r>
      <w:r>
        <w:rPr>
          <w:rFonts w:hint="default" w:ascii="Times New Roman" w:hAnsi="Times New Roman" w:eastAsia="方正仿宋_GBK" w:cs="Times New Roman"/>
          <w:kern w:val="0"/>
          <w:sz w:val="32"/>
          <w:szCs w:val="32"/>
          <w:lang w:val="en-US" w:eastAsia="zh-CN"/>
        </w:rPr>
        <w:t>一是高度重视，落实安全责任。在县委、县政府统筹部署下，结合全县实际，组织制定印发了《金川县安全生产治本攻坚三年行动实施方案（2024—2026年）》，方案细化为34项具体措施，推行实施10个行动；同时县级22个部门制定了32个行业领域子方案，构建了我县“1+32”治本攻坚三年行动总体框架。组织召开县安委会全体成员会议2次，学习习近平总书记关于安全生产重要论述和上级领导同志主要批示精神，深刻吸取近期事故教训，部署安全生产工作，下发各类安全生产工作提醒函、工作交办单24项，确保各项工作有序开展。同时，县安办充分发挥综合督导作用，组织开展春节、两会、清明、五一、汛期等重点时段综合督查检查，推动“三管三必须”落实。二是突出重点，加强排查整治。按照省、州、县、对安全生产工作的安排部署，各级各部门深入开展道路交通、矿山、消防、燃气、学校、商场、人员密集场所等重点行业领域，全方位全领域深化风险隐患排查整治，狠抓各方安全责任和防范措施落实。全县共检查生产经营单位248家，排查整治各类安全隐患1328处、督促整改到位1312处，整改率达98.7%，其中排查整治重大隐患4处，约谈企业7家，约谈企业主要负责人16人次，处罚金额16.6万元。采取政府购买服务方式，先后组织10名相关安全专家，成立3个检查组，对全县21家重点企业开展“专家会诊”，排查整治风险隐患，形成问题清单和整改报告，督促企业对照“专家会诊”报告，严格落实主体责任，及时整改闭环管理。截至目前，共开展3轮专家会诊，排查整改问题隐患248项。“专家会诊”服务取得明显成效。三是扎实推进重点行业领域专项整治。认真履行安全生产工作职责，全面贯彻落实金川县护安行动工作部署，先后组织开展了阶段性安全生产大检查、重要节日安全生产大检查、计划性安全生产大检查等活动，全局组成专项检查组18批次，开展执法检查66家（次），排查各类事故隐患289处，已整改隐患288处，1处正在整改过程中。先后组织开展了非煤矿山及道路交通、消防、烟花爆竹、水利水电、建筑施工、特种设备、粉尘防爆等专项整治，确保重点行业领域安全状况持续稳定好转。</w:t>
      </w:r>
    </w:p>
    <w:p>
      <w:pPr>
        <w:keepNext w:val="0"/>
        <w:keepLines w:val="0"/>
        <w:pageBreakBefore w:val="0"/>
        <w:widowControl w:val="0"/>
        <w:kinsoku/>
        <w:wordWrap/>
        <w:overflowPunct/>
        <w:topLinePunct w:val="0"/>
        <w:autoSpaceDE/>
        <w:autoSpaceDN/>
        <w:bidi w:val="0"/>
        <w:adjustRightInd/>
        <w:snapToGrid w:val="0"/>
        <w:spacing w:line="540" w:lineRule="atLeast"/>
        <w:ind w:firstLine="640" w:firstLineChars="200"/>
        <w:textAlignment w:val="auto"/>
        <w:rPr>
          <w:rFonts w:hint="default" w:ascii="Times New Roman" w:hAnsi="Times New Roman" w:eastAsia="方正仿宋_GBK" w:cs="Times New Roman"/>
          <w:b/>
          <w:bCs/>
          <w:color w:val="000000"/>
          <w:kern w:val="0"/>
          <w:sz w:val="32"/>
          <w:szCs w:val="32"/>
          <w:highlight w:val="none"/>
          <w:shd w:val="clear" w:color="auto" w:fill="FFFFFF"/>
          <w:lang w:val="zh-CN" w:eastAsia="zh-CN"/>
        </w:rPr>
      </w:pPr>
    </w:p>
    <w:p>
      <w:pPr>
        <w:keepNext w:val="0"/>
        <w:keepLines w:val="0"/>
        <w:pageBreakBefore w:val="0"/>
        <w:widowControl w:val="0"/>
        <w:kinsoku/>
        <w:wordWrap/>
        <w:overflowPunct/>
        <w:topLinePunct w:val="0"/>
        <w:autoSpaceDE/>
        <w:autoSpaceDN/>
        <w:bidi w:val="0"/>
        <w:adjustRightInd/>
        <w:snapToGrid w:val="0"/>
        <w:spacing w:line="540" w:lineRule="atLeast"/>
        <w:ind w:left="0" w:leftChars="0" w:firstLine="640" w:firstLineChars="200"/>
        <w:textAlignment w:val="auto"/>
        <w:rPr>
          <w:rFonts w:hint="default" w:ascii="Times New Roman" w:hAnsi="Times New Roman" w:eastAsia="方正仿宋_GBK" w:cs="Times New Roman"/>
          <w:b/>
          <w:bCs/>
          <w:color w:val="000000"/>
          <w:kern w:val="0"/>
          <w:sz w:val="32"/>
          <w:szCs w:val="32"/>
          <w:highlight w:val="none"/>
          <w:shd w:val="clear" w:color="auto" w:fill="FFFFFF"/>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（2）防灾减灾履职效果。</w:t>
      </w:r>
      <w:r>
        <w:rPr>
          <w:rFonts w:hint="default" w:ascii="Times New Roman" w:hAnsi="Times New Roman" w:eastAsia="方正仿宋_GBK" w:cs="Times New Roman"/>
          <w:kern w:val="0"/>
          <w:sz w:val="32"/>
          <w:szCs w:val="32"/>
          <w:lang w:val="en-US" w:eastAsia="zh-CN"/>
        </w:rPr>
        <w:t>一是全力抓好防汛抗旱各项工作。健全防汛抗旱责任体系。调整县防汛抗旱指挥部和四大班子领导分别联系镇名单，实行县领导包乡（镇）、乡（镇）领导包村的责任制度，细化工作机制，明确工作职责，落实落细责任。全面排查整改隐患。对各乡（镇）安全度汛重点隐患、防汛应急抢险队伍组建、物资储备、应急预案等进行全面排查。强化队伍物资准备，做到“临危不乱”。组织开展防灾减灾应急演练。截止目前各乡镇、各部门及各企事业单位共计开展各类演练501场次，参演2万余人次。入汛以来，我县先后发生“7.17”和“7.29”山洪泥石流灾害，十九个乡镇不同程度受灾，未造成人员伤亡，累计造成导致11985人受灾，紧急避险转移人口9078人（次）；其紧急转移分散安置人口434人，集中安置10人；农作物受灾面积155.5公顷，农作物成灾面积100.63公顷，农作物绝收57.43公顷；房屋受损234户1053间（其中，一般损坏住房157户590间，严重损坏住房68户394间，倒塌住房9户69间）；造成直接经济损失55731.93万元。灾情发生后，中央、省、州及县高度重视，县级立即成立专项指挥部。截至目前，已收到中央、省级救灾资金200.36万元，正在有序拨付。二是抓实应急物资储备。严格按照受灾群众“有水喝、有饭吃、有衣穿、有房住、有医疗”的要求，坚持“县级统揽、部门统筹、乡村统一”的原则，分片区部署中心物资储备仓库1个、物资储备点12个，今年共采购147万元物资20类450件，正在挂网采购172万元物资49类30548件，全县储备有帐篷、棉被、折叠床、防潮垫、棕垫、铁锹、发电机、迷彩服等物资107类20.8万余件（其中：州级前置24类16856件）。向19个乡（镇）前置、发放45类7.7万余件应急救灾物资，今年入汛以来向受灾乡镇发放25类45755余件。同时，注重企地联动，统筹县境内双江口、华电等在建电站、交通重大项目抢险机械109台，切实做到生活物资备齐、抢险物资备足、救援物资备够。三是充实救灾救援力量。我县共有应急救援力量消防救援大队1支21人，地方综合救援大队1支92人，武警中队1支30人，民兵应急抢险队伍29支780人，阿坝州观音桥国有林保护局半专业扑火队伍1支20人，乡镇应急队19支380人，村应急分队88支880人，工程抢险队18支421人，机关企事业单位应急抢险队伍17支390人，合计175支3014人。</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atLeast"/>
        <w:ind w:left="0" w:leftChars="0" w:firstLine="640" w:firstLineChars="200"/>
        <w:textAlignment w:val="auto"/>
        <w:rPr>
          <w:rFonts w:hint="default" w:ascii="Times New Roman" w:hAnsi="Times New Roman" w:eastAsia="方正仿宋_GBK" w:cs="Times New Roman"/>
          <w:kern w:val="0"/>
          <w:sz w:val="32"/>
          <w:szCs w:val="32"/>
          <w:lang w:val="zh-CN"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rPr>
        <w:t>（3）森林草原防灭火履职效果。</w:t>
      </w:r>
      <w:r>
        <w:rPr>
          <w:rFonts w:hint="default" w:ascii="Times New Roman" w:hAnsi="Times New Roman" w:eastAsia="方正仿宋_GBK" w:cs="Times New Roman"/>
          <w:kern w:val="0"/>
          <w:sz w:val="32"/>
          <w:szCs w:val="32"/>
          <w:lang w:val="en-US" w:eastAsia="zh-CN"/>
        </w:rPr>
        <w:t>一是抓实政治责任担当。累计召开县委常委会10次，政府常务会12次，调度会7次，指挥部会议8次，深入学习贯彻习近平总书记关于森林草原防灭火工作的重要论述和重要指示批示精神，持续增强思想自觉和行动自觉，进一步强化责任意识和大局意识,严格落实各项工作制度和措施。始终坚持“预防为主、防灭结合、高效扑救、安全第一”工作方针,科学防范、狠抓落实，有效提升全县森林草原防灭火工作能力水平，确保我县森林草原火灾零发生。认定各级责任，强化问题整改力度。压紧压实属地属业属事责任，落细落准“两书一函”“三单一书”等要求训诫，县级包保领导蹲点督导428人次，县乡两级累计发布整改通知书20份，提醒敦促38次，确保问题整改销号销账。强化会商研判，精准发布预警信息。防火期内应急、林草、气象、森防指办每日进行全县火险预警研判会商，及时发布全县火险预警信息，累计会商发布蓝色预警2期、黄色预警4期。二是抓严风险隐患治理。一是加大火灾隐患排查。组织发电、供电、用电企业对输配电设施火灾隐患开展“拉网式”细致摸排，累计排查整改销号隐患30个，督查问题31个，责令限期完成整改事项30个，现已全部整改完毕30个，1个已对接电力公司储备项目。二是加强野外违规用火风险排查。特殊人群198人明确专人管控。严格火源管控，从严审批用火262次，充分发挥全县10个检查站的作用，加大对进山入林人员的检查力度，严禁携带火源进山，降低火灾发生的风险。三是加大违规用火处罚。目前全县处理违规野外违规用火7起，处罚金额1000元，有力震慑火灾肇事者。三是抓细宣传教育引导。采取“点、线、面”相结合，因地制宜，因人施教，善用多媒体新方式“两微一端”“两联一进”线上线下齐发力，加强“三先四不打”“四定一灭”等防灭火知识普及，形成“社会积极支持，群众广泛参与”的良好防火氛围。累计出动防火宣传检查车5300余台次，发布防火信息报道23万余条；依托中小学森林草原防灭火“八个一”宣传教育活动，多种渠道加强防火知识教育，印发《致学生家长公开信》等宣传单和宣传手册5000余份，森林草原防火挂图1200余张；发放宣传资料68500余份，入户宣传40417次，在城镇、乡村人员密集区播放防火警示片160余场次。</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2.</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预算管理。</w:t>
      </w:r>
      <w:r>
        <w:rPr>
          <w:rFonts w:hint="default" w:ascii="Times New Roman" w:hAnsi="Times New Roman" w:eastAsia="方正仿宋_GBK" w:cs="Times New Roman"/>
          <w:kern w:val="0"/>
          <w:sz w:val="32"/>
          <w:szCs w:val="32"/>
          <w:lang w:val="zh-CN" w:eastAsia="zh-CN"/>
        </w:rPr>
        <w:t>我部门严格按照要求编制年初部门预算，年初预</w:t>
      </w:r>
      <w:r>
        <w:rPr>
          <w:rFonts w:hint="default" w:ascii="Times New Roman" w:hAnsi="Times New Roman" w:eastAsia="方正仿宋_GBK" w:cs="Times New Roman"/>
          <w:spacing w:val="-6"/>
          <w:kern w:val="0"/>
          <w:sz w:val="32"/>
          <w:szCs w:val="32"/>
          <w:lang w:val="zh-CN" w:eastAsia="zh-CN"/>
        </w:rPr>
        <w:t>算编制科学性合理、准确性较高；部门统筹自有收入包括主要每月转入职工保险、职工每月缴纳的伙食费及其他需要转入我单位账户的其他资金，收入资金均按时按规、合理合法的进行了支付。</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202</w:t>
      </w:r>
      <w:r>
        <w:rPr>
          <w:rFonts w:hint="eastAsia"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年度我部门1-6月预算收入</w:t>
      </w:r>
      <w:r>
        <w:rPr>
          <w:rFonts w:hint="eastAsia" w:eastAsia="方正仿宋_GBK" w:cs="Times New Roman"/>
          <w:kern w:val="0"/>
          <w:sz w:val="32"/>
          <w:szCs w:val="32"/>
          <w:lang w:val="en-US" w:eastAsia="zh-CN"/>
        </w:rPr>
        <w:t>1001.45</w:t>
      </w:r>
      <w:r>
        <w:rPr>
          <w:rFonts w:hint="default" w:ascii="Times New Roman" w:hAnsi="Times New Roman" w:eastAsia="方正仿宋_GBK" w:cs="Times New Roman"/>
          <w:kern w:val="0"/>
          <w:sz w:val="32"/>
          <w:szCs w:val="32"/>
          <w:lang w:val="en-US" w:eastAsia="zh-CN"/>
        </w:rPr>
        <w:t>万元，预算执行数</w:t>
      </w:r>
      <w:r>
        <w:rPr>
          <w:rFonts w:hint="eastAsia" w:eastAsia="方正仿宋_GBK" w:cs="Times New Roman"/>
          <w:kern w:val="0"/>
          <w:sz w:val="32"/>
          <w:szCs w:val="32"/>
          <w:lang w:val="en-US" w:eastAsia="zh-CN"/>
        </w:rPr>
        <w:t>700.12</w:t>
      </w:r>
      <w:r>
        <w:rPr>
          <w:rFonts w:hint="default" w:ascii="Times New Roman" w:hAnsi="Times New Roman" w:eastAsia="方正仿宋_GBK" w:cs="Times New Roman"/>
          <w:kern w:val="0"/>
          <w:sz w:val="32"/>
          <w:szCs w:val="32"/>
          <w:lang w:val="en-US" w:eastAsia="zh-CN"/>
        </w:rPr>
        <w:t>万元，占预算比的</w:t>
      </w:r>
      <w:r>
        <w:rPr>
          <w:rFonts w:hint="eastAsia" w:eastAsia="方正仿宋_GBK" w:cs="Times New Roman"/>
          <w:kern w:val="0"/>
          <w:sz w:val="32"/>
          <w:szCs w:val="32"/>
          <w:lang w:val="en-US" w:eastAsia="zh-CN"/>
        </w:rPr>
        <w:t>69.91</w:t>
      </w:r>
      <w:r>
        <w:rPr>
          <w:rFonts w:hint="default" w:ascii="Times New Roman" w:hAnsi="Times New Roman" w:eastAsia="方正仿宋_GBK" w:cs="Times New Roman"/>
          <w:kern w:val="0"/>
          <w:sz w:val="32"/>
          <w:szCs w:val="32"/>
          <w:lang w:val="en-US" w:eastAsia="zh-CN"/>
        </w:rPr>
        <w:t>%；1-10月预算收入</w:t>
      </w:r>
      <w:r>
        <w:rPr>
          <w:rFonts w:hint="eastAsia" w:eastAsia="方正仿宋_GBK" w:cs="Times New Roman"/>
          <w:kern w:val="0"/>
          <w:sz w:val="32"/>
          <w:szCs w:val="32"/>
          <w:lang w:val="en-US" w:eastAsia="zh-CN"/>
        </w:rPr>
        <w:t>2378.14</w:t>
      </w:r>
      <w:r>
        <w:rPr>
          <w:rFonts w:hint="default" w:ascii="Times New Roman" w:hAnsi="Times New Roman" w:eastAsia="方正仿宋_GBK" w:cs="Times New Roman"/>
          <w:kern w:val="0"/>
          <w:sz w:val="32"/>
          <w:szCs w:val="32"/>
          <w:lang w:val="en-US" w:eastAsia="zh-CN"/>
        </w:rPr>
        <w:t>万元，预算执行数</w:t>
      </w:r>
      <w:r>
        <w:rPr>
          <w:rFonts w:hint="eastAsia" w:eastAsia="方正仿宋_GBK" w:cs="Times New Roman"/>
          <w:kern w:val="0"/>
          <w:sz w:val="32"/>
          <w:szCs w:val="32"/>
          <w:lang w:val="en-US" w:eastAsia="zh-CN"/>
        </w:rPr>
        <w:t>1490.59</w:t>
      </w:r>
      <w:r>
        <w:rPr>
          <w:rFonts w:hint="default" w:ascii="Times New Roman" w:hAnsi="Times New Roman" w:eastAsia="方正仿宋_GBK" w:cs="Times New Roman"/>
          <w:kern w:val="0"/>
          <w:sz w:val="32"/>
          <w:szCs w:val="32"/>
          <w:lang w:val="en-US" w:eastAsia="zh-CN"/>
        </w:rPr>
        <w:t>万元，占预算比的</w:t>
      </w:r>
      <w:r>
        <w:rPr>
          <w:rFonts w:hint="eastAsia" w:eastAsia="方正仿宋_GBK" w:cs="Times New Roman"/>
          <w:kern w:val="0"/>
          <w:sz w:val="32"/>
          <w:szCs w:val="32"/>
          <w:lang w:val="en-US" w:eastAsia="zh-CN"/>
        </w:rPr>
        <w:t>62.68</w:t>
      </w:r>
      <w:r>
        <w:rPr>
          <w:rFonts w:hint="default" w:ascii="Times New Roman" w:hAnsi="Times New Roman" w:eastAsia="方正仿宋_GBK" w:cs="Times New Roman"/>
          <w:kern w:val="0"/>
          <w:sz w:val="32"/>
          <w:szCs w:val="32"/>
          <w:lang w:val="en-US" w:eastAsia="zh-CN"/>
        </w:rPr>
        <w:t>%。总体执行进度较慢，主要是项目支付进度较慢。</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lang w:val="en-US" w:eastAsia="zh-CN"/>
        </w:rPr>
        <w:t>202</w:t>
      </w:r>
      <w:r>
        <w:rPr>
          <w:rFonts w:hint="eastAsia" w:eastAsia="方正仿宋_GBK" w:cs="Times New Roman"/>
          <w:kern w:val="0"/>
          <w:sz w:val="32"/>
          <w:szCs w:val="32"/>
          <w:lang w:val="en-US" w:eastAsia="zh-CN"/>
        </w:rPr>
        <w:t>4</w:t>
      </w:r>
      <w:r>
        <w:rPr>
          <w:rFonts w:hint="default" w:ascii="Times New Roman" w:hAnsi="Times New Roman" w:eastAsia="方正仿宋_GBK" w:cs="Times New Roman"/>
          <w:kern w:val="0"/>
          <w:sz w:val="32"/>
          <w:szCs w:val="32"/>
          <w:lang w:val="en-US" w:eastAsia="zh-CN"/>
        </w:rPr>
        <w:t>年末我部门预算调整后无预算结余及结转情况，部门严格控制“三公”经费、会议、培训、差旅、办公设备购置、信息网络及软件购置更新等一般性支出情况。</w:t>
      </w:r>
    </w:p>
    <w:p>
      <w:pPr>
        <w:keepNext w:val="0"/>
        <w:keepLines w:val="0"/>
        <w:pageBreakBefore w:val="0"/>
        <w:numPr>
          <w:ilvl w:val="0"/>
          <w:numId w:val="0"/>
        </w:numPr>
        <w:kinsoku/>
        <w:wordWrap/>
        <w:overflowPunct/>
        <w:topLinePunct w:val="0"/>
        <w:autoSpaceDE/>
        <w:autoSpaceDN/>
        <w:bidi w:val="0"/>
        <w:snapToGrid w:val="0"/>
        <w:spacing w:line="540" w:lineRule="atLeast"/>
        <w:ind w:firstLine="640" w:firstLineChars="200"/>
        <w:textAlignment w:val="auto"/>
        <w:rPr>
          <w:rFonts w:hint="default" w:ascii="Times New Roman" w:hAnsi="Times New Roman" w:eastAsia="楷体_GB2312" w:cs="Times New Roman"/>
          <w:color w:val="000000"/>
          <w:kern w:val="0"/>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3.</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财务管理。</w:t>
      </w:r>
      <w:r>
        <w:rPr>
          <w:rFonts w:hint="eastAsia" w:ascii="Times New Roman" w:hAnsi="Times New Roman" w:eastAsia="方正仿宋_GBK" w:cs="Times New Roman"/>
          <w:kern w:val="0"/>
          <w:sz w:val="32"/>
          <w:szCs w:val="32"/>
          <w:lang w:val="en-US" w:eastAsia="zh-CN"/>
        </w:rPr>
        <w:t>本单位</w:t>
      </w:r>
      <w:r>
        <w:rPr>
          <w:rFonts w:hint="default" w:ascii="Times New Roman" w:hAnsi="Times New Roman" w:eastAsia="方正仿宋_GBK" w:cs="Times New Roman"/>
          <w:kern w:val="0"/>
          <w:sz w:val="32"/>
          <w:szCs w:val="32"/>
          <w:lang w:val="zh-CN" w:eastAsia="zh-CN"/>
        </w:rPr>
        <w:t>建立健全财务管理制度，执行制度严格合规，会计核算符合相关规定，资金专款专用，资金支付依据和开支标准合法合规，严格执行政府采购，并依法接受财政监督。</w:t>
      </w:r>
      <w:r>
        <w:rPr>
          <w:rFonts w:hint="eastAsia" w:ascii="Times New Roman" w:hAnsi="Times New Roman" w:eastAsia="方正仿宋_GBK" w:cs="Times New Roman"/>
          <w:kern w:val="0"/>
          <w:sz w:val="32"/>
          <w:szCs w:val="32"/>
          <w:lang w:val="en-US" w:eastAsia="zh-CN"/>
        </w:rPr>
        <w:t>做到账账相符、账实相符、账证相符,按先有预算再有支出的原则，及时处理相关事务，及时上报相关报表，提前细化，分科目上报，做到收支平衡。</w:t>
      </w:r>
      <w:r>
        <w:rPr>
          <w:rFonts w:hint="default" w:ascii="Times New Roman" w:hAnsi="Times New Roman" w:eastAsia="方正仿宋_GBK" w:cs="Times New Roman"/>
          <w:kern w:val="0"/>
          <w:sz w:val="32"/>
          <w:szCs w:val="32"/>
          <w:lang w:val="en-US" w:eastAsia="zh-CN"/>
        </w:rPr>
        <w:t>部门财务岗位也严格按照相关财务管理制度设置；</w:t>
      </w:r>
      <w:r>
        <w:rPr>
          <w:rFonts w:hint="default" w:ascii="Times New Roman" w:hAnsi="Times New Roman" w:eastAsia="方正仿宋_GBK" w:cs="Times New Roman"/>
          <w:kern w:val="0"/>
          <w:sz w:val="32"/>
          <w:szCs w:val="32"/>
          <w:lang w:val="zh-CN" w:eastAsia="zh-CN"/>
        </w:rPr>
        <w:t>资金专款专用，资金支付依据和开支标准合法合规，严格执行政府采购，并依法接受财政监督。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楷体_GB2312" w:cs="Times New Roman"/>
          <w:color w:val="000000"/>
          <w:kern w:val="0"/>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4.</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资产管理。</w:t>
      </w:r>
      <w:r>
        <w:rPr>
          <w:rFonts w:hint="default" w:ascii="Times New Roman" w:hAnsi="Times New Roman" w:eastAsia="方正仿宋_GBK" w:cs="Times New Roman"/>
          <w:kern w:val="0"/>
          <w:sz w:val="32"/>
          <w:szCs w:val="32"/>
          <w:lang w:val="en-US" w:eastAsia="zh-CN" w:bidi="ar-SA"/>
        </w:rPr>
        <w:t>部门人均资产率变化不大；资产利用率较高；资产盘活率交差；下一步将严格按照资产管理相关制度提高资产使用率，并建立定期清查制度。每年至少对资产进行一次全面清查，摸清“家底”，找出盘亏、盘盈资产的具体原因，分清责任按现行规定及时处理；建立重点抽查制度。财务部门依据会计核算资料，对资产使用重点部门进行抽查核对，做到账、卡、物相符；建立离任核查制度。单位领导或资产管理人员离任时，要组织核查，办理资产移交手续，确保人走账清。</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楷体_GB2312" w:cs="Times New Roman"/>
          <w:color w:val="000000"/>
          <w:kern w:val="0"/>
          <w:szCs w:val="32"/>
          <w:highlight w:val="none"/>
          <w:shd w:val="clear" w:color="auto" w:fill="FFFFFF"/>
          <w:lang w:val="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5.</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采购管理。</w:t>
      </w:r>
      <w:r>
        <w:rPr>
          <w:rFonts w:hint="default" w:ascii="Times New Roman" w:hAnsi="Times New Roman" w:eastAsia="方正仿宋_GBK" w:cs="Times New Roman"/>
          <w:kern w:val="0"/>
          <w:sz w:val="32"/>
          <w:szCs w:val="32"/>
          <w:lang w:val="zh-CN" w:eastAsia="zh-CN" w:bidi="ar-SA"/>
        </w:rPr>
        <w:t>我部门严格执行政府采购促进中小企业发展相</w:t>
      </w:r>
      <w:r>
        <w:rPr>
          <w:rFonts w:hint="default" w:ascii="Times New Roman" w:hAnsi="Times New Roman" w:eastAsia="方正仿宋_GBK" w:cs="Times New Roman"/>
          <w:spacing w:val="-11"/>
          <w:kern w:val="0"/>
          <w:sz w:val="32"/>
          <w:szCs w:val="32"/>
          <w:lang w:val="zh-CN" w:eastAsia="zh-CN" w:bidi="ar-SA"/>
        </w:rPr>
        <w:t>关管理办法，</w:t>
      </w:r>
      <w:r>
        <w:rPr>
          <w:rFonts w:hint="default" w:ascii="Times New Roman" w:hAnsi="Times New Roman" w:eastAsia="方正仿宋_GBK" w:cs="Times New Roman"/>
          <w:spacing w:val="-11"/>
          <w:kern w:val="0"/>
          <w:sz w:val="32"/>
          <w:szCs w:val="32"/>
          <w:lang w:val="en-US" w:eastAsia="zh-CN" w:bidi="ar-SA"/>
        </w:rPr>
        <w:t>政府采购目录内的货物与服务全部按要求实施了政府采购，应记为固定资产的都登记入账。政府采购项目资金支付率高。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3" w:firstLineChars="200"/>
        <w:contextualSpacing/>
        <w:jc w:val="left"/>
        <w:textAlignment w:val="auto"/>
        <w:outlineLvl w:val="9"/>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default" w:ascii="Times New Roman" w:hAnsi="Times New Roman" w:eastAsia="方正仿宋_GBK" w:cs="Times New Roman"/>
          <w:kern w:val="0"/>
          <w:sz w:val="32"/>
          <w:szCs w:val="32"/>
          <w:lang w:val="zh-CN" w:eastAsia="zh-CN" w:bidi="ar-SA"/>
        </w:rPr>
        <w:t>填报以下数据，并根据部门预算绩效评价指标体系“项目绩效”涉及二、三级指标进行逐项绩效分析并评分，依次包括项目</w:t>
      </w:r>
      <w:r>
        <w:rPr>
          <w:rFonts w:hint="default" w:ascii="Times New Roman" w:hAnsi="Times New Roman" w:eastAsia="方正仿宋_GBK" w:cs="Times New Roman"/>
          <w:kern w:val="0"/>
          <w:sz w:val="32"/>
          <w:szCs w:val="32"/>
          <w:lang w:val="en-US" w:eastAsia="zh-CN" w:bidi="ar-SA"/>
        </w:rPr>
        <w:t>决策、项目执行、目标实现等情况。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方正仿宋_GBK" w:cs="Times New Roman"/>
          <w:kern w:val="0"/>
          <w:sz w:val="32"/>
          <w:szCs w:val="32"/>
          <w:lang w:val="zh-CN" w:eastAsia="zh-CN" w:bidi="ar-SA"/>
        </w:rPr>
      </w:pPr>
      <w:r>
        <w:rPr>
          <w:rFonts w:hint="default" w:ascii="Times New Roman" w:hAnsi="Times New Roman" w:eastAsia="方正仿宋_GBK" w:cs="Times New Roman"/>
          <w:kern w:val="0"/>
          <w:sz w:val="32"/>
          <w:szCs w:val="32"/>
          <w:lang w:val="en-US" w:eastAsia="zh-CN" w:bidi="ar-SA"/>
        </w:rPr>
        <w:t>阶段（</w:t>
      </w:r>
      <w:r>
        <w:rPr>
          <w:rFonts w:hint="eastAsia" w:ascii="Times New Roman" w:hAnsi="Times New Roman" w:eastAsia="方正仿宋_GBK" w:cs="Times New Roman"/>
          <w:kern w:val="0"/>
          <w:sz w:val="32"/>
          <w:szCs w:val="32"/>
          <w:lang w:val="en-US" w:eastAsia="zh-CN" w:bidi="ar-SA"/>
        </w:rPr>
        <w:t>含</w:t>
      </w:r>
      <w:r>
        <w:rPr>
          <w:rFonts w:hint="default" w:ascii="Times New Roman" w:hAnsi="Times New Roman" w:eastAsia="方正仿宋_GBK" w:cs="Times New Roman"/>
          <w:kern w:val="0"/>
          <w:sz w:val="32"/>
          <w:szCs w:val="32"/>
          <w:lang w:val="en-US" w:eastAsia="zh-CN" w:bidi="ar-SA"/>
        </w:rPr>
        <w:t>一次性）项目绩效分析。</w:t>
      </w:r>
      <w:r>
        <w:rPr>
          <w:rFonts w:hint="default" w:ascii="Times New Roman" w:hAnsi="Times New Roman" w:eastAsia="方正仿宋_GBK" w:cs="Times New Roman"/>
          <w:kern w:val="0"/>
          <w:sz w:val="32"/>
          <w:szCs w:val="32"/>
          <w:lang w:val="zh-CN" w:eastAsia="zh-CN" w:bidi="ar-SA"/>
        </w:rPr>
        <w:t>该类项目总数</w:t>
      </w:r>
      <w:r>
        <w:rPr>
          <w:rFonts w:hint="default"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14</w:t>
      </w:r>
      <w:r>
        <w:rPr>
          <w:rFonts w:hint="default" w:ascii="Times New Roman" w:hAnsi="Times New Roman" w:eastAsia="方正仿宋_GBK" w:cs="Times New Roman"/>
          <w:kern w:val="0"/>
          <w:sz w:val="32"/>
          <w:szCs w:val="32"/>
          <w:lang w:val="en-US" w:eastAsia="zh-CN" w:bidi="ar-SA"/>
        </w:rPr>
        <w:t xml:space="preserve"> </w:t>
      </w:r>
      <w:r>
        <w:rPr>
          <w:rFonts w:hint="default" w:ascii="Times New Roman" w:hAnsi="Times New Roman" w:eastAsia="方正仿宋_GBK" w:cs="Times New Roman"/>
          <w:kern w:val="0"/>
          <w:sz w:val="32"/>
          <w:szCs w:val="32"/>
          <w:lang w:val="zh-CN" w:eastAsia="zh-CN" w:bidi="ar-SA"/>
        </w:rPr>
        <w:t>个，涉及预算总金额</w:t>
      </w:r>
      <w:r>
        <w:rPr>
          <w:rFonts w:hint="eastAsia" w:ascii="Times New Roman" w:hAnsi="Times New Roman" w:eastAsia="方正仿宋_GBK" w:cs="Times New Roman"/>
          <w:kern w:val="0"/>
          <w:sz w:val="32"/>
          <w:szCs w:val="32"/>
          <w:lang w:val="en-US" w:eastAsia="zh-CN" w:bidi="ar-SA"/>
        </w:rPr>
        <w:t>1608.12</w:t>
      </w:r>
      <w:r>
        <w:rPr>
          <w:rFonts w:hint="default" w:ascii="Times New Roman" w:hAnsi="Times New Roman" w:eastAsia="方正仿宋_GBK" w:cs="Times New Roman"/>
          <w:kern w:val="0"/>
          <w:sz w:val="32"/>
          <w:szCs w:val="32"/>
          <w:lang w:val="zh-CN" w:eastAsia="zh-CN" w:bidi="ar-SA"/>
        </w:rPr>
        <w:t>万元，1</w:t>
      </w:r>
      <w:r>
        <w:rPr>
          <w:rFonts w:hint="eastAsia" w:ascii="Times New Roman" w:hAnsi="Times New Roman" w:eastAsia="方正仿宋_GBK" w:cs="Times New Roman"/>
          <w:kern w:val="0"/>
          <w:sz w:val="32"/>
          <w:szCs w:val="32"/>
          <w:lang w:val="zh-CN" w:eastAsia="zh-CN" w:bidi="ar-SA"/>
        </w:rPr>
        <w:t>—</w:t>
      </w:r>
      <w:r>
        <w:rPr>
          <w:rFonts w:hint="default" w:ascii="Times New Roman" w:hAnsi="Times New Roman" w:eastAsia="方正仿宋_GBK" w:cs="Times New Roman"/>
          <w:kern w:val="0"/>
          <w:sz w:val="32"/>
          <w:szCs w:val="32"/>
          <w:lang w:val="zh-CN" w:eastAsia="zh-CN" w:bidi="ar-SA"/>
        </w:rPr>
        <w:t>1</w:t>
      </w:r>
      <w:r>
        <w:rPr>
          <w:rFonts w:hint="default" w:ascii="Times New Roman" w:hAnsi="Times New Roman" w:eastAsia="方正仿宋_GBK" w:cs="Times New Roman"/>
          <w:kern w:val="0"/>
          <w:sz w:val="32"/>
          <w:szCs w:val="32"/>
          <w:lang w:val="en-US" w:eastAsia="zh-CN" w:bidi="ar-SA"/>
        </w:rPr>
        <w:t>2</w:t>
      </w:r>
      <w:r>
        <w:rPr>
          <w:rFonts w:hint="default" w:ascii="Times New Roman" w:hAnsi="Times New Roman" w:eastAsia="方正仿宋_GBK" w:cs="Times New Roman"/>
          <w:kern w:val="0"/>
          <w:sz w:val="32"/>
          <w:szCs w:val="32"/>
          <w:lang w:val="zh-CN" w:eastAsia="zh-CN" w:bidi="ar-SA"/>
        </w:rPr>
        <w:t>月预算执行总体进度为</w:t>
      </w:r>
      <w:r>
        <w:rPr>
          <w:rFonts w:hint="default" w:ascii="Times New Roman" w:hAnsi="Times New Roman" w:eastAsia="方正仿宋_GBK" w:cs="Times New Roman"/>
          <w:kern w:val="0"/>
          <w:sz w:val="32"/>
          <w:szCs w:val="32"/>
          <w:lang w:val="en-US" w:eastAsia="zh-CN" w:bidi="ar-SA"/>
        </w:rPr>
        <w:t xml:space="preserve"> </w:t>
      </w:r>
      <w:r>
        <w:rPr>
          <w:rFonts w:hint="eastAsia" w:ascii="Times New Roman" w:hAnsi="Times New Roman" w:eastAsia="方正仿宋_GBK" w:cs="Times New Roman"/>
          <w:kern w:val="0"/>
          <w:sz w:val="32"/>
          <w:szCs w:val="32"/>
          <w:lang w:val="en-US" w:eastAsia="zh-CN" w:bidi="ar-SA"/>
        </w:rPr>
        <w:t>90</w:t>
      </w:r>
      <w:r>
        <w:rPr>
          <w:rFonts w:hint="default" w:ascii="Times New Roman" w:hAnsi="Times New Roman" w:eastAsia="方正仿宋_GBK" w:cs="Times New Roman"/>
          <w:kern w:val="0"/>
          <w:sz w:val="32"/>
          <w:szCs w:val="32"/>
          <w:lang w:val="zh-CN" w:eastAsia="zh-CN" w:bidi="ar-SA"/>
        </w:rPr>
        <w:t>%，其中：预算结余率大于</w:t>
      </w:r>
      <w:r>
        <w:rPr>
          <w:rFonts w:hint="default" w:ascii="Times New Roman" w:hAnsi="Times New Roman" w:eastAsia="方正仿宋_GBK" w:cs="Times New Roman"/>
          <w:kern w:val="0"/>
          <w:sz w:val="32"/>
          <w:szCs w:val="32"/>
          <w:lang w:val="en-US" w:eastAsia="zh-CN" w:bidi="ar-SA"/>
        </w:rPr>
        <w:t>10%</w:t>
      </w:r>
      <w:r>
        <w:rPr>
          <w:rFonts w:hint="default" w:ascii="Times New Roman" w:hAnsi="Times New Roman" w:eastAsia="方正仿宋_GBK" w:cs="Times New Roman"/>
          <w:kern w:val="0"/>
          <w:sz w:val="32"/>
          <w:szCs w:val="32"/>
          <w:lang w:val="zh-CN" w:eastAsia="zh-CN" w:bidi="ar-SA"/>
        </w:rPr>
        <w:t>的项目共计</w:t>
      </w:r>
      <w:r>
        <w:rPr>
          <w:rFonts w:hint="eastAsia" w:ascii="Times New Roman" w:hAnsi="Times New Roman" w:eastAsia="方正仿宋_GBK" w:cs="Times New Roman"/>
          <w:kern w:val="0"/>
          <w:sz w:val="32"/>
          <w:szCs w:val="32"/>
          <w:lang w:val="en-US" w:eastAsia="zh-CN" w:bidi="ar-SA"/>
        </w:rPr>
        <w:t>1</w:t>
      </w:r>
      <w:r>
        <w:rPr>
          <w:rFonts w:hint="default" w:ascii="Times New Roman" w:hAnsi="Times New Roman" w:eastAsia="方正仿宋_GBK" w:cs="Times New Roman"/>
          <w:kern w:val="0"/>
          <w:sz w:val="32"/>
          <w:szCs w:val="32"/>
          <w:lang w:val="en-US" w:eastAsia="zh-CN" w:bidi="ar-SA"/>
        </w:rPr>
        <w:t xml:space="preserve"> </w:t>
      </w:r>
      <w:r>
        <w:rPr>
          <w:rFonts w:hint="default" w:ascii="Times New Roman" w:hAnsi="Times New Roman" w:eastAsia="方正仿宋_GBK" w:cs="Times New Roman"/>
          <w:kern w:val="0"/>
          <w:sz w:val="32"/>
          <w:szCs w:val="32"/>
          <w:lang w:val="zh-CN" w:eastAsia="zh-CN" w:bidi="ar-SA"/>
        </w:rPr>
        <w:t>个。</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方正仿宋_GBK" w:cs="Times New Roman"/>
          <w:kern w:val="0"/>
          <w:sz w:val="32"/>
          <w:szCs w:val="32"/>
          <w:lang w:val="zh-CN" w:eastAsia="zh-CN" w:bidi="ar-SA"/>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1.</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项目决策。</w:t>
      </w:r>
      <w:r>
        <w:rPr>
          <w:rFonts w:hint="default" w:ascii="Times New Roman" w:hAnsi="Times New Roman" w:eastAsia="方正仿宋_GBK" w:cs="Times New Roman"/>
          <w:kern w:val="0"/>
          <w:sz w:val="32"/>
          <w:szCs w:val="32"/>
          <w:lang w:val="zh-CN" w:eastAsia="zh-CN" w:bidi="ar-SA"/>
        </w:rPr>
        <w:t>部门预算项目设立按规定履行评估论证、申报程序</w:t>
      </w:r>
      <w:r>
        <w:rPr>
          <w:rFonts w:hint="default" w:ascii="Times New Roman" w:hAnsi="Times New Roman" w:eastAsia="方正仿宋_GBK" w:cs="Times New Roman"/>
          <w:kern w:val="0"/>
          <w:sz w:val="32"/>
          <w:szCs w:val="32"/>
          <w:lang w:val="en-US" w:eastAsia="zh-CN" w:bidi="ar-SA"/>
        </w:rPr>
        <w:t>;绩效目标与计划期内的任务量、预算安排的资金量匹配情况较好，绩效目标设置科学合理、规范完整、量化细化、预算匹配;部门预算项目在规定时间完成项目入库。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2.项目执行</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w:t>
      </w:r>
      <w:r>
        <w:rPr>
          <w:rFonts w:hint="default" w:ascii="Times New Roman" w:hAnsi="Times New Roman" w:eastAsia="方正仿宋_GBK" w:cs="Times New Roman"/>
          <w:kern w:val="0"/>
          <w:sz w:val="32"/>
          <w:szCs w:val="32"/>
          <w:lang w:val="zh-CN" w:eastAsia="zh-CN" w:bidi="ar-SA"/>
        </w:rPr>
        <w:t>部门预算项目实际列支内容是与绩效目标设置方向相符；部门预算项目采取对应调整措施；预算执行情况较好。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方正仿宋_GBK" w:cs="Times New Roman"/>
          <w:color w:val="000000"/>
          <w:kern w:val="0"/>
          <w:sz w:val="32"/>
          <w:szCs w:val="32"/>
          <w:highlight w:val="none"/>
          <w:shd w:val="clear" w:color="auto" w:fill="FFFFFF"/>
          <w:lang w:val="zh-CN" w:eastAsia="zh-CN"/>
        </w:rPr>
      </w:pPr>
      <w:r>
        <w:rPr>
          <w:rFonts w:hint="default" w:ascii="Times New Roman" w:hAnsi="Times New Roman" w:eastAsia="方正仿宋_GBK" w:cs="Times New Roman"/>
          <w:b/>
          <w:bCs/>
          <w:color w:val="000000"/>
          <w:kern w:val="0"/>
          <w:sz w:val="32"/>
          <w:szCs w:val="32"/>
          <w:highlight w:val="none"/>
          <w:shd w:val="clear" w:color="auto" w:fill="FFFFFF"/>
          <w:lang w:val="en-US" w:eastAsia="zh-CN" w:bidi="ar-SA"/>
        </w:rPr>
        <w:t>3.</w:t>
      </w:r>
      <w:r>
        <w:rPr>
          <w:rFonts w:hint="default" w:ascii="Times New Roman" w:hAnsi="Times New Roman" w:eastAsia="方正仿宋_GBK" w:cs="Times New Roman"/>
          <w:b/>
          <w:bCs/>
          <w:color w:val="000000"/>
          <w:kern w:val="0"/>
          <w:sz w:val="32"/>
          <w:szCs w:val="32"/>
          <w:highlight w:val="none"/>
          <w:shd w:val="clear" w:color="auto" w:fill="FFFFFF"/>
          <w:lang w:val="zh-CN" w:eastAsia="zh-CN" w:bidi="ar-SA"/>
        </w:rPr>
        <w:t>目标实现。</w:t>
      </w:r>
      <w:r>
        <w:rPr>
          <w:rFonts w:hint="default" w:ascii="Times New Roman" w:hAnsi="Times New Roman" w:eastAsia="方正仿宋_GBK" w:cs="Times New Roman"/>
          <w:kern w:val="0"/>
          <w:sz w:val="32"/>
          <w:szCs w:val="32"/>
          <w:lang w:val="zh-CN" w:eastAsia="zh-CN" w:bidi="ar-SA"/>
        </w:rPr>
        <w:t>部门预算项目绩效目标数量指标完成情况较好；部门预算项目绩效目标数量指标实现程度与预期目标的偏离情况不大；部门预算项目绩效目标效益指标实施效果较好。</w:t>
      </w:r>
    </w:p>
    <w:p>
      <w:pPr>
        <w:keepNext w:val="0"/>
        <w:keepLines w:val="0"/>
        <w:pageBreakBefore w:val="0"/>
        <w:kinsoku/>
        <w:wordWrap/>
        <w:overflowPunct/>
        <w:topLinePunct w:val="0"/>
        <w:autoSpaceDE/>
        <w:autoSpaceDN/>
        <w:bidi w:val="0"/>
        <w:adjustRightInd/>
        <w:snapToGrid/>
        <w:spacing w:line="540" w:lineRule="atLeast"/>
        <w:ind w:firstLine="640" w:firstLineChars="200"/>
        <w:textAlignment w:val="auto"/>
        <w:rPr>
          <w:rFonts w:hint="default" w:ascii="Times New Roman" w:hAnsi="Times New Roman" w:eastAsia="仿宋_GB2312" w:cs="Times New Roman"/>
          <w:sz w:val="32"/>
          <w:szCs w:val="32"/>
          <w:u w:val="none"/>
          <w:lang w:val="en-US" w:eastAsia="zh-CN"/>
        </w:rPr>
      </w:pPr>
    </w:p>
    <w:p>
      <w:pPr>
        <w:keepNext w:val="0"/>
        <w:keepLines w:val="0"/>
        <w:pageBreakBefore w:val="0"/>
        <w:widowControl/>
        <w:kinsoku/>
        <w:wordWrap/>
        <w:overflowPunct/>
        <w:topLinePunct w:val="0"/>
        <w:autoSpaceDE/>
        <w:autoSpaceDN/>
        <w:bidi w:val="0"/>
        <w:adjustRightInd w:val="0"/>
        <w:snapToGrid w:val="0"/>
        <w:spacing w:line="540" w:lineRule="atLeast"/>
        <w:ind w:firstLine="643" w:firstLineChars="200"/>
        <w:contextualSpacing/>
        <w:jc w:val="left"/>
        <w:textAlignment w:val="auto"/>
        <w:outlineLvl w:val="9"/>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楷体_GB2312" w:cs="Times New Roman"/>
          <w:b/>
          <w:bCs/>
          <w:sz w:val="32"/>
          <w:szCs w:val="32"/>
          <w:lang w:val="zh-CN"/>
        </w:rPr>
        <w:t>（三）绩效结果应用情况。</w:t>
      </w:r>
      <w:r>
        <w:rPr>
          <w:rFonts w:hint="default" w:ascii="Times New Roman" w:hAnsi="Times New Roman" w:eastAsia="方正仿宋_GBK" w:cs="Times New Roman"/>
          <w:kern w:val="0"/>
          <w:sz w:val="32"/>
          <w:szCs w:val="32"/>
          <w:lang w:val="en-US" w:eastAsia="zh-CN" w:bidi="ar-SA"/>
        </w:rPr>
        <w:t>本部门预算编制严格按照《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w:t>
      </w:r>
      <w:r>
        <w:rPr>
          <w:rFonts w:hint="default" w:ascii="Times New Roman" w:hAnsi="Times New Roman" w:eastAsia="方正仿宋_GBK" w:cs="Times New Roman"/>
          <w:kern w:val="0"/>
          <w:sz w:val="32"/>
          <w:szCs w:val="32"/>
          <w:lang w:val="zh-CN" w:eastAsia="zh-CN" w:bidi="ar-SA"/>
        </w:rPr>
        <w:t>主动公开绩效结果，加大资金使用效率。按照预算绩效管理要求对20</w:t>
      </w:r>
      <w:r>
        <w:rPr>
          <w:rFonts w:hint="default" w:ascii="Times New Roman" w:hAnsi="Times New Roman" w:eastAsia="方正仿宋_GBK" w:cs="Times New Roman"/>
          <w:kern w:val="0"/>
          <w:sz w:val="32"/>
          <w:szCs w:val="32"/>
          <w:lang w:val="en-US" w:eastAsia="zh-CN" w:bidi="ar-SA"/>
        </w:rPr>
        <w:t>2</w:t>
      </w:r>
      <w:r>
        <w:rPr>
          <w:rFonts w:hint="eastAsia"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zh-CN" w:eastAsia="zh-CN" w:bidi="ar-SA"/>
        </w:rPr>
        <w:t>年部门整体支出开展绩效自评；对</w:t>
      </w:r>
      <w:r>
        <w:rPr>
          <w:rFonts w:hint="default" w:ascii="Times New Roman" w:hAnsi="Times New Roman" w:eastAsia="方正仿宋_GBK" w:cs="Times New Roman"/>
          <w:kern w:val="0"/>
          <w:sz w:val="32"/>
          <w:szCs w:val="32"/>
          <w:lang w:val="en-US" w:eastAsia="zh-CN" w:bidi="ar-SA"/>
        </w:rPr>
        <w:t>202</w:t>
      </w:r>
      <w:r>
        <w:rPr>
          <w:rFonts w:hint="eastAsia"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zh-CN" w:eastAsia="zh-CN" w:bidi="ar-SA"/>
        </w:rPr>
        <w:t>年一般公共预算项目支出开展了绩效目标管理，编制绩效目标，涉及财政资金</w:t>
      </w:r>
      <w:r>
        <w:rPr>
          <w:rFonts w:hint="eastAsia" w:ascii="仿宋_GB2312" w:eastAsia="仿宋_GB2312" w:cs="仿宋_GB2312"/>
          <w:sz w:val="32"/>
          <w:szCs w:val="32"/>
          <w:lang w:val="en-US" w:eastAsia="zh-CN"/>
        </w:rPr>
        <w:t>1193.85</w:t>
      </w:r>
      <w:r>
        <w:rPr>
          <w:rFonts w:hint="default" w:ascii="Times New Roman" w:hAnsi="Times New Roman" w:eastAsia="方正仿宋_GBK" w:cs="Times New Roman"/>
          <w:kern w:val="0"/>
          <w:sz w:val="32"/>
          <w:szCs w:val="32"/>
          <w:lang w:val="zh-CN" w:eastAsia="zh-CN" w:bidi="ar-SA"/>
        </w:rPr>
        <w:t>万元，覆盖率达到100%。</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仿宋_GB2312" w:cs="Times New Roman"/>
          <w:b/>
          <w:bCs w:val="0"/>
          <w:szCs w:val="32"/>
        </w:rPr>
      </w:pPr>
      <w:r>
        <w:rPr>
          <w:rFonts w:hint="default" w:ascii="Times New Roman" w:hAnsi="Times New Roman" w:eastAsia="方正仿宋_GBK" w:cs="Times New Roman"/>
          <w:kern w:val="0"/>
          <w:sz w:val="32"/>
          <w:szCs w:val="32"/>
          <w:lang w:val="zh-CN" w:eastAsia="zh-CN" w:bidi="ar-SA"/>
        </w:rPr>
        <w:t>通过加强预算收支的管理，不断建立健全内部管理制度，理顺内部管理流程，部门整体支出管理情况得到了提升。建立健全我单位财务管理制度，执行制度严格合规，会计核算符合相关规定，资金专款专用，资金支付依据和开支标准合法合规，严格执行政府采购，并依法接受财政监督。</w:t>
      </w:r>
      <w:r>
        <w:rPr>
          <w:rFonts w:hint="default" w:ascii="Times New Roman" w:hAnsi="Times New Roman" w:eastAsia="方正仿宋_GBK" w:cs="Times New Roman"/>
          <w:kern w:val="0"/>
          <w:sz w:val="32"/>
          <w:szCs w:val="32"/>
          <w:lang w:val="en-US" w:eastAsia="zh-CN" w:bidi="ar-SA"/>
        </w:rPr>
        <w:t>财务支出符合相关要求规定，充分发挥了财政资金的作用，在经济效益、社会效益、生态效益等方面发挥了积极作用。</w:t>
      </w:r>
    </w:p>
    <w:p>
      <w:pPr>
        <w:keepNext w:val="0"/>
        <w:keepLines w:val="0"/>
        <w:pageBreakBefore w:val="0"/>
        <w:widowControl/>
        <w:kinsoku/>
        <w:wordWrap/>
        <w:overflowPunct/>
        <w:topLinePunct w:val="0"/>
        <w:autoSpaceDE/>
        <w:autoSpaceDN/>
        <w:bidi w:val="0"/>
        <w:adjustRightInd w:val="0"/>
        <w:snapToGrid w:val="0"/>
        <w:spacing w:line="540" w:lineRule="atLeast"/>
        <w:ind w:firstLine="640" w:firstLineChars="200"/>
        <w:contextualSpacing/>
        <w:jc w:val="left"/>
        <w:textAlignment w:val="auto"/>
        <w:outlineLvl w:val="9"/>
        <w:rPr>
          <w:rFonts w:hint="default" w:ascii="Times New Roman" w:hAnsi="Times New Roman" w:eastAsia="黑体" w:cs="Times New Roman"/>
          <w:color w:val="000000"/>
          <w:kern w:val="0"/>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eastAsia="zh-CN"/>
        </w:rPr>
        <w:t>四、</w:t>
      </w:r>
      <w:r>
        <w:rPr>
          <w:rFonts w:hint="default" w:ascii="Times New Roman" w:hAnsi="Times New Roman" w:eastAsia="黑体" w:cs="Times New Roman"/>
          <w:color w:val="000000"/>
          <w:kern w:val="0"/>
          <w:sz w:val="32"/>
          <w:szCs w:val="32"/>
          <w:highlight w:val="none"/>
          <w:shd w:val="clear" w:color="auto" w:fill="FFFFFF"/>
        </w:rPr>
        <w:t>评价结论及建议</w:t>
      </w:r>
    </w:p>
    <w:p>
      <w:pPr>
        <w:keepNext w:val="0"/>
        <w:keepLines w:val="0"/>
        <w:pageBreakBefore w:val="0"/>
        <w:kinsoku/>
        <w:wordWrap/>
        <w:overflowPunct/>
        <w:topLinePunct w:val="0"/>
        <w:autoSpaceDE/>
        <w:autoSpaceDN/>
        <w:bidi w:val="0"/>
        <w:snapToGrid w:val="0"/>
        <w:spacing w:line="540" w:lineRule="atLeast"/>
        <w:ind w:left="0" w:firstLine="640"/>
        <w:textAlignment w:val="auto"/>
        <w:rPr>
          <w:rFonts w:hint="default" w:ascii="Times New Roman" w:hAnsi="Times New Roman" w:eastAsia="楷体_GB2312" w:cs="Times New Roman"/>
          <w:b/>
          <w:bCs/>
          <w:color w:val="000000"/>
          <w:kern w:val="0"/>
          <w:szCs w:val="32"/>
          <w:highlight w:val="none"/>
          <w:shd w:val="clear" w:color="auto" w:fill="FFFFFF"/>
          <w:lang w:val="en-US"/>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r>
        <w:rPr>
          <w:rFonts w:hint="eastAsia" w:ascii="Times New Roman" w:hAnsi="Times New Roman" w:eastAsia="方正仿宋_GBK" w:cs="Times New Roman"/>
          <w:kern w:val="0"/>
          <w:sz w:val="32"/>
          <w:szCs w:val="32"/>
          <w:lang w:val="en-US" w:eastAsia="zh-CN" w:bidi="ar-SA"/>
        </w:rPr>
        <w:t>我单位深入贯彻落实“全面实施绩效管理”的要求，努力提升本单位绩效预算管理业务水平。主动公开绩效结果，加大资金使用效率。按照预算绩效管理要求对2024年部门整体支出开展绩效自评；对2024年一般公共预算项目支出开展了绩效目标管理，编制绩效目标，涉及财政资金1193.85万元，覆盖率达到100%。从评价情况来看我单位年初预算基本按照绩效目标完成支付。</w:t>
      </w:r>
      <w:r>
        <w:rPr>
          <w:rFonts w:hint="default" w:ascii="Times New Roman" w:hAnsi="Times New Roman" w:eastAsia="方正仿宋_GBK" w:cs="Times New Roman"/>
          <w:kern w:val="0"/>
          <w:sz w:val="32"/>
          <w:szCs w:val="32"/>
          <w:lang w:val="en-US" w:eastAsia="zh-CN" w:bidi="ar-SA"/>
        </w:rPr>
        <w:t>按照预算绩效管理要求对202</w:t>
      </w:r>
      <w:r>
        <w:rPr>
          <w:rFonts w:hint="eastAsia" w:ascii="Times New Roman" w:hAnsi="Times New Roman" w:eastAsia="方正仿宋_GBK" w:cs="Times New Roman"/>
          <w:kern w:val="0"/>
          <w:sz w:val="32"/>
          <w:szCs w:val="32"/>
          <w:lang w:val="en-US" w:eastAsia="zh-CN" w:bidi="ar-SA"/>
        </w:rPr>
        <w:t>4</w:t>
      </w:r>
      <w:r>
        <w:rPr>
          <w:rFonts w:hint="default" w:ascii="Times New Roman" w:hAnsi="Times New Roman" w:eastAsia="方正仿宋_GBK" w:cs="Times New Roman"/>
          <w:kern w:val="0"/>
          <w:sz w:val="32"/>
          <w:szCs w:val="32"/>
          <w:lang w:val="en-US" w:eastAsia="zh-CN" w:bidi="ar-SA"/>
        </w:rPr>
        <w:t>年部门整体支出开展绩效自评，自评得分为</w:t>
      </w:r>
      <w:r>
        <w:rPr>
          <w:rFonts w:hint="eastAsia" w:eastAsia="方正仿宋_GBK" w:cs="Times New Roman"/>
          <w:kern w:val="0"/>
          <w:sz w:val="32"/>
          <w:szCs w:val="32"/>
          <w:lang w:val="en-US" w:eastAsia="zh-CN" w:bidi="ar-SA"/>
        </w:rPr>
        <w:t>89</w:t>
      </w:r>
      <w:r>
        <w:rPr>
          <w:rFonts w:hint="default" w:ascii="Times New Roman" w:hAnsi="Times New Roman" w:eastAsia="方正仿宋_GBK" w:cs="Times New Roman"/>
          <w:kern w:val="0"/>
          <w:sz w:val="32"/>
          <w:szCs w:val="32"/>
          <w:lang w:val="en-US" w:eastAsia="zh-CN" w:bidi="ar-SA"/>
        </w:rPr>
        <w:t>分，自评等级为优。从评价情况来看我部门年初预算基本按照绩效目标完成支付。</w:t>
      </w:r>
    </w:p>
    <w:p>
      <w:pPr>
        <w:pStyle w:val="38"/>
        <w:keepNext w:val="0"/>
        <w:keepLines w:val="0"/>
        <w:pageBreakBefore w:val="0"/>
        <w:kinsoku/>
        <w:wordWrap/>
        <w:overflowPunct/>
        <w:topLinePunct w:val="0"/>
        <w:autoSpaceDE/>
        <w:autoSpaceDN/>
        <w:bidi w:val="0"/>
        <w:snapToGrid w:val="0"/>
        <w:spacing w:line="540" w:lineRule="atLeast"/>
        <w:ind w:firstLine="643" w:firstLineChars="200"/>
        <w:textAlignment w:val="auto"/>
        <w:rPr>
          <w:rFonts w:hint="eastAsia" w:ascii="Times New Roman" w:hAnsi="Times New Roman" w:eastAsia="方正仿宋_GBK" w:cs="Times New Roman"/>
          <w:color w:val="auto"/>
          <w:kern w:val="0"/>
          <w:sz w:val="32"/>
          <w:szCs w:val="32"/>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（二）存在问题。</w:t>
      </w:r>
      <w:r>
        <w:rPr>
          <w:rFonts w:hint="eastAsia" w:ascii="Times New Roman" w:hAnsi="Times New Roman" w:eastAsia="方正仿宋_GBK" w:cs="Times New Roman"/>
          <w:color w:val="auto"/>
          <w:kern w:val="0"/>
          <w:sz w:val="32"/>
          <w:szCs w:val="32"/>
          <w:lang w:val="en-US" w:eastAsia="zh-CN" w:bidi="ar-SA"/>
        </w:rPr>
        <w:t>1、对绩效评价工作的认识和重视程度还不够。</w:t>
      </w:r>
    </w:p>
    <w:p>
      <w:pPr>
        <w:pStyle w:val="38"/>
        <w:keepNext w:val="0"/>
        <w:keepLines w:val="0"/>
        <w:pageBreakBefore w:val="0"/>
        <w:kinsoku/>
        <w:wordWrap/>
        <w:overflowPunct/>
        <w:topLinePunct w:val="0"/>
        <w:autoSpaceDE/>
        <w:autoSpaceDN/>
        <w:bidi w:val="0"/>
        <w:snapToGrid w:val="0"/>
        <w:spacing w:line="540" w:lineRule="atLeast"/>
        <w:ind w:firstLine="640" w:firstLineChars="200"/>
        <w:textAlignment w:val="auto"/>
        <w:rPr>
          <w:rFonts w:hint="eastAsia"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2、在资金的使用和安排上取得了较好的预算执行结果，但仍存在预算管理不够完善，资金使用不够科学等问题。</w:t>
      </w:r>
    </w:p>
    <w:p>
      <w:pPr>
        <w:pStyle w:val="38"/>
        <w:keepNext w:val="0"/>
        <w:keepLines w:val="0"/>
        <w:pageBreakBefore w:val="0"/>
        <w:kinsoku/>
        <w:wordWrap/>
        <w:overflowPunct/>
        <w:topLinePunct w:val="0"/>
        <w:autoSpaceDE/>
        <w:autoSpaceDN/>
        <w:bidi w:val="0"/>
        <w:snapToGrid w:val="0"/>
        <w:spacing w:line="540" w:lineRule="atLeast"/>
        <w:ind w:firstLine="630"/>
        <w:textAlignment w:val="auto"/>
        <w:rPr>
          <w:rFonts w:hint="default" w:ascii="Times New Roman" w:hAnsi="Times New Roman" w:eastAsia="方正仿宋_GBK" w:cs="Times New Roman"/>
          <w:color w:val="auto"/>
          <w:kern w:val="0"/>
          <w:sz w:val="32"/>
          <w:szCs w:val="32"/>
          <w:lang w:val="e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bidi="ar-SA"/>
        </w:rPr>
        <w:t>（三）改进建议。</w:t>
      </w:r>
      <w:bookmarkStart w:id="56" w:name="_Hlk110546638"/>
      <w:r>
        <w:rPr>
          <w:rFonts w:hint="eastAsia" w:ascii="Times New Roman" w:hAnsi="Times New Roman" w:eastAsia="方正仿宋_GBK" w:cs="Times New Roman"/>
          <w:color w:val="auto"/>
          <w:kern w:val="0"/>
          <w:sz w:val="32"/>
          <w:szCs w:val="32"/>
          <w:lang w:val="en-US" w:eastAsia="zh-CN" w:bidi="ar-SA"/>
        </w:rPr>
        <w:t>在今后的工作中，我局要继续合理计划利用财政资金，根据资金管理办法进行管理，做好经费保障等工作，明确分工，落实责任。建立健全严格的经费开支审批制度和严格的经费开支报销程序，加强经费开支的监督，控制经费支出，保证财政资金发挥应起的作用。</w:t>
      </w:r>
    </w:p>
    <w:bookmarkEnd w:id="56"/>
    <w:p>
      <w:pPr>
        <w:keepNext w:val="0"/>
        <w:keepLines w:val="0"/>
        <w:pageBreakBefore w:val="0"/>
        <w:kinsoku/>
        <w:wordWrap/>
        <w:overflowPunct/>
        <w:topLinePunct w:val="0"/>
        <w:autoSpaceDE/>
        <w:autoSpaceDN/>
        <w:bidi w:val="0"/>
        <w:snapToGrid w:val="0"/>
        <w:spacing w:line="578" w:lineRule="exact"/>
        <w:contextualSpacing/>
        <w:textAlignment w:val="auto"/>
        <w:outlineLvl w:val="9"/>
        <w:rPr>
          <w:rFonts w:hint="default" w:ascii="Times New Roman" w:hAnsi="Times New Roman" w:eastAsia="黑体" w:cs="Times New Roman"/>
          <w:szCs w:val="32"/>
          <w:highlight w:val="none"/>
          <w:lang w:val="en-US" w:eastAsia="zh-CN"/>
        </w:rPr>
      </w:pPr>
    </w:p>
    <w:p>
      <w:pPr>
        <w:keepNext w:val="0"/>
        <w:keepLines w:val="0"/>
        <w:pageBreakBefore w:val="0"/>
        <w:kinsoku/>
        <w:wordWrap/>
        <w:overflowPunct/>
        <w:topLinePunct w:val="0"/>
        <w:autoSpaceDE/>
        <w:autoSpaceDN/>
        <w:bidi w:val="0"/>
        <w:snapToGrid w:val="0"/>
        <w:spacing w:line="578" w:lineRule="exact"/>
        <w:ind w:firstLine="640" w:firstLineChars="200"/>
        <w:textAlignment w:val="auto"/>
        <w:rPr>
          <w:rFonts w:hint="eastAsia" w:ascii="Times New Roman" w:hAnsi="Times New Roman" w:eastAsia="仿宋_GB2312" w:cs="Times New Roman"/>
          <w:strike w:val="0"/>
          <w:sz w:val="32"/>
          <w:szCs w:val="32"/>
          <w:u w:val="none"/>
          <w:lang w:val="en-US" w:eastAsia="zh-CN" w:bidi="ar"/>
        </w:rPr>
      </w:pPr>
      <w:r>
        <w:rPr>
          <w:rFonts w:hint="default" w:ascii="Times New Roman" w:hAnsi="Times New Roman" w:eastAsia="仿宋_GB2312" w:cs="Times New Roman"/>
          <w:strike w:val="0"/>
          <w:sz w:val="32"/>
          <w:szCs w:val="32"/>
          <w:u w:val="none"/>
          <w:lang w:val="en-US" w:eastAsia="zh-CN" w:bidi="ar"/>
        </w:rPr>
        <w:t>附表：</w:t>
      </w:r>
      <w:r>
        <w:rPr>
          <w:rFonts w:hint="eastAsia" w:ascii="Times New Roman" w:hAnsi="Times New Roman" w:eastAsia="仿宋_GB2312" w:cs="Times New Roman"/>
          <w:strike w:val="0"/>
          <w:sz w:val="32"/>
          <w:szCs w:val="32"/>
          <w:u w:val="none"/>
          <w:lang w:val="en-US" w:eastAsia="zh-CN" w:bidi="ar"/>
        </w:rPr>
        <w:t>1.部门预算绩效自评打分表</w:t>
      </w:r>
    </w:p>
    <w:p>
      <w:pPr>
        <w:keepNext w:val="0"/>
        <w:keepLines w:val="0"/>
        <w:pageBreakBefore w:val="0"/>
        <w:kinsoku/>
        <w:wordWrap/>
        <w:overflowPunct/>
        <w:topLinePunct w:val="0"/>
        <w:autoSpaceDE/>
        <w:autoSpaceDN/>
        <w:bidi w:val="0"/>
        <w:snapToGrid w:val="0"/>
        <w:spacing w:line="578" w:lineRule="exact"/>
        <w:ind w:firstLine="1600" w:firstLineChars="500"/>
        <w:textAlignment w:val="auto"/>
        <w:rPr>
          <w:rFonts w:hint="default" w:ascii="Times New Roman" w:hAnsi="Times New Roman" w:eastAsia="仿宋_GB2312" w:cs="Times New Roman"/>
          <w:strike w:val="0"/>
          <w:sz w:val="32"/>
          <w:szCs w:val="32"/>
          <w:u w:val="none"/>
          <w:lang w:val="en-US" w:eastAsia="zh-CN" w:bidi="ar"/>
        </w:rPr>
      </w:pPr>
      <w:r>
        <w:rPr>
          <w:rFonts w:hint="eastAsia" w:ascii="Times New Roman" w:hAnsi="Times New Roman" w:eastAsia="仿宋_GB2312" w:cs="Times New Roman"/>
          <w:strike w:val="0"/>
          <w:sz w:val="32"/>
          <w:szCs w:val="32"/>
          <w:u w:val="none"/>
          <w:lang w:val="en-US" w:eastAsia="zh-CN" w:bidi="ar"/>
        </w:rPr>
        <w:t>2.</w:t>
      </w:r>
      <w:r>
        <w:rPr>
          <w:rFonts w:hint="default" w:ascii="Times New Roman" w:hAnsi="Times New Roman" w:eastAsia="仿宋_GB2312" w:cs="Times New Roman"/>
          <w:strike w:val="0"/>
          <w:sz w:val="32"/>
          <w:szCs w:val="32"/>
          <w:u w:val="none"/>
          <w:lang w:val="en-US" w:eastAsia="zh-CN" w:bidi="ar"/>
        </w:rPr>
        <w:t>部门整体绩效目标完成情况自评表</w:t>
      </w:r>
    </w:p>
    <w:p>
      <w:pPr>
        <w:keepNext w:val="0"/>
        <w:keepLines w:val="0"/>
        <w:pageBreakBefore w:val="0"/>
        <w:kinsoku/>
        <w:wordWrap/>
        <w:overflowPunct/>
        <w:topLinePunct w:val="0"/>
        <w:autoSpaceDE/>
        <w:autoSpaceDN/>
        <w:bidi w:val="0"/>
        <w:snapToGrid w:val="0"/>
        <w:spacing w:line="578" w:lineRule="exact"/>
        <w:ind w:firstLine="1600" w:firstLineChars="500"/>
        <w:textAlignment w:val="auto"/>
        <w:rPr>
          <w:rFonts w:hint="default" w:ascii="Times New Roman" w:hAnsi="Times New Roman" w:eastAsia="仿宋_GB2312" w:cs="Times New Roman"/>
          <w:strike w:val="0"/>
          <w:sz w:val="32"/>
          <w:szCs w:val="32"/>
          <w:u w:val="none"/>
          <w:lang w:eastAsia="zh-CN" w:bidi="ar"/>
        </w:rPr>
      </w:pPr>
      <w:r>
        <w:rPr>
          <w:rFonts w:hint="eastAsia" w:ascii="Times New Roman" w:hAnsi="Times New Roman" w:eastAsia="仿宋_GB2312" w:cs="Times New Roman"/>
          <w:strike w:val="0"/>
          <w:sz w:val="32"/>
          <w:szCs w:val="32"/>
          <w:u w:val="none"/>
          <w:lang w:val="en-US" w:eastAsia="zh-CN" w:bidi="ar"/>
        </w:rPr>
        <w:t>3.</w:t>
      </w:r>
      <w:r>
        <w:rPr>
          <w:rFonts w:hint="default" w:ascii="Times New Roman" w:hAnsi="Times New Roman" w:eastAsia="仿宋_GB2312" w:cs="Times New Roman"/>
          <w:strike w:val="0"/>
          <w:sz w:val="32"/>
          <w:szCs w:val="32"/>
          <w:u w:val="none"/>
          <w:lang w:bidi="ar"/>
        </w:rPr>
        <w:t>部门预算项目支出绩效</w:t>
      </w:r>
      <w:r>
        <w:rPr>
          <w:rFonts w:hint="default" w:ascii="Times New Roman" w:hAnsi="Times New Roman" w:eastAsia="仿宋_GB2312" w:cs="Times New Roman"/>
          <w:strike w:val="0"/>
          <w:sz w:val="32"/>
          <w:szCs w:val="32"/>
          <w:u w:val="none"/>
          <w:lang w:eastAsia="zh-CN" w:bidi="ar"/>
        </w:rPr>
        <w:t>评价</w:t>
      </w:r>
      <w:r>
        <w:rPr>
          <w:rFonts w:hint="default" w:ascii="Times New Roman" w:hAnsi="Times New Roman" w:eastAsia="仿宋_GB2312" w:cs="Times New Roman"/>
          <w:strike w:val="0"/>
          <w:sz w:val="32"/>
          <w:szCs w:val="32"/>
          <w:u w:val="none"/>
          <w:lang w:bidi="ar"/>
        </w:rPr>
        <w:t>表</w:t>
      </w:r>
      <w:r>
        <w:rPr>
          <w:rFonts w:hint="default" w:ascii="Times New Roman" w:hAnsi="Times New Roman" w:eastAsia="仿宋_GB2312" w:cs="Times New Roman"/>
          <w:strike w:val="0"/>
          <w:sz w:val="32"/>
          <w:szCs w:val="32"/>
          <w:u w:val="none"/>
          <w:lang w:eastAsia="zh-CN" w:bidi="ar"/>
        </w:rPr>
        <w:t>（202</w:t>
      </w:r>
      <w:r>
        <w:rPr>
          <w:rFonts w:hint="default" w:ascii="Times New Roman" w:hAnsi="Times New Roman" w:eastAsia="仿宋_GB2312" w:cs="Times New Roman"/>
          <w:strike w:val="0"/>
          <w:sz w:val="32"/>
          <w:szCs w:val="32"/>
          <w:u w:val="none"/>
          <w:lang w:val="en-US" w:eastAsia="zh-CN" w:bidi="ar"/>
        </w:rPr>
        <w:t>4</w:t>
      </w:r>
      <w:r>
        <w:rPr>
          <w:rFonts w:hint="default" w:ascii="Times New Roman" w:hAnsi="Times New Roman" w:eastAsia="仿宋_GB2312" w:cs="Times New Roman"/>
          <w:strike w:val="0"/>
          <w:sz w:val="32"/>
          <w:szCs w:val="32"/>
          <w:u w:val="none"/>
          <w:lang w:eastAsia="zh-CN" w:bidi="ar"/>
        </w:rPr>
        <w:t>年度）</w:t>
      </w:r>
    </w:p>
    <w:p>
      <w:pPr>
        <w:keepNext w:val="0"/>
        <w:keepLines w:val="0"/>
        <w:pageBreakBefore w:val="0"/>
        <w:kinsoku/>
        <w:wordWrap/>
        <w:overflowPunct/>
        <w:topLinePunct w:val="0"/>
        <w:autoSpaceDE/>
        <w:autoSpaceDN/>
        <w:bidi w:val="0"/>
        <w:snapToGrid w:val="0"/>
        <w:spacing w:line="578" w:lineRule="exact"/>
        <w:ind w:firstLine="1600" w:firstLineChars="500"/>
        <w:textAlignment w:val="auto"/>
        <w:rPr>
          <w:rFonts w:hint="default" w:ascii="Times New Roman" w:hAnsi="Times New Roman" w:eastAsia="仿宋_GB2312" w:cs="Times New Roman"/>
          <w:strike w:val="0"/>
          <w:sz w:val="32"/>
          <w:szCs w:val="32"/>
          <w:u w:val="none"/>
          <w:lang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sz w:val="32"/>
          <w:szCs w:val="32"/>
          <w:lang w:val="en-US" w:eastAsia="zh-CN"/>
        </w:rPr>
        <w:t xml:space="preserve">                      </w:t>
      </w:r>
      <w:r>
        <w:rPr>
          <w:rFonts w:hint="eastAsia" w:ascii="仿宋_GB2312" w:eastAsia="仿宋_GB2312"/>
          <w:sz w:val="32"/>
          <w:szCs w:val="32"/>
          <w:lang w:val="en-US" w:eastAsia="zh-CN"/>
        </w:rPr>
        <w:t>金川县应急管理局</w:t>
      </w: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2025年4月28日</w:t>
      </w: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78" w:lineRule="exact"/>
        <w:jc w:val="left"/>
        <w:textAlignment w:val="auto"/>
        <w:rPr>
          <w:rFonts w:hint="eastAsia"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1</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7"/>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8"/>
        <w:gridCol w:w="1250"/>
        <w:gridCol w:w="1953"/>
        <w:gridCol w:w="720"/>
        <w:gridCol w:w="4734"/>
        <w:gridCol w:w="756"/>
        <w:gridCol w:w="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92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25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安全生产监管</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250"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防灾减灾</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250"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kern w:val="0"/>
                <w:sz w:val="24"/>
                <w:szCs w:val="24"/>
                <w:u w:val="none"/>
                <w:lang w:val="en-US" w:eastAsia="zh-CN" w:bidi="ar"/>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森林草原防灭火</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34"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25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2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7"/>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57"/>
        <w:gridCol w:w="1399"/>
        <w:gridCol w:w="1273"/>
        <w:gridCol w:w="1100"/>
        <w:gridCol w:w="1144"/>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1890.03</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1890.03</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30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落实应急管理工作的重要部署，严肃查处安全生产的非法行为，预警各类灾害，力争降低灾害造成的生命财产安全。有效遏制各类安全事故发生。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80"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安全生产监管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组织和指导各乡镇、县级各部门（单位）应对安全生产类突发事件。负责安全生产综合监督管理和辖区内工矿商贸行业企业安全生产监督管理工作。2、拟定安全生产等有关规范性文件，组织编制安全生产专项预案。3、依法行使安全生产综合监督管理职权，指导协调、监督检查县安委会成员单位安全生产工作，组织开展安全生产巡查、考核工作。4、按照分级、属地原则，依法监督检查工矿商贸生产经营单位贯彻执行安全生产法律法规情况及其安全生产条件和有关设备（特种设备除外）、材料、劳动防护用品的安全生产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40"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应急管理事务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负责自然灾害信息以及举报信息的办理工作，承担自然灾害类突发事件预警和灾情信息发布工作。承担县级灾害指挥部综合性工作和现场协调保障工作，协助协调调动相关应急队伍和资源。承担协助县委县政府指定的负责同志组织的灾害应急处置有关工作。组织拟订自然灾害分级应对制度并组织实施。负责协调县应急指挥平台建设、运行管理，督促指导乡镇应急值守和应急管理工作，响应支援乡镇部门的灾害应急处置，衔接驻军和武警部队参与应急救援工作。组织编制县级总体应急预案和自然灾害类、安全生产类专项预案并负责各类应急预案衔接协调，承担预案演练的组织实施和指导监督工作，统筹专业应急救援力量建设，指导社会应急救援力量建设，组织指导应急救援社会动员工作。承担县突发公共事件应急委员会办公室日常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消防事务</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负责消防工作，开展全县消防监督、火灾预防、火灾扑救等工作。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自然灾害防治</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指导协调森林火灾、水旱、地震和地质灾害等防治工作，负责自然灾害综合监测预警工作，组织开展自然灾害综合风险评估工作。2、组织协调灾害救助工作，负责灾情核查、损失评估、救灾捐赠工作，管理、分配救灾款物并监督使用。4、负责风险监测预警、综合防灾减灾、物资保障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5"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科目调整次数</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人员经费足额保障率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预算编制准确率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按时发放率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eastAsia="宋体" w:cs="Times New Roman"/>
                <w:i w:val="0"/>
                <w:color w:val="000000"/>
                <w:kern w:val="0"/>
                <w:sz w:val="24"/>
                <w:szCs w:val="24"/>
                <w:u w:val="none"/>
                <w:lang w:val="en-US" w:eastAsia="zh-CN" w:bidi="ar"/>
              </w:rPr>
              <w:t>经济</w:t>
            </w:r>
            <w:r>
              <w:rPr>
                <w:rFonts w:hint="default" w:ascii="Times New Roman" w:hAnsi="Times New Roman" w:eastAsia="宋体" w:cs="Times New Roman"/>
                <w:i w:val="0"/>
                <w:color w:val="000000"/>
                <w:kern w:val="0"/>
                <w:sz w:val="24"/>
                <w:szCs w:val="24"/>
                <w:u w:val="none"/>
                <w:lang w:val="en-US" w:eastAsia="zh-CN" w:bidi="ar"/>
              </w:rPr>
              <w:t>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三公经费控制率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273"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预算结余率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运转保障率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eastAsia" w:ascii="Times New Roman" w:hAnsi="Times New Roman"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bl>
    <w:p>
      <w:pPr>
        <w:rPr>
          <w:rFonts w:hint="default"/>
          <w:lang w:val="en-US" w:eastAsia="zh-CN"/>
        </w:rPr>
      </w:pPr>
    </w:p>
    <w:p>
      <w:pPr>
        <w:pStyle w:val="1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p>
    <w:p>
      <w:pPr>
        <w:pStyle w:val="1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5"/>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12"/>
        <w:gridCol w:w="847"/>
        <w:gridCol w:w="1139"/>
        <w:gridCol w:w="396"/>
        <w:gridCol w:w="936"/>
        <w:gridCol w:w="396"/>
        <w:gridCol w:w="936"/>
        <w:gridCol w:w="486"/>
        <w:gridCol w:w="487"/>
        <w:gridCol w:w="1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57" w:name="_Toc15396618"/>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51322622T000006523831-森林草原防灭火工作经费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森林草原防灭火工作在县委、县政府的正确领导下，在领导的关心关怀下，指挥部办公室购置了部分办公设备，充实了人员力量，取得了较好的成绩。但在实际工作开展中仍存在办公经费不足、宣传力度不够等问题，本项目的实施有序的推进森林草原防灭火工作，不断提高我县森林草原防灭火能力，提高森林防灭火应对能力，处置水平。加强了宣传力度，提升广大人民群众防灭火意识，进一步提高了群众对森林草原防火的认识，提高了应对能力，减少了人民生命财产损失。</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2024年度，在森林草原防灭火工作上，通过完善基础保障、强化宣传、组织演练及严格防控，提升了防灭火能力与群众意识，经费预算执行率达99.87%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制定森林草原防灭火工作方案，明确责任分工，同时购置办公设备、充实人员力量，做好筹备。期间，通过张贴海报、举办讲座、新媒体等多渠道开展宣传，提升群众防灭火意识。定期组织火灾演练，模拟火情以检验和提升应急队伍能力。防火期内加强巡查巡检，严控野外火源，遇火情迅速响应、科学扑救，高效处置火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99.87%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全年森林草原防灭火宣传</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全年森林草原防灭火演练</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森林草原防灭火工作经费使用率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项目完成期限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提升广大人民群众防灭火意识</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提高我县森林草原防灭火应对能力及处置水平</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18.97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该项目立项必要性和依据充分，绩效目标明确，具备实施条件 ， 具有公共性， 符合财政资金支持方向等 。自评得分100 分，评估等级优。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我单位将进一步优化完善实施方案和绩效目标，加强运行监控，节约财政资金并提升资金效益，提升预算绩效管理水平。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51322622T000007416690-金川县森林草原防灭火指挥部办公室车辆购置项目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据《县编制委员会关于调整森林草原防灭火工作机构编制事项的通知》（金编委发〔2020〕54号），县森林草原防灭火指挥部办公室由县林草局划入我局，由县应急管理局承担县森林草原防灭火指挥部办公室日常工作。县林草局依据资金性质和用途，2021年11月29日拟定《生态保护支撑专项2021年中央预算内投资计划资金分配方案》，其中分配国产型特种专业技术指挥车32万元，划拨给县森林草原防灭火指挥部办公室。用于加强全县森林草原防灭火指挥能力体系建设，提高全县森林草原防灭火应急指挥响应能力，最大限度降低人员伤亡和财产损失，具有明显的经济、社会、环境或可持续性效益等必要性。</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已完成车辆购置及资金拨付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采购金川县森林草原防灭火指挥部办公室车辆购置1辆，已支付购车购车费294000元、因2022年因疫情原因车辆购置税减半、支付购置税13008.85元，剩余资金12991.15元于2022年底财政整合。2023年我局对该车辆办理了上户，税务部门对该车辆购置税进行全额征收26017.70元，需补缴购置税13800.85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购置车辆数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购置车辆验收合格率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最大限度降低人员伤亡和财产损失</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加强全县森林草原防灭火指挥能力体系建设</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提高全县森林草原防灭火应急指挥响应能力</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32.00177</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32.00177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51322623T000008655212-四川省应急救援能力提升行动计划项目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5"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委县政府高度重视森林草原、防灾减灾、抢险救援工作，牢固树立“以人民为中心、人民至上、生命至上”理念，在财力匮乏情况下，每年安排专项资金相继采购了抢险救援、备灾等装备物资，基本满足局部、一般自然灾害实际需求，确保受灾群众“有吃、有住、有穿、有喝、有救治”，全力维护社会安全稳定。但在应对突发灾害时，暴露出力量、物资、救援装备不足和短板，防灾减灾形势压力增大：一是地震灾害多发频发。我县位于青藏高原龙门上断裂带，属于地震灾害频发地区，近年来国内、省内、州内地震灾害活动频繁呈多发趋势，严重威胁着人民群众生命财产安全，二是防灾减灾形势严峻。我县属于高山峡谷地带，地形地貌复杂，强暴雨、冰雹、强雷电等极端天气增多，进入汛期极易引发滑坡、崩塌、山洪泥石流等次生灾害，防灾减灾任务繁重而艰巨。三是森林火险等级较高。我县属全省林业大县之一，森林草原资源广袤、是全省35个高危火险县之一，生产生活、宗教、野外用火等活动管控难度大，冬春季森林草原防灭火形势严峻，急需通过本项目建设来提高通讯指挥应急处置能力，最大限度降低人员伤亡和财产损失。</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已完成通讯指挥车、办公设备采购、指挥场所改造及资金拨付。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2024年州机关事务管理局为我单位统一采购通讯指挥车，资金40万。按照合同约定，2023年支付金川县应急指挥场所改造建设项目四川华茂晟峰建筑工程有限公司预付款43.32万元，县应急指挥中心办公室需购置定制办公桌1张、办公椅10张，框架协议电脑7台及操作软件、彩色打印机2台、框架协议空调2台及配套设备，笔记本电脑2台及系统软件，预算采购资金10万元，共计安排预算资金85.68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85.68</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97.60%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85.68</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97.60%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购置车辆数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辆</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购买车辆合格率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购买车辆时限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最大限度降低人员伤亡和财产损失</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加强全县应急救援能力体系建设</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85.68</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83.62</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该项目立项必要性和依据充分，绩效目标明确，具备实施条件，具有公共性，符合财政资金支持方向等。自评得分100分，评估等级为优。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51322624T000009954529-安全生产第三方技术服务采购项目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过政府购买服务方式，聘请第三方机构安全专家对危险化学品生产企业和非煤矿山等开展“会诊”式安全检查，推动企业安全生产隐患得到及时有效整治，有效杜绝了重特大生产安全事故的发生，为全县安全生产形势平稳好转起到了积极作用。有效解决金川县安全监管专业力量不足、专业技术水平欠缺等问题，引导社会技术力量参与安全生产公共服务、企业安全生产隐患排查治理等工作，增强安全生产工作的科学性、规范性、专业性，促进安全生产工作有序有效进行，提供安全检查技术支撑，进一步提升企业整体安全防控水平。</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完成隐患巡查排查工作任务及资金拨付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开展隐患巡查排查，共涉及32家生产经营单位，其中：非煤矿山企业2家，危化生产经营企业7家，轻工2家，水电建设21家。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29.63</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29.63</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技术服务工作涵盖数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提供安全服务，开展隐患排查完整率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有效解决金川县安全监管专业力量不足、专业技术水平欠缺等问题</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提供安全检查技术支撑，进一步提升企业整体安全防控水平</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增强安全生产工作的科学性、规范性、专业性，促进安全生产工作有序有效进行</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29.6268</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29.6268</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该项目立项必要性和依据充分，绩效目标明确，具备实施条件，具有公共性，符合财政资金支持方向等。自评得分100分，评估等级为优。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51322624T000009955852-消防救援大队被装采购项目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消防救援大队被装购置解决了急需的专职消防员、消防文员、扑火队员被装、救援装备问题，有效提高了全县应急救援水平，加强了应急救援队伍正规化规范化管理，提升了队伍正规化规范化管理建设水平，提高森林火灾应急处置能力，最大限度降低人员伤亡和财产损失。</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已完成购置被装及资金拨付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购置被装2070件(套)198500元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19.85</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19.85</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需购置被装数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2070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2070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购置被装验收合格率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提升队伍正规化规范化管理建设水平</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加强应急救援队伍正规化规范化管理</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有效提高全县应急救援水平</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19.845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19.845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该项目立项必要性和依据充分，绩效目标明确，具备实施条件，具有公共性，符合财政资金支持方向等。自评得分100分，评估等级优。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51322624T000011171638-金川县森林草原防灭火物资装备采购项目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由于我县扑火队伍建设起步晚、底子薄、经济紧缺，目前个人防护装备、后勤保障严重缺配，无法满足平时执勤、训练、战备需求，全县森林草原防灭火物资储备品类少不齐、储备单一，部分物资数量不足，科技含量低，特别是现代救援装备设备少，难以及时满足较大、重大突发火灾应急扑救需求。极大影响制约扑救应急处置能力和备灾能力建设。本项目的实施能提升金川县森林草原专业扑火队员被装装备，确保做好金川县森林草原专业扑火队员装备保障工作，加强扑火队员正规化管理，提升应急救援能力建设，提高森林防灭火应对能力，处置水平。有效减少森林草原火灾对救援人员的生命安全的潜在威胁。</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完成采购森林草原防灭火物资装备及资金拨付1479500元。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采购森林草原防灭火物资装备共计20类450件，经核算所需资金1479500元。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147.95</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99.06%</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147.95</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99.06%</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采购森林草原防灭火物资装备数量</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采购物资装备验收合格率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加强扑火队员正规化管理，提升应急救援能力建设，提高森林防灭火应对能力，处置水平。</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提升金川县森林草原专业扑火队员被装装备，确保做好金川县森林草原专业扑火队员装备保障工作。</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有效减少森林草原火灾对救援人员的生命安全的潜在威胁。</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147.95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该项目立项必要性、依据充分，绩效目标明确，具备实施条件，具有公共性，符合财政资金支持方向等。单位自评得分100分，评估等级为优。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51322624T000011305644-2023-2024年冬春困难群众生活救助项目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 “以人为本、政府主导、分级管理、社会互助、灾民自救”的原则，各乡镇应实事求是，本着公平、公正、公开、透明的原则，以高度的政治责任感和对党、对人民高度负责的工作责任心，切实解决冬春期间因灾困难群众基本生活保障问题，确保受灾群众人心稳定、社会安定。</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已在2024年1月完成发放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通过“一卡通”阳光审批系统“户报、村评、乡审、县定”的审批程序核准救助对象，收集被救助对象相关基础资料，收集数据信息等，再通过“金保网”发放到受灾群众手中。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8.29</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8.29</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冬春临时生活困难补助户数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补助发放完成率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补助发放完成时限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确保受灾群众温暖过冬、安全度荒</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确保受灾群众人心稳定、社会安定</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保障我县今冬明春期间因灾困难群众的基本生活</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8.2943</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8.2943</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综合前述评估内容来看，该项目立项必要性和依据是充分，绩效目标是明确，是具备实施条件，是具有公共性，是符合财政资金支持方向等。该项目申请资金总预算 8.2943 万元，经评审，对全县各乡镇受灾困难群众进行救助，切实解决冬春期间因灾困难群众基本生活保障问题，确保受灾群众人心稳定、社会安定。单位自评得分100分，评估等级为优。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51322624T000011816905-安全生产工作经费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战化专班严格依照安全生产法律法规的要求，认真开展安全生产各项工作，为全县安全生产形势的总体平稳发挥了一定作用，切实加强了县安办的工作力量，运行经费的保障确保安办实战化专班正常运行，从而更好推进安全生产各项工作开展。提高了广大人民群众的安全防范意识；减少了各类安全事故发生，提高了风险防范意识及处置水平。</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各级领导的关心关怀下，认真开展安全生产相关工作，有力确保了全县安全生产形势总体平稳。为进一步推进我县安全生产工作，现特请解决安全生产宣传打印费用、办公费、专班人员值班、下乡津贴费用、租车费等共计20万元（贰拾万元整），用于2024年安全生产工作相关开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99.61%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全面发布安全预警提示信息</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安全生产巡查、检查等</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全年巡查、检查问题督促整改达标率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推进安全生产各项工作开展</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提高了广大人民群众安全防范意识</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减少各类安全事故发生，提高风险防范意识及处置水平</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19.92</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该项目立项必要性、依据充分，绩效目标明确，具备实施条件，具有公共性，符合财政资金支持方向等。单位自评得分100分，评估等级为优。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51322624T000011825056-金川县应急管理局应急管理值班补贴经费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管理事关人民群众生命财产安全，事关社会大局稳定和国家长治久安。实施应急管理值班补贴政策，是以习近平同志为核心的党中央对应急管理高风险、高负荷、高压力职业特点和牺牲奉献职业精神的充分肯定，是增强应急管理工作职业尊崇、提升应急管理职业荣誉感和吸引力的制度举措，体现了党和国家对应急管理系统广大干部职工的高度重视和亲切关怀。提高政治站位，教育引导广大干部职工知党恩、感党恩、报党恩，始终以极端负责的精神履职尽责，坚决扛起防风险保安全护稳定促发展的政治责任。</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在县委、县政府的正确领导下，完成了全年应急值守任务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用于在法定工作日8小时之外或正常休息日、法定节假日承担接报处理灾害事故信息、参与处置灾害事故、研判灾害事故态势、协调调动应急资源、传达落实上级决策部署等应急值守任务.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29.58</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29.58</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应急管理值班累计人次</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3221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3221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应急管理值班补贴经费使用率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提高我县应急管理能力</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增强了坚决扛起防风险保安全护稳定促发展的政治责任。</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提升了应急管理职业荣誉感和吸引力</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29.58</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29.58</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通过实施金川县应急管理局应急管理值班补贴经费项目，社会效益比较显著，群众满意率达到100%。从相关评价指标体系数据分析来看，项目管理规范，资金管理到位，档案材料齐全，资金拨付程序规范，无截留、挤占、挪用等现象。经自评，项目资金综合评分均为100分，绩效评价结论为“优”。完成了预期的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51322624T000011933275-2023年非煤矿及重点非煤矿山重大灾害风险防控项目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此项目的实施，有助于降低非煤矿山重点行业领域安全隐患，使矿山安全生产责任体系完善，提高矿区地质灾害防范意识，对边坡位移时时监控，为矿山安全生产提供长期保障.井下人员定位实时传输、有毒有害气体实时监测报警，提供长期有效的预警、调度、安全生产保障。提升矿区从业人员安全意识和人员水平，树立安全生产“安全第一、预防为主、安全发展”和突出“以人民为中心、以民为先”理念，突出安全生产工作重点，加强全县安全生产监管能力能力体系建设，最大限度降低人员伤亡和财产损失，具有明显的社会效益等必要性。</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随着全县社会经济事业全面发展，非煤矿山重点行业领域安全隐患突出，按照要求德鑫矿业及奥伊诺矿业有限公司在采场危险区域、高陡边坡、排土场、尾矿库库区周边（干滩）、排洪设施、井下危险区域、井下皮带机头、机尾、井底车场、马头门等关键地点、重要部位安装高清摄像机和图像智能分析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148.50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148.50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148.50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148.50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视频智能监控子系统</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地下智能监测监控子系统联网（一期）。</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验收达标率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使矿山安全生产责任体系完善，提高矿区地质灾害防范意识</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最大限度降低人员伤亡和财产损失</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提供长期有效的预警、调度、安全生产保障</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该项目立项必要性、依据充分，绩效目标明确，具备实施条件，具有公共性，符合财政资金支持方向等。单位自评得分100分，评估等级为优。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51322625T000012134898-金川县防灾减灾物资装备采购项目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委县政府高度重视防灾减灾工作，在财力匮乏情况下，每年安排专项资金采购了防灾减灾物资装备，基本满足局部、一般发生事故实际需求，有效降低了灾害造成的人员伤亡和财产损失风险，全力维护社会安全稳定。但在应对突发事故时，同时暴露出扑救力量、物资、装备不足和短板，这些问题极大影响制约应急处置能力和备灾能力建设。此项目的实施有效降低了灾害造成的人员伤亡和财产损失风险，提高了应急处置能力和备灾能力建设，提高扑救能力水平。缓解了我县力量、物资、救援装备不足和短板等问题。</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实际采购防灾减灾、应急救援装备物资共计48类30542件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采购防灾减灾、应急救援装备物资共计48类34704件，经核算所需资金1729790元。实际采购防灾减灾、应急救援装备物资共计48类30542件，2024年12月31日确定中标供应商四川德汇晟兴建筑工程有限公司，中标金额155.5745万元，现我局已与中标供应商四川德汇晟兴建筑工程有限公司签订采购合同，合同金额155.5745万元，需支付该项目专家评审费0.56万元。防灾减灾物资装备采购和专家评审费资金共计156.1345万元为盼。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172.98</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156.13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172.98</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156.13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采购物资数量</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30548</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30548</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采购物资验收合格率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项目按时完成时限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提高应急处置能力和备灾能力</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提高扑救能力和指标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有效降低灾害造成的人员伤亡和财产损失风险</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172.979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156.13</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该项目立项必要性、依据充分，绩效目标明确，具备实施条件，具有公共性，符合财政资金支持方向等。单位自评得分99分，评估等级为优。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 xml:space="preserve">   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51322625T000012280465-2024年应急抢险救灾经费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遭受持续强降雨袭击，造成全县范围内不同程度出现山洪泥石流灾害，特别是安宁镇、卡撒乡、曾达乡受灾极其严重。灾害发生后，县委、县政府高度重视，第一时间启动应急预案，及时开展抢险救灾相关工作，目前，全县防灾减灾形势总体平稳。此项目的实施加快推动了金川县“7·29”灾害应急抢险救援工作，持续提升秋季防汛抗旱工作效能。确保当前应急抢险各项工作有序开展，扎实抓好灾害救援和秋汛备战，提升防灾救灾工作质效。</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已完成曾达沟内泥石流堆积物23.35万方。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曾达沟内泥石流堆积物23.35万方，疏浚长度11.4公里;卡撒沟17.39万方，疏浚长度14.8公里，共计清淤40.74万方，投入机械等费用1500万元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625.00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624.98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625.00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624.98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急抢险救灾经费涉及乡镇（部门）</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抢险救灾验收合格率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持续提升秋季防汛抗旱工作效能</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加快推动金川县“7·29”灾害应急抢险救援工作，确保当前应急抢险各项工作有序开展</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扎实抓好灾害救援和秋汛备战，提升防灾救灾工作质效</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625</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624.98</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51322625T000012284420-中央和省级自然灾害救灾（受灾群众救助）预拨资金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我县遭受了泥石流等自然灾害，致使部分受灾群众家庭带来一定的影响。按照《关于预拨中央和省级自然灾害救灾资金的通知》（阿州财建【2024】56号)及《关于预拨中央和省级自然灾害救灾资金的通知》（金财建资【2024】31号）文件要求，为保障我县2024年因洪涝灾害受灾群众救助的基本生活，切实解决因灾困难群众基本生活保障问题，确保受灾群众人心稳定、社会安定。</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应急期生活补助及过渡生活补助已2024年12月完成发放；全县重建倒塌房屋17户，修缮损坏房屋126户，预计重建房屋工作具体完成时限2025年9月底之前，修缮房屋已完成维修，正在完成验收，4月底之前完成验收，验收合格后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通过“一卡通”阳光审批系统“户报、村评、乡审、县定”的审批程序核准救助对象，收集被救助对象相关基础资料，收集数据信息等，再通过“金保网”发放到受灾群众手中。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200.36</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62.66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全县重建倒塌房屋17户，修缮损坏房屋126户，预计重建房屋工作具体完成时限2025年9月底之前，修缮房屋已完成维修，正在完成验收，4月底之前完成验收，验收合格后拨款。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200.36</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62.66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31.27%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应急期生活补助人数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431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431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过渡生活补助人数</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221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补助发放完成率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补助发放完成时限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确保受灾群众人心稳定、社会安定</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切实解决因灾困难群众基本生活保障问题</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200.36</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62.66</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 xml:space="preserve"> 全县重建倒塌房屋17户，修缮损坏房屋126户，预计重建房屋工作具体完成时限2025年9月底之前，修缮房屋已完成维修，正在完成验收，4月底之前完成验收，验收合格后拨款。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综合前述评估内容来看，该项目立项必要性和依据是充分，绩效目标是明确，是具备实施条件，是具有公共性，是符合财政资金支持方向等。建议予以支持，预算控制在 200.36万元以内。该项目申请资金总预算200.36万元，经评审，切实解决因灾困难群众基本生活保障问题，确保受灾群众人心稳定、社会安定。自评得分93分，评估等级为优。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51322625T000012285941-2024年州级自然灾害应急资金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8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金川县应急管理局本级</w:t>
            </w:r>
          </w:p>
        </w:tc>
        <w:tc>
          <w:tcPr>
            <w:tcW w:w="357"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153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金川县应急管理局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在应对突发事故时，同时暴露出扑救力量、物资、装备不足和短板，这些问题极大影响制约应急处置能力和备灾能力建设。加之我县受地理条件制约，山高林立、沟壑纵横，乡镇偏远，距离县城主要应急扑救力量、扑救物资装备较远，一旦发生突发事故，扑救力量和应急物资装备难以在第一时间到达现场，极大影响扑救能力和水平，需采购物资进行前置乡镇一线，急需采购防灾减灾、应急救援装备物资共计5类97件。</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   完成88个村天通卫星、水下照相机、干式救援服以及除颤仪采购。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4105"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用于全县88个村天通卫星、水下照相机、干式救援服以及除颤仪等重点抢险救援装备采购，进一步加强和完善抢险救援能力建设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89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采购防灾减灾、应急救援装备物资数量</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97</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抢险救援物资装备采购验收合格率</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抢险救援物资装备采购完成时限</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有效提升应急救援处置能力和备灾能力建设</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有效缓解抢险救援物资装备不足等问题</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提高抢险救援能力，有效降低了灾害造成的人员伤亡和财产损失风险，全力维护社会安全稳定。</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受益对象满意度</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2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7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成本控制价</w:t>
            </w:r>
          </w:p>
        </w:tc>
        <w:tc>
          <w:tcPr>
            <w:tcW w:w="1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99.15</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463"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16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1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该项目立项必要性、依据充分，绩效目标明确，具备实施条件，具有公共性，符合财政资金支持方向等。自评得分100分，评估等级为优。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4775"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26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4"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6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7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74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548"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7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357"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65"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59"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c>
          <w:tcPr>
            <w:tcW w:w="1211"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适用用户：部门用户、单位用户</w:t>
            </w:r>
          </w:p>
        </w:tc>
      </w:tr>
    </w:tbl>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54"/>
      <w:bookmarkEnd w:id="57"/>
      <w:bookmarkStart w:id="58"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0"/>
      <w:r>
        <w:rPr>
          <w:rFonts w:hint="eastAsia" w:ascii="Times New Roman" w:hAnsi="Times New Roman" w:eastAsia="仿宋_GB2312" w:cs="仿宋_GB2312"/>
          <w:color w:val="auto"/>
          <w:sz w:val="32"/>
          <w:szCs w:val="32"/>
          <w:highlight w:val="none"/>
        </w:rPr>
        <w:t>二、收入决算表</w:t>
      </w:r>
      <w:bookmarkEnd w:id="5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1"/>
      <w:r>
        <w:rPr>
          <w:rFonts w:hint="eastAsia" w:ascii="Times New Roman" w:hAnsi="Times New Roman" w:eastAsia="仿宋_GB2312" w:cs="仿宋_GB2312"/>
          <w:color w:val="auto"/>
          <w:sz w:val="32"/>
          <w:szCs w:val="32"/>
          <w:highlight w:val="none"/>
        </w:rPr>
        <w:t>三、支出决算表</w:t>
      </w:r>
      <w:bookmarkEnd w:id="60"/>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2"/>
      <w:r>
        <w:rPr>
          <w:rFonts w:hint="eastAsia" w:ascii="Times New Roman" w:hAnsi="Times New Roman" w:eastAsia="仿宋_GB2312" w:cs="仿宋_GB2312"/>
          <w:color w:val="auto"/>
          <w:sz w:val="32"/>
          <w:szCs w:val="32"/>
          <w:highlight w:val="none"/>
        </w:rPr>
        <w:t>四、财政拨款收入支出决算总表</w:t>
      </w:r>
      <w:bookmarkEnd w:id="6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3"/>
      <w:r>
        <w:rPr>
          <w:rFonts w:hint="eastAsia" w:ascii="Times New Roman" w:hAnsi="Times New Roman" w:eastAsia="仿宋_GB2312" w:cs="仿宋_GB2312"/>
          <w:color w:val="auto"/>
          <w:sz w:val="32"/>
          <w:szCs w:val="32"/>
          <w:highlight w:val="none"/>
        </w:rPr>
        <w:t>五、财政拨款支出决算明细表</w:t>
      </w:r>
      <w:bookmarkEnd w:id="62"/>
      <w:bookmarkStart w:id="63"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5"/>
      <w:r>
        <w:rPr>
          <w:rFonts w:hint="eastAsia" w:ascii="Times New Roman" w:hAnsi="Times New Roman" w:eastAsia="仿宋_GB2312" w:cs="仿宋_GB2312"/>
          <w:color w:val="auto"/>
          <w:sz w:val="32"/>
          <w:szCs w:val="32"/>
          <w:highlight w:val="none"/>
        </w:rPr>
        <w:t>七、一般公共预算财政拨款支出决算明细表</w:t>
      </w:r>
      <w:bookmarkEnd w:id="6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6"/>
      <w:r>
        <w:rPr>
          <w:rFonts w:hint="eastAsia" w:ascii="Times New Roman" w:hAnsi="Times New Roman" w:eastAsia="仿宋_GB2312" w:cs="仿宋_GB2312"/>
          <w:color w:val="auto"/>
          <w:sz w:val="32"/>
          <w:szCs w:val="32"/>
          <w:highlight w:val="none"/>
        </w:rPr>
        <w:t>八、一般公共预算财政拨款基本支出决算表</w:t>
      </w:r>
      <w:bookmarkEnd w:id="65"/>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7"/>
      <w:r>
        <w:rPr>
          <w:rFonts w:hint="eastAsia" w:ascii="Times New Roman" w:hAnsi="Times New Roman" w:eastAsia="仿宋_GB2312" w:cs="仿宋_GB2312"/>
          <w:color w:val="auto"/>
          <w:sz w:val="32"/>
          <w:szCs w:val="32"/>
          <w:highlight w:val="none"/>
        </w:rPr>
        <w:t>九、一般公共预算财政拨款项目支出决算表</w:t>
      </w:r>
      <w:bookmarkEnd w:id="6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8"/>
      <w:r>
        <w:rPr>
          <w:rFonts w:hint="eastAsia" w:ascii="Times New Roman" w:hAnsi="Times New Roman" w:eastAsia="仿宋_GB2312" w:cs="仿宋_GB2312"/>
          <w:color w:val="auto"/>
          <w:sz w:val="32"/>
          <w:szCs w:val="32"/>
          <w:highlight w:val="none"/>
        </w:rPr>
        <w:t>十、</w:t>
      </w:r>
      <w:bookmarkEnd w:id="67"/>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9"/>
      <w:r>
        <w:rPr>
          <w:rFonts w:hint="eastAsia" w:ascii="Times New Roman" w:hAnsi="Times New Roman" w:eastAsia="仿宋_GB2312" w:cs="仿宋_GB2312"/>
          <w:color w:val="auto"/>
          <w:sz w:val="32"/>
          <w:szCs w:val="32"/>
          <w:highlight w:val="none"/>
        </w:rPr>
        <w:t>十一、</w:t>
      </w:r>
      <w:bookmarkEnd w:id="6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30"/>
      <w:r>
        <w:rPr>
          <w:rFonts w:hint="eastAsia" w:ascii="Times New Roman" w:hAnsi="Times New Roman" w:eastAsia="仿宋_GB2312" w:cs="仿宋_GB2312"/>
          <w:color w:val="auto"/>
          <w:sz w:val="32"/>
          <w:szCs w:val="32"/>
          <w:highlight w:val="none"/>
        </w:rPr>
        <w:t>十二、</w:t>
      </w:r>
      <w:bookmarkEnd w:id="69"/>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lang w:eastAsia="zh-CN"/>
        </w:rPr>
      </w:pPr>
      <w:bookmarkStart w:id="70" w:name="_Toc15396631"/>
      <w:r>
        <w:rPr>
          <w:rFonts w:hint="eastAsia" w:ascii="Times New Roman" w:hAnsi="Times New Roman" w:eastAsia="仿宋_GB2312" w:cs="仿宋_GB2312"/>
          <w:color w:val="auto"/>
          <w:sz w:val="32"/>
          <w:szCs w:val="32"/>
          <w:highlight w:val="none"/>
        </w:rPr>
        <w:t>十三、</w:t>
      </w:r>
      <w:bookmarkEnd w:id="70"/>
      <w:r>
        <w:rPr>
          <w:rFonts w:hint="eastAsia" w:ascii="Times New Roman" w:hAnsi="Times New Roman" w:eastAsia="仿宋_GB2312" w:cs="仿宋_GB2312"/>
          <w:color w:val="auto"/>
          <w:sz w:val="32"/>
          <w:szCs w:val="32"/>
          <w:highlight w:val="none"/>
          <w:lang w:eastAsia="zh-CN"/>
        </w:rPr>
        <w:t>财政拨款“三公”经费支出决算表</w:t>
      </w:r>
    </w:p>
    <w:sectPr>
      <w:footerReference r:id="rId7" w:type="first"/>
      <w:footerReference r:id="rId6" w:type="default"/>
      <w:pgSz w:w="11906" w:h="16838"/>
      <w:pgMar w:top="2098" w:right="1474" w:bottom="1984" w:left="1587"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389"/>
        <w:tab w:val="right" w:pos="8306"/>
      </w:tabs>
      <w:rPr>
        <w:rFonts w:hint="eastAsia" w:eastAsiaTheme="minorEastAsia"/>
        <w:lang w:eastAsia="zh-CN"/>
      </w:rPr>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389"/>
        <w:tab w:val="right" w:pos="8306"/>
      </w:tabs>
      <w:rPr>
        <w:rFonts w:hint="eastAsia" w:eastAsiaTheme="minor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1910F3"/>
    <w:multiLevelType w:val="singleLevel"/>
    <w:tmpl w:val="C61910F3"/>
    <w:lvl w:ilvl="0" w:tentative="0">
      <w:start w:val="1"/>
      <w:numFmt w:val="chineseCounting"/>
      <w:suff w:val="nothing"/>
      <w:lvlText w:val="%1、"/>
      <w:lvlJc w:val="left"/>
      <w:rPr>
        <w:rFonts w:hint="eastAsia"/>
      </w:rPr>
    </w:lvl>
  </w:abstractNum>
  <w:abstractNum w:abstractNumId="1">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9BC031C"/>
    <w:rsid w:val="0A2032A3"/>
    <w:rsid w:val="0CA8290A"/>
    <w:rsid w:val="0D1F1111"/>
    <w:rsid w:val="0D35B1ED"/>
    <w:rsid w:val="0E254B6B"/>
    <w:rsid w:val="0F98263C"/>
    <w:rsid w:val="101860EC"/>
    <w:rsid w:val="101F47CC"/>
    <w:rsid w:val="10C055FF"/>
    <w:rsid w:val="11694EBD"/>
    <w:rsid w:val="11772AA4"/>
    <w:rsid w:val="118107EC"/>
    <w:rsid w:val="121046C7"/>
    <w:rsid w:val="12E24EE2"/>
    <w:rsid w:val="13D50BC4"/>
    <w:rsid w:val="14B17F78"/>
    <w:rsid w:val="151B490E"/>
    <w:rsid w:val="165E0673"/>
    <w:rsid w:val="16B831D5"/>
    <w:rsid w:val="16BB723D"/>
    <w:rsid w:val="16C67100"/>
    <w:rsid w:val="17E50567"/>
    <w:rsid w:val="186504BB"/>
    <w:rsid w:val="19A445FC"/>
    <w:rsid w:val="1AF9655B"/>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044D25"/>
    <w:rsid w:val="2BFF7BC6"/>
    <w:rsid w:val="2C8A61B5"/>
    <w:rsid w:val="2DF04E50"/>
    <w:rsid w:val="2E586DFA"/>
    <w:rsid w:val="2EBF1B03"/>
    <w:rsid w:val="2F040D46"/>
    <w:rsid w:val="2F5C3B54"/>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8DA7F27"/>
    <w:rsid w:val="39627CCD"/>
    <w:rsid w:val="397BAF1F"/>
    <w:rsid w:val="3AB79AF3"/>
    <w:rsid w:val="3AE834C0"/>
    <w:rsid w:val="3B7EF35A"/>
    <w:rsid w:val="3B9FDB6C"/>
    <w:rsid w:val="3BF5BC2F"/>
    <w:rsid w:val="3CEBA265"/>
    <w:rsid w:val="3D98207C"/>
    <w:rsid w:val="3DEE7CF3"/>
    <w:rsid w:val="3E4A41A8"/>
    <w:rsid w:val="3E740A63"/>
    <w:rsid w:val="3E78745D"/>
    <w:rsid w:val="3EE17838"/>
    <w:rsid w:val="3F55381A"/>
    <w:rsid w:val="3F7F7599"/>
    <w:rsid w:val="3FF4CAE0"/>
    <w:rsid w:val="3FF7B227"/>
    <w:rsid w:val="42001F6F"/>
    <w:rsid w:val="42FE2BBE"/>
    <w:rsid w:val="44E268DA"/>
    <w:rsid w:val="450D13D7"/>
    <w:rsid w:val="45506656"/>
    <w:rsid w:val="47AD4649"/>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6EC5957"/>
    <w:rsid w:val="57175D52"/>
    <w:rsid w:val="57BD3DD4"/>
    <w:rsid w:val="59226060"/>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25A4"/>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8"/>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4"/>
    <w:semiHidden/>
    <w:unhideWhenUsed/>
    <w:qFormat/>
    <w:uiPriority w:val="99"/>
    <w:rPr>
      <w:sz w:val="18"/>
      <w:szCs w:val="18"/>
    </w:rPr>
  </w:style>
  <w:style w:type="paragraph" w:styleId="9">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footnote text"/>
    <w:basedOn w:val="1"/>
    <w:next w:val="13"/>
    <w:semiHidden/>
    <w:qFormat/>
    <w:uiPriority w:val="0"/>
    <w:pPr>
      <w:snapToGrid w:val="0"/>
      <w:jc w:val="left"/>
    </w:pPr>
    <w:rPr>
      <w:sz w:val="18"/>
      <w:szCs w:val="18"/>
    </w:rPr>
  </w:style>
  <w:style w:type="paragraph" w:styleId="13">
    <w:name w:val="Body Text First Indent 2"/>
    <w:basedOn w:val="6"/>
    <w:unhideWhenUsed/>
    <w:qFormat/>
    <w:uiPriority w:val="99"/>
    <w:pPr>
      <w:ind w:firstLine="420" w:firstLine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next w:val="16"/>
    <w:qFormat/>
    <w:uiPriority w:val="0"/>
    <w:pPr>
      <w:widowControl/>
      <w:jc w:val="left"/>
    </w:pPr>
    <w:rPr>
      <w:rFonts w:ascii="宋体" w:cs="宋体"/>
      <w:kern w:val="0"/>
      <w:sz w:val="24"/>
      <w:szCs w:val="24"/>
    </w:rPr>
  </w:style>
  <w:style w:type="paragraph" w:customStyle="1" w:styleId="16">
    <w:name w:val="文本"/>
    <w:basedOn w:val="1"/>
    <w:qFormat/>
    <w:uiPriority w:val="0"/>
    <w:pPr>
      <w:widowControl/>
      <w:ind w:firstLine="720"/>
    </w:pPr>
    <w:rPr>
      <w:rFonts w:cs="宋体"/>
      <w:kern w:val="0"/>
      <w:szCs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Heading1"/>
    <w:basedOn w:val="1"/>
    <w:next w:val="1"/>
    <w:unhideWhenUsed/>
    <w:qFormat/>
    <w:uiPriority w:val="0"/>
    <w:pPr>
      <w:keepNext/>
      <w:keepLines/>
      <w:spacing w:before="340" w:after="330" w:line="578" w:lineRule="auto"/>
      <w:textAlignment w:val="baseline"/>
    </w:pPr>
    <w:rPr>
      <w:rFonts w:hint="default" w:eastAsia="方正小标宋简体"/>
      <w:kern w:val="44"/>
      <w:sz w:val="44"/>
      <w:szCs w:val="24"/>
      <w:lang w:bidi="ar-SA"/>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8"/>
    <w:semiHidden/>
    <w:qFormat/>
    <w:uiPriority w:val="99"/>
    <w:rPr>
      <w:rFonts w:ascii="Times New Roman" w:hAnsi="Times New Roman"/>
      <w:sz w:val="18"/>
      <w:szCs w:val="18"/>
    </w:rPr>
  </w:style>
  <w:style w:type="character" w:customStyle="1" w:styleId="24">
    <w:name w:val="页眉 Char"/>
    <w:link w:val="10"/>
    <w:semiHidden/>
    <w:qFormat/>
    <w:locked/>
    <w:uiPriority w:val="99"/>
    <w:rPr>
      <w:sz w:val="18"/>
    </w:rPr>
  </w:style>
  <w:style w:type="character" w:customStyle="1" w:styleId="25">
    <w:name w:val="Footer Char"/>
    <w:basedOn w:val="18"/>
    <w:semiHidden/>
    <w:qFormat/>
    <w:uiPriority w:val="99"/>
    <w:rPr>
      <w:rFonts w:ascii="Times New Roman" w:hAnsi="Times New Roman"/>
      <w:sz w:val="18"/>
      <w:szCs w:val="18"/>
    </w:rPr>
  </w:style>
  <w:style w:type="character" w:customStyle="1" w:styleId="26">
    <w:name w:val="页脚 Char"/>
    <w:link w:val="9"/>
    <w:qFormat/>
    <w:locked/>
    <w:uiPriority w:val="99"/>
    <w:rPr>
      <w:sz w:val="18"/>
    </w:rPr>
  </w:style>
  <w:style w:type="character" w:customStyle="1" w:styleId="27">
    <w:name w:val="Body Text Char"/>
    <w:basedOn w:val="18"/>
    <w:semiHidden/>
    <w:qFormat/>
    <w:uiPriority w:val="99"/>
    <w:rPr>
      <w:rFonts w:ascii="Times New Roman" w:hAnsi="Times New Roman"/>
      <w:szCs w:val="24"/>
    </w:rPr>
  </w:style>
  <w:style w:type="character" w:customStyle="1" w:styleId="28">
    <w:name w:val="正文文本 Char"/>
    <w:link w:val="5"/>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8"/>
    <w:link w:val="2"/>
    <w:qFormat/>
    <w:uiPriority w:val="9"/>
    <w:rPr>
      <w:rFonts w:ascii="Times New Roman" w:hAnsi="Times New Roman"/>
      <w:b/>
      <w:bCs/>
      <w:kern w:val="44"/>
      <w:sz w:val="44"/>
      <w:szCs w:val="44"/>
    </w:rPr>
  </w:style>
  <w:style w:type="character" w:customStyle="1" w:styleId="32">
    <w:name w:val="标题 2 Char"/>
    <w:basedOn w:val="18"/>
    <w:link w:val="3"/>
    <w:qFormat/>
    <w:uiPriority w:val="9"/>
    <w:rPr>
      <w:rFonts w:asciiTheme="majorHAnsi" w:hAnsiTheme="majorHAnsi" w:eastAsiaTheme="majorEastAsia" w:cstheme="majorBidi"/>
      <w:b/>
      <w:bCs/>
      <w:kern w:val="2"/>
      <w:sz w:val="32"/>
      <w:szCs w:val="32"/>
    </w:rPr>
  </w:style>
  <w:style w:type="paragraph" w:customStyle="1" w:styleId="33">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8"/>
    <w:link w:val="8"/>
    <w:semiHidden/>
    <w:qFormat/>
    <w:uiPriority w:val="99"/>
    <w:rPr>
      <w:rFonts w:ascii="Times New Roman" w:hAnsi="Times New Roman"/>
      <w:kern w:val="2"/>
      <w:sz w:val="18"/>
      <w:szCs w:val="18"/>
    </w:rPr>
  </w:style>
  <w:style w:type="character" w:customStyle="1" w:styleId="35">
    <w:name w:val="标题 3 Char"/>
    <w:basedOn w:val="18"/>
    <w:link w:val="4"/>
    <w:qFormat/>
    <w:uiPriority w:val="9"/>
    <w:rPr>
      <w:rFonts w:ascii="Times New Roman" w:hAnsi="Times New Roman"/>
      <w:b/>
      <w:bCs/>
      <w:kern w:val="2"/>
      <w:sz w:val="32"/>
      <w:szCs w:val="32"/>
    </w:rPr>
  </w:style>
  <w:style w:type="paragraph" w:customStyle="1" w:styleId="36">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8">
    <w:name w:val="正文1"/>
    <w:qFormat/>
    <w:uiPriority w:val="0"/>
    <w:pPr>
      <w:widowControl w:val="0"/>
      <w:suppressAutoHyphens w:val="0"/>
      <w:bidi w:val="0"/>
      <w:jc w:val="both"/>
    </w:pPr>
    <w:rPr>
      <w:rFonts w:ascii="Calibri" w:hAnsi="Calibri"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Temp\wps.gq9120\Workbook3.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D:\Temp\wps.Uh9120\Workbook1.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Temp\wps.Nl9120\Workbook7.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Temp\wps.fl9120\Workbook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收、支决算总体情况结构图</a:t>
            </a:r>
          </a:p>
        </c:rich>
      </c:tx>
      <c:layout>
        <c:manualLayout>
          <c:xMode val="edge"/>
          <c:yMode val="edge"/>
          <c:x val="0.2245"/>
          <c:y val="0.0494132180358246"/>
        </c:manualLayout>
      </c:layout>
      <c:overlay val="0"/>
      <c:spPr>
        <a:noFill/>
        <a:ln>
          <a:noFill/>
        </a:ln>
        <a:effectLst/>
      </c:spPr>
    </c:title>
    <c:autoTitleDeleted val="0"/>
    <c:plotArea>
      <c:layout>
        <c:manualLayout>
          <c:layoutTarget val="inner"/>
          <c:xMode val="edge"/>
          <c:yMode val="edge"/>
          <c:x val="0.0348773"/>
          <c:y val="0.213706258679707"/>
          <c:w val="0.9283727"/>
          <c:h val="0.63030434"/>
        </c:manualLayout>
      </c:layout>
      <c:barChart>
        <c:barDir val="col"/>
        <c:grouping val="clustered"/>
        <c:varyColors val="0"/>
        <c:ser>
          <c:idx val="0"/>
          <c:order val="0"/>
          <c:tx>
            <c:strRef>
              <c:f>Sheet1!$B$1</c:f>
              <c:strCache>
                <c:ptCount val="1"/>
                <c:pt idx="0">
                  <c:v>总收入</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1"/>
              <c:showVal val="1"/>
              <c:showCatName val="1"/>
              <c:showSerName val="1"/>
              <c:showPercent val="1"/>
              <c:showBubbleSize val="1"/>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numRef>
              <c:f>Sheet1!$A$2:$A$3</c:f>
              <c:numCache>
                <c:formatCode>General</c:formatCode>
                <c:ptCount val="2"/>
                <c:pt idx="0">
                  <c:v>2023</c:v>
                </c:pt>
                <c:pt idx="1">
                  <c:v>2024</c:v>
                </c:pt>
              </c:numCache>
            </c:numRef>
          </c:cat>
          <c:val>
            <c:numRef>
              <c:f>Sheet1!$B$2:$B$3</c:f>
              <c:numCache>
                <c:formatCode>General</c:formatCode>
                <c:ptCount val="2"/>
                <c:pt idx="0">
                  <c:v>1406.34</c:v>
                </c:pt>
                <c:pt idx="1">
                  <c:v>1890.03</c:v>
                </c:pt>
              </c:numCache>
            </c:numRef>
          </c:val>
        </c:ser>
        <c:ser>
          <c:idx val="1"/>
          <c:order val="1"/>
          <c:tx>
            <c:strRef>
              <c:f>Sheet1!$C$1</c:f>
              <c:strCache>
                <c:ptCount val="1"/>
                <c:pt idx="0">
                  <c:v>总支出</c:v>
                </c:pt>
              </c:strCache>
            </c:strRef>
          </c:tx>
          <c:spPr>
            <a:solidFill>
              <a:schemeClr val="accent2">
                <a:alpha val="85000"/>
              </a:schemeClr>
            </a:solidFill>
            <a:ln w="9525" cap="flat" cmpd="sng" algn="ctr">
              <a:solidFill>
                <a:schemeClr val="lt1">
                  <a:alpha val="50000"/>
                </a:schemeClr>
              </a:solidFill>
              <a:round/>
            </a:ln>
            <a:effectLst/>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1"/>
              <c:showVal val="1"/>
              <c:showCatName val="1"/>
              <c:showSerName val="1"/>
              <c:showPercent val="1"/>
              <c:showBubbleSize val="1"/>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1"/>
              <c:showVal val="1"/>
              <c:showCatName val="1"/>
              <c:showSerName val="1"/>
              <c:showPercent val="1"/>
              <c:showBubbleSiz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numRef>
              <c:f>Sheet1!$A$2:$A$3</c:f>
              <c:numCache>
                <c:formatCode>General</c:formatCode>
                <c:ptCount val="2"/>
                <c:pt idx="0">
                  <c:v>2023</c:v>
                </c:pt>
                <c:pt idx="1">
                  <c:v>2024</c:v>
                </c:pt>
              </c:numCache>
            </c:numRef>
          </c:cat>
          <c:val>
            <c:numRef>
              <c:f>Sheet1!$C$2:$C$3</c:f>
              <c:numCache>
                <c:formatCode>General</c:formatCode>
                <c:ptCount val="2"/>
                <c:pt idx="0">
                  <c:v>1406.34</c:v>
                </c:pt>
                <c:pt idx="1">
                  <c:v>1890.03</c:v>
                </c:pt>
              </c:numCache>
            </c:numRef>
          </c:val>
        </c:ser>
        <c:dLbls>
          <c:showLegendKey val="0"/>
          <c:showVal val="1"/>
          <c:showCatName val="0"/>
          <c:showSerName val="0"/>
          <c:showPercent val="0"/>
          <c:showBubbleSize val="0"/>
        </c:dLbls>
        <c:gapWidth val="65"/>
        <c:overlap val="0"/>
        <c:axId val="0"/>
        <c:axId val="1"/>
      </c:barChart>
      <c:catAx>
        <c:axId val="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
        <c:crosses val="autoZero"/>
        <c:auto val="1"/>
        <c:lblAlgn val="ctr"/>
        <c:lblOffset val="100"/>
        <c:noMultiLvlLbl val="0"/>
      </c:catAx>
      <c:valAx>
        <c:axId val="1"/>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0"/>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'[Workbook3.xlsx]Sheet1 (2)'!$A$2</c:f>
              <c:strCache>
                <c:ptCount val="1"/>
                <c:pt idx="0">
                  <c:v>收入决算结构图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'[Workbook3.xlsx]Sheet1 (2)'!$B$1</c:f>
              <c:strCache>
                <c:ptCount val="1"/>
                <c:pt idx="0">
                  <c:v>一般公共预算财政拨款收入</c:v>
                </c:pt>
              </c:strCache>
            </c:strRef>
          </c:cat>
          <c:val>
            <c:numRef>
              <c:f>'[Workbook3.xlsx]Sheet1 (2)'!$B$2</c:f>
              <c:numCache>
                <c:formatCode>General</c:formatCode>
                <c:ptCount val="1"/>
                <c:pt idx="0">
                  <c:v>1890.03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'[Workbook1.xlsx]Sheet1 (3)'!$B$1</c:f>
              <c:strCache>
                <c:ptCount val="1"/>
                <c:pt idx="0">
                  <c:v>支出决算结构图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'[Workbook1.xlsx]Sheet1 (3)'!$A$2:$A$3</c:f>
              <c:strCache>
                <c:ptCount val="2"/>
                <c:pt idx="0">
                  <c:v>基本支出</c:v>
                </c:pt>
                <c:pt idx="1">
                  <c:v>项目支出</c:v>
                </c:pt>
              </c:strCache>
            </c:strRef>
          </c:cat>
          <c:val>
            <c:numRef>
              <c:f>'[Workbook1.xlsx]Sheet1 (3)'!$B$2:$B$3</c:f>
              <c:numCache>
                <c:formatCode>General</c:formatCode>
                <c:ptCount val="2"/>
                <c:pt idx="0">
                  <c:v>696.18</c:v>
                </c:pt>
                <c:pt idx="1">
                  <c:v>1193.85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财政拨款收、支决算总体变动情况</a:t>
            </a:r>
          </a:p>
        </c:rich>
      </c:tx>
      <c:layout>
        <c:manualLayout>
          <c:xMode val="edge"/>
          <c:yMode val="edge"/>
          <c:x val="0.171157579957581"/>
          <c:y val="0.0485785507487685"/>
        </c:manualLayout>
      </c:layout>
      <c:overlay val="0"/>
      <c:spPr>
        <a:noFill/>
        <a:ln>
          <a:noFill/>
        </a:ln>
        <a:effectLst/>
      </c:spPr>
    </c:title>
    <c:autoTitleDeleted val="0"/>
    <c:plotArea>
      <c:layout>
        <c:manualLayout>
          <c:layoutTarget val="inner"/>
          <c:xMode val="edge"/>
          <c:yMode val="edge"/>
          <c:x val="0.0528323944693808"/>
          <c:y val="0.220309929078865"/>
          <c:w val="0.87405187"/>
          <c:h val="0.5316729"/>
        </c:manualLayout>
      </c:layout>
      <c:barChart>
        <c:barDir val="col"/>
        <c:grouping val="clustered"/>
        <c:varyColors val="0"/>
        <c:ser>
          <c:idx val="0"/>
          <c:order val="0"/>
          <c:tx>
            <c:strRef>
              <c:f>'Sheet1 (4)'!$A$2</c:f>
              <c:strCache>
                <c:ptCount val="1"/>
                <c:pt idx="0">
                  <c:v>2023</c:v>
                </c:pt>
              </c:strCache>
            </c:strRef>
          </c:tx>
          <c:spPr>
            <a:solidFill>
              <a:schemeClr val="accent1">
                <a:alpha val="85000"/>
              </a:schemeClr>
            </a:solidFill>
            <a:ln w="9525" cap="flat" cmpd="sng" algn="ctr">
              <a:solidFill>
                <a:schemeClr val="lt1">
                  <a:alpha val="50000"/>
                </a:schemeClr>
              </a:solidFill>
              <a:round/>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1406.34</c:v>
                </c:pt>
                <c:pt idx="1">
                  <c:v>1406.34</c:v>
                </c:pt>
              </c:numCache>
            </c:numRef>
          </c:val>
        </c:ser>
        <c:ser>
          <c:idx val="1"/>
          <c:order val="1"/>
          <c:tx>
            <c:strRef>
              <c:f>'Sheet1 (4)'!$A$3</c:f>
              <c:strCache>
                <c:ptCount val="1"/>
                <c:pt idx="0">
                  <c:v>2024</c:v>
                </c:pt>
              </c:strCache>
            </c:strRef>
          </c:tx>
          <c:spPr>
            <a:solidFill>
              <a:schemeClr val="accent2">
                <a:alpha val="85000"/>
              </a:schemeClr>
            </a:solidFill>
            <a:ln w="9525" cap="flat" cmpd="sng" algn="ctr">
              <a:solidFill>
                <a:schemeClr val="lt1">
                  <a:alpha val="50000"/>
                </a:schemeClr>
              </a:solidFill>
              <a:round/>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1890.03</c:v>
                </c:pt>
                <c:pt idx="1">
                  <c:v>1890.03</c:v>
                </c:pt>
              </c:numCache>
            </c:numRef>
          </c:val>
        </c:ser>
        <c:dLbls>
          <c:showLegendKey val="0"/>
          <c:showVal val="1"/>
          <c:showCatName val="0"/>
          <c:showSerName val="0"/>
          <c:showPercent val="0"/>
          <c:showBubbleSize val="0"/>
        </c:dLbls>
        <c:gapWidth val="65"/>
        <c:overlap val="0"/>
        <c:axId val="0"/>
        <c:axId val="1"/>
      </c:barChart>
      <c:catAx>
        <c:axId val="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
        <c:crosses val="autoZero"/>
        <c:auto val="1"/>
        <c:lblAlgn val="ctr"/>
        <c:lblOffset val="100"/>
        <c:noMultiLvlLbl val="0"/>
      </c:catAx>
      <c:valAx>
        <c:axId val="1"/>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0"/>
        <c:crossesAt val="1"/>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t>一般公共预算财政拨款支出决算变动情况</a:t>
            </a:r>
          </a:p>
        </c:rich>
      </c:tx>
      <c:layout>
        <c:manualLayout>
          <c:xMode val="edge"/>
          <c:yMode val="edge"/>
          <c:x val="0.113970588235294"/>
          <c:y val="0.0420904945633111"/>
        </c:manualLayout>
      </c:layout>
      <c:overlay val="0"/>
      <c:spPr>
        <a:noFill/>
        <a:ln>
          <a:noFill/>
        </a:ln>
        <a:effectLst/>
      </c:spPr>
    </c:title>
    <c:autoTitleDeleted val="0"/>
    <c:plotArea>
      <c:layout>
        <c:manualLayout>
          <c:layoutTarget val="inner"/>
          <c:xMode val="edge"/>
          <c:yMode val="edge"/>
          <c:x val="0.0944853"/>
          <c:y val="0.170027"/>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dPt>
          <c:dPt>
            <c:idx val="1"/>
            <c:invertIfNegative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'Sheet1 (5)'!$A$2:$A$3</c:f>
              <c:numCache>
                <c:formatCode>General</c:formatCode>
                <c:ptCount val="2"/>
                <c:pt idx="0">
                  <c:v>2023</c:v>
                </c:pt>
                <c:pt idx="1">
                  <c:v>2024</c:v>
                </c:pt>
              </c:numCache>
            </c:numRef>
          </c:cat>
          <c:val>
            <c:numRef>
              <c:f>'Sheet1 (5)'!$B$2:$B$3</c:f>
              <c:numCache>
                <c:formatCode>General</c:formatCode>
                <c:ptCount val="2"/>
                <c:pt idx="0">
                  <c:v>1406.34</c:v>
                </c:pt>
                <c:pt idx="1">
                  <c:v>1890.03</c:v>
                </c:pt>
              </c:numCache>
            </c:numRef>
          </c:val>
        </c:ser>
        <c:dLbls>
          <c:showLegendKey val="0"/>
          <c:showVal val="1"/>
          <c:showCatName val="0"/>
          <c:showSerName val="0"/>
          <c:showPercent val="0"/>
          <c:showBubbleSize val="0"/>
        </c:dLbls>
        <c:gapWidth val="65"/>
        <c:overlap val="0"/>
        <c:axId val="0"/>
        <c:axId val="1"/>
      </c:barChart>
      <c:catAx>
        <c:axId val="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1"/>
        <c:crosses val="autoZero"/>
        <c:auto val="1"/>
        <c:lblAlgn val="ctr"/>
        <c:lblOffset val="100"/>
        <c:noMultiLvlLbl val="0"/>
      </c:catAx>
      <c:valAx>
        <c:axId val="1"/>
        <c:scaling>
          <c:orientation val="minMax"/>
          <c:max val="4500"/>
          <c:min val="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0"/>
        <c:crossesAt val="1"/>
        <c:crossBetween val="between"/>
      </c:valAx>
      <c:spPr>
        <a:noFill/>
        <a:ln>
          <a:noFill/>
        </a:ln>
        <a:effectLst/>
      </c:spPr>
    </c:plotArea>
    <c:legend>
      <c:legendPos val="b"/>
      <c:layout>
        <c:manualLayout>
          <c:xMode val="edge"/>
          <c:yMode val="edge"/>
          <c:x val="0.329438025210084"/>
          <c:y val="0.887441860465116"/>
        </c:manualLayout>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10661912566257"/>
          <c:y val="0.0172952613455861"/>
        </c:manualLayout>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'[Workbook7.xlsx]Sheet1 (3)'!$B$1</c:f>
              <c:strCache>
                <c:ptCount val="1"/>
                <c:pt idx="0">
                  <c:v>一般公共预算财政拨款支出决算结构图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explosion val="11"/>
            <c:spPr>
              <a:solidFill>
                <a:schemeClr val="accent4"/>
              </a:solidFill>
              <a:ln>
                <a:noFill/>
              </a:ln>
              <a:effectLst>
                <a:outerShdw blurRad="254000" sx="102000" sy="102000" algn="ctr" rotWithShape="0">
                  <a:prstClr val="black">
                    <a:alpha val="20000"/>
                  </a:prstClr>
                </a:outerShdw>
              </a:effectLst>
            </c:spPr>
          </c:dPt>
          <c:dLbls>
            <c:dLbl>
              <c:idx val="0"/>
              <c:layout>
                <c:manualLayout>
                  <c:x val="-0.138434489361499"/>
                  <c:y val="0.0499043308569287"/>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manualLayout>
                  <c:x val="0.00251087308355078"/>
                  <c:y val="0.0183563142786824"/>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0.0455807929139158"/>
                  <c:y val="0.0783785832128121"/>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'[Workbook7.xlsx]Sheet1 (3)'!$A$2:$A$5</c:f>
              <c:strCache>
                <c:ptCount val="4"/>
                <c:pt idx="0">
                  <c:v>社会保障和就业支出</c:v>
                </c:pt>
                <c:pt idx="1">
                  <c:v>卫生健康支出</c:v>
                </c:pt>
                <c:pt idx="2">
                  <c:v>住房保障支出</c:v>
                </c:pt>
                <c:pt idx="3">
                  <c:v>灾害防治及应急管理支出</c:v>
                </c:pt>
              </c:strCache>
            </c:strRef>
          </c:cat>
          <c:val>
            <c:numRef>
              <c:f>'[Workbook7.xlsx]Sheet1 (3)'!$B$2:$B$5</c:f>
              <c:numCache>
                <c:formatCode>General</c:formatCode>
                <c:ptCount val="4"/>
                <c:pt idx="0">
                  <c:v>91.32</c:v>
                </c:pt>
                <c:pt idx="1">
                  <c:v>36.62</c:v>
                </c:pt>
                <c:pt idx="2">
                  <c:v>49.77</c:v>
                </c:pt>
                <c:pt idx="3">
                  <c:v>1712.32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'[Workbook5.xlsx]Sheet1 (7)'!$B$1</c:f>
              <c:strCache>
                <c:ptCount val="1"/>
                <c:pt idx="0">
                  <c:v>“三公”经费财政拨款支出结构</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0"/>
              <c:layout>
                <c:manualLayout>
                  <c:x val="0.145832814894211"/>
                  <c:y val="0.052106481480282"/>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dLbl>
              <c:idx val="1"/>
              <c:layout/>
              <c:dLblPos val="ctr"/>
              <c:showLegendKey val="0"/>
              <c:showVal val="1"/>
              <c:showCatName val="0"/>
              <c:showSerName val="0"/>
              <c:showPercent val="1"/>
              <c:showBubbleSize val="0"/>
              <c:extLst>
                <c:ext xmlns:c15="http://schemas.microsoft.com/office/drawing/2012/chart" uri="{CE6537A1-D6FC-4f65-9D91-7224C49458BB}"/>
              </c:extLst>
            </c:dLbl>
            <c:dLbl>
              <c:idx val="2"/>
              <c:layout>
                <c:manualLayout>
                  <c:x val="0.24791614978036"/>
                  <c:y val="0.0764120370356051"/>
                </c:manualLayout>
              </c:layout>
              <c:dLblPos val="bestFit"/>
              <c:showLegendKey val="0"/>
              <c:showVal val="1"/>
              <c:showCatName val="0"/>
              <c:showSerName val="0"/>
              <c:showPercent val="1"/>
              <c:showBubbleSize val="0"/>
              <c:extLst>
                <c:ext xmlns:c15="http://schemas.microsoft.com/office/drawing/2012/chart" uri="{CE6537A1-D6FC-4f65-9D91-7224C49458BB}">
                  <c15:layout/>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'[Workbook5.xlsx]Sheet1 (7)'!$A$2:$A$4</c:f>
              <c:strCache>
                <c:ptCount val="3"/>
                <c:pt idx="0">
                  <c:v>因公出国（境）费</c:v>
                </c:pt>
                <c:pt idx="1">
                  <c:v>公务用车购置及运行维护费</c:v>
                </c:pt>
                <c:pt idx="2">
                  <c:v>公务接待费</c:v>
                </c:pt>
              </c:strCache>
            </c:strRef>
          </c:cat>
          <c:val>
            <c:numRef>
              <c:f>'[Workbook5.xlsx]Sheet1 (7)'!$B$2:$B$4</c:f>
              <c:numCache>
                <c:formatCode>General</c:formatCode>
                <c:ptCount val="3"/>
                <c:pt idx="0">
                  <c:v>0</c:v>
                </c:pt>
                <c:pt idx="1">
                  <c:v>46.7</c:v>
                </c:pt>
                <c:pt idx="2">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7.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63</Pages>
  <Words>7381</Words>
  <Characters>8135</Characters>
  <Lines>61</Lines>
  <Paragraphs>17</Paragraphs>
  <TotalTime>9</TotalTime>
  <ScaleCrop>false</ScaleCrop>
  <LinksUpToDate>false</LinksUpToDate>
  <CharactersWithSpaces>8214</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2025-08-20T09:28:38Z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04787F2533EB45DC91BCDE4AB213247F</vt:lpwstr>
  </property>
  <property fmtid="{D5CDD505-2E9C-101B-9397-08002B2CF9AE}" pid="4" name="KSOTemplateDocerSaveRecord">
    <vt:lpwstr>eyJoZGlkIjoiMGFjODBiNWQ0ZjY1MzgyODY3M2JjY2E4NzRjMmE3YWIiLCJ1c2VySWQiOiIzMzQyMTMxNzYifQ==</vt:lpwstr>
  </property>
</Properties>
</file>