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sz w:val="44"/>
          <w:szCs w:val="44"/>
          <w:lang w:eastAsia="zh-CN"/>
        </w:rPr>
      </w:pPr>
      <w:r>
        <w:rPr>
          <w:rFonts w:ascii="方正小标宋_GBK" w:eastAsia="方正小标宋_GBK" w:cs="方正小标宋_GBK"/>
          <w:sz w:val="44"/>
          <w:szCs w:val="44"/>
          <w:lang w:val="en-US" w:eastAsia="zh-CN"/>
        </w:rPr>
        <w:t>金川县</w:t>
      </w:r>
      <w:r>
        <w:rPr>
          <w:rFonts w:ascii="方正小标宋_GBK" w:eastAsia="方正小标宋_GBK" w:cs="方正小标宋_GBK" w:hint="eastAsia"/>
          <w:sz w:val="44"/>
          <w:szCs w:val="44"/>
          <w:lang w:val="en-US" w:eastAsia="zh-CN"/>
        </w:rPr>
        <w:t>2024年应急管理局部门</w:t>
      </w:r>
      <w:r>
        <w:rPr>
          <w:rFonts w:ascii="方正小标宋_GBK" w:eastAsia="方正小标宋_GBK" w:cs="方正小标宋_GBK" w:hint="eastAsia"/>
          <w:sz w:val="44"/>
          <w:szCs w:val="44"/>
        </w:rPr>
        <w:t>预算绩效目标情况说明</w:t>
      </w:r>
    </w:p>
    <w:p>
      <w:pPr>
        <w:pStyle w:val="15"/>
        <w:tabs>
          <w:tab w:val="center" w:pos="4153"/>
          <w:tab w:val="right" w:pos="8306"/>
        </w:tabs>
        <w:jc w:val="left"/>
      </w:pP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2024年，我单位部门预算575.83万元 ，均严格按绩效管理要求实现项目绩效目标管理，其中重点项目预算0个，现将情况说明如下：</w:t>
      </w:r>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完成了2024年本级部门预算整体绩效目标申报。</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pStyle w:val="15"/>
        <w:tabs>
          <w:tab w:val="center" w:pos="4153"/>
          <w:tab w:val="right" w:pos="8306"/>
        </w:tabs>
        <w:spacing w:line="560" w:lineRule="exact"/>
        <w:ind w:left="0" w:firstLineChars="200" w:firstLine="64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（1）整体绩效目标</w:t>
      </w:r>
    </w:p>
    <w:p>
      <w:pPr>
        <w:pStyle w:val="15"/>
        <w:tabs>
          <w:tab w:val="center" w:pos="4153"/>
          <w:tab w:val="right" w:pos="8306"/>
        </w:tabs>
        <w:spacing w:line="560" w:lineRule="exact"/>
        <w:ind w:left="0" w:firstLineChars="200" w:firstLine="640"/>
        <w:rPr>
          <w:rFonts w:ascii="仿宋_GB2312" w:eastAsia="仿宋_GB2312" w:cs="仿宋_GB2312"/>
          <w:sz w:val="32"/>
          <w:szCs w:val="32"/>
          <w:lang w:val="en-US" w:eastAsia="zh-CN"/>
        </w:rPr>
      </w:pPr>
      <w:r>
        <w:rPr>
          <w:rFonts w:ascii="仿宋_GB2312" w:eastAsia="仿宋_GB2312" w:cs="仿宋_GB2312"/>
          <w:sz w:val="32"/>
          <w:szCs w:val="32"/>
          <w:lang w:val="en-US" w:eastAsia="zh-CN"/>
        </w:rPr>
        <w:t>落实应急管理工作的重要部署，严肃查处安全生产的非法行为，预警各类灾害，力争降低灾害造成的生命财产安全。有效遏制各类安全事故发生。</w:t>
      </w:r>
    </w:p>
    <w:p>
      <w:pPr>
        <w:pStyle w:val="15"/>
        <w:numPr>
          <w:ilvl w:val="0"/>
          <w:numId w:val="2"/>
        </w:numPr>
        <w:tabs>
          <w:tab w:val="center" w:pos="4153"/>
          <w:tab w:val="right" w:pos="8306"/>
        </w:tabs>
        <w:spacing w:line="560" w:lineRule="exact"/>
        <w:ind w:left="-10" w:firstLine="64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年度主要任务</w:t>
      </w:r>
    </w:p>
    <w:p>
      <w:pPr>
        <w:pStyle w:val="15"/>
        <w:numPr>
          <w:ilvl w:val="0"/>
          <w:numId w:val="3"/>
        </w:numPr>
        <w:tabs>
          <w:tab w:val="center" w:pos="4153"/>
          <w:tab w:val="right" w:pos="8306"/>
        </w:tabs>
        <w:spacing w:line="560" w:lineRule="exact"/>
        <w:ind w:left="580" w:firstLine="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自然灾害防治</w:t>
      </w:r>
    </w:p>
    <w:p>
      <w:pPr>
        <w:pStyle w:val="15"/>
        <w:tabs>
          <w:tab w:val="center" w:pos="4153"/>
          <w:tab w:val="right" w:pos="8306"/>
        </w:tabs>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指导协调森林火灾、水旱、地震和地质灾害等防治工作，负责自然灾害综合监测预警工作，组织开展自然灾害综合风险评估工作。组织协调灾害救助工作，负责灾情核查、损失评估、救灾捐赠工作，管理、分配救灾款物并监督使用。负责风险监测预警、综合防灾减灾、物资保障工作。</w:t>
      </w:r>
    </w:p>
    <w:p>
      <w:pPr>
        <w:pStyle w:val="15"/>
        <w:numPr>
          <w:ilvl w:val="0"/>
          <w:numId w:val="3"/>
        </w:numPr>
        <w:tabs>
          <w:tab w:val="center" w:pos="4153"/>
          <w:tab w:val="right" w:pos="8306"/>
        </w:tabs>
        <w:spacing w:line="560" w:lineRule="exact"/>
        <w:ind w:left="580" w:firstLine="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安全生产监管</w:t>
      </w:r>
    </w:p>
    <w:p>
      <w:pPr>
        <w:pStyle w:val="15"/>
        <w:tabs>
          <w:tab w:val="center" w:pos="4153"/>
          <w:tab w:val="right" w:pos="8306"/>
        </w:tabs>
        <w:spacing w:line="560" w:lineRule="exact"/>
        <w:ind w:left="0" w:firstLineChars="200" w:firstLine="640"/>
        <w:rPr>
          <w:rFonts w:ascii="仿宋_GB2312" w:eastAsia="仿宋_GB2312" w:cs="仿宋_GB2312"/>
          <w:sz w:val="32"/>
          <w:szCs w:val="32"/>
          <w:lang w:val="en-US" w:eastAsia="zh-CN"/>
        </w:rPr>
      </w:pPr>
      <w:r>
        <w:rPr>
          <w:rFonts w:ascii="仿宋_GB2312" w:eastAsia="仿宋_GB2312" w:cs="仿宋_GB2312"/>
          <w:sz w:val="32"/>
          <w:szCs w:val="32"/>
          <w:lang w:val="en-US" w:eastAsia="zh-CN"/>
        </w:rPr>
        <w:t>组织和指导各乡镇、县级各部门（单位）应对安全生产类突发事件。负责安全生产综合监督管理和辖区内工矿商贸行业企业安全生产监督管理工作。拟定安全生产等有关规范性文件，组织编制安全生产专项预案。依法行使安全生产综合监督管理职权，指导协调、监督检查县安委会成员单位安全生产工作，组织开展安全生产巡查、考核工作。按照分级、属地原则，依法监督检查工矿商贸生产经营单位贯彻执行安全生产法律法规情况及其安全生产条件和有关设备（特种设备除外）、材料、劳动防护用品的安全生产管理工作。</w:t>
      </w:r>
    </w:p>
    <w:p>
      <w:pPr>
        <w:pStyle w:val="15"/>
        <w:numPr>
          <w:ilvl w:val="0"/>
          <w:numId w:val="3"/>
        </w:numPr>
        <w:tabs>
          <w:tab w:val="center" w:pos="4153"/>
          <w:tab w:val="right" w:pos="8306"/>
        </w:tabs>
        <w:spacing w:line="560" w:lineRule="exact"/>
        <w:ind w:left="580" w:firstLine="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应急管理事务</w:t>
      </w:r>
    </w:p>
    <w:p>
      <w:pPr>
        <w:pStyle w:val="15"/>
        <w:tabs>
          <w:tab w:val="center" w:pos="4153"/>
          <w:tab w:val="right" w:pos="8306"/>
        </w:tabs>
        <w:spacing w:line="560" w:lineRule="exact"/>
        <w:ind w:left="0" w:firstLineChars="200" w:firstLine="640"/>
        <w:rPr>
          <w:rFonts w:ascii="仿宋_GB2312" w:eastAsia="仿宋_GB2312" w:cs="仿宋_GB2312"/>
          <w:sz w:val="32"/>
          <w:szCs w:val="32"/>
          <w:lang w:val="en-US" w:eastAsia="zh-CN"/>
        </w:rPr>
      </w:pPr>
      <w:r>
        <w:rPr>
          <w:rFonts w:ascii="仿宋_GB2312" w:eastAsia="仿宋_GB2312" w:cs="仿宋_GB2312"/>
          <w:sz w:val="32"/>
          <w:szCs w:val="32"/>
          <w:lang w:val="en-US" w:eastAsia="zh-CN"/>
        </w:rPr>
        <w:t>负责自然灾害信息以及举报信息的办理工作，承担自然灾害类突发事件预警和灾情信息发布工作。承担县级灾害指挥部综合性工作和现场协调保障工作，协助协调调动相关应急队伍和资源。承担协助县委县政府指定的负责同志组织的灾害应急处置有关工作。组织拟</w:t>
      </w:r>
      <w:r>
        <w:rPr>
          <w:rFonts w:ascii="仿宋_GB2312" w:eastAsia="仿宋_GB2312" w:cs="仿宋_GB2312"/>
          <w:sz w:val="32"/>
          <w:szCs w:val="32"/>
          <w:lang w:val="en-US" w:eastAsia="zh-CN"/>
        </w:rPr>
        <w:t>定</w:t>
      </w:r>
      <w:bookmarkStart w:id="0" w:name="_GoBack"/>
      <w:bookmarkEnd w:id="0"/>
      <w:r>
        <w:rPr>
          <w:rFonts w:ascii="仿宋_GB2312" w:eastAsia="仿宋_GB2312" w:cs="仿宋_GB2312"/>
          <w:sz w:val="32"/>
          <w:szCs w:val="32"/>
          <w:lang w:val="en-US" w:eastAsia="zh-CN"/>
        </w:rPr>
        <w:t>自然灾害分级应对制度并组织实施。负责协调县应急指挥平台建设、运行管理，督促指导乡镇应急值守和应急管理工作，响应支援乡镇部门的灾害应急处置，衔接驻军和武警部队参与应急救援工作。组织编制县级总体应急预案和自然灾害类、安全生产类专项预案并负责各类应急预案衔接协调，承担预案演练的组织实施和指导监督工作，统筹专业应急救援力量建设，指导社会应急救援力量建设，组织指导应急救援社会动员工作。承担县突发公共事件应急委员会办公室日常工作。</w:t>
      </w:r>
    </w:p>
    <w:p>
      <w:pPr>
        <w:pStyle w:val="15"/>
        <w:numPr>
          <w:ilvl w:val="0"/>
          <w:numId w:val="3"/>
        </w:numPr>
        <w:tabs>
          <w:tab w:val="center" w:pos="4153"/>
          <w:tab w:val="right" w:pos="8306"/>
        </w:tabs>
        <w:spacing w:line="560" w:lineRule="exact"/>
        <w:ind w:left="580" w:firstLine="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消防事务</w:t>
      </w:r>
    </w:p>
    <w:p>
      <w:pPr>
        <w:pStyle w:val="15"/>
        <w:tabs>
          <w:tab w:val="center" w:pos="4153"/>
          <w:tab w:val="right" w:pos="8306"/>
        </w:tabs>
        <w:spacing w:line="560" w:lineRule="exact"/>
        <w:ind w:left="0" w:firstLineChars="200" w:firstLine="640"/>
        <w:rPr>
          <w:rFonts w:ascii="仿宋_GB2312" w:eastAsia="仿宋_GB2312" w:cs="仿宋_GB2312"/>
          <w:sz w:val="32"/>
          <w:szCs w:val="32"/>
          <w:lang w:val="en-US" w:eastAsia="zh-CN"/>
        </w:rPr>
      </w:pPr>
      <w:r>
        <w:rPr>
          <w:rFonts w:ascii="仿宋_GB2312" w:eastAsia="仿宋_GB2312" w:cs="仿宋_GB2312"/>
          <w:sz w:val="32"/>
          <w:szCs w:val="32"/>
          <w:lang w:val="en-US" w:eastAsia="zh-CN"/>
        </w:rPr>
        <w:t>负责消防工作，开展全县消防监督、火灾预防、火灾扑救等工作。</w:t>
      </w:r>
    </w:p>
    <w:p>
      <w:pPr>
        <w:pStyle w:val="15"/>
        <w:numPr>
          <w:ilvl w:val="0"/>
          <w:numId w:val="2"/>
        </w:numPr>
        <w:tabs>
          <w:tab w:val="center" w:pos="4153"/>
          <w:tab w:val="right" w:pos="8306"/>
        </w:tabs>
        <w:spacing w:line="560" w:lineRule="exact"/>
        <w:ind w:left="-10" w:firstLine="640"/>
        <w:rPr>
          <w:rFonts w:ascii="仿宋_GB2312" w:eastAsia="仿宋_GB2312" w:cs="仿宋_GB2312" w:hint="eastAsia"/>
          <w:b/>
          <w:bCs/>
          <w:sz w:val="32"/>
          <w:szCs w:val="32"/>
          <w:lang w:val="en-US" w:eastAsia="zh-CN"/>
        </w:rPr>
      </w:pPr>
      <w:r>
        <w:rPr>
          <w:rFonts w:ascii="仿宋_GB2312" w:eastAsia="仿宋_GB2312" w:cs="仿宋_GB2312" w:hint="eastAsia"/>
          <w:b/>
          <w:bCs/>
          <w:sz w:val="32"/>
          <w:szCs w:val="32"/>
          <w:lang w:val="en-US" w:eastAsia="zh-CN"/>
        </w:rPr>
        <w:t>部门整体绩效情况</w:t>
      </w:r>
    </w:p>
    <w:p>
      <w:pPr>
        <w:pStyle w:val="15"/>
        <w:tabs>
          <w:tab w:val="center" w:pos="4153"/>
          <w:tab w:val="right" w:pos="8306"/>
        </w:tabs>
        <w:spacing w:line="560" w:lineRule="exact"/>
        <w:ind w:leftChars="200" w:left="42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共设置七个整体绩效目标，其中产出指标中设置数量指标两个，质量指标一个，时效指标一个；效益指标中设置经济效益指标三个。</w:t>
      </w:r>
    </w:p>
    <w:tbl>
      <w:tblPr>
        <w:tblpPr w:leftFromText="180" w:rightFromText="180" w:vertAnchor="text" w:horzAnchor="page" w:tblpX="2427" w:tblpY="298"/>
        <w:tblOverlap w:val="never"/>
        <w:tblW w:w="7645"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465"/>
        <w:gridCol w:w="650"/>
        <w:gridCol w:w="1340"/>
        <w:gridCol w:w="2030"/>
        <w:gridCol w:w="850"/>
        <w:gridCol w:w="800"/>
        <w:gridCol w:w="850"/>
        <w:gridCol w:w="660"/>
      </w:tblGrid>
      <w:tr>
        <w:trPr>
          <w:trHeight w:val="569"/>
        </w:trPr>
        <w:tc>
          <w:tcPr>
            <w:tcW w:w="46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年度绩效指标</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一级指标</w:t>
            </w: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二级指标</w:t>
            </w: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三级指标</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绩效指标性质</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绩效指标值</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绩效度量单位</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权重</w:t>
            </w:r>
          </w:p>
        </w:tc>
      </w:tr>
      <w:tr>
        <w:trPr>
          <w:trHeight w:val="569"/>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产出指标</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数量指标</w:t>
            </w: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科目调整次数</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次</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69"/>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人员经费足额保障率</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r>
      <w:tr>
        <w:trPr>
          <w:trHeight w:val="569"/>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质量指标</w:t>
            </w: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预算编制准确性偏离度</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r>
      <w:tr>
        <w:trPr>
          <w:trHeight w:val="569"/>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时效指标</w:t>
            </w: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按时发放率</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r>
        <w:trPr>
          <w:trHeight w:val="569"/>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效益指标</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经济效益指标</w:t>
            </w: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三公经费控制率</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r>
      <w:tr>
        <w:trPr>
          <w:trHeight w:val="569"/>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预算结余率</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15</w:t>
            </w:r>
          </w:p>
        </w:tc>
      </w:tr>
      <w:tr>
        <w:trPr>
          <w:trHeight w:val="569"/>
        </w:trPr>
        <w:tc>
          <w:tcPr>
            <w:tcW w:w="46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6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运转保障率</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8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w:t>
            </w:r>
          </w:p>
        </w:tc>
        <w:tc>
          <w:tcPr>
            <w:tcW w:w="6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lang w:val="en-US" w:eastAsia="zh-CN"/>
              </w:rPr>
              <w:t>10</w:t>
            </w:r>
          </w:p>
        </w:tc>
      </w:tr>
    </w:tbl>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无。</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auto"/>
    <w:pitch w:val="variable"/>
    <w:sig w:usb0="00000001" w:usb1="08000000" w:usb2="00000000" w:usb3="00000000" w:csb0="00040000" w:csb1="00000000"/>
  </w:font>
  <w:font w:name="仿宋_GB2312">
    <w:altName w:val="方正仿宋_GBK"/>
    <w:panose1 w:val="02010609030101010101"/>
    <w:charset w:val="86"/>
    <w:family w:val="auto"/>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宋体">
    <w:altName w:val="方正书宋_GBK"/>
    <w:panose1 w:val="00000000000000000000"/>
    <w:charset w:val="86"/>
    <w:family w:val="auto"/>
    <w:pitch w:val="variable"/>
    <w:sig w:usb0="00000000" w:usb1="00000000" w:usb2="00000000" w:usb3="00000000" w:csb0="00000000" w:csb1="00000000"/>
  </w:font>
  <w:font w:name="Times New Roman">
    <w:altName w:val="DejaVu Sans"/>
    <w:panose1 w:val="02020603050405020304"/>
    <w:charset w:val="86"/>
    <w:family w:val="auto"/>
    <w:pitch w:val="variable"/>
    <w:sig w:usb0="00000000" w:usb1="00000000" w:usb2="00000009" w:usb3="00000000" w:csb0="400001FF" w:csb1="FFFF0000"/>
  </w:font>
  <w:font w:name="Calibri">
    <w:altName w:val="DejaVu Sans"/>
    <w:panose1 w:val="020F0502020204030204"/>
    <w:charset w:val="00"/>
    <w:family w:val="swiss"/>
    <w:pitch w:val="variable"/>
    <w:sig w:usb0="00000000" w:usb1="00000000" w:usb2="00000001" w:usb3="00000000" w:csb0="0000019F" w:csb1="00000000"/>
  </w:font>
  <w:font w:name="Arial">
    <w:altName w:val="DejaVu Sans"/>
    <w:panose1 w:val="020B0604020202020204"/>
    <w:charset w:val="01"/>
    <w:family w:val="swiss"/>
    <w:pitch w:val="variable"/>
    <w:sig w:usb0="E0002AFF" w:usb1="C0007843"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ind w:left="0" w:hanging="0"/>
      </w:pPr>
      <w:rPr>
        <w:rFonts w:hint="eastAsia"/>
      </w:rPr>
    </w:lvl>
  </w:abstractNum>
  <w:abstractNum w:abstractNumId="1">
    <w:nsid w:val="A83FA682"/>
    <w:multiLevelType w:val="singleLevel"/>
    <w:tmpl w:val="A83FA682"/>
    <w:lvl w:ilvl="0">
      <w:start w:val="2"/>
      <w:numFmt w:val="decimal"/>
      <w:lvlRestart w:val="0"/>
      <w:suff w:val="nothing"/>
      <w:lvlText w:val="（%1）"/>
      <w:lvlJc w:val="left"/>
      <w:pPr>
        <w:ind w:left="-10" w:firstLine="10"/>
      </w:pPr>
    </w:lvl>
  </w:abstractNum>
  <w:abstractNum w:abstractNumId="2">
    <w:nsid w:val="77FEEB2C"/>
    <w:multiLevelType w:val="singleLevel"/>
    <w:tmpl w:val="77FEEB2C"/>
    <w:lvl w:ilvl="0">
      <w:start w:val="1"/>
      <w:numFmt w:val="decimal"/>
      <w:lvlRestart w:val="0"/>
      <w:suff w:val="nothing"/>
      <w:lvlText w:val="%1、"/>
      <w:lvlJc w:val="left"/>
      <w:pPr>
        <w:ind w:left="580" w:hanging="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Normal (Web)"/>
    <w:basedOn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Yozo_Office27021597764231179</Application>
  <Pages>3</Pages>
  <Words>1170</Words>
  <Characters>1199</Characters>
  <Lines>113</Lines>
  <Paragraphs>69</Paragraphs>
  <CharactersWithSpaces>1203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2023-02-06T14:46:00Z</dcterms:created>
  <dcterms:modified xsi:type="dcterms:W3CDTF">2024-03-11T08:09:08Z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2052-11.8.2.1120</vt:lpwstr>
  </property>
  <property fmtid="{D5CDD505-2E9C-101B-9397-08002B2CF9AE}" pid="3" name="ICV">
    <vt:lpwstr>2E8CDE7C5A1FC8975FD0E265B42FEB2C</vt:lpwstr>
  </property>
</Properties>
</file>