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pStyle w:val="24"/>
        <w:rPr>
          <w:rFonts w:ascii="方正小标宋简体" w:eastAsia="方正小标宋简体"/>
          <w:color w:val="000000"/>
          <w:sz w:val="72"/>
          <w:szCs w:val="72"/>
        </w:rPr>
      </w:pPr>
    </w:p>
    <w:p>
      <w:pPr>
        <w:pStyle w:val="24"/>
        <w:ind w:leftChars="0" w:left="0" w:firstLineChars="0" w:firstLine="0"/>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s="方正小标宋简体" w:hint="eastAsia"/>
          <w:color w:val="000000"/>
          <w:sz w:val="72"/>
          <w:szCs w:val="72"/>
          <w:lang w:val="en-US" w:eastAsia="zh-CN"/>
        </w:rPr>
      </w:pPr>
      <w:bookmarkStart w:id="1" w:name="_Toc15378441"/>
      <w:bookmarkStart w:id="2" w:name="_Toc15396597"/>
      <w:bookmarkStart w:id="3" w:name="_Toc15396475"/>
      <w:bookmarkStart w:id="4" w:name="_Toc15377193"/>
      <w:bookmarkStart w:id="5" w:name="_Toc15377425"/>
      <w:r>
        <w:rPr>
          <w:rFonts w:ascii="黑体" w:eastAsia="黑体" w:hint="eastAsia"/>
          <w:color w:val="000000"/>
          <w:sz w:val="72"/>
          <w:szCs w:val="72"/>
          <w:lang w:val="en-US" w:eastAsia="zh-CN"/>
        </w:rPr>
        <w:t>2022</w:t>
      </w:r>
      <w:r>
        <w:rPr>
          <w:rFonts w:ascii="方正小标宋简体" w:eastAsia="方正小标宋简体" w:hint="eastAsia"/>
          <w:color w:val="000000"/>
          <w:sz w:val="72"/>
          <w:szCs w:val="72"/>
        </w:rPr>
        <w:t>年度</w:t>
      </w:r>
      <w:bookmarkStart w:id="6" w:name="_Toc28892"/>
      <w:bookmarkStart w:id="7" w:name="_Toc20266"/>
      <w:bookmarkStart w:id="8" w:name="_Toc15964"/>
      <w:bookmarkEnd w:id="0"/>
      <w:bookmarkEnd w:id="1"/>
      <w:bookmarkEnd w:id="2"/>
      <w:bookmarkEnd w:id="3"/>
      <w:bookmarkEnd w:id="4"/>
      <w:bookmarkEnd w:id="5"/>
      <w:r>
        <w:rPr>
          <w:rFonts w:ascii="方正小标宋简体" w:eastAsia="方正小标宋简体" w:cs="方正小标宋简体" w:hint="eastAsia"/>
          <w:color w:val="000000"/>
          <w:sz w:val="72"/>
          <w:szCs w:val="72"/>
          <w:lang w:val="en-US" w:eastAsia="zh-CN"/>
        </w:rPr>
        <w:t>金川县</w:t>
      </w:r>
      <w:bookmarkStart w:id="9" w:name="_Toc16040"/>
      <w:bookmarkStart w:id="10" w:name="_Toc32513"/>
      <w:bookmarkEnd w:id="6"/>
      <w:bookmarkEnd w:id="7"/>
      <w:r>
        <w:rPr>
          <w:rFonts w:ascii="方正小标宋简体" w:eastAsia="方正小标宋简体" w:cs="方正小标宋简体" w:hint="eastAsia"/>
          <w:color w:val="000000"/>
          <w:sz w:val="72"/>
          <w:szCs w:val="72"/>
          <w:lang w:val="en-US" w:eastAsia="zh-CN"/>
        </w:rPr>
        <w:t>应急管理局部门决算</w:t>
      </w:r>
      <w:bookmarkEnd w:id="8"/>
      <w:bookmarkEnd w:id="9"/>
      <w:bookmarkEnd w:id="10"/>
      <w:r>
        <w:rPr>
          <w:rFonts w:ascii="方正小标宋简体" w:eastAsia="方正小标宋简体" w:cs="方正小标宋简体" w:hint="eastAsia"/>
          <w:color w:val="000000"/>
          <w:sz w:val="72"/>
          <w:szCs w:val="72"/>
          <w:lang w:val="en-US" w:eastAsia="zh-CN"/>
        </w:rPr>
        <w:t>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r>
        <w:rPr>
          <w:rFonts w:ascii="方正小标宋简体" w:eastAsia="方正小标宋简体"/>
          <w:color w:val="000000"/>
          <w:sz w:val="36"/>
          <w:szCs w:val="36"/>
        </w:rPr>
        <w:br w:type="page"/>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黑体" w:eastAsia="黑体" w:hint="eastAsia"/>
          <w:color w:val="000000"/>
          <w:sz w:val="48"/>
          <w:szCs w:val="48"/>
        </w:rPr>
        <w:t>目录</w:t>
      </w:r>
    </w:p>
    <w:p>
      <w:pPr>
        <w:widowControl/>
        <w:jc w:val="center"/>
        <w:rPr>
          <w:rFonts w:hint="eastAsia"/>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4"/>
        <w:ind w:leftChars="0" w:left="0" w:firstLineChars="0" w:firstLine="0"/>
        <w:rPr>
          <w:rFonts w:hint="eastAsia"/>
        </w:rPr>
      </w:pPr>
    </w:p>
    <w:p/>
    <w:p>
      <w:pPr>
        <w:pStyle w:val="23"/>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5</w:t>
      </w:r>
      <w:r>
        <w:rPr>
          <w:rFonts w:hint="eastAsia"/>
        </w:rPr>
        <w:fldChar w:fldCharType="end"/>
      </w:r>
    </w:p>
    <w:p>
      <w:pPr>
        <w:pStyle w:val="25"/>
        <w:tabs>
          <w:tab w:val="right" w:leader="dot" w:pos="8296"/>
        </w:tabs>
        <w:rPr>
          <w:rFonts w:ascii="仿宋" w:eastAsia="仿宋" w:hint="eastAsia"/>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5</w:t>
      </w:r>
      <w:r>
        <w:rPr>
          <w:rFonts w:ascii="仿宋" w:eastAsia="仿宋" w:hint="eastAsia"/>
          <w:sz w:val="28"/>
          <w:szCs w:val="28"/>
        </w:rPr>
        <w:fldChar w:fldCharType="end"/>
      </w:r>
    </w:p>
    <w:p>
      <w:pPr>
        <w:pStyle w:val="25"/>
        <w:tabs>
          <w:tab w:val="right" w:leader="dot" w:pos="8296"/>
        </w:tabs>
        <w:rPr>
          <w:rFonts w:ascii="仿宋" w:eastAsia="仿宋"/>
          <w:sz w:val="28"/>
          <w:szCs w:val="28"/>
          <w:lang w:val="en-US" w:eastAsia="zh-CN"/>
        </w:rPr>
      </w:pPr>
      <w:r>
        <w:rPr>
          <w:rFonts w:ascii="仿宋" w:eastAsia="仿宋" w:hint="eastAsia"/>
          <w:sz w:val="28"/>
          <w:szCs w:val="28"/>
          <w:lang w:val="en-US" w:eastAsia="zh-CN"/>
        </w:rPr>
        <w:t>（一）主要职能..........................................5</w:t>
      </w:r>
    </w:p>
    <w:p>
      <w:pPr>
        <w:pStyle w:val="25"/>
        <w:tabs>
          <w:tab w:val="right" w:leader="dot" w:pos="8296"/>
        </w:tabs>
        <w:rPr>
          <w:rFonts w:ascii="仿宋" w:eastAsia="仿宋"/>
          <w:sz w:val="28"/>
          <w:szCs w:val="28"/>
          <w:lang w:val="en-US" w:eastAsia="zh-CN"/>
        </w:rPr>
      </w:pPr>
      <w:r>
        <w:rPr>
          <w:rFonts w:ascii="仿宋" w:eastAsia="仿宋" w:hint="eastAsia"/>
          <w:sz w:val="28"/>
          <w:szCs w:val="28"/>
          <w:lang w:eastAsia="zh-CN"/>
        </w:rPr>
        <w:t>（二）</w:t>
      </w:r>
      <w:r>
        <w:rPr>
          <w:rFonts w:ascii="仿宋" w:eastAsia="仿宋" w:hint="eastAsia"/>
          <w:sz w:val="28"/>
          <w:szCs w:val="28"/>
          <w:lang w:val="en-US" w:eastAsia="zh-CN"/>
        </w:rPr>
        <w:t>2022年重点工作完成情况...........................6</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3"/>
        <w:tabs>
          <w:tab w:val="right" w:leader="dot" w:pos="8296"/>
        </w:tabs>
        <w:rPr>
          <w:rFonts w:eastAsia="仿宋" w:hint="eastAsia"/>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lang w:val="en-US" w:eastAsia="zh-CN"/>
        </w:rPr>
        <w:t>2022年度</w:t>
      </w:r>
      <w:r>
        <w:rPr>
          <w:rFonts w:hint="eastAsia"/>
        </w:rPr>
        <w:t>部门决算情况说明</w:t>
      </w:r>
      <w:r>
        <w:rPr>
          <w:rFonts w:hint="eastAsia"/>
          <w:lang w:val="en-US" w:eastAsia="zh-CN"/>
        </w:rPr>
        <w:t>....................1</w:t>
      </w:r>
      <w:r>
        <w:fldChar w:fldCharType="end"/>
      </w:r>
      <w:r>
        <w:rPr>
          <w:rFonts w:hint="eastAsia"/>
          <w:lang w:val="en-US" w:eastAsia="zh-CN"/>
        </w:rPr>
        <w:t>0</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0</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3</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7</w:t>
      </w:r>
    </w:p>
    <w:p>
      <w:pPr>
        <w:pStyle w:val="25"/>
        <w:tabs>
          <w:tab w:val="right" w:leader="dot" w:pos="8296"/>
        </w:tabs>
        <w:rPr>
          <w:rFonts w:ascii="仿宋" w:eastAsia="仿宋" w:hint="eastAsia"/>
          <w:sz w:val="28"/>
          <w:szCs w:val="28"/>
          <w:lang w:val="en-US" w:eastAsia="zh-CN"/>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0</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（一）</w:t>
      </w:r>
      <w:r>
        <w:fldChar w:fldCharType="begin"/>
      </w:r>
      <w:r>
        <w:instrText xml:space="preserve"> HYPERLINK \l "_Toc15396607" </w:instrText>
      </w:r>
      <w:r>
        <w:fldChar w:fldCharType="separate"/>
      </w:r>
      <w:r>
        <w:rPr>
          <w:rFonts w:ascii="仿宋" w:eastAsia="仿宋" w:hint="eastAsia"/>
          <w:sz w:val="28"/>
          <w:szCs w:val="28"/>
        </w:rPr>
        <w:t>一</w:t>
      </w:r>
      <w:r>
        <w:rPr>
          <w:rFonts w:ascii="仿宋" w:eastAsia="仿宋" w:cs="Times New Roman" w:hint="eastAsia"/>
          <w:bCs/>
          <w:sz w:val="28"/>
          <w:szCs w:val="28"/>
        </w:rPr>
        <w:t>般公共预算财政拨款支出决算</w:t>
      </w:r>
      <w:r>
        <w:rPr>
          <w:rFonts w:ascii="仿宋" w:eastAsia="仿宋" w:cs="Times New Roman" w:hint="eastAsia"/>
          <w:bCs/>
          <w:sz w:val="28"/>
          <w:szCs w:val="28"/>
          <w:lang w:eastAsia="zh-CN"/>
        </w:rPr>
        <w:t>总体</w:t>
      </w:r>
      <w:r>
        <w:rPr>
          <w:rFonts w:ascii="仿宋" w:eastAsia="仿宋" w:cs="Times New Roman" w:hint="eastAsia"/>
          <w:bCs/>
          <w:sz w:val="28"/>
          <w:szCs w:val="28"/>
        </w:rPr>
        <w:t>情况</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0</w:t>
      </w:r>
    </w:p>
    <w:p>
      <w:pPr>
        <w:pStyle w:val="25"/>
        <w:tabs>
          <w:tab w:val="right" w:leader="dot" w:pos="8296"/>
        </w:tabs>
        <w:rPr>
          <w:rFonts w:ascii="仿宋" w:eastAsia="仿宋"/>
          <w:sz w:val="28"/>
          <w:szCs w:val="28"/>
          <w:lang w:val="en-US" w:eastAsia="zh-CN"/>
        </w:rPr>
      </w:pP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"_Toc15396607"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（二）一般公共预算财政拨款支出决算结构情况</w:t>
        <w:tab/>
        <w:t>2</w:t>
      </w:r>
      <w:r>
        <w:rPr>
          <w:rFonts w:ascii="仿宋" w:eastAsia="仿宋" w:hint="eastAsia"/>
          <w:sz w:val="28"/>
          <w:szCs w:val="28"/>
          <w:lang w:val="en-US" w:eastAsia="zh-CN"/>
        </w:rPr>
        <w:fldChar w:fldCharType="end"/>
      </w:r>
      <w:r>
        <w:rPr>
          <w:rFonts w:ascii="仿宋" w:eastAsia="仿宋" w:hint="eastAsia"/>
          <w:sz w:val="28"/>
          <w:szCs w:val="28"/>
          <w:lang w:val="en-US" w:eastAsia="zh-CN"/>
        </w:rPr>
        <w:t>1</w:t>
      </w:r>
    </w:p>
    <w:p>
      <w:pPr>
        <w:pStyle w:val="25"/>
        <w:tabs>
          <w:tab w:val="right" w:leader="dot" w:pos="8296"/>
        </w:tabs>
        <w:rPr>
          <w:lang w:val="en-US" w:eastAsia="zh-CN"/>
        </w:rPr>
      </w:pP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"_Toc15396607"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（三）一般公共预算财政拨款支出决算具体情况</w:t>
        <w:tab/>
        <w:t>2</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5</w:t>
      </w:r>
    </w:p>
    <w:p>
      <w:pPr>
        <w:pStyle w:val="25"/>
        <w:tabs>
          <w:tab w:val="right" w:leader="dot" w:pos="8296"/>
        </w:tabs>
        <w:rPr>
          <w:rFonts w:ascii="仿宋" w:eastAsia="仿宋"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7</w:t>
      </w:r>
    </w:p>
    <w:p>
      <w:pPr>
        <w:pStyle w:val="25"/>
        <w:tabs>
          <w:tab w:val="right" w:leader="dot" w:pos="8296"/>
        </w:tabs>
        <w:rPr>
          <w:rFonts w:ascii="仿宋" w:eastAsia="仿宋"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lang w:eastAsia="zh-CN"/>
        </w:rPr>
        <w:t>（一）</w:t>
      </w:r>
      <w:r>
        <w:rPr>
          <w:rFonts w:ascii="仿宋" w:eastAsia="仿宋"/>
          <w:sz w:val="28"/>
          <w:szCs w:val="28"/>
        </w:rPr>
        <w:t>“</w:t>
      </w:r>
      <w:r>
        <w:rPr>
          <w:rFonts w:ascii="仿宋" w:eastAsia="仿宋" w:cs="Times New Roman" w:hint="eastAsia"/>
          <w:bCs/>
          <w:sz w:val="28"/>
          <w:szCs w:val="28"/>
        </w:rPr>
        <w:t>三公”经费财政拨款支出决算</w:t>
      </w:r>
      <w:r>
        <w:rPr>
          <w:rFonts w:ascii="仿宋" w:eastAsia="仿宋" w:cs="Times New Roman" w:hint="eastAsia"/>
          <w:bCs/>
          <w:sz w:val="28"/>
          <w:szCs w:val="28"/>
          <w:lang w:eastAsia="zh-CN"/>
        </w:rPr>
        <w:t>总体</w:t>
      </w:r>
      <w:r>
        <w:rPr>
          <w:rFonts w:ascii="仿宋" w:eastAsia="仿宋" w:cs="Times New Roman" w:hint="eastAsia"/>
          <w:bCs/>
          <w:sz w:val="28"/>
          <w:szCs w:val="28"/>
        </w:rPr>
        <w:t>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7</w:t>
      </w:r>
    </w:p>
    <w:p>
      <w:pPr>
        <w:pStyle w:val="25"/>
        <w:tabs>
          <w:tab w:val="right" w:leader="dot" w:pos="8296"/>
        </w:tabs>
        <w:rPr>
          <w:rFonts w:eastAsia="仿宋" w:hint="eastAsia"/>
          <w:lang w:val="en-US" w:eastAsia="zh-CN"/>
        </w:rPr>
      </w:pPr>
      <w:r>
        <w:fldChar w:fldCharType="begin"/>
      </w:r>
      <w:r>
        <w:instrText xml:space="preserve"> HYPERLINK \l "_Toc15396609" </w:instrText>
      </w:r>
      <w:r>
        <w:fldChar w:fldCharType="separate"/>
      </w:r>
      <w:r>
        <w:rPr>
          <w:rFonts w:ascii="仿宋" w:eastAsia="仿宋" w:hint="eastAsia"/>
          <w:sz w:val="28"/>
          <w:szCs w:val="28"/>
          <w:lang w:eastAsia="zh-CN"/>
        </w:rPr>
        <w:t>（二）“三</w:t>
      </w:r>
      <w:r>
        <w:rPr>
          <w:rFonts w:ascii="仿宋" w:eastAsia="仿宋" w:cs="Times New Roman" w:hint="eastAsia"/>
          <w:bCs/>
          <w:sz w:val="28"/>
          <w:szCs w:val="28"/>
        </w:rPr>
        <w:t>公”经费财政拨款支出决算</w:t>
      </w:r>
      <w:r>
        <w:rPr>
          <w:rFonts w:ascii="仿宋" w:eastAsia="仿宋" w:cs="Times New Roman" w:hint="eastAsia"/>
          <w:bCs/>
          <w:sz w:val="28"/>
          <w:szCs w:val="28"/>
          <w:lang w:eastAsia="zh-CN"/>
        </w:rPr>
        <w:t>具体</w:t>
      </w:r>
      <w:r>
        <w:rPr>
          <w:rFonts w:ascii="仿宋" w:eastAsia="仿宋" w:cs="Times New Roman" w:hint="eastAsia"/>
          <w:bCs/>
          <w:sz w:val="28"/>
          <w:szCs w:val="28"/>
        </w:rPr>
        <w:t>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8</w:t>
      </w:r>
    </w:p>
    <w:p>
      <w:pPr>
        <w:pStyle w:val="25"/>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9</w:t>
      </w:r>
    </w:p>
    <w:p>
      <w:pPr>
        <w:pStyle w:val="25"/>
        <w:tabs>
          <w:tab w:val="right" w:leader="dot" w:pos="8296"/>
        </w:tabs>
        <w:rPr>
          <w:rStyle w:val="30"/>
          <w:rFonts w:ascii="仿宋" w:eastAsia="仿宋" w:cs="Times New Roman" w:hint="eastAsia"/>
          <w:bCs/>
          <w:kern w:val="2"/>
          <w:sz w:val="28"/>
          <w:szCs w:val="28"/>
          <w:lang w:val="en-US" w:eastAsia="zh-CN" w:bidi="ar-SA"/>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9</w:t>
      </w:r>
    </w:p>
    <w:p>
      <w:pPr>
        <w:pStyle w:val="25"/>
        <w:tabs>
          <w:tab w:val="right" w:leader="dot" w:pos="8296"/>
        </w:tabs>
        <w:rPr>
          <w:rFonts w:ascii="仿宋" w:eastAsia="仿宋"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、其他重要事项的情况说明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9</w:t>
      </w:r>
    </w:p>
    <w:p>
      <w:pPr>
        <w:ind w:firstLineChars="100" w:firstLine="280"/>
        <w:rPr>
          <w:lang w:val="en-US" w:eastAsia="zh-CN"/>
        </w:rPr>
      </w:pPr>
      <w:r>
        <w:rPr>
          <w:rStyle w:val="30"/>
          <w:rFonts w:ascii="仿宋" w:eastAsia="仿宋" w:cs="Times New Roman" w:hint="eastAsia"/>
          <w:bCs/>
          <w:kern w:val="2"/>
          <w:sz w:val="28"/>
          <w:szCs w:val="28"/>
          <w:lang w:val="en-US" w:eastAsia="zh-CN" w:bidi="ar-SA"/>
        </w:rPr>
        <w:t>（一）机关运行经费支出情况.............................29</w:t>
      </w:r>
    </w:p>
    <w:p>
      <w:pPr>
        <w:rPr>
          <w:rStyle w:val="30"/>
          <w:rFonts w:ascii="仿宋" w:eastAsia="仿宋" w:cs="Times New Roman" w:hint="eastAsia"/>
          <w:bCs/>
          <w:kern w:val="2"/>
          <w:sz w:val="28"/>
          <w:szCs w:val="28"/>
          <w:lang w:val="en-US" w:eastAsia="zh-CN" w:bidi="ar-SA"/>
        </w:rPr>
      </w:pPr>
      <w:r>
        <w:rPr>
          <w:rFonts w:hint="eastAsia"/>
          <w:lang w:val="en-US" w:eastAsia="zh-CN"/>
        </w:rPr>
        <w:t xml:space="preserve">   </w:t>
      </w:r>
      <w:r>
        <w:rPr>
          <w:rStyle w:val="30"/>
          <w:rFonts w:ascii="仿宋" w:eastAsia="仿宋" w:cs="Times New Roman" w:hint="eastAsia"/>
          <w:bCs/>
          <w:kern w:val="2"/>
          <w:sz w:val="28"/>
          <w:szCs w:val="28"/>
          <w:lang w:val="en-US" w:eastAsia="zh-CN" w:bidi="ar-SA"/>
        </w:rPr>
        <w:t>（二）政府采购支出情况.................................29</w:t>
      </w:r>
    </w:p>
    <w:p>
      <w:pPr>
        <w:ind w:firstLineChars="100" w:firstLine="280"/>
        <w:rPr>
          <w:rStyle w:val="30"/>
          <w:rFonts w:ascii="仿宋" w:eastAsia="仿宋" w:cs="Times New Roman" w:hint="eastAsia"/>
          <w:bCs/>
          <w:kern w:val="2"/>
          <w:sz w:val="28"/>
          <w:szCs w:val="28"/>
          <w:lang w:val="en-US" w:eastAsia="zh-CN" w:bidi="ar-SA"/>
        </w:rPr>
      </w:pPr>
      <w:r>
        <w:rPr>
          <w:rStyle w:val="30"/>
          <w:rFonts w:ascii="仿宋" w:eastAsia="仿宋" w:cs="Times New Roman" w:hint="eastAsia"/>
          <w:bCs/>
          <w:kern w:val="2"/>
          <w:sz w:val="28"/>
          <w:szCs w:val="28"/>
          <w:lang w:val="en-US" w:eastAsia="zh-CN" w:bidi="ar-SA"/>
        </w:rPr>
        <w:t>（三）国有资产占有使用情况..............................30</w:t>
      </w:r>
    </w:p>
    <w:p>
      <w:pPr>
        <w:ind w:firstLineChars="100" w:firstLine="280"/>
        <w:rPr>
          <w:rStyle w:val="30"/>
          <w:rFonts w:ascii="仿宋" w:eastAsia="仿宋" w:cs="Times New Roman"/>
          <w:bCs/>
          <w:kern w:val="2"/>
          <w:sz w:val="28"/>
          <w:szCs w:val="28"/>
          <w:lang w:val="en-US" w:eastAsia="zh-CN" w:bidi="ar-SA"/>
        </w:rPr>
      </w:pPr>
      <w:r>
        <w:rPr>
          <w:rStyle w:val="30"/>
          <w:rFonts w:ascii="仿宋" w:eastAsia="仿宋" w:cs="Times New Roman" w:hint="eastAsia"/>
          <w:bCs/>
          <w:kern w:val="2"/>
          <w:sz w:val="28"/>
          <w:szCs w:val="28"/>
          <w:lang w:val="en-US" w:eastAsia="zh-CN" w:bidi="ar-SA"/>
        </w:rPr>
        <w:t>（四）预算绩效管理情况..................................30</w:t>
      </w:r>
    </w:p>
    <w:p>
      <w:pPr>
        <w:pStyle w:val="23"/>
        <w:tabs>
          <w:tab w:val="right" w:leader="dot" w:pos="8296"/>
        </w:tabs>
        <w:rPr>
          <w:rFonts w:eastAsia="仿宋" w:cs="Arial" w:hint="eastAsia"/>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rPr>
          <w:rFonts w:hint="eastAsia"/>
          <w:bCs/>
          <w:kern w:val="44"/>
          <w:lang w:val="en-US" w:eastAsia="zh-CN"/>
        </w:rPr>
        <w:t>......................................</w:t>
      </w:r>
      <w:r>
        <w:rPr>
          <w:rFonts w:hint="eastAsia"/>
          <w:lang w:val="en-US" w:eastAsia="zh-CN"/>
        </w:rPr>
        <w:t>3</w:t>
      </w:r>
      <w:r>
        <w:fldChar w:fldCharType="end"/>
      </w:r>
      <w:r>
        <w:rPr>
          <w:rFonts w:hint="eastAsia"/>
          <w:lang w:val="en-US" w:eastAsia="zh-CN"/>
        </w:rPr>
        <w:t>1</w:t>
      </w:r>
    </w:p>
    <w:p>
      <w:pPr>
        <w:pStyle w:val="23"/>
        <w:tabs>
          <w:tab w:val="right" w:leader="dot" w:pos="8296"/>
        </w:tabs>
        <w:rPr>
          <w:rFonts w:eastAsia="仿宋" w:cs="Arial"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rPr>
          <w:rFonts w:hint="eastAsia"/>
          <w:bCs/>
          <w:kern w:val="44"/>
          <w:lang w:val="en-US" w:eastAsia="zh-CN"/>
        </w:rPr>
        <w:t>..........................................</w:t>
      </w:r>
      <w:r>
        <w:rPr>
          <w:rFonts w:hint="eastAsia"/>
          <w:lang w:val="en-US" w:eastAsia="zh-CN"/>
        </w:rPr>
        <w:t>3</w:t>
      </w:r>
      <w:r>
        <w:fldChar w:fldCharType="end"/>
      </w:r>
      <w:r>
        <w:rPr>
          <w:rFonts w:hint="eastAsia"/>
          <w:lang w:val="en-US" w:eastAsia="zh-CN"/>
        </w:rPr>
        <w:t>5</w:t>
      </w:r>
    </w:p>
    <w:p>
      <w:pPr>
        <w:pStyle w:val="25"/>
        <w:tabs>
          <w:tab w:val="right" w:leader="dot" w:pos="8296"/>
        </w:tabs>
        <w:ind w:leftChars="0" w:left="0" w:firstLineChars="100" w:firstLine="280"/>
        <w:rPr>
          <w:rFonts w:ascii="仿宋" w:eastAsia="仿宋" w:cs="Arial" w:hint="eastAsia"/>
          <w:sz w:val="28"/>
          <w:szCs w:val="28"/>
          <w:lang w:val="en-US" w:eastAsia="zh-CN"/>
        </w:rPr>
      </w:pPr>
      <w:r>
        <w:rPr>
          <w:rFonts w:ascii="仿宋" w:eastAsia="仿宋" w:cs="Times New Roman" w:hint="eastAsia"/>
          <w:kern w:val="2"/>
          <w:sz w:val="28"/>
          <w:szCs w:val="28"/>
          <w:lang w:val="en-US" w:eastAsia="zh-CN" w:bidi="ar-SA"/>
        </w:rPr>
        <w:t>金川县应急管理局2022年部门整体支出绩效评价报告.........</w:t>
      </w:r>
      <w:r>
        <w:fldChar w:fldCharType="begin"/>
      </w:r>
      <w:r>
        <w:instrText xml:space="preserve"> HYPERLINK \l "_Toc15396615" </w:instrText>
      </w:r>
      <w:r>
        <w:fldChar w:fldCharType="separate"/>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5</w:t>
      </w:r>
    </w:p>
    <w:p>
      <w:pPr>
        <w:pStyle w:val="23"/>
        <w:tabs>
          <w:tab w:val="right" w:leader="dot" w:pos="8296"/>
        </w:tabs>
        <w:rPr>
          <w:rFonts w:eastAsia="仿宋" w:cs="Arial" w:hint="eastAsia"/>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rPr>
          <w:rFonts w:hint="eastAsia"/>
          <w:bCs/>
          <w:kern w:val="44"/>
          <w:lang w:val="en-US" w:eastAsia="zh-CN"/>
        </w:rPr>
        <w:t>..........................................</w:t>
      </w:r>
      <w:r>
        <w:rPr>
          <w:rFonts w:hint="eastAsia"/>
          <w:lang w:val="en-US" w:eastAsia="zh-CN"/>
        </w:rPr>
        <w:t>6</w:t>
      </w:r>
      <w:r>
        <w:fldChar w:fldCharType="end"/>
      </w:r>
      <w:r>
        <w:rPr>
          <w:rFonts w:hint="eastAsia"/>
          <w:lang w:val="en-US" w:eastAsia="zh-CN"/>
        </w:rPr>
        <w:t>3</w:t>
      </w:r>
    </w:p>
    <w:p>
      <w:pPr>
        <w:pStyle w:val="25"/>
        <w:tabs>
          <w:tab w:val="right" w:leader="dot" w:pos="8296"/>
        </w:tabs>
        <w:rPr>
          <w:rFonts w:ascii="仿宋" w:eastAsia="仿宋" w:cs="Arial" w:hint="eastAsia"/>
          <w:sz w:val="28"/>
          <w:szCs w:val="28"/>
          <w:lang w:val="en-US" w:eastAsia="zh-CN"/>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w:t>
      </w:r>
      <w:r>
        <w:rPr>
          <w:rFonts w:ascii="仿宋" w:eastAsia="仿宋" w:hint="eastAsia"/>
          <w:sz w:val="28"/>
          <w:szCs w:val="28"/>
          <w:lang w:eastAsia="zh-CN"/>
        </w:rPr>
        <w:t>表</w:t>
      </w:r>
      <w:r>
        <w:rPr>
          <w:rFonts w:ascii="仿宋" w:eastAsia="仿宋" w:hint="eastAsia"/>
          <w:sz w:val="28"/>
          <w:szCs w:val="28"/>
          <w:lang w:val="en-US" w:eastAsia="zh-CN"/>
        </w:rPr>
        <w:t>...................................63</w:t>
      </w:r>
      <w:r>
        <w:rPr>
          <w:rFonts w:ascii="仿宋" w:eastAsia="仿宋"/>
          <w:sz w:val="28"/>
          <w:szCs w:val="28"/>
        </w:rPr>
        <w:fldChar w:fldCharType="end"/>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rPr>
        <w:t>二、</w:t>
      </w:r>
      <w:r>
        <w:rPr>
          <w:rFonts w:ascii="仿宋" w:eastAsia="仿宋" w:hint="eastAsia"/>
          <w:sz w:val="28"/>
          <w:szCs w:val="28"/>
        </w:rPr>
        <w:fldChar w:fldCharType="begin"/>
      </w:r>
      <w:r>
        <w:rPr>
          <w:rFonts w:ascii="仿宋" w:eastAsia="仿宋" w:hint="eastAsia"/>
          <w:sz w:val="28"/>
          <w:szCs w:val="28"/>
        </w:rPr>
        <w:instrText xml:space="preserve"> HYPERLINK \l "_Toc15396620" </w:instrText>
      </w:r>
      <w:r>
        <w:rPr>
          <w:rFonts w:ascii="仿宋" w:eastAsia="仿宋" w:hint="eastAsia"/>
          <w:sz w:val="28"/>
          <w:szCs w:val="28"/>
        </w:rPr>
        <w:fldChar w:fldCharType="separate"/>
      </w:r>
      <w:r>
        <w:rPr>
          <w:rFonts w:ascii="仿宋" w:eastAsia="仿宋" w:hint="eastAsia"/>
          <w:sz w:val="28"/>
          <w:szCs w:val="28"/>
        </w:rPr>
        <w:t>收</w:t>
      </w:r>
      <w:r>
        <w:rPr>
          <w:rFonts w:ascii="仿宋" w:eastAsia="仿宋" w:hint="eastAsia"/>
          <w:sz w:val="28"/>
          <w:szCs w:val="28"/>
          <w:lang w:eastAsia="zh-CN"/>
        </w:rPr>
        <w:t>入</w:t>
      </w:r>
      <w:r>
        <w:rPr>
          <w:rFonts w:ascii="仿宋" w:eastAsia="仿宋" w:hint="eastAsia"/>
          <w:sz w:val="28"/>
          <w:szCs w:val="28"/>
        </w:rPr>
        <w:t>决算表</w:t>
        <w:tab/>
      </w:r>
      <w:r>
        <w:rPr>
          <w:rFonts w:ascii="仿宋" w:eastAsia="仿宋" w:hint="eastAsia"/>
          <w:sz w:val="28"/>
          <w:szCs w:val="28"/>
        </w:rPr>
        <w:fldChar w:fldCharType="end"/>
      </w:r>
      <w:r>
        <w:rPr>
          <w:rFonts w:ascii="仿宋" w:eastAsia="仿宋" w:hint="eastAsia"/>
          <w:sz w:val="28"/>
          <w:szCs w:val="28"/>
          <w:lang w:val="en-US" w:eastAsia="zh-CN"/>
        </w:rPr>
        <w:t>..63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三、</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"_Toc15396621"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支出决算表.........................................6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四、财政拨款收入</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"_Toc15396622"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支出决算总表</w:t>
        <w:tab/>
        <w:t>..6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五、财政拨款</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"_Toc15396623"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支出决算明细表</w:t>
        <w:tab/>
        <w:t>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六、</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"_Toc15396625"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一般公共预算财政拨款支出决算表</w:t>
        <w:tab/>
        <w:t>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七、</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"_Toc15396626"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一般公共预算财政拨款支出决算明细表................6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cs="Times New Roman" w:hint="eastAsia"/>
          <w:kern w:val="2"/>
          <w:sz w:val="28"/>
          <w:szCs w:val="28"/>
          <w:lang w:val="en-US" w:eastAsia="zh-CN" w:bidi="ar-SA"/>
        </w:rPr>
        <w:t>八</w:t>
      </w:r>
      <w:r>
        <w:rPr>
          <w:rFonts w:hint="eastAsia"/>
          <w:lang w:val="en-US" w:eastAsia="zh-CN"/>
        </w:rPr>
        <w:t>、</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"_Toc15396626"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一般公共预算财政拨款支出决算明细表................6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lang w:val="en-US" w:eastAsia="zh-CN"/>
        </w:rPr>
      </w:pPr>
      <w:r>
        <w:rPr>
          <w:rFonts w:ascii="仿宋" w:eastAsia="仿宋" w:hint="eastAsia"/>
          <w:sz w:val="28"/>
          <w:szCs w:val="28"/>
          <w:lang w:val="en-US" w:eastAsia="zh-CN"/>
        </w:rPr>
        <w:t>九、一般公共预算财政拨款项目支出决算表...............63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十、</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"_Toc15396627"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政府性基金预算财政拨款收入支出决算表.............6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十一、</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"_Toc15396629"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国有资本经营预算财政拨款收入支出决算表..........6</w:t>
      </w:r>
      <w:r>
        <w:rPr>
          <w:rFonts w:ascii="仿宋" w:eastAsia="仿宋" w:hint="eastAsia"/>
          <w:sz w:val="28"/>
          <w:szCs w:val="28"/>
          <w:lang w:val="en-US" w:eastAsia="zh-CN"/>
        </w:rPr>
        <w:fldChar w:fldCharType="end"/>
      </w:r>
      <w:r>
        <w:rPr>
          <w:rFonts w:ascii="仿宋" w:eastAsia="仿宋" w:hint="eastAsia"/>
          <w:sz w:val="28"/>
          <w:szCs w:val="28"/>
          <w:lang w:val="en-US" w:eastAsia="zh-CN"/>
        </w:rPr>
        <w:t>3</w:t>
      </w:r>
    </w:p>
    <w:p>
      <w:pPr>
        <w:pStyle w:val="25"/>
        <w:tabs>
          <w:tab w:val="right" w:leader="dot" w:pos="8296"/>
        </w:tabs>
        <w:rPr>
          <w:rFonts w:ascii="仿宋" w:eastAsia="仿宋" w:cs="Times New Roman" w:hint="eastAsia"/>
          <w:b w:val="0"/>
          <w:bCs w:val="0"/>
          <w:kern w:val="2"/>
          <w:sz w:val="28"/>
          <w:szCs w:val="28"/>
          <w:lang w:val="en-US" w:eastAsia="zh-CN" w:bidi="ar-SA"/>
        </w:rPr>
      </w:pPr>
      <w:r>
        <w:rPr>
          <w:rFonts w:ascii="仿宋" w:eastAsia="仿宋" w:hint="eastAsia"/>
          <w:sz w:val="28"/>
          <w:szCs w:val="28"/>
          <w:lang w:val="en-US" w:eastAsia="zh-CN"/>
        </w:rPr>
        <w:t>十二、</w:t>
      </w:r>
      <w:r>
        <w:rPr>
          <w:rFonts w:ascii="仿宋" w:eastAsia="仿宋" w:hint="eastAsia"/>
          <w:sz w:val="28"/>
          <w:szCs w:val="28"/>
          <w:lang w:val="en-US" w:eastAsia="zh-CN"/>
        </w:rPr>
        <w:fldChar w:fldCharType="begin"/>
      </w:r>
      <w:r>
        <w:rPr>
          <w:rFonts w:ascii="仿宋" w:eastAsia="仿宋" w:hint="eastAsia"/>
          <w:sz w:val="28"/>
          <w:szCs w:val="28"/>
          <w:lang w:val="en-US" w:eastAsia="zh-CN"/>
        </w:rPr>
        <w:instrText xml:space="preserve"> HYPERLINK \l "_Toc15396629" </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国有资本经营预算财政拨款支出决算表..............6</w:t>
      </w:r>
      <w:r>
        <w:rPr>
          <w:rFonts w:ascii="仿宋" w:eastAsia="仿宋" w:hint="eastAsia"/>
          <w:sz w:val="28"/>
          <w:szCs w:val="28"/>
          <w:lang w:val="en-US" w:eastAsia="zh-CN"/>
        </w:rPr>
        <w:fldChar w:fldCharType="end"/>
      </w:r>
      <w:r>
        <w:rPr>
          <w:rFonts w:ascii="仿宋" w:eastAsia="仿宋" w:cs="Times New Roman" w:hint="eastAsia"/>
          <w:b w:val="0"/>
          <w:bCs w:val="0"/>
          <w:kern w:val="2"/>
          <w:sz w:val="28"/>
          <w:szCs w:val="28"/>
          <w:lang w:val="en-US" w:eastAsia="zh-CN" w:bidi="ar-SA"/>
        </w:rPr>
        <w:t>3</w:t>
      </w:r>
    </w:p>
    <w:p>
      <w:pPr>
        <w:pStyle w:val="25"/>
        <w:tabs>
          <w:tab w:val="right" w:leader="dot" w:pos="8296"/>
        </w:tabs>
        <w:rPr>
          <w:lang w:val="en-US" w:eastAsia="zh-CN"/>
        </w:rPr>
      </w:pPr>
      <w:r>
        <w:rPr>
          <w:rFonts w:ascii="仿宋" w:eastAsia="仿宋" w:cs="Times New Roman" w:hint="eastAsia"/>
          <w:b w:val="0"/>
          <w:bCs w:val="0"/>
          <w:kern w:val="2"/>
          <w:sz w:val="28"/>
          <w:szCs w:val="28"/>
          <w:lang w:val="en-US" w:eastAsia="zh-CN" w:bidi="ar-SA"/>
        </w:rPr>
        <w:t>十三、财政拨款“三公”经费支出决算表..................63</w:t>
      </w:r>
    </w:p>
    <w:p>
      <w:pPr>
        <w:rPr>
          <w:lang w:val="en-US" w:eastAsia="zh-CN"/>
        </w:rPr>
      </w:pPr>
    </w:p>
    <w:p>
      <w:pPr>
        <w:widowControl/>
        <w:jc w:val="left"/>
        <w:rPr>
          <w:rFonts w:ascii="仿宋" w:eastAsia="仿宋"/>
          <w:color w:val="000000"/>
          <w:sz w:val="24"/>
        </w:rPr>
      </w:pPr>
      <w:r>
        <w:rPr>
          <w:rFonts w:ascii="仿宋" w:eastAsia="仿宋"/>
          <w:color w:val="000000"/>
          <w:sz w:val="24"/>
        </w:rPr>
        <w:fldChar w:fldCharType="end"/>
      </w:r>
    </w:p>
    <w:p>
      <w:pPr>
        <w:pStyle w:val="1"/>
        <w:jc w:val="both"/>
        <w:rPr>
          <w:rFonts w:ascii="黑体" w:eastAsia="黑体"/>
          <w:color w:val="000000"/>
          <w:sz w:val="32"/>
          <w:szCs w:val="32"/>
        </w:rPr>
      </w:pPr>
      <w:bookmarkStart w:id="11" w:name="_Toc15377196"/>
      <w:bookmarkStart w:id="12" w:name="_Toc15396599"/>
      <w:r>
        <w:rPr>
          <w:rFonts w:ascii="黑体" w:eastAsia="黑体"/>
          <w:b/>
        </w:rPr>
        <w:br w:type="page"/>
      </w:r>
      <w:bookmarkEnd w:id="11"/>
      <w:bookmarkEnd w:id="12"/>
    </w:p>
    <w:p>
      <w:pPr>
        <w:pStyle w:val="2"/>
        <w:keepNext/>
        <w:keepLines/>
        <w:pageBreakBefore w:val="0"/>
        <w:widowControl w:val="0"/>
        <w:tabs>
          <w:tab w:val="left" w:pos="3285"/>
          <w:tab w:val="center" w:pos="5476"/>
        </w:tabs>
        <w:kinsoku/>
        <w:wordWrap/>
        <w:overflowPunct/>
        <w:topLinePunct w:val="0"/>
        <w:autoSpaceDE/>
        <w:autoSpaceDN/>
        <w:bidi w:val="0"/>
        <w:adjustRightInd/>
        <w:snapToGrid/>
        <w:spacing w:before="0" w:after="0" w:line="240" w:lineRule="auto"/>
        <w:ind w:leftChars="304" w:left="638"/>
        <w:jc w:val="center"/>
        <w:textAlignment w:val="auto"/>
        <w:rPr>
          <w:rFonts w:ascii="黑体" w:eastAsia="黑体" w:cs="Times New Roman" w:hint="eastAsia"/>
          <w:b w:val="0"/>
          <w:bCs/>
          <w:color w:val="000000"/>
          <w:kern w:val="44"/>
          <w:sz w:val="44"/>
          <w:szCs w:val="44"/>
          <w:lang w:val="en-US" w:eastAsia="zh-CN" w:bidi="ar-SA"/>
        </w:rPr>
      </w:pPr>
      <w:bookmarkStart w:id="13" w:name="_Toc15377197"/>
      <w:bookmarkStart w:id="14" w:name="_Toc15396600"/>
      <w:r>
        <w:rPr>
          <w:rFonts w:ascii="黑体" w:eastAsia="黑体" w:cs="Times New Roman" w:hint="eastAsia"/>
          <w:b w:val="0"/>
          <w:bCs/>
          <w:color w:val="000000"/>
          <w:kern w:val="44"/>
          <w:sz w:val="44"/>
          <w:szCs w:val="44"/>
          <w:lang w:val="en-US" w:eastAsia="zh-CN" w:bidi="ar-SA"/>
        </w:rPr>
        <w:t>第一部分 部门概况</w:t>
      </w:r>
    </w:p>
    <w:p>
      <w:pPr>
        <w:rPr>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240" w:lineRule="auto"/>
        <w:ind w:leftChars="304" w:left="638" w:firstLine="0"/>
        <w:textAlignment w:val="auto"/>
        <w:rPr>
          <w:rStyle w:val="2Char"/>
          <w:rFonts w:ascii="黑体" w:eastAsia="黑体" w:hint="eastAsia"/>
          <w:b w:val="0"/>
          <w:bCs w:val="0"/>
        </w:rPr>
      </w:pPr>
      <w:r>
        <w:rPr>
          <w:rFonts w:ascii="黑体" w:eastAsia="黑体" w:hint="eastAsia"/>
          <w:b w:val="0"/>
          <w:color w:val="000000"/>
        </w:rPr>
        <w:t>一、基</w:t>
      </w:r>
      <w:r>
        <w:rPr>
          <w:rStyle w:val="2Char"/>
          <w:rFonts w:ascii="黑体" w:eastAsia="黑体" w:hint="eastAsia"/>
          <w:b w:val="0"/>
          <w:bCs w:val="0"/>
        </w:rPr>
        <w:t>本职能及主要工作</w:t>
      </w:r>
      <w:bookmarkStart w:id="15" w:name="_Toc15378445"/>
      <w:bookmarkStart w:id="16" w:name="_Toc15377198"/>
      <w:bookmarkEnd w:id="13"/>
      <w:bookmarkEnd w:id="14"/>
    </w:p>
    <w:p>
      <w:pPr>
        <w:pStyle w:val="2"/>
        <w:keepNext/>
        <w:keepLines/>
        <w:pageBreakBefore w:val="0"/>
        <w:widowControl w:val="0"/>
        <w:kinsoku/>
        <w:wordWrap/>
        <w:overflowPunct/>
        <w:topLinePunct w:val="0"/>
        <w:autoSpaceDE/>
        <w:autoSpaceDN/>
        <w:bidi w:val="0"/>
        <w:adjustRightInd/>
        <w:snapToGrid/>
        <w:spacing w:before="0" w:after="0" w:line="240" w:lineRule="auto"/>
        <w:ind w:leftChars="305" w:left="640" w:firstLine="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7" w:name="_Toc15377199"/>
      <w:bookmarkStart w:id="18" w:name="_Toc15378446"/>
      <w:bookmarkEnd w:id="15"/>
      <w:bookmarkEnd w:id="16"/>
    </w:p>
    <w:p>
      <w:pPr>
        <w:widowControl/>
        <w:spacing w:line="360" w:lineRule="auto"/>
        <w:ind w:firstLineChars="200" w:firstLine="640"/>
        <w:jc w:val="left"/>
        <w:rPr>
          <w:rFonts w:ascii="仿宋_GB2312" w:eastAsia="仿宋_GB2312" w:cs="仿宋_GB2312" w:hint="eastAsia"/>
          <w:kern w:val="0"/>
          <w:sz w:val="32"/>
          <w:szCs w:val="32"/>
          <w:lang w:eastAsia="zh-CN"/>
        </w:rPr>
      </w:pPr>
      <w:r>
        <w:rPr>
          <w:rFonts w:ascii="仿宋_GB2312" w:eastAsia="仿宋_GB2312" w:cs="仿宋_GB2312" w:hint="eastAsia"/>
          <w:kern w:val="0"/>
          <w:sz w:val="32"/>
          <w:szCs w:val="32"/>
          <w:lang w:eastAsia="zh-CN"/>
        </w:rPr>
        <w:t>本单位负责应急管理工作，组织和指导各乡（镇）、县级各部门（单位）应对安全生产类、自然灾害类等突发事件和综合防灾减灾救灾工作。负责安全生产综合监督管理和工矿商贸安全生产监督管理工作。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较大及以上灾害指挥部工作，综合研判突发事件发展态势并提出应对建议，负责组织较大及以上灾害应急处置工作。统一协调指挥各类应急专业队伍，建立应急协调联动机制，推进指挥平台对接。按照国家、省、州相关政策和规定负责消防、森林和草原火灾扑救、抗洪抢险、地震和地质灾害救援、生产安全事故救援等专业应急救援力量建设，依法依规统筹指导全县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依法承担县政府安全生产综合监督管理责任，指导协调、监督检查各乡（镇）和各部门（单位）安全生产工作，组织开展安全生产巡查、督查、考核工作。负责应急管理、安全生产宣传教育和培训工作，组织和指导应急管理、安全生产的科学技术推广应用和信息化建设工作。负责职责范围内的职业健康、生态环境保护、公共机构节能减排、审批服务便民化工作。完成县委、县政府交办的其他任务。</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w:t>
      </w:r>
      <w:r>
        <w:rPr>
          <w:rFonts w:ascii="楷体" w:eastAsia="楷体" w:cs="楷体" w:hint="eastAsia"/>
          <w:bCs/>
          <w:color w:val="000000"/>
          <w:sz w:val="32"/>
          <w:szCs w:val="32"/>
          <w:lang w:val="en-US" w:eastAsia="zh-CN"/>
        </w:rPr>
        <w:t>2022</w:t>
      </w:r>
      <w:r>
        <w:rPr>
          <w:rFonts w:ascii="楷体" w:eastAsia="楷体" w:cs="楷体" w:hint="eastAsia"/>
          <w:bCs/>
          <w:color w:val="000000"/>
          <w:sz w:val="32"/>
          <w:szCs w:val="32"/>
        </w:rPr>
        <w:t>年重点工作完成情况</w:t>
      </w:r>
      <w:bookmarkEnd w:id="17"/>
      <w:bookmarkEnd w:id="18"/>
    </w:p>
    <w:p>
      <w:pPr>
        <w:pStyle w:val="27"/>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kinsoku/>
        <w:wordWrap/>
        <w:overflowPunct/>
        <w:topLinePunct w:val="0"/>
        <w:autoSpaceDE/>
        <w:autoSpaceDN/>
        <w:bidi w:val="0"/>
        <w:adjustRightInd/>
        <w:snapToGrid/>
        <w:spacing w:before="0" w:beforeAutospacing="0" w:after="0" w:afterAutospacing="0" w:line="570" w:lineRule="exact"/>
        <w:ind w:left="0" w:right="0" w:firstLineChars="200" w:firstLine="640"/>
        <w:jc w:val="both"/>
        <w:textAlignment w:val="auto"/>
        <w:rPr>
          <w:rFonts w:ascii="仿宋_GB2312" w:eastAsia="仿宋_GB2312" w:cs="仿宋_GB2312" w:hint="eastAsia"/>
          <w:b/>
          <w:bCs/>
          <w:kern w:val="2"/>
          <w:sz w:val="32"/>
          <w:szCs w:val="32"/>
          <w:lang w:val="en-US" w:eastAsia="zh-CN" w:bidi="ar-SA"/>
        </w:rPr>
      </w:pPr>
      <w:bookmarkStart w:id="19" w:name="_Toc15377200"/>
      <w:bookmarkStart w:id="20" w:name="_Toc15396601"/>
      <w:r>
        <w:rPr>
          <w:rFonts w:ascii="仿宋_GB2312" w:eastAsia="仿宋_GB2312" w:cs="仿宋_GB2312" w:hint="eastAsia"/>
          <w:b/>
          <w:bCs/>
          <w:sz w:val="32"/>
          <w:szCs w:val="32"/>
          <w:lang w:val="en-US" w:eastAsia="zh-CN"/>
        </w:rPr>
        <w:t>1、</w:t>
      </w:r>
      <w:r>
        <w:rPr>
          <w:rFonts w:ascii="仿宋_GB2312" w:eastAsia="仿宋_GB2312" w:cs="仿宋_GB2312" w:hint="eastAsia"/>
          <w:b/>
          <w:bCs/>
          <w:sz w:val="32"/>
          <w:szCs w:val="32"/>
        </w:rPr>
        <w:t>在森林</w:t>
      </w:r>
      <w:r>
        <w:rPr>
          <w:rFonts w:ascii="仿宋_GB2312" w:eastAsia="仿宋_GB2312" w:cs="仿宋_GB2312" w:hint="eastAsia"/>
          <w:b/>
          <w:bCs/>
          <w:sz w:val="32"/>
          <w:szCs w:val="32"/>
          <w:lang w:val="en-US" w:eastAsia="zh-CN"/>
        </w:rPr>
        <w:t>草原</w:t>
      </w:r>
      <w:r>
        <w:rPr>
          <w:rFonts w:ascii="仿宋_GB2312" w:eastAsia="仿宋_GB2312" w:cs="仿宋_GB2312" w:hint="eastAsia"/>
          <w:b/>
          <w:bCs/>
          <w:sz w:val="32"/>
          <w:szCs w:val="32"/>
        </w:rPr>
        <w:t>防灭火工作方面</w:t>
      </w:r>
      <w:r>
        <w:rPr>
          <w:rFonts w:ascii="仿宋_GB2312" w:eastAsia="仿宋_GB2312" w:cs="仿宋_GB2312" w:hint="eastAsia"/>
          <w:b/>
          <w:bCs/>
          <w:sz w:val="32"/>
          <w:szCs w:val="32"/>
          <w:lang w:eastAsia="zh-CN"/>
        </w:rPr>
        <w:t>：</w:t>
      </w:r>
    </w:p>
    <w:p>
      <w:pPr>
        <w:pStyle w:val="39"/>
        <w:keepNext w:val="0"/>
        <w:keepLines w:val="0"/>
        <w:pageBreakBefore w:val="0"/>
        <w:widowControl w:val="0"/>
        <w:kinsoku/>
        <w:wordWrap/>
        <w:overflowPunct/>
        <w:topLinePunct w:val="0"/>
        <w:autoSpaceDE/>
        <w:autoSpaceDN/>
        <w:bidi w:val="0"/>
        <w:adjustRightInd/>
        <w:snapToGrid/>
        <w:spacing w:beforeAutospacing="0" w:afterAutospacing="0" w:line="570" w:lineRule="exact"/>
        <w:ind w:leftChars="0" w:left="0" w:firstLineChars="200" w:firstLine="640"/>
        <w:rPr>
          <w:rFonts w:ascii="仿宋_GB2312" w:eastAsia="仿宋_GB2312" w:cs="仿宋_GB2312"/>
          <w:kern w:val="2"/>
          <w:sz w:val="32"/>
          <w:szCs w:val="32"/>
          <w:lang w:val="en-US" w:eastAsia="zh-CN" w:bidi="ar-SA"/>
        </w:rPr>
      </w:pPr>
      <w:r>
        <w:rPr>
          <w:rFonts w:ascii="仿宋_GB2312" w:eastAsia="仿宋_GB2312" w:cs="仿宋_GB2312" w:hint="eastAsia"/>
          <w:b/>
          <w:bCs/>
          <w:sz w:val="32"/>
          <w:szCs w:val="32"/>
          <w:lang w:val="en-US" w:eastAsia="zh-CN"/>
        </w:rPr>
        <w:t>一是</w:t>
      </w:r>
      <w:r>
        <w:rPr>
          <w:rFonts w:ascii="仿宋_GB2312" w:eastAsia="仿宋_GB2312" w:cs="仿宋_GB2312" w:hint="eastAsia"/>
          <w:kern w:val="2"/>
          <w:sz w:val="32"/>
          <w:szCs w:val="32"/>
          <w:lang w:val="en-US" w:eastAsia="zh-CN" w:bidi="ar-SA"/>
        </w:rPr>
        <w:t>累计召开森林草原防灭火方面县委常委会8次，政府常务会12次，党组党委行政学习19次，学习研究20次，调度会5次，专题部署会议13次。</w:t>
      </w:r>
      <w:r>
        <w:rPr>
          <w:rFonts w:ascii="仿宋_GB2312" w:eastAsia="仿宋_GB2312" w:cs="仿宋_GB2312" w:hint="eastAsia"/>
          <w:b/>
          <w:bCs/>
          <w:sz w:val="32"/>
          <w:szCs w:val="32"/>
          <w:lang w:val="en-US" w:eastAsia="zh-CN"/>
        </w:rPr>
        <w:t>二是</w:t>
      </w:r>
      <w:r>
        <w:rPr>
          <w:rFonts w:ascii="仿宋_GB2312" w:eastAsia="仿宋_GB2312" w:cs="仿宋_GB2312" w:hint="eastAsia"/>
          <w:kern w:val="2"/>
          <w:sz w:val="32"/>
          <w:szCs w:val="32"/>
          <w:lang w:val="en-US" w:eastAsia="zh-CN" w:bidi="ar-SA"/>
        </w:rPr>
        <w:t>迎接督导检查组省级7次、州级26次。落细落准“两书一函”“三单一书”等要求训诫，县级包保领导蹲点督导384人次，县乡两级发布整改通知书47份，提醒敦促57次，约谈通知书2份。约谈14人次，通报6起。</w:t>
      </w:r>
      <w:r>
        <w:rPr>
          <w:rFonts w:ascii="仿宋_GB2312" w:eastAsia="仿宋_GB2312" w:cs="仿宋_GB2312" w:hint="eastAsia"/>
          <w:b/>
          <w:bCs/>
          <w:kern w:val="2"/>
          <w:sz w:val="32"/>
          <w:szCs w:val="32"/>
          <w:lang w:val="en-US" w:eastAsia="zh-CN" w:bidi="ar-SA"/>
        </w:rPr>
        <w:t>四是</w:t>
      </w:r>
      <w:r>
        <w:rPr>
          <w:rFonts w:ascii="仿宋_GB2312" w:eastAsia="仿宋_GB2312" w:cs="仿宋_GB2312" w:hint="eastAsia"/>
          <w:kern w:val="2"/>
          <w:sz w:val="32"/>
          <w:szCs w:val="32"/>
          <w:lang w:val="en-US" w:eastAsia="zh-CN" w:bidi="ar-SA"/>
        </w:rPr>
        <w:t>积极开展赋权乡镇行使县级森林草原防火行政处罚权工作，全县19个乡（镇）已赋权完毕，组建执法队伍19支，执法人员57人，完成乡镇执法人员培训1 次，38人次。</w:t>
      </w:r>
      <w:r>
        <w:rPr>
          <w:rFonts w:ascii="仿宋_GB2312" w:eastAsia="仿宋_GB2312" w:cs="仿宋_GB2312" w:hint="eastAsia"/>
          <w:b/>
          <w:bCs/>
          <w:sz w:val="32"/>
          <w:szCs w:val="32"/>
          <w:lang w:val="en-US" w:eastAsia="zh-CN"/>
        </w:rPr>
        <w:t>五是</w:t>
      </w:r>
      <w:r>
        <w:rPr>
          <w:rFonts w:ascii="仿宋_GB2312" w:eastAsia="仿宋_GB2312" w:cs="仿宋_GB2312" w:hint="eastAsia"/>
          <w:b w:val="0"/>
          <w:bCs w:val="0"/>
          <w:sz w:val="32"/>
          <w:szCs w:val="32"/>
          <w:lang w:val="en-US" w:eastAsia="zh-CN"/>
        </w:rPr>
        <w:t>完成县乡两级预案、处置办法修订完善。</w:t>
      </w:r>
      <w:r>
        <w:rPr>
          <w:rFonts w:ascii="仿宋_GB2312" w:eastAsia="仿宋_GB2312" w:cs="仿宋_GB2312" w:hint="eastAsia"/>
          <w:kern w:val="2"/>
          <w:sz w:val="32"/>
          <w:szCs w:val="32"/>
          <w:lang w:val="en-US" w:eastAsia="zh-CN" w:bidi="ar-SA"/>
        </w:rPr>
        <w:t>县森防指牵头开展2021至2022年金川县森林草原防灭火应急演练，县乡村三级累计开展演练112次，参演人数5700余人次。</w:t>
      </w:r>
      <w:r>
        <w:rPr>
          <w:rFonts w:ascii="仿宋_GB2312" w:eastAsia="仿宋_GB2312" w:cs="仿宋_GB2312" w:hint="eastAsia"/>
          <w:b/>
          <w:bCs/>
          <w:kern w:val="2"/>
          <w:sz w:val="32"/>
          <w:szCs w:val="32"/>
          <w:lang w:val="en-US" w:eastAsia="zh-CN" w:bidi="ar-SA"/>
        </w:rPr>
        <w:t>六</w:t>
      </w:r>
      <w:r>
        <w:rPr>
          <w:rFonts w:ascii="仿宋_GB2312" w:eastAsia="仿宋_GB2312" w:cs="仿宋_GB2312" w:hint="eastAsia"/>
          <w:b/>
          <w:bCs/>
          <w:sz w:val="32"/>
          <w:szCs w:val="32"/>
          <w:lang w:val="en-US" w:eastAsia="zh-CN"/>
        </w:rPr>
        <w:t>是</w:t>
      </w:r>
      <w:r>
        <w:rPr>
          <w:rFonts w:ascii="仿宋_GB2312" w:eastAsia="仿宋_GB2312" w:cs="仿宋_GB2312" w:hint="eastAsia"/>
          <w:kern w:val="2"/>
          <w:sz w:val="32"/>
          <w:szCs w:val="32"/>
          <w:lang w:val="en-US" w:eastAsia="zh-CN" w:bidi="ar-SA"/>
        </w:rPr>
        <w:t>严格落实“五级包保”工作责任，签订承诺书430份，其中：县级领导承诺书21份、乡（镇）包村承诺书85份、村组包户承诺书324份。签订公职人员防火承诺书2614人，其中：县级领导42人、科级领导521人、其他公职人员签订2051人。</w:t>
      </w:r>
      <w:r>
        <w:rPr>
          <w:rFonts w:ascii="仿宋_GB2312" w:eastAsia="仿宋_GB2312" w:cs="仿宋_GB2312" w:hint="eastAsia"/>
          <w:b/>
          <w:bCs/>
          <w:sz w:val="32"/>
          <w:szCs w:val="32"/>
          <w:lang w:val="en-US" w:eastAsia="zh-CN"/>
        </w:rPr>
        <w:t>七是</w:t>
      </w:r>
      <w:r>
        <w:rPr>
          <w:rFonts w:ascii="仿宋_GB2312" w:eastAsia="仿宋_GB2312" w:cs="仿宋_GB2312" w:hint="eastAsia"/>
          <w:kern w:val="2"/>
          <w:sz w:val="32"/>
          <w:szCs w:val="32"/>
          <w:lang w:val="en-US" w:eastAsia="zh-CN" w:bidi="ar-SA"/>
        </w:rPr>
        <w:t>防火期内应急、林草、气象、森防指办每日进行全县火险预警研判会商，</w:t>
      </w:r>
      <w:r>
        <w:rPr>
          <w:rFonts w:ascii="仿宋_GB2312" w:eastAsia="仿宋_GB2312" w:cs="仿宋_GB2312"/>
          <w:kern w:val="2"/>
          <w:sz w:val="32"/>
          <w:szCs w:val="32"/>
          <w:lang w:val="en-US" w:eastAsia="zh-CN" w:bidi="ar-SA"/>
        </w:rPr>
        <w:t>累计</w:t>
      </w:r>
      <w:r>
        <w:rPr>
          <w:rFonts w:ascii="仿宋_GB2312" w:eastAsia="仿宋_GB2312" w:cs="仿宋_GB2312" w:hint="eastAsia"/>
          <w:kern w:val="2"/>
          <w:sz w:val="32"/>
          <w:szCs w:val="32"/>
          <w:lang w:val="en-US" w:eastAsia="zh-CN" w:bidi="ar-SA"/>
        </w:rPr>
        <w:t>发布</w:t>
      </w:r>
      <w:r>
        <w:rPr>
          <w:rFonts w:ascii="仿宋_GB2312" w:eastAsia="仿宋_GB2312" w:cs="仿宋_GB2312"/>
          <w:kern w:val="2"/>
          <w:sz w:val="32"/>
          <w:szCs w:val="32"/>
          <w:lang w:val="en-US" w:eastAsia="zh-CN" w:bidi="ar-SA"/>
        </w:rPr>
        <w:t>蓝色预警5期、黄色预警8期</w:t>
      </w:r>
      <w:r>
        <w:rPr>
          <w:rFonts w:ascii="仿宋_GB2312" w:eastAsia="仿宋_GB2312" w:cs="仿宋_GB2312" w:hint="eastAsia"/>
          <w:kern w:val="2"/>
          <w:sz w:val="32"/>
          <w:szCs w:val="32"/>
          <w:lang w:val="en-US" w:eastAsia="zh-CN" w:bidi="ar-SA"/>
        </w:rPr>
        <w:t>。</w:t>
      </w:r>
      <w:r>
        <w:rPr>
          <w:rFonts w:ascii="仿宋_GB2312" w:eastAsia="仿宋_GB2312" w:cs="仿宋_GB2312" w:hint="eastAsia"/>
          <w:b/>
          <w:bCs/>
          <w:kern w:val="2"/>
          <w:sz w:val="32"/>
          <w:szCs w:val="32"/>
          <w:lang w:val="en-US" w:eastAsia="zh-CN" w:bidi="ar-SA"/>
        </w:rPr>
        <w:t>八是</w:t>
      </w:r>
      <w:r>
        <w:rPr>
          <w:rFonts w:ascii="仿宋_GB2312" w:eastAsia="仿宋_GB2312" w:cs="仿宋_GB2312" w:hint="eastAsia"/>
          <w:b w:val="0"/>
          <w:bCs w:val="0"/>
          <w:kern w:val="2"/>
          <w:sz w:val="32"/>
          <w:szCs w:val="32"/>
          <w:lang w:val="en-US" w:eastAsia="zh-CN" w:bidi="ar-SA"/>
        </w:rPr>
        <w:t>开展火灾隐患排查，</w:t>
      </w:r>
      <w:r>
        <w:rPr>
          <w:rFonts w:ascii="仿宋_GB2312" w:eastAsia="仿宋_GB2312" w:cs="仿宋_GB2312" w:hint="eastAsia"/>
          <w:sz w:val="32"/>
          <w:szCs w:val="32"/>
          <w:lang w:val="en-US" w:eastAsia="zh-CN"/>
        </w:rPr>
        <w:t>督查问题129个，现场下发整改单33份，现场督促完成整改35个，</w:t>
      </w:r>
      <w:r>
        <w:rPr>
          <w:rFonts w:ascii="仿宋_GB2312" w:eastAsia="仿宋_GB2312" w:cs="仿宋_GB2312"/>
          <w:sz w:val="32"/>
          <w:szCs w:val="32"/>
          <w:lang w:val="en-US" w:eastAsia="zh-CN"/>
        </w:rPr>
        <w:t>责令限期完成整改事项</w:t>
      </w:r>
      <w:r>
        <w:rPr>
          <w:rFonts w:ascii="仿宋_GB2312" w:eastAsia="仿宋_GB2312" w:cs="仿宋_GB2312" w:hint="eastAsia"/>
          <w:sz w:val="32"/>
          <w:szCs w:val="32"/>
          <w:lang w:val="en-US" w:eastAsia="zh-CN"/>
        </w:rPr>
        <w:t>94</w:t>
      </w:r>
      <w:r>
        <w:rPr>
          <w:rFonts w:ascii="仿宋_GB2312" w:eastAsia="仿宋_GB2312" w:cs="仿宋_GB2312"/>
          <w:sz w:val="32"/>
          <w:szCs w:val="32"/>
          <w:lang w:val="en-US" w:eastAsia="zh-CN"/>
        </w:rPr>
        <w:t>个</w:t>
      </w:r>
      <w:r>
        <w:rPr>
          <w:rFonts w:ascii="仿宋_GB2312" w:eastAsia="仿宋_GB2312" w:cs="仿宋_GB2312" w:hint="eastAsia"/>
          <w:sz w:val="32"/>
          <w:szCs w:val="32"/>
          <w:lang w:val="en-US" w:eastAsia="zh-CN"/>
        </w:rPr>
        <w:t>，现已全部整改完毕。出动车辆5585台次，人员17549人次，砍伐修剪线路通道内树障555棵、清除输电线路下方可燃物23.1吨，清理可燃物2910亩。</w:t>
      </w:r>
      <w:r>
        <w:rPr>
          <w:rFonts w:ascii="仿宋_GB2312" w:eastAsia="仿宋_GB2312" w:cs="仿宋_GB2312" w:hint="eastAsia"/>
          <w:b/>
          <w:bCs/>
          <w:sz w:val="32"/>
          <w:szCs w:val="32"/>
          <w:lang w:val="en-US" w:eastAsia="zh-CN"/>
        </w:rPr>
        <w:t>九是</w:t>
      </w:r>
      <w:r>
        <w:rPr>
          <w:rFonts w:ascii="仿宋_GB2312" w:eastAsia="仿宋_GB2312" w:cs="仿宋_GB2312" w:hint="eastAsia"/>
          <w:sz w:val="32"/>
          <w:szCs w:val="32"/>
          <w:lang w:val="en-US" w:eastAsia="zh-CN"/>
        </w:rPr>
        <w:t>对“六类人员”〔痴、呆、聋、傻、哑、幼〕实行专人看管，共排查登记3468人，其中：痴、呆、聋、傻、哑382人，幼儿3086人，十</w:t>
      </w:r>
      <w:r>
        <w:rPr>
          <w:rFonts w:ascii="仿宋_GB2312" w:eastAsia="仿宋_GB2312" w:cs="仿宋_GB2312" w:hint="eastAsia"/>
          <w:b/>
          <w:bCs/>
          <w:kern w:val="2"/>
          <w:sz w:val="32"/>
          <w:szCs w:val="32"/>
          <w:lang w:val="en-US" w:eastAsia="zh-CN" w:bidi="ar-SA"/>
        </w:rPr>
        <w:t>是</w:t>
      </w:r>
      <w:r>
        <w:rPr>
          <w:rFonts w:ascii="仿宋_GB2312" w:eastAsia="仿宋_GB2312" w:cs="仿宋_GB2312" w:hint="eastAsia"/>
          <w:sz w:val="32"/>
          <w:szCs w:val="32"/>
          <w:lang w:val="en-US" w:eastAsia="zh-CN"/>
        </w:rPr>
        <w:t>从严审批用火266次，全县处理违规</w:t>
      </w:r>
      <w:r>
        <w:rPr>
          <w:rFonts w:ascii="仿宋_GB2312" w:eastAsia="仿宋_GB2312" w:cs="仿宋_GB2312"/>
          <w:sz w:val="32"/>
          <w:szCs w:val="32"/>
          <w:lang w:val="en-US" w:eastAsia="zh-CN"/>
        </w:rPr>
        <w:t>野外违规用火</w:t>
      </w:r>
      <w:r>
        <w:rPr>
          <w:rFonts w:ascii="仿宋_GB2312" w:eastAsia="仿宋_GB2312" w:cs="仿宋_GB2312" w:hint="eastAsia"/>
          <w:sz w:val="32"/>
          <w:szCs w:val="32"/>
          <w:lang w:val="en-US" w:eastAsia="zh-CN"/>
        </w:rPr>
        <w:t>13</w:t>
      </w:r>
      <w:r>
        <w:rPr>
          <w:rFonts w:ascii="仿宋_GB2312" w:eastAsia="仿宋_GB2312" w:cs="仿宋_GB2312"/>
          <w:sz w:val="32"/>
          <w:szCs w:val="32"/>
          <w:lang w:val="en-US" w:eastAsia="zh-CN"/>
        </w:rPr>
        <w:t>起</w:t>
      </w:r>
      <w:r>
        <w:rPr>
          <w:rFonts w:ascii="仿宋_GB2312" w:eastAsia="仿宋_GB2312" w:cs="仿宋_GB2312" w:hint="eastAsia"/>
          <w:sz w:val="32"/>
          <w:szCs w:val="32"/>
          <w:lang w:val="en-US" w:eastAsia="zh-CN"/>
        </w:rPr>
        <w:t>，处罚金额11200元，有力震慑</w:t>
      </w:r>
      <w:r>
        <w:rPr>
          <w:rFonts w:ascii="仿宋_GB2312" w:eastAsia="仿宋_GB2312" w:cs="仿宋_GB2312"/>
          <w:sz w:val="32"/>
          <w:szCs w:val="32"/>
          <w:lang w:val="en-US" w:eastAsia="zh-CN"/>
        </w:rPr>
        <w:t>火灾肇事</w:t>
      </w:r>
      <w:r>
        <w:rPr>
          <w:rFonts w:ascii="仿宋_GB2312" w:eastAsia="仿宋_GB2312" w:cs="仿宋_GB2312" w:hint="eastAsia"/>
          <w:sz w:val="32"/>
          <w:szCs w:val="32"/>
          <w:lang w:val="en-US" w:eastAsia="zh-CN"/>
        </w:rPr>
        <w:t>者</w:t>
      </w:r>
      <w:r>
        <w:rPr>
          <w:rFonts w:ascii="仿宋_GB2312" w:eastAsia="仿宋_GB2312" w:cs="仿宋_GB2312"/>
          <w:sz w:val="32"/>
          <w:szCs w:val="32"/>
          <w:lang w:val="en-US" w:eastAsia="zh-CN"/>
        </w:rPr>
        <w:t>。</w:t>
      </w:r>
      <w:r>
        <w:rPr>
          <w:rFonts w:ascii="仿宋_GB2312" w:eastAsia="仿宋_GB2312" w:cs="仿宋_GB2312" w:hint="eastAsia"/>
          <w:b/>
          <w:bCs/>
          <w:kern w:val="2"/>
          <w:sz w:val="32"/>
          <w:szCs w:val="32"/>
          <w:lang w:val="en-US" w:eastAsia="zh-CN" w:bidi="ar-SA"/>
        </w:rPr>
        <w:t>十一是</w:t>
      </w:r>
      <w:r>
        <w:rPr>
          <w:rFonts w:ascii="仿宋_GB2312" w:eastAsia="仿宋_GB2312" w:cs="仿宋_GB2312" w:hint="eastAsia"/>
          <w:kern w:val="2"/>
          <w:sz w:val="32"/>
          <w:szCs w:val="32"/>
          <w:lang w:val="en-US" w:eastAsia="zh-CN" w:bidi="ar-SA"/>
        </w:rPr>
        <w:t>累计出动防火宣传检查车5300余台次，发布防火信息报道18.5万余条；印发《致学生家长公开信》等宣传单和宣传手册2000余份，森林草原防火挂图1000余张；各种渠道发放宣传资料68500余份，入户宣传40417次，在城镇、乡村人员密集区播放防火警示片160余场次。</w:t>
      </w:r>
    </w:p>
    <w:p>
      <w:pPr>
        <w:pStyle w:val="27"/>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kinsoku/>
        <w:wordWrap/>
        <w:overflowPunct/>
        <w:topLinePunct w:val="0"/>
        <w:autoSpaceDE/>
        <w:autoSpaceDN/>
        <w:bidi w:val="0"/>
        <w:adjustRightInd/>
        <w:snapToGrid/>
        <w:spacing w:before="0" w:beforeAutospacing="0" w:after="0" w:afterAutospacing="0" w:line="570" w:lineRule="exact"/>
        <w:ind w:left="0" w:right="0" w:firstLineChars="200" w:firstLine="640"/>
        <w:jc w:val="both"/>
        <w:textAlignment w:val="auto"/>
        <w:rPr>
          <w:rFonts w:ascii="仿宋_GB2312" w:eastAsia="仿宋_GB2312" w:cs="仿宋_GB2312"/>
          <w:b/>
          <w:bCs/>
          <w:i w:val="0"/>
          <w:iCs w:val="0"/>
          <w:caps w:val="0"/>
          <w:smallCaps w:val="0"/>
          <w:color w:val="000000"/>
          <w:spacing w:val="0"/>
          <w:sz w:val="32"/>
          <w:szCs w:val="32"/>
          <w:shd w:val="clear" w:color="auto" w:fill="FFFFFF"/>
          <w:lang w:val="en-US" w:eastAsia="zh-CN"/>
        </w:rPr>
      </w:pPr>
      <w:r>
        <w:rPr>
          <w:rFonts w:ascii="仿宋_GB2312" w:eastAsia="仿宋_GB2312" w:cs="仿宋_GB2312" w:hint="eastAsia"/>
          <w:b/>
          <w:bCs/>
          <w:i w:val="0"/>
          <w:iCs w:val="0"/>
          <w:caps w:val="0"/>
          <w:smallCaps w:val="0"/>
          <w:color w:val="000000"/>
          <w:spacing w:val="0"/>
          <w:sz w:val="32"/>
          <w:szCs w:val="32"/>
          <w:shd w:val="clear" w:color="auto" w:fill="FFFFFF"/>
          <w:lang w:val="en-US" w:eastAsia="zh-CN"/>
        </w:rPr>
        <w:t>2、在防汛减灾方面：</w:t>
      </w:r>
    </w:p>
    <w:p>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left="0" w:firstLineChars="200" w:firstLine="640"/>
        <w:jc w:val="both"/>
        <w:textAlignment w:val="baseline"/>
        <w:rPr>
          <w:rFonts w:ascii="仿宋_GB2312" w:eastAsia="仿宋_GB2312" w:cs="仿宋_GB2312"/>
          <w:b/>
          <w:bCs/>
          <w:i w:val="0"/>
          <w:iCs w:val="0"/>
          <w:caps w:val="0"/>
          <w:smallCaps w:val="0"/>
          <w:color w:val="000000"/>
          <w:spacing w:val="0"/>
          <w:sz w:val="32"/>
          <w:szCs w:val="32"/>
          <w:shd w:val="clear" w:color="auto" w:fill="FFFFFF"/>
          <w:lang w:val="en-US" w:eastAsia="zh-CN"/>
        </w:rPr>
      </w:pPr>
      <w:r>
        <w:rPr>
          <w:rFonts w:ascii="Times New Roman" w:eastAsia="仿宋_GB2312" w:cs="Times New Roman" w:hAnsi="Times New Roman" w:hint="eastAsia"/>
          <w:b w:val="0"/>
          <w:i w:val="0"/>
          <w:caps w:val="0"/>
          <w:smallCaps w:val="0"/>
          <w:color w:val="000000"/>
          <w:spacing w:val="0"/>
          <w:w w:val="100"/>
          <w:sz w:val="32"/>
          <w:szCs w:val="32"/>
          <w:lang w:val="en-US" w:eastAsia="zh-CN"/>
        </w:rPr>
        <w:t>修订印发</w:t>
      </w:r>
      <w:r>
        <w:rPr>
          <w:rFonts w:ascii="Times New Roman" w:eastAsia="仿宋_GB2312" w:cs="Times New Roman" w:hAnsi="Times New Roman"/>
          <w:b w:val="0"/>
          <w:i w:val="0"/>
          <w:caps w:val="0"/>
          <w:smallCaps w:val="0"/>
          <w:color w:val="000000"/>
          <w:spacing w:val="0"/>
          <w:w w:val="100"/>
          <w:sz w:val="32"/>
          <w:szCs w:val="32"/>
          <w:lang w:val="en-US" w:eastAsia="zh-CN"/>
        </w:rPr>
        <w:t>《金</w:t>
      </w:r>
      <w:r>
        <w:rPr>
          <w:rFonts w:ascii="Times New Roman" w:eastAsia="仿宋_GB2312" w:cs="Times New Roman" w:hAnsi="Times New Roman"/>
          <w:b w:val="0"/>
          <w:i w:val="0"/>
          <w:caps w:val="0"/>
          <w:smallCaps w:val="0"/>
          <w:color w:val="000000"/>
          <w:spacing w:val="0"/>
          <w:w w:val="100"/>
          <w:sz w:val="32"/>
          <w:szCs w:val="32"/>
        </w:rPr>
        <w:t>川县</w:t>
      </w:r>
      <w:r>
        <w:rPr>
          <w:rFonts w:eastAsia="仿宋_GB2312" w:cs="Times New Roman" w:hint="eastAsia"/>
          <w:b w:val="0"/>
          <w:i w:val="0"/>
          <w:caps w:val="0"/>
          <w:smallCaps w:val="0"/>
          <w:color w:val="000000"/>
          <w:spacing w:val="0"/>
          <w:w w:val="100"/>
          <w:sz w:val="32"/>
          <w:szCs w:val="32"/>
          <w:lang w:eastAsia="zh-CN"/>
        </w:rPr>
        <w:t>突发事件总体预案</w:t>
      </w:r>
      <w:r>
        <w:rPr>
          <w:rFonts w:ascii="Times New Roman" w:eastAsia="仿宋_GB2312" w:cs="Times New Roman" w:hAnsi="Times New Roman"/>
          <w:b w:val="0"/>
          <w:i w:val="0"/>
          <w:caps w:val="0"/>
          <w:smallCaps w:val="0"/>
          <w:color w:val="000000"/>
          <w:spacing w:val="0"/>
          <w:w w:val="100"/>
          <w:sz w:val="32"/>
          <w:szCs w:val="32"/>
        </w:rPr>
        <w:t>》</w:t>
      </w:r>
      <w:r>
        <w:rPr>
          <w:rFonts w:eastAsia="仿宋_GB2312" w:cs="Times New Roman" w:hint="eastAsia"/>
          <w:b w:val="0"/>
          <w:i w:val="0"/>
          <w:caps w:val="0"/>
          <w:smallCaps w:val="0"/>
          <w:color w:val="000000"/>
          <w:spacing w:val="0"/>
          <w:w w:val="100"/>
          <w:sz w:val="32"/>
          <w:szCs w:val="32"/>
          <w:lang w:eastAsia="zh-CN"/>
        </w:rPr>
        <w:t>及</w:t>
      </w:r>
      <w:r>
        <w:rPr>
          <w:rFonts w:ascii="Times New Roman" w:eastAsia="仿宋_GB2312" w:cs="Times New Roman" w:hAnsi="Times New Roman" w:hint="eastAsia"/>
          <w:b w:val="0"/>
          <w:i w:val="0"/>
          <w:caps w:val="0"/>
          <w:smallCaps w:val="0"/>
          <w:color w:val="000000"/>
          <w:spacing w:val="0"/>
          <w:w w:val="100"/>
          <w:sz w:val="32"/>
          <w:szCs w:val="32"/>
          <w:lang w:eastAsia="zh-CN"/>
        </w:rPr>
        <w:t>《金川县</w:t>
      </w:r>
      <w:r>
        <w:rPr>
          <w:rFonts w:eastAsia="仿宋_GB2312" w:cs="Times New Roman" w:hint="eastAsia"/>
          <w:b w:val="0"/>
          <w:i w:val="0"/>
          <w:caps w:val="0"/>
          <w:smallCaps w:val="0"/>
          <w:color w:val="000000"/>
          <w:spacing w:val="0"/>
          <w:w w:val="100"/>
          <w:sz w:val="32"/>
          <w:szCs w:val="32"/>
          <w:lang w:val="en-US" w:eastAsia="zh-CN"/>
        </w:rPr>
        <w:t>防汛抗旱</w:t>
      </w:r>
      <w:r>
        <w:rPr>
          <w:rFonts w:ascii="Times New Roman" w:eastAsia="仿宋_GB2312" w:cs="Times New Roman" w:hAnsi="Times New Roman" w:hint="eastAsia"/>
          <w:b w:val="0"/>
          <w:i w:val="0"/>
          <w:caps w:val="0"/>
          <w:smallCaps w:val="0"/>
          <w:color w:val="000000"/>
          <w:spacing w:val="0"/>
          <w:w w:val="100"/>
          <w:sz w:val="32"/>
          <w:szCs w:val="32"/>
          <w:lang w:val="en-US" w:eastAsia="zh-CN"/>
        </w:rPr>
        <w:t>应急预案》等</w:t>
      </w:r>
      <w:r>
        <w:rPr>
          <w:rFonts w:eastAsia="仿宋_GB2312" w:cs="Times New Roman" w:hint="eastAsia"/>
          <w:b w:val="0"/>
          <w:i w:val="0"/>
          <w:caps w:val="0"/>
          <w:smallCaps w:val="0"/>
          <w:color w:val="000000"/>
          <w:spacing w:val="0"/>
          <w:w w:val="100"/>
          <w:sz w:val="32"/>
          <w:szCs w:val="32"/>
          <w:lang w:val="en-US" w:eastAsia="zh-CN"/>
        </w:rPr>
        <w:t>39个专项</w:t>
      </w:r>
      <w:r>
        <w:rPr>
          <w:rFonts w:ascii="Times New Roman" w:eastAsia="仿宋_GB2312" w:cs="Times New Roman" w:hAnsi="Times New Roman" w:hint="eastAsia"/>
          <w:b w:val="0"/>
          <w:i w:val="0"/>
          <w:caps w:val="0"/>
          <w:smallCaps w:val="0"/>
          <w:color w:val="000000"/>
          <w:spacing w:val="0"/>
          <w:w w:val="100"/>
          <w:sz w:val="32"/>
          <w:szCs w:val="32"/>
          <w:lang w:val="en-US" w:eastAsia="zh-CN"/>
        </w:rPr>
        <w:t>预案</w:t>
      </w:r>
      <w:r>
        <w:rPr>
          <w:rFonts w:ascii="Times New Roman" w:eastAsia="仿宋_GB2312" w:cs="Times New Roman" w:hAnsi="Times New Roman"/>
          <w:b w:val="0"/>
          <w:i w:val="0"/>
          <w:caps w:val="0"/>
          <w:smallCaps w:val="0"/>
          <w:color w:val="000000"/>
          <w:spacing w:val="0"/>
          <w:w w:val="100"/>
          <w:sz w:val="32"/>
          <w:szCs w:val="32"/>
        </w:rPr>
        <w:t>，</w:t>
      </w:r>
      <w:r>
        <w:rPr>
          <w:rFonts w:ascii="Times New Roman" w:eastAsia="仿宋_GB2312" w:cs="Times New Roman" w:hAnsi="Times New Roman" w:hint="eastAsia"/>
          <w:b w:val="0"/>
          <w:i w:val="0"/>
          <w:caps w:val="0"/>
          <w:smallCaps w:val="0"/>
          <w:spacing w:val="0"/>
          <w:w w:val="100"/>
          <w:sz w:val="32"/>
          <w:szCs w:val="32"/>
          <w:lang w:val="en-US" w:eastAsia="zh-CN"/>
        </w:rPr>
        <w:t>细化完善全县</w:t>
      </w:r>
      <w:r>
        <w:rPr>
          <w:rFonts w:eastAsia="仿宋_GB2312" w:cs="Times New Roman" w:hint="eastAsia"/>
          <w:b w:val="0"/>
          <w:i w:val="0"/>
          <w:caps w:val="0"/>
          <w:smallCaps w:val="0"/>
          <w:color w:val="000000"/>
          <w:spacing w:val="0"/>
          <w:w w:val="100"/>
          <w:sz w:val="32"/>
          <w:szCs w:val="32"/>
          <w:lang w:val="en-US" w:eastAsia="zh-CN"/>
        </w:rPr>
        <w:t>421</w:t>
      </w:r>
      <w:r>
        <w:rPr>
          <w:rFonts w:ascii="Times New Roman" w:eastAsia="仿宋_GB2312" w:cs="Times New Roman" w:hAnsi="Times New Roman"/>
          <w:b w:val="0"/>
          <w:i w:val="0"/>
          <w:caps w:val="0"/>
          <w:smallCaps w:val="0"/>
          <w:color w:val="000000"/>
          <w:spacing w:val="0"/>
          <w:w w:val="100"/>
          <w:sz w:val="32"/>
          <w:szCs w:val="32"/>
        </w:rPr>
        <w:t>处</w:t>
      </w:r>
      <w:r>
        <w:rPr>
          <w:rFonts w:ascii="Times New Roman" w:eastAsia="仿宋_GB2312" w:cs="Times New Roman" w:hAnsi="Times New Roman"/>
          <w:b w:val="0"/>
          <w:i w:val="0"/>
          <w:caps w:val="0"/>
          <w:smallCaps w:val="0"/>
          <w:spacing w:val="0"/>
          <w:w w:val="100"/>
          <w:sz w:val="32"/>
          <w:szCs w:val="32"/>
        </w:rPr>
        <w:t>地质灾害隐患点防范措施</w:t>
      </w:r>
      <w:r>
        <w:rPr>
          <w:rFonts w:ascii="Times New Roman" w:eastAsia="仿宋_GB2312" w:cs="Times New Roman" w:hAnsi="Times New Roman" w:hint="eastAsia"/>
          <w:b w:val="0"/>
          <w:i w:val="0"/>
          <w:caps w:val="0"/>
          <w:smallCaps w:val="0"/>
          <w:spacing w:val="0"/>
          <w:w w:val="100"/>
          <w:sz w:val="32"/>
          <w:szCs w:val="32"/>
          <w:lang w:eastAsia="zh-CN"/>
        </w:rPr>
        <w:t>，</w:t>
      </w:r>
      <w:r>
        <w:rPr>
          <w:rFonts w:ascii="Times New Roman" w:eastAsia="仿宋_GB2312" w:cs="Times New Roman" w:hAnsi="Times New Roman"/>
          <w:b w:val="0"/>
          <w:i w:val="0"/>
          <w:caps w:val="0"/>
          <w:smallCaps w:val="0"/>
          <w:spacing w:val="0"/>
          <w:w w:val="100"/>
          <w:sz w:val="32"/>
          <w:szCs w:val="32"/>
        </w:rPr>
        <w:t>设立地质灾害撤离路线图</w:t>
      </w:r>
      <w:r>
        <w:rPr>
          <w:rFonts w:ascii="Times New Roman" w:eastAsia="仿宋_GB2312" w:cs="Times New Roman" w:hAnsi="Times New Roman" w:hint="eastAsia"/>
          <w:b w:val="0"/>
          <w:i w:val="0"/>
          <w:caps w:val="0"/>
          <w:smallCaps w:val="0"/>
          <w:spacing w:val="0"/>
          <w:w w:val="100"/>
          <w:sz w:val="32"/>
          <w:szCs w:val="32"/>
          <w:lang w:eastAsia="zh-CN"/>
        </w:rPr>
        <w:t>、</w:t>
      </w:r>
      <w:r>
        <w:rPr>
          <w:rFonts w:ascii="Times New Roman" w:eastAsia="仿宋_GB2312" w:cs="Times New Roman" w:hAnsi="Times New Roman" w:hint="eastAsia"/>
          <w:b w:val="0"/>
          <w:i w:val="0"/>
          <w:caps w:val="0"/>
          <w:smallCaps w:val="0"/>
          <w:spacing w:val="0"/>
          <w:w w:val="100"/>
          <w:sz w:val="32"/>
          <w:szCs w:val="32"/>
          <w:lang w:val="en-US" w:eastAsia="zh-CN"/>
        </w:rPr>
        <w:t>警示标志</w:t>
      </w:r>
      <w:r>
        <w:rPr>
          <w:rFonts w:eastAsia="仿宋_GB2312" w:cs="Times New Roman" w:hint="eastAsia"/>
          <w:b w:val="0"/>
          <w:i w:val="0"/>
          <w:caps w:val="0"/>
          <w:smallCaps w:val="0"/>
          <w:spacing w:val="0"/>
          <w:w w:val="100"/>
          <w:sz w:val="32"/>
          <w:szCs w:val="32"/>
          <w:lang w:val="en-US" w:eastAsia="zh-CN"/>
        </w:rPr>
        <w:t>421</w:t>
      </w:r>
      <w:r>
        <w:rPr>
          <w:rFonts w:ascii="Times New Roman" w:eastAsia="仿宋_GB2312" w:cs="Times New Roman" w:hAnsi="Times New Roman" w:hint="eastAsia"/>
          <w:b w:val="0"/>
          <w:i w:val="0"/>
          <w:caps w:val="0"/>
          <w:smallCaps w:val="0"/>
          <w:spacing w:val="0"/>
          <w:w w:val="100"/>
          <w:sz w:val="32"/>
          <w:szCs w:val="32"/>
          <w:lang w:val="en-US" w:eastAsia="zh-CN"/>
        </w:rPr>
        <w:t>个，</w:t>
      </w:r>
      <w:r>
        <w:rPr>
          <w:rFonts w:ascii="Times New Roman" w:eastAsia="仿宋_GB2312" w:cs="Times New Roman" w:hAnsi="Times New Roman"/>
          <w:b w:val="0"/>
          <w:i w:val="0"/>
          <w:caps w:val="0"/>
          <w:smallCaps w:val="0"/>
          <w:spacing w:val="0"/>
          <w:w w:val="100"/>
          <w:sz w:val="32"/>
          <w:szCs w:val="32"/>
        </w:rPr>
        <w:t>应急避险场所</w:t>
      </w:r>
      <w:r>
        <w:rPr>
          <w:rFonts w:ascii="Times New Roman" w:eastAsia="仿宋_GB2312" w:cs="Times New Roman" w:hAnsi="Times New Roman" w:hint="eastAsia"/>
          <w:b w:val="0"/>
          <w:i w:val="0"/>
          <w:caps w:val="0"/>
          <w:smallCaps w:val="0"/>
          <w:spacing w:val="0"/>
          <w:w w:val="100"/>
          <w:sz w:val="32"/>
          <w:szCs w:val="32"/>
          <w:lang w:val="en-US" w:eastAsia="zh-CN"/>
        </w:rPr>
        <w:t>22个</w:t>
      </w:r>
      <w:r>
        <w:rPr>
          <w:rFonts w:ascii="Times New Roman" w:eastAsia="仿宋_GB2312" w:cs="Times New Roman" w:hAnsi="Times New Roman"/>
          <w:b w:val="0"/>
          <w:i w:val="0"/>
          <w:caps w:val="0"/>
          <w:smallCaps w:val="0"/>
          <w:spacing w:val="0"/>
          <w:w w:val="100"/>
          <w:sz w:val="32"/>
          <w:szCs w:val="32"/>
        </w:rPr>
        <w:t>，落实森林管护员、地灾监测员和监测责任人</w:t>
      </w:r>
      <w:r>
        <w:rPr>
          <w:rFonts w:eastAsia="仿宋_GB2312" w:cs="Times New Roman" w:hint="eastAsia"/>
          <w:b w:val="0"/>
          <w:i w:val="0"/>
          <w:caps w:val="0"/>
          <w:smallCaps w:val="0"/>
          <w:spacing w:val="0"/>
          <w:w w:val="100"/>
          <w:sz w:val="32"/>
          <w:szCs w:val="32"/>
          <w:lang w:val="en-US" w:eastAsia="zh-CN"/>
        </w:rPr>
        <w:t>421</w:t>
      </w:r>
      <w:r>
        <w:rPr>
          <w:rFonts w:ascii="Times New Roman" w:eastAsia="仿宋_GB2312" w:cs="Times New Roman" w:hAnsi="Times New Roman" w:hint="eastAsia"/>
          <w:b w:val="0"/>
          <w:i w:val="0"/>
          <w:caps w:val="0"/>
          <w:smallCaps w:val="0"/>
          <w:spacing w:val="0"/>
          <w:w w:val="100"/>
          <w:sz w:val="32"/>
          <w:szCs w:val="32"/>
          <w:lang w:val="en-US" w:eastAsia="zh-CN"/>
        </w:rPr>
        <w:t>名</w:t>
      </w:r>
      <w:r>
        <w:rPr>
          <w:rFonts w:ascii="Times New Roman" w:eastAsia="仿宋_GB2312" w:cs="Times New Roman" w:hAnsi="Times New Roman"/>
          <w:b w:val="0"/>
          <w:i w:val="0"/>
          <w:caps w:val="0"/>
          <w:smallCaps w:val="0"/>
          <w:spacing w:val="0"/>
          <w:w w:val="100"/>
          <w:sz w:val="32"/>
          <w:szCs w:val="32"/>
        </w:rPr>
        <w:t>，发放防灾明白卡和避险明白卡</w:t>
      </w:r>
      <w:r>
        <w:rPr>
          <w:rFonts w:ascii="Times New Roman" w:eastAsia="仿宋_GB2312" w:cs="Times New Roman" w:hAnsi="Times New Roman" w:hint="eastAsia"/>
          <w:b w:val="0"/>
          <w:i w:val="0"/>
          <w:caps w:val="0"/>
          <w:smallCaps w:val="0"/>
          <w:color w:val="000000"/>
          <w:spacing w:val="-2"/>
          <w:w w:val="100"/>
          <w:kern w:val="2"/>
          <w:sz w:val="32"/>
          <w:szCs w:val="32"/>
          <w:lang w:val="en-US" w:eastAsia="zh-CN" w:bidi="ar-SA"/>
        </w:rPr>
        <w:t>5000</w:t>
      </w:r>
      <w:r>
        <w:rPr>
          <w:rFonts w:ascii="Times New Roman" w:eastAsia="仿宋_GB2312" w:cs="Times New Roman" w:hAnsi="Times New Roman" w:hint="eastAsia"/>
          <w:b w:val="0"/>
          <w:i w:val="0"/>
          <w:caps w:val="0"/>
          <w:smallCaps w:val="0"/>
          <w:spacing w:val="0"/>
          <w:w w:val="100"/>
          <w:sz w:val="32"/>
          <w:szCs w:val="32"/>
          <w:lang w:val="en-US" w:eastAsia="zh-CN"/>
        </w:rPr>
        <w:t>份。</w:t>
      </w:r>
      <w:r>
        <w:rPr>
          <w:rFonts w:ascii="Times New Roman" w:eastAsia="仿宋_GB2312" w:hAnsi="Times New Roman" w:hint="eastAsia"/>
          <w:sz w:val="32"/>
          <w:szCs w:val="32"/>
        </w:rPr>
        <w:t>健全应急机制</w:t>
      </w:r>
      <w:r>
        <w:rPr>
          <w:rFonts w:ascii="Times New Roman" w:eastAsia="仿宋_GB2312" w:hAnsi="Times New Roman" w:hint="eastAsia"/>
          <w:sz w:val="32"/>
          <w:szCs w:val="32"/>
          <w:lang w:eastAsia="zh-CN"/>
        </w:rPr>
        <w:t>，</w:t>
      </w:r>
      <w:r>
        <w:rPr>
          <w:rFonts w:ascii="Times New Roman" w:eastAsia="仿宋_GB2312" w:hAnsi="Times New Roman" w:hint="eastAsia"/>
          <w:sz w:val="32"/>
          <w:szCs w:val="32"/>
        </w:rPr>
        <w:t>增强群众</w:t>
      </w:r>
      <w:r>
        <w:rPr>
          <w:rFonts w:ascii="Times New Roman" w:eastAsia="仿宋_GB2312" w:hAnsi="Times New Roman"/>
          <w:sz w:val="32"/>
          <w:szCs w:val="32"/>
        </w:rPr>
        <w:t>防灾避灾</w:t>
      </w:r>
      <w:r>
        <w:rPr>
          <w:rFonts w:ascii="Times New Roman" w:eastAsia="仿宋_GB2312" w:hAnsi="Times New Roman" w:hint="eastAsia"/>
          <w:sz w:val="32"/>
          <w:szCs w:val="32"/>
        </w:rPr>
        <w:t>意识</w:t>
      </w:r>
      <w:r>
        <w:rPr>
          <w:rFonts w:ascii="Times New Roman" w:eastAsia="仿宋_GB2312" w:hAnsi="Times New Roman" w:hint="eastAsia"/>
          <w:sz w:val="32"/>
          <w:szCs w:val="32"/>
          <w:lang w:eastAsia="zh-CN"/>
        </w:rPr>
        <w:t>，</w:t>
      </w:r>
      <w:r>
        <w:rPr>
          <w:rFonts w:ascii="仿宋_GB2312" w:eastAsia="仿宋_GB2312" w:cs="仿宋_GB2312" w:hint="eastAsia"/>
          <w:kern w:val="0"/>
          <w:sz w:val="32"/>
          <w:szCs w:val="32"/>
          <w:lang w:eastAsia="zh-CN"/>
        </w:rPr>
        <w:t>组织开展</w:t>
      </w:r>
      <w:r>
        <w:rPr>
          <w:rFonts w:ascii="仿宋_GB2312" w:eastAsia="仿宋_GB2312" w:cs="仿宋_GB2312" w:hint="eastAsia"/>
          <w:bCs/>
          <w:spacing w:val="8"/>
          <w:kern w:val="0"/>
          <w:sz w:val="32"/>
          <w:szCs w:val="32"/>
          <w:lang w:eastAsia="zh-CN"/>
        </w:rPr>
        <w:t>县级</w:t>
      </w:r>
      <w:r>
        <w:rPr>
          <w:rFonts w:ascii="仿宋_GB2312" w:eastAsia="仿宋_GB2312" w:cs="仿宋_GB2312" w:hint="eastAsia"/>
          <w:kern w:val="0"/>
          <w:sz w:val="32"/>
          <w:szCs w:val="32"/>
        </w:rPr>
        <w:t>防灾救灾</w:t>
      </w:r>
      <w:r>
        <w:rPr>
          <w:rFonts w:ascii="仿宋_GB2312" w:eastAsia="仿宋_GB2312" w:cs="仿宋_GB2312" w:hint="eastAsia"/>
          <w:kern w:val="0"/>
          <w:sz w:val="32"/>
          <w:szCs w:val="32"/>
          <w:lang w:eastAsia="zh-CN"/>
        </w:rPr>
        <w:t>综合实战</w:t>
      </w:r>
      <w:r>
        <w:rPr>
          <w:rFonts w:ascii="仿宋_GB2312" w:eastAsia="仿宋_GB2312" w:cs="仿宋_GB2312" w:hint="eastAsia"/>
          <w:kern w:val="0"/>
          <w:sz w:val="32"/>
          <w:szCs w:val="32"/>
        </w:rPr>
        <w:t>演练</w:t>
      </w:r>
      <w:r>
        <w:rPr>
          <w:rFonts w:ascii="仿宋_GB2312" w:eastAsia="仿宋_GB2312" w:cs="仿宋_GB2312" w:hint="eastAsia"/>
          <w:kern w:val="0"/>
          <w:sz w:val="32"/>
          <w:szCs w:val="32"/>
          <w:lang w:val="en-US" w:eastAsia="zh-CN"/>
        </w:rPr>
        <w:t>1次</w:t>
      </w:r>
      <w:r>
        <w:rPr>
          <w:rFonts w:ascii="仿宋_GB2312" w:eastAsia="仿宋_GB2312" w:cs="仿宋_GB2312" w:hint="eastAsia"/>
          <w:kern w:val="0"/>
          <w:sz w:val="32"/>
          <w:szCs w:val="32"/>
          <w:lang w:eastAsia="zh-CN"/>
        </w:rPr>
        <w:t>，</w:t>
      </w:r>
      <w:r>
        <w:rPr>
          <w:rFonts w:ascii="仿宋_GB2312" w:eastAsia="仿宋_GB2312" w:cs="仿宋_GB2312" w:hint="eastAsia"/>
          <w:sz w:val="32"/>
          <w:szCs w:val="32"/>
        </w:rPr>
        <w:t>参</w:t>
      </w:r>
      <w:r>
        <w:rPr>
          <w:rFonts w:ascii="仿宋_GB2312" w:eastAsia="仿宋_GB2312" w:cs="仿宋_GB2312" w:hint="eastAsia"/>
          <w:sz w:val="32"/>
          <w:szCs w:val="32"/>
          <w:lang w:eastAsia="zh-CN"/>
        </w:rPr>
        <w:t>演人数</w:t>
      </w:r>
      <w:r>
        <w:rPr>
          <w:rFonts w:ascii="仿宋_GB2312" w:eastAsia="仿宋_GB2312" w:cs="仿宋_GB2312" w:hint="eastAsia"/>
          <w:sz w:val="32"/>
          <w:szCs w:val="32"/>
          <w:lang w:val="en-US" w:eastAsia="zh-CN"/>
        </w:rPr>
        <w:t>1200余</w:t>
      </w:r>
      <w:r>
        <w:rPr>
          <w:rFonts w:ascii="仿宋_GB2312" w:eastAsia="仿宋_GB2312" w:cs="仿宋_GB2312" w:hint="eastAsia"/>
          <w:sz w:val="32"/>
          <w:szCs w:val="32"/>
        </w:rPr>
        <w:t>人</w:t>
      </w:r>
      <w:r>
        <w:rPr>
          <w:rFonts w:ascii="仿宋_GB2312" w:eastAsia="仿宋_GB2312" w:cs="仿宋_GB2312" w:hint="eastAsia"/>
          <w:sz w:val="32"/>
          <w:szCs w:val="32"/>
          <w:lang w:eastAsia="zh-CN"/>
        </w:rPr>
        <w:t>，</w:t>
      </w:r>
      <w:r>
        <w:rPr>
          <w:rFonts w:ascii="仿宋_GB2312" w:eastAsia="仿宋_GB2312" w:cs="仿宋_GB2312" w:hint="eastAsia"/>
          <w:kern w:val="2"/>
          <w:sz w:val="32"/>
          <w:szCs w:val="32"/>
          <w:lang w:val="en-US" w:eastAsia="zh-CN" w:bidi="ar-SA"/>
        </w:rPr>
        <w:t>乡村两级演练</w:t>
      </w:r>
      <w:r>
        <w:rPr>
          <w:rFonts w:ascii="仿宋_GB2312" w:eastAsia="仿宋_GB2312" w:cs="仿宋_GB2312" w:hint="eastAsia"/>
          <w:sz w:val="32"/>
          <w:szCs w:val="32"/>
          <w:lang w:val="en-US" w:eastAsia="zh-CN"/>
        </w:rPr>
        <w:t>685</w:t>
      </w:r>
      <w:r>
        <w:rPr>
          <w:rFonts w:ascii="仿宋_GB2312" w:eastAsia="仿宋_GB2312" w:cs="仿宋_GB2312" w:hint="eastAsia"/>
          <w:sz w:val="32"/>
          <w:szCs w:val="32"/>
          <w:lang w:eastAsia="zh-CN"/>
        </w:rPr>
        <w:t>场次，参演人</w:t>
      </w:r>
      <w:r>
        <w:rPr>
          <w:rFonts w:ascii="仿宋_GB2312" w:eastAsia="仿宋_GB2312" w:cs="仿宋_GB2312" w:hint="eastAsia"/>
          <w:sz w:val="32"/>
          <w:szCs w:val="32"/>
          <w:lang w:val="en-US" w:eastAsia="zh-CN"/>
        </w:rPr>
        <w:t>数20000余人</w:t>
      </w:r>
      <w:r>
        <w:rPr>
          <w:rFonts w:ascii="仿宋_GB2312" w:eastAsia="仿宋_GB2312" w:cs="仿宋_GB2312" w:hint="eastAsia"/>
          <w:sz w:val="32"/>
          <w:szCs w:val="32"/>
          <w:lang w:eastAsia="zh-CN"/>
        </w:rPr>
        <w:t>。</w:t>
      </w:r>
      <w:r>
        <w:rPr>
          <w:rFonts w:ascii="Times New Roman" w:eastAsia="仿宋_GB2312" w:cs="Times New Roman" w:hAnsi="Times New Roman"/>
          <w:b w:val="0"/>
          <w:bCs/>
          <w:i w:val="0"/>
          <w:caps w:val="0"/>
          <w:smallCaps w:val="0"/>
          <w:spacing w:val="0"/>
          <w:w w:val="100"/>
          <w:sz w:val="32"/>
          <w:szCs w:val="32"/>
          <w:lang w:val="en-US" w:eastAsia="zh-CN"/>
        </w:rPr>
        <w:t>深入开展防灾减灾知识宣传，通过政府门户网站、“微金川”</w:t>
      </w:r>
      <w:r>
        <w:rPr>
          <w:rFonts w:eastAsia="仿宋_GB2312" w:cs="Times New Roman" w:hint="eastAsia"/>
          <w:b w:val="0"/>
          <w:bCs/>
          <w:i w:val="0"/>
          <w:caps w:val="0"/>
          <w:smallCaps w:val="0"/>
          <w:spacing w:val="0"/>
          <w:w w:val="100"/>
          <w:sz w:val="32"/>
          <w:szCs w:val="32"/>
          <w:lang w:val="en-US" w:eastAsia="zh-CN"/>
        </w:rPr>
        <w:t>等</w:t>
      </w:r>
      <w:r>
        <w:rPr>
          <w:rFonts w:ascii="Times New Roman" w:eastAsia="仿宋_GB2312" w:cs="Times New Roman" w:hAnsi="Times New Roman"/>
          <w:b w:val="0"/>
          <w:bCs/>
          <w:i w:val="0"/>
          <w:caps w:val="0"/>
          <w:smallCaps w:val="0"/>
          <w:spacing w:val="0"/>
          <w:w w:val="100"/>
          <w:sz w:val="32"/>
          <w:szCs w:val="32"/>
          <w:lang w:val="en-US" w:eastAsia="zh-CN"/>
        </w:rPr>
        <w:t>媒体发布信息</w:t>
      </w:r>
      <w:r>
        <w:rPr>
          <w:rFonts w:ascii="Times New Roman" w:eastAsia="仿宋_GB2312" w:cs="Times New Roman" w:hAnsi="Times New Roman" w:hint="eastAsia"/>
          <w:b w:val="0"/>
          <w:bCs/>
          <w:i w:val="0"/>
          <w:caps w:val="0"/>
          <w:smallCaps w:val="0"/>
          <w:spacing w:val="0"/>
          <w:w w:val="100"/>
          <w:sz w:val="32"/>
          <w:szCs w:val="32"/>
          <w:lang w:val="en-US" w:eastAsia="zh-CN"/>
        </w:rPr>
        <w:t>9</w:t>
      </w:r>
      <w:r>
        <w:rPr>
          <w:rFonts w:eastAsia="仿宋_GB2312" w:cs="Times New Roman" w:hint="eastAsia"/>
          <w:b w:val="0"/>
          <w:bCs/>
          <w:i w:val="0"/>
          <w:caps w:val="0"/>
          <w:smallCaps w:val="0"/>
          <w:spacing w:val="0"/>
          <w:w w:val="100"/>
          <w:sz w:val="32"/>
          <w:szCs w:val="32"/>
          <w:lang w:val="en-US" w:eastAsia="zh-CN"/>
        </w:rPr>
        <w:t>0余</w:t>
      </w:r>
      <w:r>
        <w:rPr>
          <w:rFonts w:ascii="Times New Roman" w:eastAsia="仿宋_GB2312" w:cs="Times New Roman" w:hAnsi="Times New Roman"/>
          <w:b w:val="0"/>
          <w:bCs/>
          <w:i w:val="0"/>
          <w:caps w:val="0"/>
          <w:smallCaps w:val="0"/>
          <w:spacing w:val="0"/>
          <w:w w:val="100"/>
          <w:sz w:val="32"/>
          <w:szCs w:val="32"/>
          <w:lang w:val="en-US" w:eastAsia="zh-CN"/>
        </w:rPr>
        <w:t>条，滚动播放防汛减灾知识1</w:t>
      </w:r>
      <w:r>
        <w:rPr>
          <w:rFonts w:eastAsia="仿宋_GB2312" w:cs="Times New Roman" w:hint="eastAsia"/>
          <w:b w:val="0"/>
          <w:bCs/>
          <w:i w:val="0"/>
          <w:caps w:val="0"/>
          <w:smallCaps w:val="0"/>
          <w:spacing w:val="0"/>
          <w:w w:val="100"/>
          <w:sz w:val="32"/>
          <w:szCs w:val="32"/>
          <w:lang w:val="en-US" w:eastAsia="zh-CN"/>
        </w:rPr>
        <w:t>80余</w:t>
      </w:r>
      <w:r>
        <w:rPr>
          <w:rFonts w:ascii="Times New Roman" w:eastAsia="仿宋_GB2312" w:cs="Times New Roman" w:hAnsi="Times New Roman"/>
          <w:b w:val="0"/>
          <w:bCs/>
          <w:i w:val="0"/>
          <w:caps w:val="0"/>
          <w:smallCaps w:val="0"/>
          <w:spacing w:val="0"/>
          <w:w w:val="100"/>
          <w:sz w:val="32"/>
          <w:szCs w:val="32"/>
          <w:lang w:val="en-US" w:eastAsia="zh-CN"/>
        </w:rPr>
        <w:t>次，发放宣传</w:t>
      </w:r>
      <w:r>
        <w:rPr>
          <w:rFonts w:ascii="Times New Roman" w:eastAsia="仿宋_GB2312" w:cs="Times New Roman" w:hAnsi="Times New Roman" w:hint="eastAsia"/>
          <w:b w:val="0"/>
          <w:bCs/>
          <w:i w:val="0"/>
          <w:caps w:val="0"/>
          <w:smallCaps w:val="0"/>
          <w:spacing w:val="0"/>
          <w:w w:val="100"/>
          <w:sz w:val="32"/>
          <w:szCs w:val="32"/>
          <w:lang w:val="en-US" w:eastAsia="zh-CN"/>
        </w:rPr>
        <w:t>资料</w:t>
      </w:r>
      <w:r>
        <w:rPr>
          <w:rFonts w:eastAsia="仿宋_GB2312" w:cs="Times New Roman" w:hint="eastAsia"/>
          <w:b w:val="0"/>
          <w:bCs/>
          <w:i w:val="0"/>
          <w:caps w:val="0"/>
          <w:smallCaps w:val="0"/>
          <w:spacing w:val="0"/>
          <w:w w:val="100"/>
          <w:sz w:val="32"/>
          <w:szCs w:val="32"/>
          <w:lang w:val="en-US" w:eastAsia="zh-CN"/>
        </w:rPr>
        <w:t>5</w:t>
      </w:r>
      <w:r>
        <w:rPr>
          <w:rFonts w:ascii="Times New Roman" w:eastAsia="仿宋_GB2312" w:cs="Times New Roman" w:hAnsi="Times New Roman" w:hint="eastAsia"/>
          <w:b w:val="0"/>
          <w:bCs/>
          <w:i w:val="0"/>
          <w:caps w:val="0"/>
          <w:smallCaps w:val="0"/>
          <w:spacing w:val="0"/>
          <w:w w:val="100"/>
          <w:sz w:val="32"/>
          <w:szCs w:val="32"/>
          <w:lang w:val="en-US" w:eastAsia="zh-CN"/>
        </w:rPr>
        <w:t>000余份，发布</w:t>
      </w:r>
      <w:r>
        <w:rPr>
          <w:rFonts w:eastAsia="仿宋_GB2312" w:cs="Times New Roman" w:hint="eastAsia"/>
          <w:b w:val="0"/>
          <w:bCs/>
          <w:i w:val="0"/>
          <w:caps w:val="0"/>
          <w:smallCaps w:val="0"/>
          <w:spacing w:val="0"/>
          <w:w w:val="100"/>
          <w:sz w:val="32"/>
          <w:szCs w:val="32"/>
          <w:lang w:val="en-US" w:eastAsia="zh-CN"/>
        </w:rPr>
        <w:t>全县</w:t>
      </w:r>
      <w:r>
        <w:rPr>
          <w:rFonts w:ascii="Times New Roman" w:eastAsia="仿宋_GB2312" w:cs="Times New Roman" w:hAnsi="Times New Roman" w:hint="eastAsia"/>
          <w:b w:val="0"/>
          <w:bCs/>
          <w:i w:val="0"/>
          <w:caps w:val="0"/>
          <w:smallCaps w:val="0"/>
          <w:spacing w:val="0"/>
          <w:w w:val="100"/>
          <w:sz w:val="32"/>
          <w:szCs w:val="32"/>
          <w:lang w:val="en-US" w:eastAsia="zh-CN"/>
        </w:rPr>
        <w:t>预警信息</w:t>
      </w:r>
      <w:r>
        <w:rPr>
          <w:rFonts w:eastAsia="仿宋_GB2312" w:cs="Times New Roman" w:hint="eastAsia"/>
          <w:b w:val="0"/>
          <w:bCs/>
          <w:i w:val="0"/>
          <w:caps w:val="0"/>
          <w:smallCaps w:val="0"/>
          <w:spacing w:val="0"/>
          <w:w w:val="100"/>
          <w:sz w:val="32"/>
          <w:szCs w:val="32"/>
          <w:lang w:val="en-US" w:eastAsia="zh-CN"/>
        </w:rPr>
        <w:t>10余</w:t>
      </w:r>
      <w:r>
        <w:rPr>
          <w:rFonts w:ascii="Times New Roman" w:eastAsia="仿宋_GB2312" w:cs="Times New Roman" w:hAnsi="Times New Roman" w:hint="eastAsia"/>
          <w:b w:val="0"/>
          <w:bCs/>
          <w:i w:val="0"/>
          <w:caps w:val="0"/>
          <w:smallCaps w:val="0"/>
          <w:spacing w:val="0"/>
          <w:w w:val="100"/>
          <w:sz w:val="32"/>
          <w:szCs w:val="32"/>
          <w:lang w:val="en-US" w:eastAsia="zh-CN"/>
        </w:rPr>
        <w:t>万条</w:t>
      </w:r>
      <w:r>
        <w:rPr>
          <w:rFonts w:ascii="Times New Roman" w:eastAsia="仿宋_GB2312" w:cs="Times New Roman" w:hAnsi="Times New Roman"/>
          <w:b w:val="0"/>
          <w:i w:val="0"/>
          <w:caps w:val="0"/>
          <w:smallCaps w:val="0"/>
          <w:color w:val="000000"/>
          <w:spacing w:val="-2"/>
          <w:w w:val="100"/>
          <w:kern w:val="2"/>
          <w:sz w:val="32"/>
          <w:szCs w:val="32"/>
          <w:lang w:val="en-US" w:eastAsia="zh-CN" w:bidi="ar-SA"/>
        </w:rPr>
        <w:t>。</w:t>
      </w:r>
    </w:p>
    <w:p>
      <w:pPr>
        <w:keepNext w:val="0"/>
        <w:keepLines w:val="0"/>
        <w:pageBreakBefore w:val="0"/>
        <w:widowControl w:val="0"/>
        <w:numPr>
          <w:ilvl w:val="0"/>
          <w:numId w:val="1"/>
        </w:numPr>
        <w:kinsoku/>
        <w:wordWrap/>
        <w:topLinePunct w:val="0"/>
        <w:bidi w:val="0"/>
        <w:snapToGrid/>
        <w:spacing w:beforeAutospacing="0" w:afterAutospacing="0" w:line="570" w:lineRule="exact"/>
        <w:ind w:left="-10" w:firstLine="640"/>
        <w:rPr>
          <w:rFonts w:ascii="仿宋_GB2312" w:eastAsia="仿宋_GB2312" w:cs="仿宋_GB2312" w:hint="eastAsia"/>
          <w:kern w:val="44"/>
          <w:sz w:val="32"/>
          <w:szCs w:val="32"/>
          <w:lang w:val="en-US" w:eastAsia="zh-CN" w:bidi="ar-SA"/>
        </w:rPr>
      </w:pPr>
      <w:r>
        <w:rPr>
          <w:rFonts w:ascii="仿宋_GB2312" w:eastAsia="仿宋_GB2312" w:cs="仿宋_GB2312" w:hint="eastAsia"/>
          <w:b/>
          <w:bCs/>
          <w:kern w:val="44"/>
          <w:sz w:val="32"/>
          <w:szCs w:val="32"/>
          <w:lang w:val="en-US" w:eastAsia="zh-CN" w:bidi="ar-SA"/>
        </w:rPr>
        <w:t>安全生产方面</w:t>
      </w:r>
      <w:r>
        <w:rPr>
          <w:rFonts w:ascii="仿宋_GB2312" w:eastAsia="仿宋_GB2312" w:cs="仿宋_GB2312" w:hint="eastAsia"/>
          <w:kern w:val="44"/>
          <w:sz w:val="32"/>
          <w:szCs w:val="32"/>
          <w:lang w:val="en-US" w:eastAsia="zh-CN" w:bidi="ar-SA"/>
        </w:rPr>
        <w:t>：</w:t>
      </w:r>
    </w:p>
    <w:p>
      <w:pPr>
        <w:keepNext w:val="0"/>
        <w:keepLines w:val="0"/>
        <w:pageBreakBefore w:val="0"/>
        <w:widowControl w:val="0"/>
        <w:kinsoku/>
        <w:wordWrap/>
        <w:topLinePunct w:val="0"/>
        <w:bidi w:val="0"/>
        <w:snapToGrid/>
        <w:spacing w:beforeAutospacing="0" w:afterAutospacing="0" w:line="570" w:lineRule="exact"/>
        <w:ind w:left="0" w:firstLineChars="200" w:firstLine="640"/>
        <w:rPr>
          <w:rFonts w:ascii="仿宋_GB2312" w:eastAsia="仿宋_GB2312" w:cs="仿宋_GB2312" w:hint="eastAsia"/>
          <w:kern w:val="44"/>
          <w:sz w:val="32"/>
          <w:szCs w:val="32"/>
          <w:lang w:val="en-US" w:eastAsia="zh-CN" w:bidi="ar-SA"/>
        </w:rPr>
      </w:pPr>
      <w:r>
        <w:rPr>
          <w:rFonts w:ascii="仿宋_GB2312" w:eastAsia="仿宋_GB2312" w:cs="仿宋_GB2312" w:hint="eastAsia"/>
          <w:kern w:val="44"/>
          <w:sz w:val="32"/>
          <w:szCs w:val="32"/>
          <w:lang w:val="en-US" w:eastAsia="zh-CN" w:bidi="ar-SA"/>
        </w:rPr>
        <w:t>聘任三方公司开展第一轮30家企业巡查，共计排查隐患381 项，2家矿山企业64条隐患，6家危险化学品经营储存、经营、生产类企业82条隐患，1家轻工企业8条隐患，21家水电站企业221条隐患，其中:现场管理隐患231项，占比60.6%;安全资料隐患150项，占比39.4%。</w:t>
      </w:r>
    </w:p>
    <w:p>
      <w:pPr>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outlineLvl w:val="9"/>
        <w:rPr>
          <w:rFonts w:ascii="仿宋_GB2312" w:eastAsia="仿宋_GB2312" w:cs="仿宋_GB2312" w:hint="eastAsia"/>
          <w:b/>
          <w:bCs/>
          <w:sz w:val="24"/>
          <w:szCs w:val="24"/>
          <w:lang w:val="en-US" w:eastAsia="zh-CN"/>
        </w:rPr>
      </w:pPr>
      <w:r>
        <w:rPr>
          <w:rFonts w:ascii="仿宋_GB2312" w:eastAsia="仿宋_GB2312" w:cs="仿宋_GB2312" w:hint="eastAsia"/>
          <w:sz w:val="32"/>
          <w:szCs w:val="32"/>
          <w:lang w:val="en-US" w:eastAsia="zh-CN"/>
        </w:rPr>
        <w:t>今年1-10月全县共发生安全事故、事件2起（</w:t>
      </w:r>
      <w:r>
        <w:rPr>
          <w:rFonts w:ascii="仿宋_GB2312" w:eastAsia="仿宋_GB2312" w:cs="仿宋_GB2312"/>
          <w:sz w:val="32"/>
          <w:szCs w:val="32"/>
          <w:lang w:val="en-US" w:eastAsia="zh-CN"/>
        </w:rPr>
        <w:t>“</w:t>
      </w:r>
      <w:r>
        <w:rPr>
          <w:rFonts w:ascii="仿宋_GB2312" w:eastAsia="仿宋_GB2312" w:cs="仿宋_GB2312" w:hint="eastAsia"/>
          <w:sz w:val="32"/>
          <w:szCs w:val="32"/>
          <w:lang w:val="en-US" w:eastAsia="zh-CN"/>
        </w:rPr>
        <w:t>1.12</w:t>
      </w:r>
      <w:r>
        <w:rPr>
          <w:rFonts w:ascii="仿宋_GB2312" w:eastAsia="仿宋_GB2312" w:cs="仿宋_GB2312"/>
          <w:sz w:val="32"/>
          <w:szCs w:val="32"/>
          <w:lang w:val="en-US" w:eastAsia="zh-CN"/>
        </w:rPr>
        <w:t>”</w:t>
      </w:r>
      <w:r>
        <w:rPr>
          <w:rFonts w:ascii="仿宋_GB2312" w:eastAsia="仿宋_GB2312" w:cs="仿宋_GB2312" w:hint="eastAsia"/>
          <w:sz w:val="32"/>
          <w:szCs w:val="32"/>
          <w:lang w:val="en-US" w:eastAsia="zh-CN"/>
        </w:rPr>
        <w:t>道路交通单车事故,3.9非法运输危险货物过程中发生交通事故引发的一般突发生态环境事件），其中“1.12”事故死亡2人，受伤1人；“3.9”事故0伤亡。与去年同期相比，事故起数下降50%，死亡人数上升2人，受伤人数下降80%。全县共开展各类隐患排查751次，县安办开展督查83次，查处各类隐患1580余起，已整改1550余起，整改率达到98%，未完成整改项已责令限期整改。截</w:t>
      </w:r>
      <w:r>
        <w:rPr>
          <w:rFonts w:ascii="仿宋_GB2312" w:eastAsia="仿宋_GB2312" w:cs="仿宋_GB2312"/>
          <w:sz w:val="32"/>
          <w:szCs w:val="32"/>
          <w:lang w:val="en-US" w:eastAsia="zh-CN"/>
        </w:rPr>
        <w:t>至</w:t>
      </w:r>
      <w:r>
        <w:rPr>
          <w:rFonts w:ascii="仿宋_GB2312" w:eastAsia="仿宋_GB2312" w:cs="仿宋_GB2312" w:hint="eastAsia"/>
          <w:sz w:val="32"/>
          <w:szCs w:val="32"/>
          <w:lang w:val="en-US" w:eastAsia="zh-CN"/>
        </w:rPr>
        <w:t>目前，发放各类安全生产宣传资料4200余份、张贴横幅标语320余幅、开展安全培训400余人次、开展安全管理、特种作业人员培训180余人次。</w:t>
      </w:r>
    </w:p>
    <w:p>
      <w:pPr>
        <w:keepNext w:val="0"/>
        <w:keepLines w:val="0"/>
        <w:pageBreakBefore w:val="0"/>
        <w:widowControl w:val="0"/>
        <w:kinsoku/>
        <w:wordWrap/>
        <w:topLinePunct w:val="0"/>
        <w:bidi w:val="0"/>
        <w:snapToGrid/>
        <w:spacing w:beforeAutospacing="0" w:afterAutospacing="0" w:line="570" w:lineRule="exact"/>
        <w:ind w:firstLineChars="200" w:firstLine="640"/>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kern w:val="2"/>
          <w:sz w:val="32"/>
          <w:szCs w:val="32"/>
          <w:lang w:val="en-US" w:eastAsia="zh-CN" w:bidi="ar-SA"/>
        </w:rPr>
        <w:t>甘孜州丹巴县关州水电站“1·12”事故</w:t>
      </w:r>
      <w:r>
        <w:rPr>
          <w:rFonts w:ascii="Times New Roman" w:eastAsia="仿宋_GB2312" w:cs="Times New Roman" w:hAnsi="Times New Roman" w:hint="eastAsia"/>
          <w:kern w:val="2"/>
          <w:sz w:val="32"/>
          <w:szCs w:val="32"/>
          <w:lang w:val="en-US" w:eastAsia="zh-CN" w:bidi="ar-SA"/>
        </w:rPr>
        <w:t>发生后</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hint="eastAsia"/>
          <w:kern w:val="2"/>
          <w:sz w:val="32"/>
          <w:szCs w:val="32"/>
          <w:lang w:val="en-US" w:eastAsia="zh-CN" w:bidi="ar-SA"/>
        </w:rPr>
        <w:t>我局深刻汲取教训</w:t>
      </w:r>
      <w:r>
        <w:rPr>
          <w:rFonts w:ascii="Times New Roman" w:eastAsia="仿宋_GB2312" w:cs="Times New Roman" w:hAnsi="Times New Roman"/>
          <w:kern w:val="2"/>
          <w:sz w:val="32"/>
          <w:szCs w:val="32"/>
          <w:lang w:val="en-US" w:eastAsia="zh-CN" w:bidi="ar-SA"/>
        </w:rPr>
        <w:t>，制定了《全县水电站安全监管职能职责划分方案》，</w:t>
      </w:r>
      <w:r>
        <w:rPr>
          <w:rFonts w:ascii="Times New Roman" w:eastAsia="仿宋_GB2312" w:cs="Times New Roman" w:hAnsi="Times New Roman" w:hint="eastAsia"/>
          <w:kern w:val="2"/>
          <w:sz w:val="32"/>
          <w:szCs w:val="32"/>
          <w:lang w:val="en-US" w:eastAsia="zh-CN" w:bidi="ar-SA"/>
        </w:rPr>
        <w:t>要求</w:t>
      </w:r>
      <w:r>
        <w:rPr>
          <w:rFonts w:ascii="Times New Roman" w:eastAsia="仿宋_GB2312" w:cs="Times New Roman" w:hAnsi="Times New Roman"/>
          <w:kern w:val="2"/>
          <w:sz w:val="32"/>
          <w:szCs w:val="32"/>
          <w:lang w:val="en-US" w:eastAsia="zh-CN" w:bidi="ar-SA"/>
        </w:rPr>
        <w:t>全县21座小水电企业</w:t>
      </w:r>
      <w:r>
        <w:rPr>
          <w:rFonts w:ascii="Times New Roman" w:eastAsia="仿宋_GB2312" w:cs="Times New Roman" w:hAnsi="Times New Roman" w:hint="eastAsia"/>
          <w:kern w:val="2"/>
          <w:sz w:val="32"/>
          <w:szCs w:val="32"/>
          <w:lang w:val="en-US" w:eastAsia="zh-CN" w:bidi="ar-SA"/>
        </w:rPr>
        <w:t>（在运行的16座）赓即自查自纠，发现隐患60个，已整改54个，整改中6个，督查反馈问题隐患349个，完成整改332个，整改中17个。</w:t>
      </w:r>
    </w:p>
    <w:p>
      <w:pPr>
        <w:pStyle w:val="27"/>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kinsoku/>
        <w:wordWrap/>
        <w:overflowPunct/>
        <w:topLinePunct w:val="0"/>
        <w:autoSpaceDE/>
        <w:autoSpaceDN/>
        <w:bidi w:val="0"/>
        <w:adjustRightInd/>
        <w:snapToGrid/>
        <w:spacing w:before="0" w:beforeAutospacing="0" w:after="0" w:afterAutospacing="0" w:line="570" w:lineRule="exact"/>
        <w:ind w:left="0" w:right="0" w:firstLineChars="200" w:firstLine="640"/>
        <w:jc w:val="both"/>
        <w:textAlignment w:val="auto"/>
        <w:rPr>
          <w:rFonts w:ascii="仿宋_GB2312" w:eastAsia="仿宋_GB2312" w:cs="仿宋_GB2312"/>
          <w:b/>
          <w:bCs/>
          <w:i w:val="0"/>
          <w:iCs w:val="0"/>
          <w:caps w:val="0"/>
          <w:smallCaps w:val="0"/>
          <w:color w:val="000000"/>
          <w:spacing w:val="0"/>
          <w:sz w:val="32"/>
          <w:szCs w:val="32"/>
          <w:shd w:val="clear" w:color="auto" w:fill="FFFFFF"/>
          <w:lang w:val="en-US" w:eastAsia="zh-CN"/>
        </w:rPr>
      </w:pPr>
      <w:r>
        <w:rPr>
          <w:rFonts w:ascii="仿宋_GB2312" w:eastAsia="仿宋_GB2312" w:cs="仿宋_GB2312" w:hint="eastAsia"/>
          <w:b/>
          <w:bCs/>
          <w:i w:val="0"/>
          <w:iCs w:val="0"/>
          <w:caps w:val="0"/>
          <w:smallCaps w:val="0"/>
          <w:color w:val="000000"/>
          <w:spacing w:val="0"/>
          <w:sz w:val="32"/>
          <w:szCs w:val="32"/>
          <w:shd w:val="clear" w:color="auto" w:fill="FFFFFF"/>
          <w:lang w:val="en-US" w:eastAsia="zh-CN"/>
        </w:rPr>
        <w:t>4、物资保障方面：</w:t>
      </w:r>
    </w:p>
    <w:p>
      <w:pPr>
        <w:keepNext w:val="0"/>
        <w:keepLines w:val="0"/>
        <w:pageBreakBefore w:val="0"/>
        <w:widowControl w:val="0"/>
        <w:kinsoku/>
        <w:wordWrap/>
        <w:overflowPunct/>
        <w:topLinePunct w:val="0"/>
        <w:autoSpaceDE/>
        <w:autoSpaceDN/>
        <w:bidi w:val="0"/>
        <w:adjustRightInd/>
        <w:snapToGrid/>
        <w:spacing w:line="570" w:lineRule="exact"/>
        <w:ind w:left="0" w:firstLineChars="200" w:firstLine="640"/>
        <w:jc w:val="both"/>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上半年向19个乡（镇）发放3类1300件应急救灾物资，另在安宁、观音2个片区应急物资储备集中点（消防站）储备应急救灾物资23类21560件。对全县15家企业防汛减灾救援机械设备力量进行全面摸底掌握，机械设备共计29类266台(辆)，确保了物资到点到位，就近调用。</w:t>
      </w:r>
    </w:p>
    <w:p>
      <w:pPr>
        <w:keepNext w:val="0"/>
        <w:keepLines w:val="0"/>
        <w:pageBreakBefore w:val="0"/>
        <w:widowControl w:val="0"/>
        <w:kinsoku/>
        <w:wordWrap/>
        <w:overflowPunct/>
        <w:topLinePunct w:val="0"/>
        <w:autoSpaceDE/>
        <w:autoSpaceDN/>
        <w:bidi w:val="0"/>
        <w:adjustRightInd/>
        <w:snapToGrid/>
        <w:spacing w:line="570" w:lineRule="exact"/>
        <w:ind w:left="0" w:firstLineChars="200" w:firstLine="640"/>
        <w:jc w:val="both"/>
        <w:textAlignment w:val="auto"/>
        <w:outlineLvl w:val="9"/>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“3.9”事件、“6.10”地震发生后，县应急管理保障中心按照县应急指挥中心指令，第一时间调拨应急救灾物资共计16类5072件到指定地点</w:t>
      </w:r>
      <w:r>
        <w:rPr>
          <w:rFonts w:ascii="仿宋_GB2312" w:eastAsia="仿宋_GB2312" w:cs="仿宋_GB2312" w:hint="eastAsia"/>
          <w:sz w:val="32"/>
          <w:szCs w:val="32"/>
          <w:lang w:eastAsia="zh-CN"/>
        </w:rPr>
        <w:t>，有效降低</w:t>
      </w:r>
      <w:r>
        <w:rPr>
          <w:rFonts w:ascii="仿宋_GB2312" w:eastAsia="仿宋_GB2312" w:cs="仿宋_GB2312" w:hint="eastAsia"/>
          <w:sz w:val="32"/>
          <w:szCs w:val="32"/>
          <w:lang w:val="en-US" w:eastAsia="zh-CN"/>
        </w:rPr>
        <w:t>了</w:t>
      </w:r>
      <w:r>
        <w:rPr>
          <w:rFonts w:ascii="仿宋_GB2312" w:eastAsia="仿宋_GB2312" w:cs="仿宋_GB2312" w:hint="eastAsia"/>
          <w:sz w:val="32"/>
          <w:szCs w:val="32"/>
          <w:lang w:eastAsia="zh-CN"/>
        </w:rPr>
        <w:t>人员伤亡和财产损失，有力维护了社会安全稳定。</w:t>
      </w:r>
    </w:p>
    <w:p>
      <w:pPr>
        <w:keepNext w:val="0"/>
        <w:keepLines w:val="0"/>
        <w:pageBreakBefore w:val="0"/>
        <w:widowControl w:val="0"/>
        <w:kinsoku/>
        <w:wordWrap/>
        <w:overflowPunct/>
        <w:topLinePunct w:val="0"/>
        <w:autoSpaceDE/>
        <w:autoSpaceDN/>
        <w:bidi w:val="0"/>
        <w:adjustRightInd/>
        <w:snapToGrid/>
        <w:spacing w:line="570" w:lineRule="exact"/>
        <w:ind w:firstLineChars="200" w:firstLine="640"/>
        <w:jc w:val="both"/>
        <w:textAlignment w:val="auto"/>
        <w:rPr>
          <w:rFonts w:ascii="仿宋_GB2312" w:eastAsia="仿宋_GB2312" w:cs="仿宋_GB2312"/>
          <w:b/>
          <w:bCs/>
          <w:i w:val="0"/>
          <w:iCs w:val="0"/>
          <w:caps w:val="0"/>
          <w:smallCaps w:val="0"/>
          <w:color w:val="000000"/>
          <w:spacing w:val="0"/>
          <w:sz w:val="32"/>
          <w:szCs w:val="32"/>
          <w:shd w:val="clear" w:color="auto" w:fill="FFFFFF"/>
          <w:lang w:val="en-US" w:eastAsia="zh-CN"/>
        </w:rPr>
      </w:pPr>
      <w:r>
        <w:rPr>
          <w:rFonts w:ascii="仿宋_GB2312" w:eastAsia="仿宋_GB2312" w:cs="仿宋_GB2312" w:hint="eastAsia"/>
          <w:sz w:val="32"/>
          <w:szCs w:val="32"/>
          <w:lang w:val="en-US" w:eastAsia="zh-CN"/>
        </w:rPr>
        <w:t>目前，全</w:t>
      </w:r>
      <w:r>
        <w:rPr>
          <w:rFonts w:ascii="仿宋_GB2312" w:eastAsia="仿宋_GB2312" w:cs="仿宋_GB2312" w:hint="eastAsia"/>
          <w:sz w:val="32"/>
          <w:szCs w:val="32"/>
        </w:rPr>
        <w:t>县</w:t>
      </w:r>
      <w:r>
        <w:rPr>
          <w:rFonts w:ascii="仿宋_GB2312" w:eastAsia="仿宋_GB2312" w:cs="仿宋_GB2312" w:hint="eastAsia"/>
          <w:sz w:val="32"/>
          <w:szCs w:val="32"/>
          <w:lang w:val="en-US" w:eastAsia="zh-CN"/>
        </w:rPr>
        <w:t>储备有帐篷、棉被、折叠床、防潮垫、棕垫、铁锹、发电机、迷彩服等物资151种187548件（其中：州级前置应急物资11类20980件，州级发放物资5类1380件）。针对</w:t>
      </w:r>
      <w:r>
        <w:rPr>
          <w:rFonts w:ascii="仿宋_GB2312" w:eastAsia="仿宋_GB2312" w:cs="仿宋_GB2312" w:hint="eastAsia"/>
          <w:sz w:val="32"/>
          <w:szCs w:val="32"/>
        </w:rPr>
        <w:t>物资储备需求，</w:t>
      </w:r>
      <w:r>
        <w:rPr>
          <w:rFonts w:ascii="仿宋_GB2312" w:eastAsia="仿宋_GB2312" w:cs="仿宋_GB2312" w:hint="eastAsia"/>
          <w:sz w:val="32"/>
          <w:szCs w:val="32"/>
          <w:lang w:val="en-US" w:eastAsia="zh-CN"/>
        </w:rPr>
        <w:t>现正采购</w:t>
      </w:r>
      <w:r>
        <w:rPr>
          <w:rFonts w:ascii="仿宋_GB2312" w:eastAsia="仿宋_GB2312" w:cs="仿宋_GB2312" w:hint="eastAsia"/>
          <w:i w:val="0"/>
          <w:iCs w:val="0"/>
          <w:color w:val="000000"/>
          <w:kern w:val="0"/>
          <w:sz w:val="32"/>
          <w:szCs w:val="32"/>
          <w:u w:val="none"/>
          <w:lang w:val="en-US" w:eastAsia="zh-CN"/>
        </w:rPr>
        <w:t>雨衣、雨鞋、强光电筒、对讲机、绳索抛投器、应急包等应急救灾物资58种139148件，投入资金237万元</w:t>
      </w:r>
      <w:r>
        <w:rPr>
          <w:rFonts w:ascii="仿宋_GB2312" w:eastAsia="仿宋_GB2312" w:cs="仿宋_GB2312" w:hint="eastAsia"/>
          <w:sz w:val="32"/>
          <w:szCs w:val="32"/>
        </w:rPr>
        <w:t>。</w:t>
      </w:r>
    </w:p>
    <w:p>
      <w:pPr>
        <w:spacing w:line="578" w:lineRule="exact"/>
        <w:ind w:left="0" w:firstLineChars="200" w:firstLine="640"/>
        <w:rPr>
          <w:rStyle w:val="2Char"/>
          <w:b w:val="0"/>
          <w:bCs w:val="0"/>
        </w:rPr>
      </w:pPr>
      <w:r>
        <w:rPr>
          <w:rStyle w:val="2Char"/>
          <w:rFonts w:ascii="黑体" w:eastAsia="黑体" w:hint="eastAsia"/>
          <w:b w:val="0"/>
          <w:bCs w:val="0"/>
        </w:rPr>
        <w:t>二、机构设置</w:t>
      </w:r>
      <w:bookmarkEnd w:id="19"/>
      <w:bookmarkEnd w:id="20"/>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hint="eastAsia"/>
          <w:color w:val="auto"/>
          <w:spacing w:val="-14"/>
          <w:sz w:val="32"/>
          <w:szCs w:val="32"/>
          <w:lang w:val="en-US" w:eastAsia="zh-CN"/>
        </w:rPr>
      </w:pPr>
      <w:bookmarkStart w:id="21" w:name="_Toc15377204"/>
      <w:bookmarkStart w:id="22" w:name="_Toc15396602"/>
      <w:r>
        <w:rPr>
          <w:rFonts w:ascii="仿宋_GB2312" w:eastAsia="仿宋_GB2312" w:cs="仿宋_GB2312" w:hint="eastAsia"/>
          <w:color w:val="000000"/>
          <w:kern w:val="0"/>
          <w:sz w:val="32"/>
          <w:szCs w:val="32"/>
          <w:lang w:val="zh-CN"/>
        </w:rPr>
        <w:t>应急管理局为县级一级预算单位</w:t>
      </w:r>
      <w:r>
        <w:rPr>
          <w:rFonts w:ascii="仿宋_GB2312" w:eastAsia="仿宋_GB2312" w:cs="仿宋_GB2312" w:hint="eastAsia"/>
          <w:color w:val="000000"/>
          <w:kern w:val="0"/>
          <w:sz w:val="32"/>
          <w:szCs w:val="32"/>
        </w:rPr>
        <w:t>。</w:t>
      </w:r>
      <w:r>
        <w:rPr>
          <w:rFonts w:ascii="仿宋_GB2312" w:eastAsia="仿宋_GB2312" w:cs="仿宋_GB2312" w:hint="eastAsia"/>
          <w:color w:val="000000"/>
          <w:kern w:val="0"/>
          <w:sz w:val="32"/>
          <w:szCs w:val="32"/>
          <w:lang w:eastAsia="zh-CN"/>
        </w:rPr>
        <w:t>县应急管理局（</w:t>
      </w:r>
      <w:r>
        <w:rPr>
          <w:rFonts w:ascii="仿宋_GB2312" w:eastAsia="仿宋_GB2312" w:cs="仿宋_GB2312" w:hint="eastAsia"/>
          <w:color w:val="auto"/>
          <w:sz w:val="32"/>
          <w:szCs w:val="32"/>
        </w:rPr>
        <w:t>内设办公室、安全生产综合监管股、</w:t>
      </w:r>
      <w:r>
        <w:rPr>
          <w:rFonts w:ascii="仿宋_GB2312" w:eastAsia="仿宋_GB2312" w:cs="仿宋_GB2312" w:hint="eastAsia"/>
          <w:color w:val="auto"/>
          <w:spacing w:val="-14"/>
          <w:sz w:val="32"/>
          <w:szCs w:val="32"/>
        </w:rPr>
        <w:t>应急指挥中心</w:t>
      </w:r>
      <w:r>
        <w:rPr>
          <w:rFonts w:ascii="仿宋_GB2312" w:eastAsia="仿宋_GB2312" w:cs="仿宋_GB2312" w:hint="eastAsia"/>
          <w:color w:val="auto"/>
          <w:spacing w:val="-14"/>
          <w:sz w:val="32"/>
          <w:szCs w:val="32"/>
          <w:lang w:eastAsia="zh-CN"/>
        </w:rPr>
        <w:t>、</w:t>
      </w:r>
      <w:r>
        <w:rPr>
          <w:rFonts w:ascii="仿宋_GB2312" w:eastAsia="仿宋_GB2312" w:cs="仿宋_GB2312" w:hint="eastAsia"/>
          <w:color w:val="auto"/>
          <w:sz w:val="32"/>
          <w:szCs w:val="32"/>
        </w:rPr>
        <w:t>安全生产执法大队、</w:t>
      </w:r>
      <w:r>
        <w:rPr>
          <w:rFonts w:ascii="仿宋_GB2312" w:eastAsia="仿宋_GB2312" w:cs="仿宋_GB2312" w:hint="eastAsia"/>
          <w:color w:val="auto"/>
          <w:spacing w:val="-14"/>
          <w:sz w:val="32"/>
          <w:szCs w:val="32"/>
          <w:lang w:eastAsia="zh-CN"/>
        </w:rPr>
        <w:t>金川县防汛抗旱工作中心、森林草原防灭火指挥部办公室、应急保障中心</w:t>
      </w:r>
      <w:r>
        <w:rPr>
          <w:rFonts w:ascii="仿宋_GB2312" w:eastAsia="仿宋_GB2312" w:cs="仿宋_GB2312" w:hint="eastAsia"/>
          <w:color w:val="auto"/>
          <w:spacing w:val="-14"/>
          <w:sz w:val="32"/>
          <w:szCs w:val="32"/>
          <w:lang w:val="en-US" w:eastAsia="zh-CN"/>
        </w:rPr>
        <w:t>)、代管县应急管理保障中心、县综合应急救援服务工作中心</w:t>
      </w:r>
      <w:r>
        <w:rPr>
          <w:rFonts w:ascii="仿宋_GB2312" w:eastAsia="仿宋_GB2312" w:cs="仿宋_GB2312" w:hint="eastAsia"/>
          <w:color w:val="auto"/>
          <w:spacing w:val="-14"/>
          <w:sz w:val="32"/>
          <w:szCs w:val="32"/>
        </w:rPr>
        <w:t>。</w:t>
      </w:r>
      <w:r>
        <w:rPr>
          <w:rFonts w:ascii="仿宋_GB2312" w:eastAsia="仿宋_GB2312" w:cs="仿宋_GB2312" w:hint="eastAsia"/>
          <w:color w:val="auto"/>
          <w:spacing w:val="-14"/>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hint="eastAsia"/>
        </w:rPr>
      </w:pPr>
      <w:r>
        <w:rPr>
          <w:rFonts w:ascii="仿宋_GB2312" w:eastAsia="仿宋_GB2312" w:cs="仿宋_GB2312" w:hint="eastAsia"/>
          <w:kern w:val="0"/>
          <w:sz w:val="32"/>
          <w:szCs w:val="32"/>
          <w:lang w:eastAsia="zh-CN"/>
        </w:rPr>
        <w:t>本单位202</w:t>
      </w:r>
      <w:r>
        <w:rPr>
          <w:rFonts w:ascii="仿宋_GB2312" w:eastAsia="仿宋_GB2312" w:cs="仿宋_GB2312" w:hint="eastAsia"/>
          <w:kern w:val="0"/>
          <w:sz w:val="32"/>
          <w:szCs w:val="32"/>
          <w:lang w:val="en-US" w:eastAsia="zh-CN"/>
        </w:rPr>
        <w:t>2</w:t>
      </w:r>
      <w:r>
        <w:rPr>
          <w:rFonts w:ascii="仿宋_GB2312" w:eastAsia="仿宋_GB2312" w:cs="仿宋_GB2312" w:hint="eastAsia"/>
          <w:kern w:val="0"/>
          <w:sz w:val="32"/>
          <w:szCs w:val="32"/>
          <w:lang w:eastAsia="zh-CN"/>
        </w:rPr>
        <w:t>年有</w:t>
      </w:r>
      <w:r>
        <w:rPr>
          <w:rFonts w:ascii="仿宋_GB2312" w:eastAsia="仿宋_GB2312" w:cs="仿宋_GB2312" w:hint="eastAsia"/>
          <w:kern w:val="0"/>
          <w:sz w:val="32"/>
          <w:szCs w:val="32"/>
          <w:lang w:val="en-US" w:eastAsia="zh-CN"/>
        </w:rPr>
        <w:t>3</w:t>
      </w:r>
      <w:r>
        <w:rPr>
          <w:rFonts w:ascii="仿宋_GB2312" w:eastAsia="仿宋_GB2312" w:cs="仿宋_GB2312" w:hint="eastAsia"/>
          <w:kern w:val="0"/>
          <w:sz w:val="32"/>
          <w:szCs w:val="32"/>
          <w:lang w:eastAsia="zh-CN"/>
        </w:rPr>
        <w:t>个独立核算机构，比</w:t>
      </w:r>
      <w:r>
        <w:rPr>
          <w:rFonts w:ascii="仿宋_GB2312" w:eastAsia="仿宋_GB2312" w:cs="仿宋_GB2312" w:hint="eastAsia"/>
          <w:kern w:val="0"/>
          <w:sz w:val="32"/>
          <w:szCs w:val="32"/>
          <w:lang w:val="en-US" w:eastAsia="zh-CN"/>
        </w:rPr>
        <w:t>2021年增加2个，其原因是本年本单位下参公、事业两个中心分出，纳入了本单位决算汇编范围的独立核算单位。我单位2022</w:t>
      </w:r>
      <w:r>
        <w:rPr>
          <w:rFonts w:ascii="仿宋_GB2312" w:eastAsia="仿宋_GB2312" w:cs="仿宋_GB2312" w:hint="eastAsia"/>
          <w:color w:val="auto"/>
          <w:sz w:val="32"/>
          <w:szCs w:val="32"/>
          <w:lang w:val="en-US" w:eastAsia="zh-CN"/>
        </w:rPr>
        <w:t>总编制数28名，其中：行政编制11名，机关工勤编制</w:t>
      </w:r>
      <w:r>
        <w:rPr>
          <w:rFonts w:ascii="仿宋_GB2312" w:eastAsia="仿宋_GB2312" w:cs="仿宋_GB2312" w:hint="eastAsia"/>
          <w:b w:val="0"/>
          <w:bCs w:val="0"/>
          <w:color w:val="auto"/>
          <w:kern w:val="2"/>
          <w:sz w:val="32"/>
          <w:szCs w:val="32"/>
          <w:lang w:val="en-US" w:eastAsia="zh-CN"/>
        </w:rPr>
        <w:t>1名，参公事业编制9名，事业编制7名。2022年末实有人数26人，其中：行政人员 9人、行政工勤1人，参公人员10人，事业人员6人。离休人员0人，退休人员3人。</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lang w:val="en-US"/>
        </w:rPr>
        <w:t>2022</w:t>
      </w:r>
      <w:r>
        <w:rPr>
          <w:rStyle w:val="1Char"/>
          <w:rFonts w:ascii="黑体" w:eastAsia="黑体" w:hint="eastAsia"/>
          <w:b w:val="0"/>
          <w:bCs w:val="0"/>
        </w:rPr>
        <w:t>年度部门决算情况说明</w:t>
      </w:r>
      <w:bookmarkEnd w:id="21"/>
      <w:bookmarkEnd w:id="22"/>
    </w:p>
    <w:p>
      <w:pPr>
        <w:pStyle w:val="36"/>
        <w:spacing w:line="240" w:lineRule="auto"/>
        <w:ind w:left="0" w:firstLineChars="200" w:firstLine="640"/>
        <w:outlineLvl w:val="1"/>
        <w:rPr>
          <w:rStyle w:val="2Char"/>
          <w:rFonts w:ascii="黑体" w:eastAsia="黑体" w:hint="eastAsia"/>
          <w:b w:val="0"/>
        </w:rPr>
      </w:pPr>
      <w:bookmarkStart w:id="23" w:name="_Toc15377205"/>
      <w:bookmarkStart w:id="24" w:name="_Toc15396603"/>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23"/>
      <w:bookmarkEnd w:id="24"/>
    </w:p>
    <w:p>
      <w:pPr>
        <w:pStyle w:val="27"/>
        <w:keepNext w:val="0"/>
        <w:keepLines w:val="0"/>
        <w:widowControl/>
        <w:suppressLineNumbers w:val="0"/>
        <w:spacing w:before="0" w:beforeAutospacing="0"/>
        <w:ind w:left="0" w:firstLineChars="200" w:firstLine="640"/>
        <w:jc w:val="left"/>
        <w:rPr>
          <w:rFonts w:ascii="仿宋_GB2312" w:eastAsia="仿宋_GB2312" w:cs="仿宋_GB2312"/>
          <w:b w:val="0"/>
          <w:bCs w:val="0"/>
          <w:color w:val="auto"/>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2022年度收入全年预算数为2,059.87万元，收入决算数为2,059.87万元，预算完成度为100.00%。2022年度支出全年预算数为2,059.87万元，支出决算数为2,059.87万元，预算完成度为100.00%。</w:t>
      </w:r>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1、2022年度总收入2059.87万元，较上年收入增加1076.59万元，增加109.49%。增加的主要原因是2022年本年项目及基本收入增加。</w:t>
      </w:r>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（1）金川县应急管理局本级2022年度收入1739.04万元，占本部门总收入的84.42%，较上年收入增加755.77万元，增加76.86%。增加的主要原因是本年项目收入增加。</w:t>
      </w:r>
    </w:p>
    <w:p>
      <w:pPr>
        <w:snapToGrid w:val="0"/>
        <w:spacing w:line="520" w:lineRule="exact"/>
        <w:ind w:firstLineChars="200" w:firstLine="640"/>
        <w:rPr>
          <w:rFonts w:ascii="仿宋_GB2312" w:eastAsia="仿宋_GB2312" w:cs="仿宋_GB2312" w:hint="eastAsia"/>
          <w:b w:val="0"/>
          <w:bCs w:val="0"/>
          <w:color w:val="auto"/>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（2）金川县应急管理保障中心</w:t>
      </w:r>
      <w:r>
        <w:rPr>
          <w:rFonts w:ascii="仿宋_GB2312" w:eastAsia="仿宋_GB2312" w:cs="仿宋" w:hint="eastAsia"/>
          <w:sz w:val="32"/>
          <w:szCs w:val="32"/>
          <w:lang w:val="en-US" w:eastAsia="zh-CN"/>
        </w:rPr>
        <w:t>为本年新分出纳入本部门决算汇编范围的独立核算单位，</w:t>
      </w:r>
      <w:r>
        <w:rPr>
          <w:rFonts w:ascii="仿宋_GB2312" w:eastAsia="仿宋_GB2312" w:hint="eastAsia"/>
          <w:color w:val="000000"/>
          <w:spacing w:val="-2"/>
          <w:kern w:val="2"/>
          <w:sz w:val="32"/>
          <w:szCs w:val="32"/>
          <w:lang w:val="en-US" w:eastAsia="zh-CN" w:bidi="ar-SA"/>
        </w:rPr>
        <w:t>2022年度收入205.25万元，占本部门总收入的9.96%。</w:t>
      </w:r>
    </w:p>
    <w:p>
      <w:pPr>
        <w:ind w:left="0" w:firstLineChars="200" w:firstLine="640"/>
        <w:rPr>
          <w:rFonts w:ascii="仿宋_GB2312" w:eastAsia="仿宋_GB2312" w:hint="eastAsia"/>
          <w:color w:val="000000"/>
          <w:spacing w:val="-2"/>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_GB2312" w:eastAsia="仿宋_GB2312" w:cs="仿宋" w:hint="eastAsia"/>
          <w:sz w:val="32"/>
          <w:szCs w:val="32"/>
          <w:lang w:val="en-US" w:eastAsia="zh-CN"/>
        </w:rPr>
        <w:t>为本年新分出纳入本部门决算汇编范围的独立核算单位，</w:t>
      </w:r>
      <w:r>
        <w:rPr>
          <w:rFonts w:ascii="仿宋_GB2312" w:eastAsia="仿宋_GB2312" w:hint="eastAsia"/>
          <w:color w:val="000000"/>
          <w:spacing w:val="-2"/>
          <w:kern w:val="2"/>
          <w:sz w:val="32"/>
          <w:szCs w:val="32"/>
          <w:lang w:val="en-US" w:eastAsia="zh-CN" w:bidi="ar-SA"/>
        </w:rPr>
        <w:t>2022年度收入115.57万元，占本部门总收入的5.61%。</w:t>
      </w:r>
    </w:p>
    <w:p>
      <w:pPr>
        <w:pStyle w:val="24"/>
        <w:rPr>
          <w:rFonts w:hint="eastAsia"/>
          <w:lang w:val="en-US" w:eastAsia="zh-CN"/>
        </w:rPr>
      </w:pPr>
      <w:r>
        <w:rPr>
          <w:rFonts w:hint="eastAsia"/>
          <w:lang w:val="en-US" w:eastAsia="zh-CN"/>
        </w:rPr>
        <w:drawing>
          <wp:inline distT="0" distB="0" distL="114300" distR="114300">
            <wp:extent cx="5079999" cy="3893184"/>
            <wp:effectExtent l="0" t="0" r="0" b="0"/>
            <wp:docPr id="1" name="图表 6"/>
            <wp:cNvGraphicFramePr>
              <a:graphicFrameLocks noChangeAspect="0"/>
            </wp:cNvGraphicFramePr>
            <a:graphic>
              <a:graphicData uri="http://schemas.openxmlformats.org/drawingml/2006/chart">
                <c:chart xmlns:c="http://schemas.openxmlformats.org/drawingml/2006/chart" r:id="rId4"/>
              </a:graphicData>
            </a:graphic>
          </wp:inline>
        </w:drawing>
      </w:r>
    </w:p>
    <w:p>
      <w:pPr>
        <w:snapToGrid w:val="0"/>
        <w:spacing w:line="520" w:lineRule="exact"/>
        <w:ind w:firstLineChars="200" w:firstLine="632"/>
        <w:rPr>
          <w:rFonts w:ascii="黑体" w:eastAsia="黑体" w:cs="Times New Roman" w:hint="eastAsia"/>
          <w:color w:val="000000"/>
          <w:kern w:val="2"/>
          <w:sz w:val="32"/>
          <w:szCs w:val="32"/>
          <w:lang w:val="en-US" w:eastAsia="zh-CN" w:bidi="ar-SA"/>
        </w:rPr>
      </w:pPr>
      <w:r>
        <w:rPr>
          <w:rFonts w:ascii="仿宋_GB2312" w:eastAsia="仿宋_GB2312" w:hint="eastAsia"/>
          <w:color w:val="auto"/>
          <w:spacing w:val="-2"/>
          <w:kern w:val="2"/>
          <w:sz w:val="32"/>
          <w:szCs w:val="32"/>
          <w:lang w:val="en-US" w:eastAsia="zh-CN" w:bidi="ar-SA"/>
        </w:rPr>
        <w:t>2、2022年度总支出2059.87万元，较上年支出增加426.83万元，增加26.14%。主要原因项目支出及基本支出增加。</w:t>
      </w:r>
    </w:p>
    <w:p>
      <w:pPr>
        <w:numPr>
          <w:ilvl w:val="0"/>
          <w:numId w:val="2"/>
        </w:numPr>
        <w:snapToGrid w:val="0"/>
        <w:spacing w:line="520" w:lineRule="exact"/>
        <w:ind w:left="-2"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金川县应急管理局本级2022年度支出1739.04万元，占本部门总支出的84.42%，较上年支出增加106万元，增加6.49%。增加的主要原因是本年项目支出增加。</w:t>
      </w:r>
    </w:p>
    <w:p>
      <w:pPr>
        <w:pStyle w:val="24"/>
        <w:widowControl w:val="0"/>
        <w:spacing w:before="100" w:beforeAutospacing="1" w:after="100" w:afterAutospacing="1"/>
        <w:ind w:right="0"/>
        <w:jc w:val="center"/>
        <w:rPr>
          <w:rFonts w:hint="eastAsia"/>
          <w:lang w:val="en-US" w:eastAsia="zh-CN"/>
        </w:rPr>
      </w:pPr>
      <w:r>
        <w:rPr>
          <w:rFonts w:hint="eastAsia"/>
          <w:lang w:val="en-US" w:eastAsia="zh-CN"/>
        </w:rPr>
        <w:drawing>
          <wp:inline distT="0" distB="0" distL="114300" distR="114300">
            <wp:extent cx="5079999" cy="3810000"/>
            <wp:effectExtent l="0" t="0" r="0" b="0"/>
            <wp:docPr id="2" name="图表 8"/>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4"/>
        <w:widowControl w:val="0"/>
        <w:numPr>
          <w:ilvl w:val="0"/>
          <w:numId w:val="2"/>
        </w:numPr>
        <w:spacing w:before="100" w:beforeAutospacing="1" w:after="100" w:afterAutospacing="1"/>
        <w:ind w:leftChars="0" w:left="-2" w:right="0" w:firstLineChars="0" w:firstLine="632"/>
        <w:jc w:val="left"/>
        <w:rPr>
          <w:rFonts w:ascii="仿宋_GB2312" w:eastAsia="仿宋_GB2312" w:hint="eastAsia"/>
          <w:color w:val="000000"/>
          <w:spacing w:val="-2"/>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金川县应急管理保障中心</w:t>
      </w:r>
      <w:r>
        <w:rPr>
          <w:rFonts w:ascii="仿宋_GB2312" w:eastAsia="仿宋_GB2312" w:cs="仿宋" w:hint="eastAsia"/>
          <w:sz w:val="32"/>
          <w:szCs w:val="32"/>
          <w:lang w:val="en-US" w:eastAsia="zh-CN"/>
        </w:rPr>
        <w:t>为本年新分出纳入本部门决算汇编范围的独立核算单位，</w:t>
      </w:r>
      <w:r>
        <w:rPr>
          <w:rFonts w:ascii="仿宋_GB2312" w:eastAsia="仿宋_GB2312" w:hint="eastAsia"/>
          <w:color w:val="000000"/>
          <w:spacing w:val="-2"/>
          <w:kern w:val="2"/>
          <w:sz w:val="32"/>
          <w:szCs w:val="32"/>
          <w:lang w:val="en-US" w:eastAsia="zh-CN" w:bidi="ar-SA"/>
        </w:rPr>
        <w:t>2022年度支出205.25万元，占本部门总支出的9.96%。</w:t>
      </w:r>
    </w:p>
    <w:p>
      <w:pPr>
        <w:pStyle w:val="24"/>
        <w:widowControl w:val="0"/>
        <w:numPr>
          <w:ilvl w:val="0"/>
          <w:numId w:val="2"/>
        </w:numPr>
        <w:spacing w:before="100" w:beforeAutospacing="1" w:after="100" w:afterAutospacing="1"/>
        <w:ind w:leftChars="0" w:left="-2" w:right="0" w:firstLineChars="0" w:firstLine="632"/>
        <w:jc w:val="left"/>
        <w:rPr>
          <w:rFonts w:ascii="仿宋_GB2312" w:eastAsia="仿宋_GB2312" w:hint="eastAsia"/>
          <w:color w:val="000000"/>
          <w:spacing w:val="-2"/>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金川县综合应急救援服务工作中心</w:t>
      </w:r>
      <w:r>
        <w:rPr>
          <w:rFonts w:ascii="仿宋_GB2312" w:eastAsia="仿宋_GB2312" w:cs="仿宋" w:hint="eastAsia"/>
          <w:sz w:val="32"/>
          <w:szCs w:val="32"/>
          <w:lang w:val="en-US" w:eastAsia="zh-CN"/>
        </w:rPr>
        <w:t>为本年新分出纳入本部门决算汇编范围的独立核算单位，</w:t>
      </w:r>
      <w:r>
        <w:rPr>
          <w:rFonts w:ascii="仿宋_GB2312" w:eastAsia="仿宋_GB2312" w:hint="eastAsia"/>
          <w:color w:val="000000"/>
          <w:spacing w:val="-2"/>
          <w:kern w:val="2"/>
          <w:sz w:val="32"/>
          <w:szCs w:val="32"/>
          <w:lang w:val="en-US" w:eastAsia="zh-CN" w:bidi="ar-SA"/>
        </w:rPr>
        <w:t>2022年度支出115.57万元，占本部门总支出的5.61%。</w:t>
      </w:r>
    </w:p>
    <w:p>
      <w:pPr>
        <w:spacing w:line="600" w:lineRule="exact"/>
        <w:ind w:firstLineChars="200" w:firstLine="640"/>
        <w:rPr>
          <w:rFonts w:ascii="黑体" w:eastAsia="黑体" w:cs="Times New Roman" w:hint="eastAsia"/>
          <w:color w:val="000000"/>
          <w:kern w:val="2"/>
          <w:sz w:val="32"/>
          <w:szCs w:val="32"/>
          <w:lang w:val="en-US" w:eastAsia="zh-CN" w:bidi="ar-SA"/>
        </w:rPr>
      </w:pPr>
    </w:p>
    <w:p>
      <w:pPr>
        <w:spacing w:line="600" w:lineRule="exact"/>
        <w:ind w:firstLineChars="200" w:firstLine="640"/>
        <w:rPr>
          <w:rFonts w:ascii="黑体" w:eastAsia="黑体" w:cs="Times New Roman" w:hint="eastAsia"/>
          <w:color w:val="000000"/>
          <w:kern w:val="2"/>
          <w:sz w:val="32"/>
          <w:szCs w:val="32"/>
          <w:lang w:val="en-US" w:eastAsia="zh-CN" w:bidi="ar-SA"/>
        </w:rPr>
      </w:pPr>
    </w:p>
    <w:p>
      <w:pPr>
        <w:spacing w:line="600" w:lineRule="exact"/>
        <w:ind w:firstLineChars="200" w:firstLine="640"/>
        <w:rPr>
          <w:rStyle w:val="2Char"/>
          <w:rFonts w:ascii="黑体" w:eastAsia="黑体"/>
          <w:b w:val="0"/>
        </w:rPr>
      </w:pPr>
      <w:r>
        <w:rPr>
          <w:rFonts w:ascii="黑体" w:eastAsia="黑体" w:cs="Times New Roman" w:hint="eastAsia"/>
          <w:color w:val="000000"/>
          <w:kern w:val="2"/>
          <w:sz w:val="32"/>
          <w:szCs w:val="32"/>
          <w:lang w:val="en-US" w:eastAsia="zh-CN" w:bidi="ar-SA"/>
        </w:rPr>
        <w:drawing>
          <wp:anchor distT="0" distB="0" distL="114300" distR="114300" simplePos="0" relativeHeight="36" behindDoc="0" locked="0" layoutInCell="1" hidden="0" allowOverlap="1">
            <wp:simplePos x="0" y="0"/>
            <wp:positionH relativeFrom="column">
              <wp:posOffset>276860</wp:posOffset>
            </wp:positionH>
            <wp:positionV relativeFrom="paragraph">
              <wp:posOffset>68580</wp:posOffset>
            </wp:positionV>
            <wp:extent cx="5079999" cy="3084195"/>
            <wp:effectExtent l="0" t="0" r="0" b="0"/>
            <wp:wrapTopAndBottom/>
            <wp:docPr id="3" name="图表 4"/>
            <wp:cNvGraphicFramePr>
              <a:graphicFrameLocks noChangeAspect="0"/>
            </wp:cNvGraphicFramePr>
            <a:graphic>
              <a:graphicData uri="http://schemas.openxmlformats.org/drawingml/2006/chart">
                <c:chart xmlns:c="http://schemas.openxmlformats.org/drawingml/2006/chart" r:id="rId6"/>
              </a:graphicData>
            </a:graphic>
          </wp:anchor>
        </w:drawing>
      </w:r>
      <w:bookmarkStart w:id="25" w:name="_Toc15396604"/>
      <w:bookmarkStart w:id="26" w:name="_Toc15377206"/>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5"/>
      <w:bookmarkEnd w:id="26"/>
    </w:p>
    <w:p>
      <w:pPr>
        <w:pStyle w:val="27"/>
        <w:keepNext w:val="0"/>
        <w:keepLines w:val="0"/>
        <w:widowControl/>
        <w:suppressLineNumbers w:val="0"/>
        <w:spacing w:before="0" w:beforeAutospacing="0"/>
        <w:ind w:left="0" w:firstLineChars="200" w:firstLine="640"/>
        <w:jc w:val="left"/>
        <w:rPr>
          <w:rFonts w:ascii="仿宋" w:eastAsia="仿宋" w:hint="eastAsia"/>
          <w:color w:val="000000"/>
          <w:sz w:val="32"/>
          <w:szCs w:val="32"/>
          <w:lang w:val="en-US" w:eastAsia="zh-CN"/>
        </w:rPr>
      </w:pPr>
      <w:r>
        <w:rPr>
          <w:rFonts w:ascii="黑体" w:eastAsia="黑体" w:cs="Times New Roman" w:hint="eastAsia"/>
          <w:color w:val="000000"/>
          <w:kern w:val="2"/>
          <w:sz w:val="32"/>
          <w:szCs w:val="32"/>
          <w:lang w:val="en-US" w:eastAsia="zh-CN" w:bidi="ar-SA"/>
        </w:rPr>
        <w:drawing>
          <wp:anchor distT="0" distB="0" distL="114300" distR="114300" simplePos="0" relativeHeight="46" behindDoc="0" locked="0" layoutInCell="1" hidden="0" allowOverlap="1">
            <wp:simplePos x="0" y="0"/>
            <wp:positionH relativeFrom="column">
              <wp:posOffset>328930</wp:posOffset>
            </wp:positionH>
            <wp:positionV relativeFrom="paragraph">
              <wp:posOffset>1704339</wp:posOffset>
            </wp:positionV>
            <wp:extent cx="4996815" cy="3313429"/>
            <wp:effectExtent l="0" t="0" r="0" b="0"/>
            <wp:wrapTopAndBottom/>
            <wp:docPr id="4" name="图表 5"/>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 w:eastAsia="仿宋" w:hint="eastAsia"/>
          <w:color w:val="000000"/>
          <w:sz w:val="32"/>
          <w:szCs w:val="32"/>
          <w:lang w:val="en-US" w:eastAsia="zh-CN"/>
        </w:rPr>
        <w:t>2022年度总</w:t>
      </w:r>
      <w:r>
        <w:rPr>
          <w:rFonts w:ascii="仿宋" w:eastAsia="仿宋" w:hint="eastAsia"/>
          <w:color w:val="000000"/>
          <w:sz w:val="32"/>
          <w:szCs w:val="32"/>
        </w:rPr>
        <w:t>收入</w:t>
      </w:r>
      <w:r>
        <w:rPr>
          <w:rFonts w:ascii="仿宋" w:eastAsia="仿宋" w:hint="eastAsia"/>
          <w:color w:val="000000"/>
          <w:sz w:val="32"/>
          <w:szCs w:val="32"/>
          <w:lang w:val="en-US" w:eastAsia="zh-CN"/>
        </w:rPr>
        <w:t>2059.87</w:t>
      </w:r>
      <w:r>
        <w:rPr>
          <w:rFonts w:ascii="仿宋" w:eastAsia="仿宋" w:hint="eastAsia"/>
          <w:color w:val="000000"/>
          <w:sz w:val="32"/>
          <w:szCs w:val="32"/>
        </w:rPr>
        <w:t>万元，</w:t>
      </w:r>
      <w:r>
        <w:rPr>
          <w:rFonts w:ascii="仿宋" w:eastAsia="仿宋" w:hint="eastAsia"/>
          <w:color w:val="000000"/>
          <w:sz w:val="32"/>
          <w:szCs w:val="32"/>
          <w:lang w:val="en-US" w:eastAsia="zh-CN"/>
        </w:rPr>
        <w:t>其中：一般公共预算财政拨款收入为2059.87万元，占比100.00%；政府性基金预算财政拨款收入为0.00万元，占比0.00%；国有资本经营预算财政拨款收入为0.00万元，占比0.00%；上级补助收入为0.00万元，占</w:t>
      </w:r>
    </w:p>
    <w:p>
      <w:pPr>
        <w:pStyle w:val="27"/>
        <w:keepNext w:val="0"/>
        <w:keepLines w:val="0"/>
        <w:widowControl/>
        <w:suppressLineNumbers w:val="0"/>
        <w:spacing w:before="0" w:beforeAutospacing="0"/>
        <w:jc w:val="left"/>
        <w:rPr>
          <w:rFonts w:ascii="仿宋" w:eastAsia="仿宋" w:hint="eastAsia"/>
          <w:color w:val="000000"/>
          <w:sz w:val="32"/>
          <w:szCs w:val="32"/>
          <w:lang w:val="en-US" w:eastAsia="zh-CN"/>
        </w:rPr>
      </w:pPr>
      <w:r>
        <w:rPr>
          <w:rFonts w:ascii="仿宋" w:eastAsia="仿宋" w:hint="eastAsia"/>
          <w:color w:val="000000"/>
          <w:sz w:val="32"/>
          <w:szCs w:val="32"/>
          <w:lang w:val="en-US" w:eastAsia="zh-CN"/>
        </w:rPr>
        <w:t>比0.00%；事业收入为0.00万元，占比0.00%；经营收入为0.00万元，占比0.00%；附属单位上缴收入为0.00万元，占比0.00%；其他收入为0.00万元，占比0.00%。</w:t>
      </w:r>
    </w:p>
    <w:p>
      <w:pPr>
        <w:pStyle w:val="27"/>
        <w:keepNext w:val="0"/>
        <w:keepLines w:val="0"/>
        <w:widowControl/>
        <w:suppressLineNumbers w:val="0"/>
        <w:spacing w:before="0" w:beforeAutospacing="0"/>
        <w:ind w:left="0" w:firstLineChars="200" w:firstLine="640"/>
        <w:jc w:val="left"/>
        <w:rPr>
          <w:rFonts w:ascii="仿宋" w:eastAsia="仿宋" w:hint="eastAsia"/>
          <w:color w:val="000000"/>
          <w:sz w:val="32"/>
          <w:szCs w:val="32"/>
          <w:lang w:val="en-US" w:eastAsia="zh-CN"/>
        </w:rPr>
      </w:pPr>
      <w:r>
        <w:rPr>
          <w:rFonts w:ascii="仿宋" w:eastAsia="仿宋" w:hint="eastAsia"/>
          <w:color w:val="000000"/>
          <w:sz w:val="32"/>
          <w:szCs w:val="32"/>
          <w:lang w:val="en-US" w:eastAsia="zh-CN"/>
        </w:rPr>
        <w:t>1、金川县应急管理局本级2022年度总</w:t>
      </w:r>
      <w:r>
        <w:rPr>
          <w:rFonts w:ascii="仿宋" w:eastAsia="仿宋" w:hint="eastAsia"/>
          <w:color w:val="000000"/>
          <w:sz w:val="32"/>
          <w:szCs w:val="32"/>
        </w:rPr>
        <w:t>收入</w:t>
      </w:r>
      <w:r>
        <w:rPr>
          <w:rFonts w:ascii="仿宋" w:eastAsia="仿宋" w:hint="eastAsia"/>
          <w:color w:val="000000"/>
          <w:sz w:val="32"/>
          <w:szCs w:val="32"/>
          <w:lang w:val="en-US" w:eastAsia="zh-CN"/>
        </w:rPr>
        <w:t>1739.04</w:t>
      </w:r>
      <w:r>
        <w:rPr>
          <w:rFonts w:ascii="仿宋" w:eastAsia="仿宋" w:hint="eastAsia"/>
          <w:color w:val="000000"/>
          <w:sz w:val="32"/>
          <w:szCs w:val="32"/>
        </w:rPr>
        <w:t>万元，</w:t>
      </w:r>
      <w:r>
        <w:rPr>
          <w:rFonts w:ascii="仿宋" w:eastAsia="仿宋" w:hint="eastAsia"/>
          <w:color w:val="000000"/>
          <w:sz w:val="32"/>
          <w:szCs w:val="32"/>
          <w:lang w:val="en-US" w:eastAsia="zh-CN"/>
        </w:rPr>
        <w:t>其中：一般公共预算财政拨款收入为1739.04万元，占比100.00%；政府性基金预算财政拨款收入为0.00万元，占比0.00%；国有资本经营预算财政拨款收入为0.00万元，占比0.00%；上级补助收入为0.00万元，比0.00%；事业收入为0.00万元，占比0.00%；经营收入为0.00万元，占比0.00%；附属单位上缴收入为0.00万元，占比0.00%；其他收入为0.00万元，占比0.00%。</w:t>
      </w:r>
    </w:p>
    <w:p>
      <w:pPr>
        <w:pStyle w:val="27"/>
        <w:keepNext w:val="0"/>
        <w:keepLines w:val="0"/>
        <w:widowControl/>
        <w:suppressLineNumbers w:val="0"/>
        <w:spacing w:before="0" w:beforeAutospacing="0"/>
        <w:ind w:left="0" w:firstLineChars="200" w:firstLine="640"/>
        <w:jc w:val="left"/>
        <w:rPr>
          <w:rFonts w:ascii="仿宋" w:eastAsia="仿宋" w:hint="eastAsia"/>
          <w:color w:val="000000"/>
          <w:sz w:val="32"/>
          <w:szCs w:val="32"/>
          <w:lang w:val="en-US" w:eastAsia="zh-CN"/>
        </w:rPr>
      </w:pPr>
      <w:r>
        <w:rPr>
          <w:rFonts w:ascii="仿宋_GB2312" w:eastAsia="仿宋_GB2312" w:cs="仿宋_GB2312" w:hint="eastAsia"/>
          <w:b w:val="0"/>
          <w:bCs w:val="0"/>
          <w:color w:val="auto"/>
          <w:kern w:val="2"/>
          <w:sz w:val="32"/>
          <w:szCs w:val="32"/>
          <w:lang w:val="en-US" w:eastAsia="zh-CN" w:bidi="ar-SA"/>
        </w:rPr>
        <w:t>2、金川县应急管理保障中心</w:t>
      </w:r>
      <w:r>
        <w:rPr>
          <w:rFonts w:ascii="仿宋" w:eastAsia="仿宋" w:hint="eastAsia"/>
          <w:color w:val="000000"/>
          <w:sz w:val="32"/>
          <w:szCs w:val="32"/>
          <w:lang w:val="en-US" w:eastAsia="zh-CN"/>
        </w:rPr>
        <w:t>2022年度总</w:t>
      </w:r>
      <w:r>
        <w:rPr>
          <w:rFonts w:ascii="仿宋" w:eastAsia="仿宋" w:hint="eastAsia"/>
          <w:color w:val="000000"/>
          <w:sz w:val="32"/>
          <w:szCs w:val="32"/>
        </w:rPr>
        <w:t>收入</w:t>
      </w:r>
      <w:r>
        <w:rPr>
          <w:rFonts w:ascii="仿宋" w:eastAsia="仿宋" w:hint="eastAsia"/>
          <w:color w:val="000000"/>
          <w:sz w:val="32"/>
          <w:szCs w:val="32"/>
          <w:lang w:val="en-US" w:eastAsia="zh-CN"/>
        </w:rPr>
        <w:t>205.25</w:t>
      </w:r>
      <w:r>
        <w:rPr>
          <w:rFonts w:ascii="仿宋" w:eastAsia="仿宋" w:hint="eastAsia"/>
          <w:color w:val="000000"/>
          <w:sz w:val="32"/>
          <w:szCs w:val="32"/>
        </w:rPr>
        <w:t>万元，</w:t>
      </w:r>
      <w:r>
        <w:rPr>
          <w:rFonts w:ascii="仿宋" w:eastAsia="仿宋" w:hint="eastAsia"/>
          <w:color w:val="000000"/>
          <w:sz w:val="32"/>
          <w:szCs w:val="32"/>
          <w:lang w:val="en-US" w:eastAsia="zh-CN"/>
        </w:rPr>
        <w:t>其中：一般公共预算财政拨款收入为205.25万元，占比100.00%；政府性基金预算财政拨款收入为0.00万元，占比0.00%；国有资本经营预算财政拨款收入为0.00万元，占比0.00%；上级补助收入为0.00万元，比0.00%；事业收入为0.00万元，占比0.00%；经营收入为0.00万元，占比0.00%；附属单位上缴收入为0.00万元，占比0.00%；其他收入为0.00万元，占比0.00%。</w:t>
      </w:r>
    </w:p>
    <w:p>
      <w:pPr>
        <w:pStyle w:val="27"/>
        <w:keepNext w:val="0"/>
        <w:keepLines w:val="0"/>
        <w:widowControl/>
        <w:suppressLineNumbers w:val="0"/>
        <w:spacing w:before="0" w:beforeAutospacing="0"/>
        <w:ind w:left="0" w:firstLineChars="200" w:firstLine="640"/>
        <w:jc w:val="left"/>
        <w:rPr>
          <w:rFonts w:ascii="仿宋" w:eastAsia="仿宋" w:hint="eastAsia"/>
          <w:color w:val="000000"/>
          <w:sz w:val="32"/>
          <w:szCs w:val="32"/>
          <w:lang w:val="en-US" w:eastAsia="zh-CN"/>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2022年度总</w:t>
      </w:r>
      <w:r>
        <w:rPr>
          <w:rFonts w:ascii="仿宋" w:eastAsia="仿宋" w:hint="eastAsia"/>
          <w:color w:val="000000"/>
          <w:sz w:val="32"/>
          <w:szCs w:val="32"/>
        </w:rPr>
        <w:t>收入</w:t>
      </w:r>
      <w:r>
        <w:rPr>
          <w:rFonts w:ascii="仿宋" w:eastAsia="仿宋" w:hint="eastAsia"/>
          <w:color w:val="000000"/>
          <w:sz w:val="32"/>
          <w:szCs w:val="32"/>
          <w:lang w:val="en-US" w:eastAsia="zh-CN"/>
        </w:rPr>
        <w:t>115.57</w:t>
      </w:r>
      <w:r>
        <w:rPr>
          <w:rFonts w:ascii="仿宋" w:eastAsia="仿宋" w:hint="eastAsia"/>
          <w:color w:val="000000"/>
          <w:sz w:val="32"/>
          <w:szCs w:val="32"/>
        </w:rPr>
        <w:t>万元，</w:t>
      </w:r>
      <w:r>
        <w:rPr>
          <w:rFonts w:ascii="仿宋" w:eastAsia="仿宋" w:hint="eastAsia"/>
          <w:color w:val="000000"/>
          <w:sz w:val="32"/>
          <w:szCs w:val="32"/>
          <w:lang w:val="en-US" w:eastAsia="zh-CN"/>
        </w:rPr>
        <w:t>其中：一般公共预算财政拨款收入为115.57万元，占比100.00%；政府性基金预算财政拨款收入为0.00万元，占比0.00%；国有资本经营预算财政拨款收入为0.00)万元，占比0.00%；上级补助收入为0.00万元，比0.00%；事业收入为0.00万元，占比0.00%；经营收入为0.00万元，占比0.00%；附属单位上缴收入为0.00万元，占比0.00%；其他收入为0.00万元，占比0.00%。</w:t>
      </w:r>
    </w:p>
    <w:p>
      <w:pPr>
        <w:spacing w:line="600" w:lineRule="exact"/>
        <w:ind w:firstLineChars="200" w:firstLine="640"/>
        <w:outlineLvl w:val="1"/>
        <w:rPr>
          <w:rStyle w:val="2Char"/>
          <w:rFonts w:ascii="黑体" w:eastAsia="黑体"/>
          <w:b w:val="0"/>
        </w:rPr>
      </w:pPr>
      <w:bookmarkStart w:id="27" w:name="_Toc15396605"/>
      <w:bookmarkStart w:id="28" w:name="_Toc15377207"/>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7"/>
      <w:bookmarkEnd w:id="28"/>
    </w:p>
    <w:p>
      <w:pPr>
        <w:spacing w:line="600" w:lineRule="exact"/>
        <w:ind w:firstLine="640"/>
        <w:rPr>
          <w:rFonts w:ascii="仿宋" w:eastAsia="仿宋" w:hint="eastAsia"/>
          <w:color w:val="000000"/>
          <w:sz w:val="32"/>
          <w:szCs w:val="32"/>
        </w:rPr>
      </w:pPr>
      <w:r>
        <w:rPr>
          <w:rFonts w:ascii="仿宋_GB2312" w:eastAsia="仿宋_GB2312" w:hint="eastAsia"/>
          <w:color w:val="FF0000"/>
          <w:sz w:val="32"/>
          <w:szCs w:val="32"/>
          <w:lang w:eastAsia="zh-CN"/>
        </w:rPr>
        <w:drawing>
          <wp:anchor distT="0" distB="0" distL="114300" distR="114300" simplePos="0" relativeHeight="38" behindDoc="0" locked="0" layoutInCell="1" hidden="0" allowOverlap="1">
            <wp:simplePos x="0" y="0"/>
            <wp:positionH relativeFrom="column">
              <wp:posOffset>188595</wp:posOffset>
            </wp:positionH>
            <wp:positionV relativeFrom="paragraph">
              <wp:posOffset>799465</wp:posOffset>
            </wp:positionV>
            <wp:extent cx="5206365" cy="3180079"/>
            <wp:effectExtent l="0" t="0" r="0" b="0"/>
            <wp:wrapTopAndBottom/>
            <wp:docPr id="5" name="图表 6"/>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 w:eastAsia="仿宋" w:hint="eastAsia"/>
          <w:color w:val="000000"/>
          <w:sz w:val="32"/>
          <w:szCs w:val="32"/>
          <w:lang w:eastAsia="zh-CN"/>
        </w:rPr>
        <w:t>度</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_GB2312" w:eastAsia="仿宋_GB2312" w:hint="eastAsia"/>
          <w:color w:val="auto"/>
          <w:spacing w:val="-2"/>
          <w:kern w:val="2"/>
          <w:sz w:val="32"/>
          <w:szCs w:val="32"/>
          <w:lang w:val="en-US" w:eastAsia="zh-CN" w:bidi="ar-SA"/>
        </w:rPr>
        <w:t>2059.87</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575.33</w:t>
      </w:r>
      <w:r>
        <w:rPr>
          <w:rFonts w:ascii="仿宋" w:eastAsia="仿宋" w:hint="eastAsia"/>
          <w:color w:val="000000"/>
          <w:sz w:val="32"/>
          <w:szCs w:val="32"/>
        </w:rPr>
        <w:t>万元，占</w:t>
      </w:r>
      <w:r>
        <w:rPr>
          <w:rFonts w:ascii="仿宋" w:eastAsia="仿宋" w:hint="eastAsia"/>
          <w:color w:val="000000"/>
          <w:sz w:val="32"/>
          <w:szCs w:val="32"/>
          <w:lang w:val="en-US" w:eastAsia="zh-CN"/>
        </w:rPr>
        <w:t>27.93</w:t>
      </w:r>
      <w:r>
        <w:rPr>
          <w:rFonts w:ascii="仿宋" w:eastAsia="仿宋" w:hint="eastAsia"/>
          <w:color w:val="000000"/>
          <w:sz w:val="32"/>
          <w:szCs w:val="32"/>
        </w:rPr>
        <w:t>%；项目支出</w:t>
      </w:r>
      <w:r>
        <w:rPr>
          <w:rFonts w:ascii="仿宋" w:eastAsia="仿宋" w:hint="eastAsia"/>
          <w:color w:val="000000"/>
          <w:sz w:val="32"/>
          <w:szCs w:val="32"/>
          <w:lang w:val="en-US" w:eastAsia="zh-CN"/>
        </w:rPr>
        <w:t>1484.53</w:t>
      </w:r>
      <w:r>
        <w:rPr>
          <w:rFonts w:ascii="仿宋" w:eastAsia="仿宋" w:hint="eastAsia"/>
          <w:color w:val="000000"/>
          <w:sz w:val="32"/>
          <w:szCs w:val="32"/>
        </w:rPr>
        <w:t>万元，占</w:t>
      </w:r>
      <w:r>
        <w:rPr>
          <w:rFonts w:ascii="仿宋" w:eastAsia="仿宋" w:hint="eastAsia"/>
          <w:color w:val="000000"/>
          <w:sz w:val="32"/>
          <w:szCs w:val="32"/>
          <w:lang w:val="en-US" w:eastAsia="zh-CN"/>
        </w:rPr>
        <w:t>72.07</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val="en-US" w:eastAsia="zh-CN"/>
        </w:rPr>
        <w:t>1、金川县应急管理局本级2022</w:t>
      </w:r>
      <w:r>
        <w:rPr>
          <w:rFonts w:ascii="仿宋" w:eastAsia="仿宋" w:hint="eastAsia"/>
          <w:color w:val="000000"/>
          <w:sz w:val="32"/>
          <w:szCs w:val="32"/>
        </w:rPr>
        <w:t>年</w:t>
      </w:r>
      <w:r>
        <w:rPr>
          <w:rFonts w:ascii="仿宋" w:eastAsia="仿宋" w:hint="eastAsia"/>
          <w:color w:val="000000"/>
          <w:sz w:val="32"/>
          <w:szCs w:val="32"/>
          <w:lang w:eastAsia="zh-CN"/>
        </w:rPr>
        <w:t>度</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_GB2312" w:eastAsia="仿宋_GB2312" w:hint="eastAsia"/>
          <w:color w:val="auto"/>
          <w:spacing w:val="-2"/>
          <w:kern w:val="2"/>
          <w:sz w:val="32"/>
          <w:szCs w:val="32"/>
          <w:lang w:val="en-US" w:eastAsia="zh-CN" w:bidi="ar-SA"/>
        </w:rPr>
        <w:t>1739.04</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255.59</w:t>
      </w:r>
      <w:r>
        <w:rPr>
          <w:rFonts w:ascii="仿宋" w:eastAsia="仿宋" w:hint="eastAsia"/>
          <w:color w:val="000000"/>
          <w:sz w:val="32"/>
          <w:szCs w:val="32"/>
        </w:rPr>
        <w:t>万元，占</w:t>
      </w:r>
      <w:r>
        <w:rPr>
          <w:rFonts w:ascii="仿宋" w:eastAsia="仿宋" w:hint="eastAsia"/>
          <w:color w:val="000000"/>
          <w:sz w:val="32"/>
          <w:szCs w:val="32"/>
          <w:lang w:val="en-US" w:eastAsia="zh-CN"/>
        </w:rPr>
        <w:t>14.70</w:t>
      </w:r>
      <w:r>
        <w:rPr>
          <w:rFonts w:ascii="仿宋" w:eastAsia="仿宋" w:hint="eastAsia"/>
          <w:color w:val="000000"/>
          <w:sz w:val="32"/>
          <w:szCs w:val="32"/>
        </w:rPr>
        <w:t>%；项目支出</w:t>
      </w:r>
      <w:r>
        <w:rPr>
          <w:rFonts w:ascii="仿宋" w:eastAsia="仿宋" w:hint="eastAsia"/>
          <w:color w:val="000000"/>
          <w:sz w:val="32"/>
          <w:szCs w:val="32"/>
          <w:lang w:val="en-US" w:eastAsia="zh-CN"/>
        </w:rPr>
        <w:t>1483.45</w:t>
      </w:r>
      <w:r>
        <w:rPr>
          <w:rFonts w:ascii="仿宋" w:eastAsia="仿宋" w:hint="eastAsia"/>
          <w:color w:val="000000"/>
          <w:sz w:val="32"/>
          <w:szCs w:val="32"/>
        </w:rPr>
        <w:t>万元，占</w:t>
      </w:r>
      <w:r>
        <w:rPr>
          <w:rFonts w:ascii="仿宋" w:eastAsia="仿宋" w:hint="eastAsia"/>
          <w:color w:val="000000"/>
          <w:sz w:val="32"/>
          <w:szCs w:val="32"/>
          <w:lang w:val="en-US" w:eastAsia="zh-CN"/>
        </w:rPr>
        <w:t>85.30</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hint="eastAsia"/>
          <w:lang w:val="en-US" w:eastAsia="zh-CN"/>
        </w:rPr>
      </w:pPr>
      <w:r>
        <w:rPr>
          <w:rFonts w:ascii="仿宋" w:eastAsia="仿宋" w:hint="eastAsia"/>
          <w:color w:val="000000"/>
          <w:sz w:val="32"/>
          <w:szCs w:val="32"/>
          <w:lang w:val="en-US" w:eastAsia="zh-CN"/>
        </w:rPr>
        <w:drawing>
          <wp:anchor distT="0" distB="0" distL="114300" distR="114300" simplePos="0" relativeHeight="60" behindDoc="0" locked="0" layoutInCell="1" hidden="0" allowOverlap="1">
            <wp:simplePos x="0" y="0"/>
            <wp:positionH relativeFrom="column">
              <wp:posOffset>194310</wp:posOffset>
            </wp:positionH>
            <wp:positionV relativeFrom="paragraph">
              <wp:posOffset>5071745</wp:posOffset>
            </wp:positionV>
            <wp:extent cx="5100320" cy="3519170"/>
            <wp:effectExtent l="0" t="0" r="0" b="0"/>
            <wp:wrapTopAndBottom/>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color w:val="000000"/>
          <w:sz w:val="32"/>
          <w:szCs w:val="32"/>
          <w:lang w:val="en-US" w:eastAsia="zh-CN"/>
        </w:rPr>
        <w:drawing>
          <wp:anchor distT="0" distB="0" distL="114300" distR="114300" simplePos="0" relativeHeight="48" behindDoc="0" locked="0" layoutInCell="1" hidden="0" allowOverlap="1">
            <wp:simplePos x="0" y="0"/>
            <wp:positionH relativeFrom="column">
              <wp:posOffset>142875</wp:posOffset>
            </wp:positionH>
            <wp:positionV relativeFrom="paragraph">
              <wp:posOffset>83819</wp:posOffset>
            </wp:positionV>
            <wp:extent cx="5206365" cy="3378199"/>
            <wp:effectExtent l="0" t="0" r="0" b="0"/>
            <wp:wrapTopAndBottom/>
            <wp:docPr id="7" name="图表 6"/>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 w:eastAsia="仿宋" w:hint="eastAsia"/>
          <w:color w:val="000000"/>
          <w:sz w:val="32"/>
          <w:szCs w:val="32"/>
          <w:lang w:val="en-US" w:eastAsia="zh-CN"/>
        </w:rPr>
        <w:t>2、金川县应急管理保障中心2022年度总支出205.25万元，其中：基本支出204.67万元，占99.72%；项目支出0.58万元，占0.28%；上缴上级支出0万元，占0%；经营支出0万元，占0%；对附属单位补助支出0万元，占0%。</w:t>
      </w:r>
    </w:p>
    <w:p>
      <w:pPr>
        <w:spacing w:line="600" w:lineRule="exact"/>
        <w:ind w:left="0" w:firstLineChars="200" w:firstLine="640"/>
        <w:rPr>
          <w:rStyle w:val="2Char"/>
          <w:rFonts w:ascii="黑体" w:eastAsia="黑体"/>
          <w:b w:val="0"/>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 w:eastAsia="仿宋" w:hint="eastAsia"/>
          <w:color w:val="000000"/>
          <w:sz w:val="32"/>
          <w:szCs w:val="32"/>
          <w:lang w:eastAsia="zh-CN"/>
        </w:rPr>
        <w:t>度</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_GB2312" w:eastAsia="仿宋_GB2312" w:hint="eastAsia"/>
          <w:color w:val="auto"/>
          <w:spacing w:val="-2"/>
          <w:kern w:val="2"/>
          <w:sz w:val="32"/>
          <w:szCs w:val="32"/>
          <w:lang w:val="en-US" w:eastAsia="zh-CN" w:bidi="ar-SA"/>
        </w:rPr>
        <w:t>115.57</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115.07</w:t>
      </w:r>
      <w:r>
        <w:rPr>
          <w:rFonts w:ascii="仿宋" w:eastAsia="仿宋" w:hint="eastAsia"/>
          <w:color w:val="000000"/>
          <w:sz w:val="32"/>
          <w:szCs w:val="32"/>
        </w:rPr>
        <w:t>万元，占</w:t>
      </w:r>
      <w:r>
        <w:rPr>
          <w:rFonts w:ascii="仿宋" w:eastAsia="仿宋" w:hint="eastAsia"/>
          <w:color w:val="000000"/>
          <w:sz w:val="32"/>
          <w:szCs w:val="32"/>
          <w:lang w:val="en-US" w:eastAsia="zh-CN"/>
        </w:rPr>
        <w:t>99.57</w:t>
      </w:r>
      <w:r>
        <w:rPr>
          <w:rFonts w:ascii="仿宋" w:eastAsia="仿宋" w:hint="eastAsia"/>
          <w:color w:val="000000"/>
          <w:sz w:val="32"/>
          <w:szCs w:val="32"/>
        </w:rPr>
        <w:t>%；项目支出</w:t>
      </w:r>
      <w:r>
        <w:rPr>
          <w:rFonts w:ascii="仿宋" w:eastAsia="仿宋" w:hint="eastAsia"/>
          <w:color w:val="000000"/>
          <w:sz w:val="32"/>
          <w:szCs w:val="32"/>
          <w:lang w:val="en-US" w:eastAsia="zh-CN"/>
        </w:rPr>
        <w:t>0.50</w:t>
      </w:r>
      <w:r>
        <w:rPr>
          <w:rFonts w:ascii="仿宋" w:eastAsia="仿宋" w:hint="eastAsia"/>
          <w:color w:val="000000"/>
          <w:sz w:val="32"/>
          <w:szCs w:val="32"/>
        </w:rPr>
        <w:t>万元，占</w:t>
      </w:r>
      <w:r>
        <w:rPr>
          <w:rFonts w:ascii="仿宋" w:eastAsia="仿宋" w:hint="eastAsia"/>
          <w:color w:val="000000"/>
          <w:sz w:val="32"/>
          <w:szCs w:val="32"/>
          <w:lang w:val="en-US" w:eastAsia="zh-CN"/>
        </w:rPr>
        <w:t>0.43</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left="630"/>
        <w:rPr>
          <w:rStyle w:val="2Char"/>
          <w:rFonts w:ascii="黑体" w:eastAsia="黑体"/>
          <w:b w:val="0"/>
        </w:rPr>
      </w:pPr>
      <w:r>
        <w:rPr>
          <w:rFonts w:ascii="仿宋_GB2312" w:eastAsia="仿宋_GB2312" w:hint="eastAsia"/>
          <w:color w:val="FF0000"/>
          <w:sz w:val="32"/>
          <w:szCs w:val="32"/>
          <w:lang w:eastAsia="zh-CN"/>
        </w:rPr>
        <w:drawing>
          <wp:anchor distT="0" distB="0" distL="114300" distR="114300" simplePos="0" relativeHeight="50" behindDoc="0" locked="0" layoutInCell="1" hidden="0" allowOverlap="1">
            <wp:simplePos x="0" y="0"/>
            <wp:positionH relativeFrom="column">
              <wp:posOffset>290830</wp:posOffset>
            </wp:positionH>
            <wp:positionV relativeFrom="paragraph">
              <wp:posOffset>110490</wp:posOffset>
            </wp:positionV>
            <wp:extent cx="5100320" cy="3576954"/>
            <wp:effectExtent l="0" t="0" r="0" b="0"/>
            <wp:wrapTopAndBottom/>
            <wp:docPr id="8" name="图表 6"/>
            <wp:cNvGraphicFramePr>
              <a:graphicFrameLocks noChangeAspect="0"/>
            </wp:cNvGraphicFramePr>
            <a:graphic>
              <a:graphicData uri="http://schemas.openxmlformats.org/drawingml/2006/chart">
                <c:chart xmlns:c="http://schemas.openxmlformats.org/drawingml/2006/chart" r:id="rId11"/>
              </a:graphicData>
            </a:graphic>
          </wp:anchor>
        </w:drawing>
      </w:r>
      <w:bookmarkStart w:id="29" w:name="_Toc15396606"/>
      <w:bookmarkStart w:id="30"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9"/>
      <w:bookmarkEnd w:id="30"/>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hint="eastAsia"/>
          <w:color w:val="000000"/>
          <w:sz w:val="32"/>
          <w:szCs w:val="32"/>
          <w:lang w:val="en-US" w:eastAsia="zh-CN"/>
        </w:rPr>
        <w:t>1、2022年度财政拨款收入总决算数为2059.87万元。与2021年相比，一般公共预算财政拨款收入较上年增加</w:t>
      </w:r>
      <w:r>
        <w:rPr>
          <w:rFonts w:ascii="仿宋_GB2312" w:eastAsia="仿宋_GB2312" w:hint="eastAsia"/>
          <w:color w:val="000000"/>
          <w:spacing w:val="-2"/>
          <w:kern w:val="2"/>
          <w:sz w:val="32"/>
          <w:szCs w:val="32"/>
          <w:lang w:val="en-US" w:eastAsia="zh-CN" w:bidi="ar-SA"/>
        </w:rPr>
        <w:t>1076.59</w:t>
      </w:r>
      <w:r>
        <w:rPr>
          <w:rFonts w:ascii="仿宋" w:eastAsia="仿宋" w:hint="eastAsia"/>
          <w:color w:val="000000"/>
          <w:sz w:val="32"/>
          <w:szCs w:val="32"/>
          <w:lang w:val="en-US" w:eastAsia="zh-CN"/>
        </w:rPr>
        <w:t>万元，增加109.49%。</w:t>
      </w:r>
      <w:r>
        <w:rPr>
          <w:rFonts w:ascii="仿宋_GB2312" w:eastAsia="仿宋_GB2312" w:hint="eastAsia"/>
          <w:color w:val="000000"/>
          <w:spacing w:val="-2"/>
          <w:kern w:val="2"/>
          <w:sz w:val="32"/>
          <w:szCs w:val="32"/>
          <w:lang w:val="en-US" w:eastAsia="zh-CN" w:bidi="ar-SA"/>
        </w:rPr>
        <w:t>增加的主要原因是2022年本年项目及基本收入增加。</w:t>
      </w:r>
    </w:p>
    <w:p>
      <w:pPr>
        <w:numPr>
          <w:ilvl w:val="0"/>
          <w:numId w:val="3"/>
        </w:numPr>
        <w:snapToGrid w:val="0"/>
        <w:spacing w:line="520" w:lineRule="exact"/>
        <w:ind w:left="0"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金川县应急管理局本级</w:t>
      </w:r>
      <w:r>
        <w:rPr>
          <w:rFonts w:ascii="仿宋" w:eastAsia="仿宋" w:hint="eastAsia"/>
          <w:color w:val="000000"/>
          <w:sz w:val="32"/>
          <w:szCs w:val="32"/>
          <w:lang w:val="en-US" w:eastAsia="zh-CN"/>
        </w:rPr>
        <w:t>财政拨款收入决算数为</w:t>
      </w:r>
      <w:r>
        <w:rPr>
          <w:rFonts w:ascii="仿宋_GB2312" w:eastAsia="仿宋_GB2312" w:hint="eastAsia"/>
          <w:color w:val="000000"/>
          <w:spacing w:val="-2"/>
          <w:kern w:val="2"/>
          <w:sz w:val="32"/>
          <w:szCs w:val="32"/>
          <w:lang w:val="en-US" w:eastAsia="zh-CN" w:bidi="ar-SA"/>
        </w:rPr>
        <w:t>1739.04万元，占本部门</w:t>
      </w:r>
      <w:r>
        <w:rPr>
          <w:rFonts w:ascii="仿宋" w:eastAsia="仿宋" w:hint="eastAsia"/>
          <w:color w:val="000000"/>
          <w:sz w:val="32"/>
          <w:szCs w:val="32"/>
          <w:lang w:val="en-US" w:eastAsia="zh-CN"/>
        </w:rPr>
        <w:t>财政拨款收入总决算数</w:t>
      </w:r>
      <w:r>
        <w:rPr>
          <w:rFonts w:ascii="仿宋_GB2312" w:eastAsia="仿宋_GB2312" w:hint="eastAsia"/>
          <w:color w:val="000000"/>
          <w:spacing w:val="-2"/>
          <w:kern w:val="2"/>
          <w:sz w:val="32"/>
          <w:szCs w:val="32"/>
          <w:lang w:val="en-US" w:eastAsia="zh-CN" w:bidi="ar-SA"/>
        </w:rPr>
        <w:t>的84.42%，</w:t>
      </w:r>
      <w:r>
        <w:rPr>
          <w:rFonts w:ascii="仿宋" w:eastAsia="仿宋" w:hint="eastAsia"/>
          <w:color w:val="000000"/>
          <w:sz w:val="32"/>
          <w:szCs w:val="32"/>
          <w:lang w:val="en-US" w:eastAsia="zh-CN"/>
        </w:rPr>
        <w:t>与2021年相比，一般公共预算财政拨款收入较上年</w:t>
      </w:r>
      <w:r>
        <w:rPr>
          <w:rFonts w:ascii="仿宋_GB2312" w:eastAsia="仿宋_GB2312" w:hint="eastAsia"/>
          <w:color w:val="000000"/>
          <w:spacing w:val="-2"/>
          <w:kern w:val="2"/>
          <w:sz w:val="32"/>
          <w:szCs w:val="32"/>
          <w:lang w:val="en-US" w:eastAsia="zh-CN" w:bidi="ar-SA"/>
        </w:rPr>
        <w:t>增加755.77万元，增加76.86%。增加的主要原因是本年项目收入增加。</w:t>
      </w:r>
    </w:p>
    <w:p>
      <w:pPr>
        <w:snapToGrid w:val="0"/>
        <w:spacing w:line="520" w:lineRule="exact"/>
        <w:rPr>
          <w:rFonts w:ascii="仿宋_GB2312" w:eastAsia="仿宋_GB2312" w:cs="仿宋_GB2312" w:hint="eastAsia"/>
          <w:b w:val="0"/>
          <w:bCs w:val="0"/>
          <w:color w:val="auto"/>
          <w:kern w:val="2"/>
          <w:sz w:val="32"/>
          <w:szCs w:val="32"/>
          <w:lang w:val="en-US" w:eastAsia="zh-CN" w:bidi="ar-SA"/>
        </w:rPr>
      </w:pPr>
    </w:p>
    <w:p>
      <w:pPr>
        <w:pStyle w:val="24"/>
        <w:rPr>
          <w:rFonts w:ascii="仿宋_GB2312" w:eastAsia="仿宋_GB2312" w:cs="仿宋_GB2312" w:hint="eastAsia"/>
          <w:b w:val="0"/>
          <w:bCs w:val="0"/>
          <w:color w:val="auto"/>
          <w:kern w:val="2"/>
          <w:sz w:val="32"/>
          <w:szCs w:val="32"/>
          <w:lang w:val="en-US" w:eastAsia="zh-CN" w:bidi="ar-SA"/>
        </w:rPr>
      </w:pPr>
      <w:r>
        <w:rPr>
          <w:rFonts w:hint="eastAsia"/>
          <w:lang w:val="en-US" w:eastAsia="zh-CN"/>
        </w:rPr>
        <w:drawing>
          <wp:inline distT="0" distB="0" distL="114300" distR="114300">
            <wp:extent cx="5079999" cy="3848100"/>
            <wp:effectExtent l="0" t="0" r="0" b="0"/>
            <wp:docPr id="9" name="图表 18"/>
            <wp:cNvGraphicFramePr>
              <a:graphicFrameLocks noChangeAspect="0"/>
            </wp:cNvGraphicFramePr>
            <a:graphic>
              <a:graphicData uri="http://schemas.openxmlformats.org/drawingml/2006/chart">
                <c:chart xmlns:c="http://schemas.openxmlformats.org/drawingml/2006/chart" r:id="rId12"/>
              </a:graphicData>
            </a:graphic>
          </wp:inline>
        </w:drawing>
      </w:r>
    </w:p>
    <w:p>
      <w:pPr>
        <w:snapToGrid w:val="0"/>
        <w:spacing w:line="520" w:lineRule="exact"/>
        <w:ind w:firstLineChars="200" w:firstLine="640"/>
        <w:rPr>
          <w:rFonts w:ascii="仿宋_GB2312" w:eastAsia="仿宋_GB2312" w:cs="仿宋_GB2312" w:hint="eastAsia"/>
          <w:b w:val="0"/>
          <w:bCs w:val="0"/>
          <w:color w:val="auto"/>
          <w:kern w:val="2"/>
          <w:sz w:val="32"/>
          <w:szCs w:val="32"/>
          <w:lang w:val="en-US" w:eastAsia="zh-CN" w:bidi="ar-SA"/>
        </w:rPr>
      </w:pPr>
      <w:r>
        <w:rPr>
          <w:rFonts w:ascii="仿宋_GB2312" w:eastAsia="仿宋_GB2312" w:cs="仿宋_GB2312" w:hint="eastAsia"/>
          <w:b w:val="0"/>
          <w:bCs w:val="0"/>
          <w:color w:val="auto"/>
          <w:kern w:val="2"/>
          <w:sz w:val="32"/>
          <w:szCs w:val="32"/>
          <w:lang w:val="en-US" w:eastAsia="zh-CN" w:bidi="ar-SA"/>
        </w:rPr>
        <w:t>（2）金川县应急管理保障中心</w:t>
      </w:r>
      <w:r>
        <w:rPr>
          <w:rFonts w:ascii="仿宋" w:eastAsia="仿宋" w:hint="eastAsia"/>
          <w:color w:val="000000"/>
          <w:sz w:val="32"/>
          <w:szCs w:val="32"/>
          <w:lang w:val="en-US" w:eastAsia="zh-CN"/>
        </w:rPr>
        <w:t>财政拨款收入决算数为</w:t>
      </w:r>
      <w:r>
        <w:rPr>
          <w:rFonts w:ascii="仿宋_GB2312" w:eastAsia="仿宋_GB2312" w:hint="eastAsia"/>
          <w:color w:val="000000"/>
          <w:spacing w:val="-2"/>
          <w:kern w:val="2"/>
          <w:sz w:val="32"/>
          <w:szCs w:val="32"/>
          <w:lang w:val="en-US" w:eastAsia="zh-CN" w:bidi="ar-SA"/>
        </w:rPr>
        <w:t>205.25万元，占本部门</w:t>
      </w:r>
      <w:r>
        <w:rPr>
          <w:rFonts w:ascii="仿宋" w:eastAsia="仿宋" w:hint="eastAsia"/>
          <w:color w:val="000000"/>
          <w:sz w:val="32"/>
          <w:szCs w:val="32"/>
          <w:lang w:val="en-US" w:eastAsia="zh-CN"/>
        </w:rPr>
        <w:t>财政拨款收入总决算数</w:t>
      </w:r>
      <w:r>
        <w:rPr>
          <w:rFonts w:ascii="仿宋_GB2312" w:eastAsia="仿宋_GB2312" w:hint="eastAsia"/>
          <w:color w:val="000000"/>
          <w:spacing w:val="-2"/>
          <w:kern w:val="2"/>
          <w:sz w:val="32"/>
          <w:szCs w:val="32"/>
          <w:lang w:val="en-US" w:eastAsia="zh-CN" w:bidi="ar-SA"/>
        </w:rPr>
        <w:t>的9.96%。</w:t>
      </w:r>
    </w:p>
    <w:p>
      <w:pPr>
        <w:ind w:left="0" w:firstLineChars="200" w:firstLine="640"/>
        <w:rPr>
          <w:rFonts w:hint="eastAsia"/>
          <w:lang w:val="en-US" w:eastAsia="zh-CN"/>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财政拨款收入决算数为</w:t>
      </w:r>
      <w:r>
        <w:rPr>
          <w:rFonts w:ascii="仿宋_GB2312" w:eastAsia="仿宋_GB2312" w:hint="eastAsia"/>
          <w:color w:val="000000"/>
          <w:spacing w:val="-2"/>
          <w:kern w:val="2"/>
          <w:sz w:val="32"/>
          <w:szCs w:val="32"/>
          <w:lang w:val="en-US" w:eastAsia="zh-CN" w:bidi="ar-SA"/>
        </w:rPr>
        <w:t>115.57万元，占本部门</w:t>
      </w:r>
      <w:r>
        <w:rPr>
          <w:rFonts w:ascii="仿宋" w:eastAsia="仿宋" w:hint="eastAsia"/>
          <w:color w:val="000000"/>
          <w:sz w:val="32"/>
          <w:szCs w:val="32"/>
          <w:lang w:val="en-US" w:eastAsia="zh-CN"/>
        </w:rPr>
        <w:t>财政拨款收入总决算数</w:t>
      </w:r>
      <w:r>
        <w:rPr>
          <w:rFonts w:ascii="仿宋_GB2312" w:eastAsia="仿宋_GB2312" w:hint="eastAsia"/>
          <w:color w:val="000000"/>
          <w:spacing w:val="-2"/>
          <w:kern w:val="2"/>
          <w:sz w:val="32"/>
          <w:szCs w:val="32"/>
          <w:lang w:val="en-US" w:eastAsia="zh-CN" w:bidi="ar-SA"/>
        </w:rPr>
        <w:t>的5.61%。</w:t>
      </w:r>
    </w:p>
    <w:p>
      <w:pPr>
        <w:snapToGrid w:val="0"/>
        <w:spacing w:line="520" w:lineRule="exact"/>
        <w:ind w:firstLineChars="200" w:firstLine="640"/>
        <w:rPr>
          <w:rFonts w:ascii="仿宋" w:eastAsia="仿宋"/>
          <w:color w:val="FF0000"/>
          <w:sz w:val="32"/>
          <w:szCs w:val="32"/>
          <w:lang w:val="en-US" w:eastAsia="zh-CN"/>
        </w:rPr>
      </w:pPr>
      <w:r>
        <w:rPr>
          <w:rFonts w:ascii="仿宋" w:eastAsia="仿宋" w:hint="eastAsia"/>
          <w:color w:val="000000"/>
          <w:sz w:val="32"/>
          <w:szCs w:val="32"/>
          <w:lang w:val="en-US" w:eastAsia="zh-CN"/>
        </w:rPr>
        <w:t>2、2022年财政拨款支出决算数为2059.87万元，</w:t>
      </w:r>
      <w:r>
        <w:rPr>
          <w:rFonts w:ascii="仿宋_GB2312" w:eastAsia="仿宋_GB2312" w:hint="eastAsia"/>
          <w:color w:val="auto"/>
          <w:spacing w:val="-2"/>
          <w:kern w:val="2"/>
          <w:sz w:val="32"/>
          <w:szCs w:val="32"/>
          <w:lang w:val="en-US" w:eastAsia="zh-CN" w:bidi="ar-SA"/>
        </w:rPr>
        <w:t>较上年支出增加426.83万元，增加26.14%。主要原因是项目支出及基支出增加。</w:t>
      </w:r>
    </w:p>
    <w:p>
      <w:pPr>
        <w:numPr>
          <w:ilvl w:val="0"/>
          <w:numId w:val="4"/>
        </w:numPr>
        <w:snapToGrid w:val="0"/>
        <w:spacing w:line="520" w:lineRule="exact"/>
        <w:ind w:left="0" w:firstLineChars="200" w:firstLine="632"/>
        <w:rPr>
          <w:rFonts w:ascii="仿宋_GB2312" w:eastAsia="仿宋_GB2312" w:hint="eastAsia"/>
          <w:color w:val="000000"/>
          <w:spacing w:val="-2"/>
          <w:kern w:val="2"/>
          <w:sz w:val="32"/>
          <w:szCs w:val="32"/>
          <w:lang w:val="en-US" w:eastAsia="zh-CN" w:bidi="ar-SA"/>
        </w:rPr>
      </w:pPr>
      <w:bookmarkStart w:id="31" w:name="_Toc15396607"/>
      <w:bookmarkStart w:id="32" w:name="_Toc15377209"/>
      <w:r>
        <w:rPr>
          <w:rFonts w:ascii="仿宋_GB2312" w:eastAsia="仿宋_GB2312" w:hint="eastAsia"/>
          <w:color w:val="000000"/>
          <w:spacing w:val="-2"/>
          <w:kern w:val="2"/>
          <w:sz w:val="32"/>
          <w:szCs w:val="32"/>
          <w:lang w:val="en-US" w:eastAsia="zh-CN" w:bidi="ar-SA"/>
        </w:rPr>
        <w:t>金川县应急管理局本级</w:t>
      </w:r>
      <w:r>
        <w:rPr>
          <w:rFonts w:ascii="仿宋" w:eastAsia="仿宋" w:hint="eastAsia"/>
          <w:color w:val="000000"/>
          <w:sz w:val="32"/>
          <w:szCs w:val="32"/>
          <w:lang w:val="en-US" w:eastAsia="zh-CN"/>
        </w:rPr>
        <w:t>2022年财政拨款支出决算数为</w:t>
      </w:r>
      <w:r>
        <w:rPr>
          <w:rFonts w:ascii="仿宋_GB2312" w:eastAsia="仿宋_GB2312" w:hint="eastAsia"/>
          <w:color w:val="000000"/>
          <w:spacing w:val="-2"/>
          <w:kern w:val="2"/>
          <w:sz w:val="32"/>
          <w:szCs w:val="32"/>
          <w:lang w:val="en-US" w:eastAsia="zh-CN" w:bidi="ar-SA"/>
        </w:rPr>
        <w:t>1739.04万元，占本部门</w:t>
      </w:r>
      <w:r>
        <w:rPr>
          <w:rFonts w:ascii="仿宋" w:eastAsia="仿宋" w:hint="eastAsia"/>
          <w:color w:val="000000"/>
          <w:sz w:val="32"/>
          <w:szCs w:val="32"/>
          <w:lang w:val="en-US" w:eastAsia="zh-CN"/>
        </w:rPr>
        <w:t>财政拨款支出总决算数</w:t>
      </w:r>
      <w:r>
        <w:rPr>
          <w:rFonts w:ascii="仿宋_GB2312" w:eastAsia="仿宋_GB2312" w:hint="eastAsia"/>
          <w:color w:val="000000"/>
          <w:spacing w:val="-2"/>
          <w:kern w:val="2"/>
          <w:sz w:val="32"/>
          <w:szCs w:val="32"/>
          <w:lang w:val="en-US" w:eastAsia="zh-CN" w:bidi="ar-SA"/>
        </w:rPr>
        <w:t xml:space="preserve">的84.42%，较上年支出增加106万元，增加6.49%。增加的主要原因是本年项目支出增加。                   </w:t>
      </w:r>
    </w:p>
    <w:p>
      <w:pPr>
        <w:snapToGrid w:val="0"/>
        <w:spacing w:line="520" w:lineRule="exact"/>
        <w:ind w:left="0"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（2）金川县应急管理保障中心</w:t>
      </w:r>
      <w:r>
        <w:rPr>
          <w:rFonts w:ascii="仿宋" w:eastAsia="仿宋" w:hint="eastAsia"/>
          <w:color w:val="000000"/>
          <w:sz w:val="32"/>
          <w:szCs w:val="32"/>
          <w:lang w:val="en-US" w:eastAsia="zh-CN"/>
        </w:rPr>
        <w:t>2022年财政拨款支出决算数为</w:t>
      </w:r>
      <w:r>
        <w:rPr>
          <w:rFonts w:ascii="仿宋_GB2312" w:eastAsia="仿宋_GB2312" w:hint="eastAsia"/>
          <w:color w:val="000000"/>
          <w:spacing w:val="-2"/>
          <w:kern w:val="2"/>
          <w:sz w:val="32"/>
          <w:szCs w:val="32"/>
          <w:lang w:val="en-US" w:eastAsia="zh-CN" w:bidi="ar-SA"/>
        </w:rPr>
        <w:t>205.25万元，占本部门</w:t>
      </w:r>
      <w:r>
        <w:rPr>
          <w:rFonts w:ascii="仿宋" w:eastAsia="仿宋" w:hint="eastAsia"/>
          <w:color w:val="000000"/>
          <w:sz w:val="32"/>
          <w:szCs w:val="32"/>
          <w:lang w:val="en-US" w:eastAsia="zh-CN"/>
        </w:rPr>
        <w:t>财政拨款支出总决算数</w:t>
      </w:r>
      <w:r>
        <w:rPr>
          <w:rFonts w:ascii="仿宋_GB2312" w:eastAsia="仿宋_GB2312" w:hint="eastAsia"/>
          <w:color w:val="000000"/>
          <w:spacing w:val="-2"/>
          <w:kern w:val="2"/>
          <w:sz w:val="32"/>
          <w:szCs w:val="32"/>
          <w:lang w:val="en-US" w:eastAsia="zh-CN" w:bidi="ar-SA"/>
        </w:rPr>
        <w:t>的9.96%。</w:t>
      </w:r>
    </w:p>
    <w:p>
      <w:pPr>
        <w:pStyle w:val="24"/>
        <w:widowControl w:val="0"/>
        <w:spacing w:before="100" w:beforeAutospacing="1" w:after="100" w:afterAutospacing="1"/>
        <w:ind w:right="0"/>
        <w:jc w:val="center"/>
        <w:rPr>
          <w:rFonts w:hint="eastAsia"/>
          <w:lang w:val="en-US" w:eastAsia="zh-CN"/>
        </w:rPr>
      </w:pPr>
      <w:r>
        <w:rPr>
          <w:rFonts w:hint="eastAsia"/>
          <w:lang w:val="en-US" w:eastAsia="zh-CN"/>
        </w:rPr>
        <w:drawing>
          <wp:inline distT="0" distB="0" distL="114300" distR="114300">
            <wp:extent cx="5079999" cy="3724909"/>
            <wp:effectExtent l="0" t="0" r="0" b="0"/>
            <wp:docPr id="10" name="图表 19"/>
            <wp:cNvGraphicFramePr>
              <a:graphicFrameLocks noChangeAspect="0"/>
            </wp:cNvGraphicFramePr>
            <a:graphic>
              <a:graphicData uri="http://schemas.openxmlformats.org/drawingml/2006/chart">
                <c:chart xmlns:c="http://schemas.openxmlformats.org/drawingml/2006/chart" r:id="rId13"/>
              </a:graphicData>
            </a:graphic>
          </wp:inline>
        </w:drawing>
      </w:r>
    </w:p>
    <w:p>
      <w:pPr>
        <w:pStyle w:val="24"/>
        <w:widowControl w:val="0"/>
        <w:spacing w:before="100" w:beforeAutospacing="1" w:after="100" w:afterAutospacing="1"/>
        <w:ind w:leftChars="0" w:left="0" w:right="0" w:firstLineChars="200" w:firstLine="640"/>
        <w:jc w:val="left"/>
        <w:rPr>
          <w:rFonts w:ascii="仿宋_GB2312" w:eastAsia="仿宋_GB2312" w:hint="eastAsia"/>
          <w:color w:val="000000"/>
          <w:spacing w:val="-2"/>
          <w:kern w:val="2"/>
          <w:sz w:val="32"/>
          <w:szCs w:val="32"/>
          <w:lang w:val="en-US" w:eastAsia="zh-CN" w:bidi="ar-SA"/>
        </w:rPr>
      </w:pPr>
      <w:r>
        <w:rPr>
          <w:rFonts w:ascii="仿宋" w:eastAsia="仿宋" w:hint="eastAsia"/>
          <w:color w:val="000000"/>
          <w:sz w:val="32"/>
          <w:szCs w:val="32"/>
        </w:rPr>
        <w:drawing>
          <wp:anchor distT="0" distB="0" distL="114300" distR="114300" simplePos="0" relativeHeight="52" behindDoc="0" locked="0" layoutInCell="1" hidden="0" allowOverlap="1">
            <wp:simplePos x="0" y="0"/>
            <wp:positionH relativeFrom="column">
              <wp:posOffset>375285</wp:posOffset>
            </wp:positionH>
            <wp:positionV relativeFrom="paragraph">
              <wp:posOffset>1377950</wp:posOffset>
            </wp:positionV>
            <wp:extent cx="4806950" cy="3222625"/>
            <wp:effectExtent l="0" t="0" r="0" b="0"/>
            <wp:wrapTopAndBottom/>
            <wp:docPr id="11" name="图表 7"/>
            <wp:cNvGraphicFramePr>
              <a:graphicFrameLocks noChangeAspect="0"/>
            </wp:cNvGraphicFramePr>
            <a:graphic>
              <a:graphicData uri="http://schemas.openxmlformats.org/drawingml/2006/chart">
                <c:chart xmlns:c="http://schemas.openxmlformats.org/drawingml/2006/chart" r:id="rId14"/>
              </a:graphicData>
            </a:graphic>
          </wp:anchor>
        </w:drawing>
      </w: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2022年财政拨款支出决算数为</w:t>
      </w:r>
      <w:r>
        <w:rPr>
          <w:rFonts w:ascii="仿宋_GB2312" w:eastAsia="仿宋_GB2312" w:hint="eastAsia"/>
          <w:color w:val="000000"/>
          <w:spacing w:val="-2"/>
          <w:kern w:val="2"/>
          <w:sz w:val="32"/>
          <w:szCs w:val="32"/>
          <w:lang w:val="en-US" w:eastAsia="zh-CN" w:bidi="ar-SA"/>
        </w:rPr>
        <w:t>115.57万元，占本部门</w:t>
      </w:r>
      <w:r>
        <w:rPr>
          <w:rFonts w:ascii="仿宋" w:eastAsia="仿宋" w:hint="eastAsia"/>
          <w:color w:val="000000"/>
          <w:sz w:val="32"/>
          <w:szCs w:val="32"/>
          <w:lang w:val="en-US" w:eastAsia="zh-CN"/>
        </w:rPr>
        <w:t>财政拨款支出总决算数</w:t>
      </w:r>
      <w:r>
        <w:rPr>
          <w:rFonts w:ascii="仿宋_GB2312" w:eastAsia="仿宋_GB2312" w:hint="eastAsia"/>
          <w:color w:val="000000"/>
          <w:spacing w:val="-2"/>
          <w:kern w:val="2"/>
          <w:sz w:val="32"/>
          <w:szCs w:val="32"/>
          <w:lang w:val="en-US" w:eastAsia="zh-CN" w:bidi="ar-SA"/>
        </w:rPr>
        <w:t>的5.61%。</w:t>
      </w: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1"/>
      <w:bookmarkEnd w:id="32"/>
    </w:p>
    <w:p>
      <w:pPr>
        <w:spacing w:line="600" w:lineRule="exact"/>
        <w:ind w:firstLineChars="200" w:firstLine="640"/>
        <w:outlineLvl w:val="2"/>
        <w:rPr>
          <w:rFonts w:ascii="仿宋" w:eastAsia="仿宋"/>
          <w:b/>
          <w:color w:val="000000"/>
          <w:sz w:val="32"/>
          <w:szCs w:val="32"/>
        </w:rPr>
      </w:pPr>
      <w:bookmarkStart w:id="33" w:name="_Toc15377210"/>
      <w:r>
        <w:rPr>
          <w:rFonts w:ascii="仿宋" w:eastAsia="仿宋" w:hint="eastAsia"/>
          <w:b/>
          <w:color w:val="000000"/>
          <w:sz w:val="32"/>
          <w:szCs w:val="32"/>
        </w:rPr>
        <w:t>（一）一般公共预算财政拨款支出决算总体情况</w:t>
      </w:r>
      <w:bookmarkEnd w:id="33"/>
    </w:p>
    <w:p>
      <w:pPr>
        <w:snapToGrid w:val="0"/>
        <w:spacing w:line="520" w:lineRule="exact"/>
        <w:ind w:firstLineChars="200" w:firstLine="640"/>
        <w:rPr>
          <w:rFonts w:ascii="仿宋_GB2312" w:eastAsia="仿宋_GB2312" w:hint="eastAsia"/>
          <w:color w:val="auto"/>
          <w:spacing w:val="-2"/>
          <w:kern w:val="2"/>
          <w:sz w:val="32"/>
          <w:szCs w:val="32"/>
          <w:lang w:val="en-US" w:eastAsia="zh-CN" w:bidi="ar-SA"/>
        </w:rPr>
      </w:pP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一般公共预算财政拨款支出2059.87万元，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w:t>
      </w:r>
      <w:r>
        <w:rPr>
          <w:rFonts w:ascii="仿宋_GB2312" w:eastAsia="仿宋_GB2312" w:hint="eastAsia"/>
          <w:color w:val="auto"/>
          <w:spacing w:val="-2"/>
          <w:kern w:val="2"/>
          <w:sz w:val="32"/>
          <w:szCs w:val="32"/>
          <w:lang w:val="en-US" w:eastAsia="zh-CN" w:bidi="ar-SA"/>
        </w:rPr>
        <w:t>增加426.83</w:t>
      </w:r>
      <w:r>
        <w:rPr>
          <w:rFonts w:ascii="仿宋_GB2312" w:eastAsia="仿宋_GB2312" w:hint="eastAsia"/>
          <w:spacing w:val="-2"/>
          <w:kern w:val="2"/>
          <w:sz w:val="32"/>
          <w:szCs w:val="32"/>
          <w:lang w:val="en-US" w:eastAsia="zh-CN" w:bidi="ar-SA"/>
        </w:rPr>
        <w:t>万元，</w:t>
      </w:r>
      <w:r>
        <w:rPr>
          <w:rFonts w:ascii="仿宋_GB2312" w:eastAsia="仿宋_GB2312" w:hint="eastAsia"/>
          <w:color w:val="auto"/>
          <w:spacing w:val="-2"/>
          <w:kern w:val="2"/>
          <w:sz w:val="32"/>
          <w:szCs w:val="32"/>
          <w:lang w:val="en-US" w:eastAsia="zh-CN" w:bidi="ar-SA"/>
        </w:rPr>
        <w:t>增加26.14%</w:t>
      </w:r>
      <w:r>
        <w:rPr>
          <w:rFonts w:ascii="仿宋_GB2312" w:eastAsia="仿宋_GB2312" w:hint="eastAsia"/>
          <w:spacing w:val="-2"/>
          <w:kern w:val="2"/>
          <w:sz w:val="32"/>
          <w:szCs w:val="32"/>
          <w:lang w:val="en-US" w:eastAsia="zh-CN" w:bidi="ar-SA"/>
        </w:rPr>
        <w:t>。</w:t>
      </w:r>
      <w:bookmarkStart w:id="34" w:name="_Toc15377211"/>
      <w:r>
        <w:rPr>
          <w:rFonts w:ascii="仿宋_GB2312" w:eastAsia="仿宋_GB2312" w:hint="eastAsia"/>
          <w:color w:val="auto"/>
          <w:spacing w:val="-2"/>
          <w:kern w:val="2"/>
          <w:sz w:val="32"/>
          <w:szCs w:val="32"/>
          <w:lang w:val="en-US" w:eastAsia="zh-CN" w:bidi="ar-SA"/>
        </w:rPr>
        <w:t>主要原因是项目支出及基本支出增加。</w:t>
      </w:r>
    </w:p>
    <w:p>
      <w:pPr>
        <w:snapToGrid w:val="0"/>
        <w:spacing w:line="520" w:lineRule="exact"/>
        <w:ind w:firstLineChars="200" w:firstLine="640"/>
        <w:rPr>
          <w:rFonts w:hint="eastAsia"/>
          <w:lang w:eastAsia="zh-CN"/>
        </w:rPr>
      </w:pPr>
      <w:r>
        <w:rPr>
          <w:rFonts w:ascii="仿宋" w:eastAsia="仿宋" w:hint="eastAsia"/>
          <w:b w:val="0"/>
          <w:bCs w:val="0"/>
          <w:color w:val="000000"/>
          <w:sz w:val="32"/>
          <w:szCs w:val="32"/>
        </w:rPr>
        <w:drawing>
          <wp:anchor distT="0" distB="0" distL="114300" distR="114300" simplePos="0" relativeHeight="40" behindDoc="0" locked="0" layoutInCell="1" hidden="0" allowOverlap="1">
            <wp:simplePos x="0" y="0"/>
            <wp:positionH relativeFrom="column">
              <wp:posOffset>290195</wp:posOffset>
            </wp:positionH>
            <wp:positionV relativeFrom="paragraph">
              <wp:posOffset>156845</wp:posOffset>
            </wp:positionV>
            <wp:extent cx="5087620" cy="3051175"/>
            <wp:effectExtent l="0" t="0" r="0" b="0"/>
            <wp:wrapTopAndBottom/>
            <wp:docPr id="12" name="图表 8"/>
            <wp:cNvGraphicFramePr>
              <a:graphicFrameLocks noChangeAspect="0"/>
            </wp:cNvGraphicFramePr>
            <a:graphic>
              <a:graphicData uri="http://schemas.openxmlformats.org/drawingml/2006/chart">
                <c:chart xmlns:c="http://schemas.openxmlformats.org/drawingml/2006/chart" r:id="rId15"/>
              </a:graphicData>
            </a:graphic>
          </wp:anchor>
        </w:drawing>
      </w:r>
      <w:r>
        <w:rPr>
          <w:rFonts w:ascii="仿宋" w:eastAsia="仿宋" w:hint="eastAsia"/>
          <w:b w:val="0"/>
          <w:bCs w:val="0"/>
          <w:color w:val="000000"/>
          <w:sz w:val="32"/>
          <w:szCs w:val="32"/>
          <w:lang w:val="en-US" w:eastAsia="zh-CN"/>
        </w:rPr>
        <w:t>1、</w:t>
      </w:r>
      <w:r>
        <w:rPr>
          <w:rFonts w:ascii="仿宋" w:eastAsia="仿宋" w:hint="eastAsia"/>
          <w:b w:val="0"/>
          <w:bCs w:val="0"/>
          <w:color w:val="000000"/>
          <w:sz w:val="32"/>
          <w:szCs w:val="32"/>
          <w:lang w:eastAsia="zh-CN"/>
        </w:rPr>
        <w:t>金川县应急管理局本级</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一般公共预算财政拨款支出1739.04万元，</w:t>
      </w:r>
      <w:r>
        <w:rPr>
          <w:rFonts w:ascii="仿宋" w:eastAsia="仿宋" w:hint="eastAsia"/>
          <w:color w:val="000000"/>
          <w:sz w:val="32"/>
          <w:szCs w:val="32"/>
        </w:rPr>
        <w:t>占本</w:t>
      </w:r>
      <w:r>
        <w:rPr>
          <w:rFonts w:ascii="仿宋" w:eastAsia="仿宋" w:hint="eastAsia"/>
          <w:color w:val="000000"/>
          <w:sz w:val="32"/>
          <w:szCs w:val="32"/>
          <w:lang w:eastAsia="zh-CN"/>
        </w:rPr>
        <w:t>单位本</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，占本部门本年总支出的</w:t>
      </w:r>
      <w:r>
        <w:rPr>
          <w:rFonts w:ascii="仿宋" w:eastAsia="仿宋" w:hint="eastAsia"/>
          <w:color w:val="000000"/>
          <w:sz w:val="32"/>
          <w:szCs w:val="32"/>
          <w:lang w:val="en-US" w:eastAsia="zh-CN"/>
        </w:rPr>
        <w:t>84.42%</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w:t>
      </w:r>
      <w:r>
        <w:rPr>
          <w:rFonts w:ascii="仿宋_GB2312" w:eastAsia="仿宋_GB2312" w:hint="eastAsia"/>
          <w:color w:val="auto"/>
          <w:spacing w:val="-2"/>
          <w:kern w:val="2"/>
          <w:sz w:val="32"/>
          <w:szCs w:val="32"/>
          <w:lang w:val="en-US" w:eastAsia="zh-CN" w:bidi="ar-SA"/>
        </w:rPr>
        <w:t>增加106</w:t>
      </w:r>
      <w:r>
        <w:rPr>
          <w:rFonts w:ascii="仿宋_GB2312" w:eastAsia="仿宋_GB2312" w:hint="eastAsia"/>
          <w:spacing w:val="-2"/>
          <w:kern w:val="2"/>
          <w:sz w:val="32"/>
          <w:szCs w:val="32"/>
          <w:lang w:val="en-US" w:eastAsia="zh-CN" w:bidi="ar-SA"/>
        </w:rPr>
        <w:t>万元，</w:t>
      </w:r>
      <w:r>
        <w:rPr>
          <w:rFonts w:ascii="仿宋_GB2312" w:eastAsia="仿宋_GB2312" w:hint="eastAsia"/>
          <w:color w:val="auto"/>
          <w:spacing w:val="-2"/>
          <w:kern w:val="2"/>
          <w:sz w:val="32"/>
          <w:szCs w:val="32"/>
          <w:lang w:val="en-US" w:eastAsia="zh-CN" w:bidi="ar-SA"/>
        </w:rPr>
        <w:t>增加6.49%</w:t>
      </w:r>
      <w:r>
        <w:rPr>
          <w:rFonts w:ascii="仿宋_GB2312" w:eastAsia="仿宋_GB2312" w:hint="eastAsia"/>
          <w:spacing w:val="-2"/>
          <w:kern w:val="2"/>
          <w:sz w:val="32"/>
          <w:szCs w:val="32"/>
          <w:lang w:val="en-US" w:eastAsia="zh-CN" w:bidi="ar-SA"/>
        </w:rPr>
        <w:t>。</w:t>
      </w:r>
      <w:r>
        <w:rPr>
          <w:rFonts w:ascii="仿宋_GB2312" w:eastAsia="仿宋_GB2312" w:hint="eastAsia"/>
          <w:color w:val="auto"/>
          <w:spacing w:val="-2"/>
          <w:kern w:val="2"/>
          <w:sz w:val="32"/>
          <w:szCs w:val="32"/>
          <w:lang w:val="en-US" w:eastAsia="zh-CN" w:bidi="ar-SA"/>
        </w:rPr>
        <w:t>主要原因是项目支出增加。</w:t>
      </w:r>
    </w:p>
    <w:p>
      <w:pPr>
        <w:snapToGrid w:val="0"/>
        <w:spacing w:line="520" w:lineRule="exact"/>
        <w:ind w:firstLineChars="200" w:firstLine="632"/>
        <w:rPr>
          <w:rFonts w:ascii="仿宋" w:eastAsia="仿宋" w:hint="eastAsia"/>
          <w:color w:val="000000"/>
          <w:sz w:val="32"/>
          <w:szCs w:val="32"/>
          <w:lang w:eastAsia="zh-CN"/>
        </w:rPr>
      </w:pPr>
      <w:r>
        <w:rPr>
          <w:rFonts w:ascii="仿宋_GB2312" w:eastAsia="仿宋_GB2312" w:hint="eastAsia"/>
          <w:color w:val="000000"/>
          <w:spacing w:val="-2"/>
          <w:kern w:val="2"/>
          <w:sz w:val="32"/>
          <w:szCs w:val="32"/>
          <w:lang w:val="en-US" w:eastAsia="zh-CN" w:bidi="ar-SA"/>
        </w:rPr>
        <w:t>2、金川县应急管理保障中心</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一般公共预算财政拨款支出205.25万元，</w:t>
      </w:r>
      <w:r>
        <w:rPr>
          <w:rFonts w:ascii="仿宋" w:eastAsia="仿宋" w:hint="eastAsia"/>
          <w:color w:val="000000"/>
          <w:sz w:val="32"/>
          <w:szCs w:val="32"/>
        </w:rPr>
        <w:t>占</w:t>
      </w:r>
      <w:r>
        <w:rPr>
          <w:rFonts w:ascii="仿宋" w:eastAsia="仿宋" w:hint="eastAsia"/>
          <w:color w:val="000000"/>
          <w:sz w:val="32"/>
          <w:szCs w:val="32"/>
          <w:lang w:eastAsia="zh-CN"/>
        </w:rPr>
        <w:t>本单位</w:t>
      </w:r>
      <w:r>
        <w:rPr>
          <w:rFonts w:ascii="仿宋" w:eastAsia="仿宋" w:hint="eastAsia"/>
          <w:color w:val="000000"/>
          <w:sz w:val="32"/>
          <w:szCs w:val="32"/>
        </w:rPr>
        <w:t>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，占本部门本年总支出的</w:t>
      </w:r>
      <w:r>
        <w:rPr>
          <w:rFonts w:ascii="仿宋" w:eastAsia="仿宋" w:hint="eastAsia"/>
          <w:color w:val="000000"/>
          <w:sz w:val="32"/>
          <w:szCs w:val="32"/>
          <w:lang w:val="en-US" w:eastAsia="zh-CN"/>
        </w:rPr>
        <w:t>9.96%</w:t>
      </w:r>
      <w:r>
        <w:rPr>
          <w:rFonts w:ascii="仿宋" w:eastAsia="仿宋" w:hint="eastAsia"/>
          <w:color w:val="000000"/>
          <w:sz w:val="32"/>
          <w:szCs w:val="32"/>
          <w:lang w:eastAsia="zh-CN"/>
        </w:rPr>
        <w:t>。</w:t>
      </w:r>
    </w:p>
    <w:p>
      <w:pPr>
        <w:snapToGrid w:val="0"/>
        <w:spacing w:line="520" w:lineRule="exact"/>
        <w:ind w:firstLineChars="200" w:firstLine="640"/>
        <w:rPr>
          <w:rFonts w:ascii="仿宋" w:eastAsia="仿宋" w:hint="eastAsia"/>
          <w:b/>
          <w:color w:val="000000"/>
          <w:sz w:val="32"/>
          <w:szCs w:val="32"/>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一般公共预算财政拨款支出115.57万元，</w:t>
      </w:r>
      <w:r>
        <w:rPr>
          <w:rFonts w:ascii="仿宋" w:eastAsia="仿宋" w:hint="eastAsia"/>
          <w:color w:val="000000"/>
          <w:sz w:val="32"/>
          <w:szCs w:val="32"/>
        </w:rPr>
        <w:t>占</w:t>
      </w:r>
      <w:r>
        <w:rPr>
          <w:rFonts w:ascii="仿宋" w:eastAsia="仿宋" w:hint="eastAsia"/>
          <w:color w:val="000000"/>
          <w:sz w:val="32"/>
          <w:szCs w:val="32"/>
          <w:lang w:eastAsia="zh-CN"/>
        </w:rPr>
        <w:t>本单位</w:t>
      </w:r>
      <w:r>
        <w:rPr>
          <w:rFonts w:ascii="仿宋" w:eastAsia="仿宋" w:hint="eastAsia"/>
          <w:color w:val="000000"/>
          <w:sz w:val="32"/>
          <w:szCs w:val="32"/>
        </w:rPr>
        <w:t>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，占本部门本年总支出的</w:t>
      </w:r>
      <w:r>
        <w:rPr>
          <w:rFonts w:ascii="仿宋" w:eastAsia="仿宋" w:hint="eastAsia"/>
          <w:color w:val="000000"/>
          <w:sz w:val="32"/>
          <w:szCs w:val="32"/>
          <w:lang w:val="en-US" w:eastAsia="zh-CN"/>
        </w:rPr>
        <w:t>5.61%</w:t>
      </w:r>
      <w:r>
        <w:rPr>
          <w:rFonts w:ascii="仿宋" w:eastAsia="仿宋" w:hint="eastAsia"/>
          <w:color w:val="000000"/>
          <w:sz w:val="32"/>
          <w:szCs w:val="32"/>
          <w:lang w:eastAsia="zh-CN"/>
        </w:rPr>
        <w:t>。</w:t>
      </w: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4"/>
    </w:p>
    <w:p>
      <w:pPr>
        <w:spacing w:line="600" w:lineRule="exact"/>
        <w:ind w:firstLine="640"/>
        <w:rPr>
          <w:rFonts w:ascii="仿宋" w:eastAsia="仿宋" w:hint="eastAsia"/>
          <w:color w:val="00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44" behindDoc="0" locked="0" layoutInCell="1" hidden="0" allowOverlap="1">
            <wp:simplePos x="0" y="0"/>
            <wp:positionH relativeFrom="column">
              <wp:posOffset>47625</wp:posOffset>
            </wp:positionH>
            <wp:positionV relativeFrom="paragraph">
              <wp:posOffset>1445260</wp:posOffset>
            </wp:positionV>
            <wp:extent cx="5374004" cy="3261359"/>
            <wp:effectExtent l="0" t="0" r="0" b="0"/>
            <wp:wrapTopAndBottom/>
            <wp:docPr id="13" name="图表 6"/>
            <wp:cNvGraphicFramePr>
              <a:graphicFrameLocks noChangeAspect="0"/>
            </wp:cNvGraphicFramePr>
            <a:graphic>
              <a:graphicData uri="http://schemas.openxmlformats.org/drawingml/2006/chart">
                <c:chart xmlns:c="http://schemas.openxmlformats.org/drawingml/2006/chart" r:id="rId16"/>
              </a:graphicData>
            </a:graphic>
          </wp:anchor>
        </w:drawing>
      </w:r>
      <w:r>
        <w:rPr>
          <w:rFonts w:ascii="仿宋" w:eastAsia="仿宋" w:hint="eastAsia"/>
          <w:color w:val="000000"/>
          <w:sz w:val="32"/>
          <w:szCs w:val="32"/>
          <w:lang w:val="en-US" w:eastAsia="zh-CN"/>
        </w:rPr>
        <w:t>2022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2059.87</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lang w:val="en-US" w:eastAsia="zh-CN"/>
        </w:rPr>
        <w:t>64.60</w:t>
      </w:r>
      <w:r>
        <w:rPr>
          <w:rFonts w:ascii="仿宋" w:eastAsia="仿宋" w:hint="eastAsia"/>
          <w:color w:val="000000"/>
          <w:sz w:val="32"/>
          <w:szCs w:val="32"/>
        </w:rPr>
        <w:t>万元，占</w:t>
      </w:r>
      <w:r>
        <w:rPr>
          <w:rFonts w:ascii="仿宋" w:eastAsia="仿宋" w:hint="eastAsia"/>
          <w:color w:val="000000"/>
          <w:sz w:val="32"/>
          <w:szCs w:val="32"/>
          <w:lang w:val="en-US" w:eastAsia="zh-CN"/>
        </w:rPr>
        <w:t>3.14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25.83</w:t>
      </w:r>
      <w:r>
        <w:rPr>
          <w:rFonts w:ascii="仿宋" w:eastAsia="仿宋" w:hint="eastAsia"/>
          <w:color w:val="000000"/>
          <w:sz w:val="32"/>
          <w:szCs w:val="32"/>
        </w:rPr>
        <w:t>万元，占</w:t>
      </w:r>
      <w:r>
        <w:rPr>
          <w:rFonts w:ascii="仿宋" w:eastAsia="仿宋" w:hint="eastAsia"/>
          <w:color w:val="000000"/>
          <w:sz w:val="32"/>
          <w:szCs w:val="32"/>
          <w:lang w:val="en-US" w:eastAsia="zh-CN"/>
        </w:rPr>
        <w:t>1.25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38.96</w:t>
      </w:r>
      <w:r>
        <w:rPr>
          <w:rFonts w:ascii="仿宋" w:eastAsia="仿宋" w:hint="eastAsia"/>
          <w:color w:val="000000"/>
          <w:sz w:val="32"/>
          <w:szCs w:val="32"/>
        </w:rPr>
        <w:t>万元，占</w:t>
      </w:r>
      <w:r>
        <w:rPr>
          <w:rFonts w:ascii="仿宋" w:eastAsia="仿宋" w:hint="eastAsia"/>
          <w:color w:val="000000"/>
          <w:sz w:val="32"/>
          <w:szCs w:val="32"/>
          <w:lang w:val="en-US" w:eastAsia="zh-CN"/>
        </w:rPr>
        <w:t>1.89</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灾害防治及应急管理支出</w:t>
      </w:r>
      <w:r>
        <w:rPr>
          <w:rFonts w:ascii="仿宋" w:eastAsia="仿宋" w:hint="eastAsia"/>
          <w:b w:val="0"/>
          <w:bCs w:val="0"/>
          <w:color w:val="000000"/>
          <w:sz w:val="32"/>
          <w:szCs w:val="32"/>
          <w:lang w:val="en-US" w:eastAsia="zh-CN"/>
        </w:rPr>
        <w:t>1928.75万元，</w:t>
      </w:r>
      <w:r>
        <w:rPr>
          <w:rFonts w:ascii="仿宋" w:eastAsia="仿宋" w:hint="eastAsia"/>
          <w:color w:val="000000"/>
          <w:sz w:val="32"/>
          <w:szCs w:val="32"/>
        </w:rPr>
        <w:t>占</w:t>
      </w:r>
      <w:r>
        <w:rPr>
          <w:rFonts w:ascii="仿宋" w:eastAsia="仿宋" w:hint="eastAsia"/>
          <w:color w:val="000000"/>
          <w:sz w:val="32"/>
          <w:szCs w:val="32"/>
          <w:lang w:val="en-US" w:eastAsia="zh-CN"/>
        </w:rPr>
        <w:t>93.63</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教育支出</w:t>
      </w:r>
    </w:p>
    <w:p>
      <w:pPr>
        <w:spacing w:line="600" w:lineRule="exact"/>
        <w:rPr>
          <w:rFonts w:ascii="仿宋" w:eastAsia="仿宋" w:hint="eastAsia"/>
          <w:color w:val="000000"/>
          <w:sz w:val="32"/>
          <w:szCs w:val="32"/>
        </w:rPr>
      </w:pPr>
      <w:r>
        <w:rPr>
          <w:rFonts w:ascii="仿宋" w:eastAsia="仿宋" w:hint="eastAsia"/>
          <w:color w:val="000000"/>
          <w:sz w:val="32"/>
          <w:szCs w:val="32"/>
          <w:lang w:val="en-US" w:eastAsia="zh-CN"/>
        </w:rPr>
        <w:t>1.73万元，占0.08%</w:t>
      </w:r>
      <w:r>
        <w:rPr>
          <w:rFonts w:ascii="仿宋" w:eastAsia="仿宋" w:hint="eastAsia"/>
          <w:color w:val="000000"/>
          <w:sz w:val="32"/>
          <w:szCs w:val="32"/>
        </w:rPr>
        <w:t>。</w:t>
      </w:r>
      <w:bookmarkStart w:id="35" w:name="_Toc15377213"/>
      <w:bookmarkStart w:id="36" w:name="_Toc15378460"/>
      <w:bookmarkStart w:id="37" w:name="_Toc15377444"/>
    </w:p>
    <w:p>
      <w:pPr>
        <w:spacing w:line="600" w:lineRule="exact"/>
        <w:ind w:left="0" w:firstLineChars="200" w:firstLine="640"/>
        <w:rPr>
          <w:rFonts w:ascii="仿宋" w:eastAsia="仿宋" w:hint="eastAsia"/>
          <w:color w:val="000000"/>
          <w:sz w:val="32"/>
          <w:szCs w:val="32"/>
        </w:rPr>
      </w:pPr>
      <w:r>
        <w:rPr>
          <w:rFonts w:ascii="仿宋" w:eastAsia="仿宋" w:hint="eastAsia"/>
          <w:b w:val="0"/>
          <w:bCs w:val="0"/>
          <w:color w:val="000000"/>
          <w:sz w:val="32"/>
          <w:szCs w:val="32"/>
          <w:lang w:val="en-US" w:eastAsia="zh-CN"/>
        </w:rPr>
        <w:t>1、</w:t>
      </w:r>
      <w:r>
        <w:rPr>
          <w:rFonts w:ascii="仿宋" w:eastAsia="仿宋" w:hint="eastAsia"/>
          <w:b w:val="0"/>
          <w:bCs w:val="0"/>
          <w:color w:val="000000"/>
          <w:sz w:val="32"/>
          <w:szCs w:val="32"/>
          <w:lang w:eastAsia="zh-CN"/>
        </w:rPr>
        <w:t>金川县应急管理局本级</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一般公共预算财政拨款支出1739.04万元</w:t>
      </w:r>
      <w:r>
        <w:rPr>
          <w:rFonts w:ascii="仿宋" w:eastAsia="仿宋" w:hint="eastAsia"/>
          <w:color w:val="000000"/>
          <w:sz w:val="32"/>
          <w:szCs w:val="32"/>
        </w:rPr>
        <w:t>，主要用于以下方面</w:t>
      </w:r>
      <w:r>
        <w:rPr>
          <w:rFonts w:ascii="仿宋" w:eastAsia="仿宋"/>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lang w:val="en-US" w:eastAsia="zh-CN"/>
        </w:rPr>
        <w:t>28.84</w:t>
      </w:r>
      <w:r>
        <w:rPr>
          <w:rFonts w:ascii="仿宋" w:eastAsia="仿宋" w:hint="eastAsia"/>
          <w:color w:val="000000"/>
          <w:sz w:val="32"/>
          <w:szCs w:val="32"/>
        </w:rPr>
        <w:t>万元，占</w:t>
      </w:r>
      <w:r>
        <w:rPr>
          <w:rFonts w:ascii="仿宋" w:eastAsia="仿宋" w:hint="eastAsia"/>
          <w:color w:val="000000"/>
          <w:sz w:val="32"/>
          <w:szCs w:val="32"/>
          <w:lang w:val="en-US" w:eastAsia="zh-CN"/>
        </w:rPr>
        <w:t>1.66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11.71</w:t>
      </w:r>
      <w:r>
        <w:rPr>
          <w:rFonts w:ascii="仿宋" w:eastAsia="仿宋" w:hint="eastAsia"/>
          <w:color w:val="000000"/>
          <w:sz w:val="32"/>
          <w:szCs w:val="32"/>
        </w:rPr>
        <w:t>万元，占</w:t>
      </w:r>
      <w:r>
        <w:rPr>
          <w:rFonts w:ascii="仿宋" w:eastAsia="仿宋" w:hint="eastAsia"/>
          <w:color w:val="000000"/>
          <w:sz w:val="32"/>
          <w:szCs w:val="32"/>
          <w:lang w:val="en-US" w:eastAsia="zh-CN"/>
        </w:rPr>
        <w:t>0.67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17.59</w:t>
      </w:r>
      <w:r>
        <w:rPr>
          <w:rFonts w:ascii="仿宋" w:eastAsia="仿宋" w:hint="eastAsia"/>
          <w:color w:val="000000"/>
          <w:sz w:val="32"/>
          <w:szCs w:val="32"/>
        </w:rPr>
        <w:t>万元，占</w:t>
      </w:r>
      <w:r>
        <w:rPr>
          <w:rFonts w:ascii="仿宋" w:eastAsia="仿宋" w:hint="eastAsia"/>
          <w:color w:val="000000"/>
          <w:sz w:val="32"/>
          <w:szCs w:val="32"/>
          <w:lang w:val="en-US" w:eastAsia="zh-CN"/>
        </w:rPr>
        <w:t>1.01</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灾害防治及应急管理支出</w:t>
      </w:r>
      <w:r>
        <w:rPr>
          <w:rFonts w:ascii="仿宋" w:eastAsia="仿宋" w:hint="eastAsia"/>
          <w:b w:val="0"/>
          <w:bCs w:val="0"/>
          <w:color w:val="000000"/>
          <w:sz w:val="32"/>
          <w:szCs w:val="32"/>
          <w:lang w:val="en-US" w:eastAsia="zh-CN"/>
        </w:rPr>
        <w:t>1680.25万元，</w:t>
      </w:r>
      <w:r>
        <w:rPr>
          <w:rFonts w:ascii="仿宋" w:eastAsia="仿宋" w:hint="eastAsia"/>
          <w:color w:val="000000"/>
          <w:sz w:val="32"/>
          <w:szCs w:val="32"/>
        </w:rPr>
        <w:t>占</w:t>
      </w:r>
      <w:r>
        <w:rPr>
          <w:rFonts w:ascii="仿宋" w:eastAsia="仿宋" w:hint="eastAsia"/>
          <w:color w:val="000000"/>
          <w:sz w:val="32"/>
          <w:szCs w:val="32"/>
          <w:lang w:val="en-US" w:eastAsia="zh-CN"/>
        </w:rPr>
        <w:t>96.62</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教育支出</w:t>
      </w:r>
      <w:r>
        <w:rPr>
          <w:rFonts w:ascii="仿宋" w:eastAsia="仿宋" w:hint="eastAsia"/>
          <w:color w:val="000000"/>
          <w:sz w:val="32"/>
          <w:szCs w:val="32"/>
          <w:lang w:val="en-US" w:eastAsia="zh-CN"/>
        </w:rPr>
        <w:t>0.65万元，占0.04%</w:t>
      </w:r>
      <w:r>
        <w:rPr>
          <w:rFonts w:ascii="仿宋" w:eastAsia="仿宋" w:hint="eastAsia"/>
          <w:color w:val="000000"/>
          <w:sz w:val="32"/>
          <w:szCs w:val="32"/>
        </w:rPr>
        <w:t>。</w:t>
      </w:r>
    </w:p>
    <w:p>
      <w:pPr>
        <w:pStyle w:val="24"/>
        <w:ind w:leftChars="0" w:left="420" w:right="0"/>
        <w:rPr>
          <w:rFonts w:hint="eastAsia"/>
          <w:lang w:val="en-US" w:eastAsia="zh-CN"/>
        </w:rPr>
      </w:pPr>
    </w:p>
    <w:p>
      <w:pPr>
        <w:rPr>
          <w:rFonts w:hint="eastAsia"/>
          <w:lang w:val="en-US" w:eastAsia="zh-CN"/>
        </w:rPr>
      </w:pPr>
    </w:p>
    <w:p>
      <w:pPr>
        <w:pStyle w:val="24"/>
        <w:rPr>
          <w:rFonts w:hint="eastAsia"/>
          <w:lang w:val="en-US" w:eastAsia="zh-CN"/>
        </w:rPr>
      </w:pPr>
    </w:p>
    <w:p>
      <w:pPr>
        <w:ind w:left="0" w:firstLineChars="200" w:firstLine="640"/>
        <w:rPr>
          <w:rFonts w:hint="eastAsia"/>
        </w:rPr>
      </w:pPr>
      <w:r>
        <w:rPr>
          <w:rFonts w:ascii="仿宋_GB2312" w:eastAsia="仿宋_GB2312" w:hint="eastAsia"/>
          <w:color w:val="FF0000"/>
          <w:sz w:val="32"/>
          <w:szCs w:val="32"/>
          <w:lang w:eastAsia="zh-CN"/>
        </w:rPr>
        <w:drawing>
          <wp:anchor distT="0" distB="0" distL="114300" distR="114300" simplePos="0" relativeHeight="56" behindDoc="0" locked="0" layoutInCell="1" hidden="0" allowOverlap="1">
            <wp:simplePos x="0" y="0"/>
            <wp:positionH relativeFrom="column">
              <wp:posOffset>68580</wp:posOffset>
            </wp:positionH>
            <wp:positionV relativeFrom="paragraph">
              <wp:posOffset>5370830</wp:posOffset>
            </wp:positionV>
            <wp:extent cx="5374004" cy="2992120"/>
            <wp:effectExtent l="0" t="0" r="0" b="0"/>
            <wp:wrapTopAndBottom/>
            <wp:docPr id="14" name="图表 6"/>
            <wp:cNvGraphicFramePr>
              <a:graphicFrameLocks noChangeAspect="0"/>
            </wp:cNvGraphicFramePr>
            <a:graphic>
              <a:graphicData uri="http://schemas.openxmlformats.org/drawingml/2006/chart">
                <c:chart xmlns:c="http://schemas.openxmlformats.org/drawingml/2006/chart" r:id="rId17"/>
              </a:graphicData>
            </a:graphic>
          </wp:anchor>
        </w:drawing>
      </w:r>
      <w:r>
        <w:rPr>
          <w:rFonts w:ascii="仿宋_GB2312" w:eastAsia="仿宋_GB2312" w:hint="eastAsia"/>
          <w:color w:val="FF0000"/>
          <w:sz w:val="32"/>
          <w:szCs w:val="32"/>
          <w:lang w:eastAsia="zh-CN"/>
        </w:rPr>
        <w:drawing>
          <wp:anchor distT="0" distB="0" distL="114300" distR="114300" simplePos="0" relativeHeight="54" behindDoc="0" locked="0" layoutInCell="1" hidden="0" allowOverlap="1">
            <wp:simplePos x="0" y="0"/>
            <wp:positionH relativeFrom="column">
              <wp:posOffset>100965</wp:posOffset>
            </wp:positionH>
            <wp:positionV relativeFrom="paragraph">
              <wp:posOffset>80645</wp:posOffset>
            </wp:positionV>
            <wp:extent cx="5374004" cy="3261359"/>
            <wp:effectExtent l="0" t="0" r="0" b="0"/>
            <wp:wrapTopAndBottom/>
            <wp:docPr id="15" name="图表 6"/>
            <wp:cNvGraphicFramePr>
              <a:graphicFrameLocks noChangeAspect="0"/>
            </wp:cNvGraphicFramePr>
            <a:graphic>
              <a:graphicData uri="http://schemas.openxmlformats.org/drawingml/2006/chart">
                <c:chart xmlns:c="http://schemas.openxmlformats.org/drawingml/2006/chart" r:id="rId18"/>
              </a:graphicData>
            </a:graphic>
          </wp:anchor>
        </w:drawing>
      </w:r>
      <w:bookmarkStart w:id="38" w:name="_Toc15377212"/>
      <w:r>
        <w:rPr>
          <w:rFonts w:ascii="仿宋_GB2312" w:eastAsia="仿宋_GB2312" w:hint="eastAsia"/>
          <w:color w:val="000000"/>
          <w:spacing w:val="-2"/>
          <w:kern w:val="2"/>
          <w:sz w:val="32"/>
          <w:szCs w:val="32"/>
          <w:lang w:val="en-US" w:eastAsia="zh-CN" w:bidi="ar-SA"/>
        </w:rPr>
        <w:t>2、金川县应急管理保障中心</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一般公共预算财政拨款支出205.25万元,</w:t>
      </w:r>
      <w:r>
        <w:rPr>
          <w:rFonts w:ascii="仿宋" w:eastAsia="仿宋" w:hint="eastAsia"/>
          <w:color w:val="000000"/>
          <w:sz w:val="32"/>
          <w:szCs w:val="32"/>
        </w:rPr>
        <w:t>主要用于以下方面</w:t>
      </w:r>
      <w:r>
        <w:rPr>
          <w:rFonts w:ascii="仿宋" w:eastAsia="仿宋"/>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lang w:val="en-US" w:eastAsia="zh-CN"/>
        </w:rPr>
        <w:t>23.40</w:t>
      </w:r>
      <w:r>
        <w:rPr>
          <w:rFonts w:ascii="仿宋" w:eastAsia="仿宋" w:hint="eastAsia"/>
          <w:color w:val="000000"/>
          <w:sz w:val="32"/>
          <w:szCs w:val="32"/>
        </w:rPr>
        <w:t>万元，占</w:t>
      </w:r>
      <w:r>
        <w:rPr>
          <w:rFonts w:ascii="仿宋" w:eastAsia="仿宋" w:hint="eastAsia"/>
          <w:color w:val="000000"/>
          <w:sz w:val="32"/>
          <w:szCs w:val="32"/>
          <w:lang w:val="en-US" w:eastAsia="zh-CN"/>
        </w:rPr>
        <w:t>11.40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9.11</w:t>
      </w:r>
      <w:r>
        <w:rPr>
          <w:rFonts w:ascii="仿宋" w:eastAsia="仿宋" w:hint="eastAsia"/>
          <w:color w:val="000000"/>
          <w:sz w:val="32"/>
          <w:szCs w:val="32"/>
        </w:rPr>
        <w:t>万元，占</w:t>
      </w:r>
      <w:r>
        <w:rPr>
          <w:rFonts w:ascii="仿宋" w:eastAsia="仿宋" w:hint="eastAsia"/>
          <w:color w:val="000000"/>
          <w:sz w:val="32"/>
          <w:szCs w:val="32"/>
          <w:lang w:val="en-US" w:eastAsia="zh-CN"/>
        </w:rPr>
        <w:t>4.44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14.07</w:t>
      </w:r>
      <w:r>
        <w:rPr>
          <w:rFonts w:ascii="仿宋" w:eastAsia="仿宋" w:hint="eastAsia"/>
          <w:color w:val="000000"/>
          <w:sz w:val="32"/>
          <w:szCs w:val="32"/>
        </w:rPr>
        <w:t>万元，占</w:t>
      </w:r>
      <w:r>
        <w:rPr>
          <w:rFonts w:ascii="仿宋" w:eastAsia="仿宋" w:hint="eastAsia"/>
          <w:color w:val="000000"/>
          <w:sz w:val="32"/>
          <w:szCs w:val="32"/>
          <w:lang w:val="en-US" w:eastAsia="zh-CN"/>
        </w:rPr>
        <w:t>6.86</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灾害防治及应急管理支出</w:t>
      </w:r>
      <w:r>
        <w:rPr>
          <w:rFonts w:ascii="仿宋" w:eastAsia="仿宋" w:hint="eastAsia"/>
          <w:b w:val="0"/>
          <w:bCs w:val="0"/>
          <w:color w:val="000000"/>
          <w:sz w:val="32"/>
          <w:szCs w:val="32"/>
          <w:lang w:val="en-US" w:eastAsia="zh-CN"/>
        </w:rPr>
        <w:t>158.09万元，</w:t>
      </w:r>
      <w:r>
        <w:rPr>
          <w:rFonts w:ascii="仿宋" w:eastAsia="仿宋" w:hint="eastAsia"/>
          <w:color w:val="000000"/>
          <w:sz w:val="32"/>
          <w:szCs w:val="32"/>
        </w:rPr>
        <w:t>占</w:t>
      </w:r>
      <w:r>
        <w:rPr>
          <w:rFonts w:ascii="仿宋" w:eastAsia="仿宋" w:hint="eastAsia"/>
          <w:color w:val="000000"/>
          <w:sz w:val="32"/>
          <w:szCs w:val="32"/>
          <w:lang w:val="en-US" w:eastAsia="zh-CN"/>
        </w:rPr>
        <w:t>77.02</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教育支出</w:t>
      </w:r>
      <w:r>
        <w:rPr>
          <w:rFonts w:ascii="仿宋" w:eastAsia="仿宋" w:hint="eastAsia"/>
          <w:color w:val="000000"/>
          <w:sz w:val="32"/>
          <w:szCs w:val="32"/>
          <w:lang w:val="en-US" w:eastAsia="zh-CN"/>
        </w:rPr>
        <w:t>0.58万元，占0.28%</w:t>
      </w:r>
      <w:r>
        <w:rPr>
          <w:rFonts w:ascii="仿宋" w:eastAsia="仿宋" w:hint="eastAsia"/>
          <w:color w:val="000000"/>
          <w:sz w:val="32"/>
          <w:szCs w:val="32"/>
        </w:rPr>
        <w:t>。</w:t>
      </w:r>
    </w:p>
    <w:p>
      <w:pPr>
        <w:spacing w:line="600" w:lineRule="exact"/>
        <w:ind w:left="0" w:firstLineChars="200" w:firstLine="640"/>
        <w:rPr>
          <w:rFonts w:ascii="仿宋" w:eastAsia="仿宋" w:hint="eastAsia"/>
          <w:color w:val="000000"/>
          <w:sz w:val="32"/>
          <w:szCs w:val="32"/>
        </w:rPr>
      </w:pPr>
      <w:r>
        <w:rPr>
          <w:rFonts w:ascii="仿宋_GB2312" w:eastAsia="仿宋_GB2312" w:cs="仿宋_GB2312" w:hint="eastAsia"/>
          <w:b w:val="0"/>
          <w:bCs w:val="0"/>
          <w:color w:val="auto"/>
          <w:kern w:val="2"/>
          <w:sz w:val="32"/>
          <w:szCs w:val="32"/>
          <w:lang w:val="en-US" w:eastAsia="zh-CN" w:bidi="ar-SA"/>
        </w:rPr>
        <w:t>3、金川县综合应急救援服务工作中心</w:t>
      </w:r>
      <w:r>
        <w:rPr>
          <w:rFonts w:ascii="仿宋" w:eastAsia="仿宋" w:hint="eastAsia"/>
          <w:color w:val="000000"/>
          <w:sz w:val="32"/>
          <w:szCs w:val="32"/>
          <w:lang w:val="en-US" w:eastAsia="zh-CN"/>
        </w:rPr>
        <w:t>2022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一般公共预算财政拨款支出115.57万元,</w:t>
      </w:r>
      <w:r>
        <w:rPr>
          <w:rFonts w:ascii="仿宋" w:eastAsia="仿宋" w:hint="eastAsia"/>
          <w:color w:val="000000"/>
          <w:sz w:val="32"/>
          <w:szCs w:val="32"/>
        </w:rPr>
        <w:t>主要用于以下方面</w:t>
      </w:r>
      <w:r>
        <w:rPr>
          <w:rFonts w:ascii="仿宋" w:eastAsia="仿宋"/>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lang w:val="en-US" w:eastAsia="zh-CN"/>
        </w:rPr>
        <w:t>12.36</w:t>
      </w:r>
      <w:r>
        <w:rPr>
          <w:rFonts w:ascii="仿宋" w:eastAsia="仿宋" w:hint="eastAsia"/>
          <w:color w:val="000000"/>
          <w:sz w:val="32"/>
          <w:szCs w:val="32"/>
        </w:rPr>
        <w:t>万元，占</w:t>
      </w:r>
      <w:r>
        <w:rPr>
          <w:rFonts w:ascii="仿宋" w:eastAsia="仿宋" w:hint="eastAsia"/>
          <w:color w:val="000000"/>
          <w:sz w:val="32"/>
          <w:szCs w:val="32"/>
          <w:lang w:val="en-US" w:eastAsia="zh-CN"/>
        </w:rPr>
        <w:t>10.69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5.01</w:t>
      </w:r>
      <w:r>
        <w:rPr>
          <w:rFonts w:ascii="仿宋" w:eastAsia="仿宋" w:hint="eastAsia"/>
          <w:color w:val="000000"/>
          <w:sz w:val="32"/>
          <w:szCs w:val="32"/>
        </w:rPr>
        <w:t>万元，占</w:t>
      </w:r>
      <w:r>
        <w:rPr>
          <w:rFonts w:ascii="仿宋" w:eastAsia="仿宋" w:hint="eastAsia"/>
          <w:color w:val="000000"/>
          <w:sz w:val="32"/>
          <w:szCs w:val="32"/>
          <w:lang w:val="en-US" w:eastAsia="zh-CN"/>
        </w:rPr>
        <w:t>4.34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7.29</w:t>
      </w:r>
      <w:r>
        <w:rPr>
          <w:rFonts w:ascii="仿宋" w:eastAsia="仿宋" w:hint="eastAsia"/>
          <w:color w:val="000000"/>
          <w:sz w:val="32"/>
          <w:szCs w:val="32"/>
        </w:rPr>
        <w:t>万元，占</w:t>
      </w:r>
      <w:r>
        <w:rPr>
          <w:rFonts w:ascii="仿宋" w:eastAsia="仿宋" w:hint="eastAsia"/>
          <w:color w:val="000000"/>
          <w:sz w:val="32"/>
          <w:szCs w:val="32"/>
          <w:lang w:val="en-US" w:eastAsia="zh-CN"/>
        </w:rPr>
        <w:t>6.31</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灾害防治及应急管理支出</w:t>
      </w:r>
      <w:r>
        <w:rPr>
          <w:rFonts w:ascii="仿宋" w:eastAsia="仿宋" w:hint="eastAsia"/>
          <w:b w:val="0"/>
          <w:bCs w:val="0"/>
          <w:color w:val="000000"/>
          <w:sz w:val="32"/>
          <w:szCs w:val="32"/>
          <w:lang w:val="en-US" w:eastAsia="zh-CN"/>
        </w:rPr>
        <w:t>90.41万元，</w:t>
      </w:r>
      <w:r>
        <w:rPr>
          <w:rFonts w:ascii="仿宋" w:eastAsia="仿宋" w:hint="eastAsia"/>
          <w:color w:val="000000"/>
          <w:sz w:val="32"/>
          <w:szCs w:val="32"/>
        </w:rPr>
        <w:t>占</w:t>
      </w:r>
      <w:r>
        <w:rPr>
          <w:rFonts w:ascii="仿宋" w:eastAsia="仿宋" w:hint="eastAsia"/>
          <w:color w:val="000000"/>
          <w:sz w:val="32"/>
          <w:szCs w:val="32"/>
          <w:lang w:val="en-US" w:eastAsia="zh-CN"/>
        </w:rPr>
        <w:t>78.23</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教育支出</w:t>
      </w:r>
      <w:r>
        <w:rPr>
          <w:rFonts w:ascii="仿宋" w:eastAsia="仿宋" w:hint="eastAsia"/>
          <w:color w:val="000000"/>
          <w:sz w:val="32"/>
          <w:szCs w:val="32"/>
          <w:lang w:val="en-US" w:eastAsia="zh-CN"/>
        </w:rPr>
        <w:t>0.50万元，占0.43%</w:t>
      </w:r>
      <w:r>
        <w:rPr>
          <w:rFonts w:ascii="仿宋" w:eastAsia="仿宋" w:hint="eastAsia"/>
          <w:color w:val="000000"/>
          <w:sz w:val="32"/>
          <w:szCs w:val="32"/>
        </w:rPr>
        <w:t>。</w:t>
      </w:r>
    </w:p>
    <w:p>
      <w:pPr>
        <w:pStyle w:val="24"/>
        <w:widowControl w:val="0"/>
        <w:spacing w:before="100" w:beforeAutospacing="1" w:after="100" w:afterAutospacing="1"/>
        <w:ind w:leftChars="0" w:left="200" w:right="0" w:firstLineChars="200" w:firstLine="640"/>
        <w:jc w:val="both"/>
        <w:rPr>
          <w:rFonts w:ascii="仿宋" w:eastAsia="仿宋" w:hint="eastAsia"/>
          <w:b/>
          <w:color w:val="000000"/>
          <w:sz w:val="32"/>
          <w:szCs w:val="32"/>
        </w:rPr>
      </w:pPr>
      <w:r>
        <w:rPr>
          <w:rFonts w:ascii="仿宋_GB2312" w:eastAsia="仿宋_GB2312" w:hint="eastAsia"/>
          <w:color w:val="FF0000"/>
          <w:sz w:val="32"/>
          <w:szCs w:val="32"/>
          <w:lang w:eastAsia="zh-CN"/>
        </w:rPr>
        <w:drawing>
          <wp:anchor distT="0" distB="0" distL="114300" distR="114300" simplePos="0" relativeHeight="58" behindDoc="0" locked="0" layoutInCell="1" hidden="0" allowOverlap="1">
            <wp:simplePos x="0" y="0"/>
            <wp:positionH relativeFrom="column">
              <wp:posOffset>70485</wp:posOffset>
            </wp:positionH>
            <wp:positionV relativeFrom="paragraph">
              <wp:posOffset>133985</wp:posOffset>
            </wp:positionV>
            <wp:extent cx="5374004" cy="3441699"/>
            <wp:effectExtent l="0" t="0" r="0" b="0"/>
            <wp:wrapTopAndBottom/>
            <wp:docPr id="16" name="图表 6"/>
            <wp:cNvGraphicFramePr>
              <a:graphicFrameLocks noChangeAspect="0"/>
            </wp:cNvGraphicFramePr>
            <a:graphic>
              <a:graphicData uri="http://schemas.openxmlformats.org/drawingml/2006/chart">
                <c:chart xmlns:c="http://schemas.openxmlformats.org/drawingml/2006/chart" r:id="rId19"/>
              </a:graphicData>
            </a:graphic>
          </wp:anchor>
        </w:drawing>
      </w:r>
      <w:r>
        <w:rPr>
          <w:rFonts w:ascii="仿宋" w:eastAsia="仿宋" w:hint="eastAsia"/>
          <w:b/>
          <w:color w:val="000000"/>
          <w:sz w:val="32"/>
          <w:szCs w:val="32"/>
          <w:lang w:val="en-US" w:eastAsia="zh-CN"/>
        </w:rPr>
        <w:t>(三)</w:t>
      </w:r>
      <w:r>
        <w:rPr>
          <w:rFonts w:ascii="仿宋" w:eastAsia="仿宋" w:hint="eastAsia"/>
          <w:b/>
          <w:color w:val="000000"/>
          <w:sz w:val="32"/>
          <w:szCs w:val="32"/>
        </w:rPr>
        <w:t>一般公共预算财政拨款支出决算具体情况</w:t>
      </w:r>
      <w:bookmarkEnd w:id="35"/>
      <w:bookmarkEnd w:id="36"/>
      <w:bookmarkEnd w:id="37"/>
      <w:bookmarkEnd w:id="38"/>
    </w:p>
    <w:p>
      <w:pPr>
        <w:pStyle w:val="24"/>
        <w:widowControl w:val="0"/>
        <w:spacing w:before="100" w:beforeAutospacing="1" w:after="100" w:afterAutospacing="1"/>
        <w:ind w:leftChars="0" w:left="200" w:right="0" w:firstLineChars="200" w:firstLine="640"/>
        <w:jc w:val="both"/>
        <w:rPr>
          <w:rStyle w:val="29"/>
          <w:rFonts w:ascii="仿宋" w:eastAsia="仿宋" w:hint="eastAsia"/>
          <w:b w:val="0"/>
          <w:bCs/>
          <w:color w:val="000000"/>
          <w:sz w:val="32"/>
          <w:szCs w:val="32"/>
        </w:rPr>
      </w:pPr>
      <w:r>
        <w:rPr>
          <w:rFonts w:ascii="仿宋" w:eastAsia="仿宋" w:hint="eastAsia"/>
          <w:b w:val="0"/>
          <w:bCs/>
          <w:color w:val="000000"/>
          <w:sz w:val="32"/>
          <w:szCs w:val="32"/>
          <w:lang w:val="en-US" w:eastAsia="zh-CN"/>
        </w:rPr>
        <w:t>2022</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w:t>
      </w:r>
      <w:r>
        <w:rPr>
          <w:rFonts w:ascii="仿宋" w:eastAsia="仿宋" w:hint="eastAsia"/>
          <w:b w:val="0"/>
          <w:bCs/>
          <w:color w:val="000000"/>
          <w:sz w:val="32"/>
          <w:szCs w:val="32"/>
          <w:lang w:eastAsia="zh-CN"/>
        </w:rPr>
        <w:t>预算财政拨款支出</w:t>
      </w:r>
      <w:r>
        <w:rPr>
          <w:rFonts w:ascii="仿宋" w:eastAsia="仿宋" w:hint="eastAsia"/>
          <w:b w:val="0"/>
          <w:bCs/>
          <w:color w:val="000000"/>
          <w:sz w:val="32"/>
          <w:szCs w:val="32"/>
          <w:lang w:val="en-US" w:eastAsia="zh-CN"/>
        </w:rPr>
        <w:t>2059.87万元，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2059.87万元</w:t>
      </w:r>
      <w:r>
        <w:rPr>
          <w:rFonts w:ascii="仿宋" w:eastAsia="仿宋" w:hint="eastAsia"/>
          <w:b w:val="0"/>
          <w:bCs/>
          <w:color w:val="000000"/>
          <w:sz w:val="32"/>
          <w:szCs w:val="32"/>
        </w:rPr>
        <w:t>，</w:t>
      </w:r>
      <w:r>
        <w:rPr>
          <w:rFonts w:ascii="仿宋" w:eastAsia="仿宋" w:hint="eastAsia"/>
          <w:b w:val="0"/>
          <w:bCs/>
          <w:color w:val="000000"/>
          <w:sz w:val="32"/>
          <w:szCs w:val="32"/>
          <w:lang w:eastAsia="zh-CN"/>
        </w:rPr>
        <w:t>预算完成度为</w:t>
      </w:r>
      <w:r>
        <w:rPr>
          <w:rStyle w:val="29"/>
          <w:rFonts w:ascii="仿宋" w:eastAsia="仿宋" w:hint="eastAsia"/>
          <w:b w:val="0"/>
          <w:bCs/>
          <w:color w:val="000000"/>
          <w:sz w:val="32"/>
          <w:szCs w:val="32"/>
          <w:lang w:val="en-US" w:eastAsia="zh-CN"/>
        </w:rPr>
        <w:t>100</w:t>
      </w:r>
      <w:r>
        <w:rPr>
          <w:rStyle w:val="29"/>
          <w:rFonts w:ascii="仿宋" w:eastAsia="仿宋"/>
          <w:b w:val="0"/>
          <w:bCs/>
          <w:color w:val="000000"/>
          <w:sz w:val="32"/>
          <w:szCs w:val="32"/>
        </w:rPr>
        <w:t>%</w:t>
      </w:r>
      <w:r>
        <w:rPr>
          <w:rStyle w:val="29"/>
          <w:rFonts w:ascii="仿宋" w:eastAsia="仿宋" w:hint="eastAsia"/>
          <w:b w:val="0"/>
          <w:bCs/>
          <w:color w:val="000000"/>
          <w:sz w:val="32"/>
          <w:szCs w:val="32"/>
        </w:rPr>
        <w:t>。其中：</w:t>
      </w:r>
    </w:p>
    <w:p>
      <w:pPr>
        <w:pStyle w:val="24"/>
        <w:widowControl w:val="0"/>
        <w:spacing w:before="100" w:beforeAutospacing="1" w:after="100" w:afterAutospacing="1"/>
        <w:ind w:leftChars="0" w:left="0" w:right="0" w:firstLineChars="200" w:firstLine="640"/>
        <w:jc w:val="both"/>
        <w:rPr>
          <w:rStyle w:val="29"/>
          <w:rFonts w:ascii="仿宋" w:eastAsia="仿宋" w:hint="eastAsia"/>
          <w:b w:val="0"/>
          <w:bCs/>
          <w:color w:val="000000"/>
          <w:sz w:val="32"/>
          <w:szCs w:val="32"/>
          <w:lang w:val="en-US" w:eastAsia="zh-CN"/>
        </w:rPr>
      </w:pPr>
      <w:r>
        <w:rPr>
          <w:rStyle w:val="29"/>
          <w:rFonts w:ascii="仿宋" w:eastAsia="仿宋" w:hint="eastAsia"/>
          <w:b/>
          <w:bCs w:val="0"/>
          <w:color w:val="000000"/>
          <w:sz w:val="32"/>
          <w:szCs w:val="32"/>
          <w:lang w:val="en-US" w:eastAsia="zh-CN"/>
        </w:rPr>
        <w:t>1、</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行政</w:t>
      </w:r>
      <w:r>
        <w:rPr>
          <w:rStyle w:val="29"/>
          <w:rFonts w:ascii="仿宋" w:eastAsia="仿宋" w:hint="eastAsia"/>
          <w:b w:val="0"/>
          <w:bCs/>
          <w:color w:val="000000"/>
          <w:sz w:val="32"/>
          <w:szCs w:val="32"/>
          <w:lang w:val="en-US" w:eastAsia="zh-CN"/>
        </w:rPr>
        <w:t>运行（项）: 支出决算为355.53万元，完成预算数的100%。</w:t>
      </w:r>
    </w:p>
    <w:p>
      <w:pPr>
        <w:spacing w:line="600" w:lineRule="exact"/>
        <w:ind w:firstLineChars="200" w:firstLine="640"/>
        <w:rPr>
          <w:rFonts w:ascii="仿宋" w:eastAsia="仿宋" w:hint="eastAsia"/>
          <w:color w:val="000000"/>
          <w:sz w:val="32"/>
          <w:szCs w:val="32"/>
          <w:lang w:eastAsia="zh-CN"/>
        </w:rPr>
      </w:pPr>
      <w:r>
        <w:rPr>
          <w:rStyle w:val="29"/>
          <w:rFonts w:ascii="仿宋" w:eastAsia="仿宋" w:hint="eastAsia"/>
          <w:bCs/>
          <w:color w:val="000000"/>
          <w:sz w:val="32"/>
          <w:szCs w:val="32"/>
          <w:lang w:val="en-US" w:eastAsia="zh-CN"/>
        </w:rPr>
        <w:t>2、</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机关服务</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90.41</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eastAsia="zh-CN"/>
        </w:rPr>
        <w:t>。</w:t>
      </w:r>
    </w:p>
    <w:p>
      <w:pPr>
        <w:spacing w:line="600" w:lineRule="exact"/>
        <w:ind w:firstLine="640"/>
        <w:rPr>
          <w:rFonts w:ascii="仿宋" w:eastAsia="仿宋"/>
          <w:color w:val="000000"/>
          <w:sz w:val="32"/>
          <w:szCs w:val="32"/>
        </w:rPr>
      </w:pPr>
      <w:r>
        <w:rPr>
          <w:rStyle w:val="29"/>
          <w:rFonts w:ascii="仿宋" w:eastAsia="仿宋" w:hint="eastAsia"/>
          <w:bCs/>
          <w:color w:val="000000"/>
          <w:sz w:val="32"/>
          <w:szCs w:val="32"/>
          <w:lang w:val="en-US" w:eastAsia="zh-CN"/>
        </w:rPr>
        <w:t>3、</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灾害风险防治</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244.49</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rPr>
      </w:pPr>
      <w:r>
        <w:rPr>
          <w:rStyle w:val="29"/>
          <w:rFonts w:ascii="仿宋" w:eastAsia="仿宋" w:hint="eastAsia"/>
          <w:bCs/>
          <w:color w:val="000000"/>
          <w:sz w:val="32"/>
          <w:szCs w:val="32"/>
          <w:lang w:val="en-US" w:eastAsia="zh-CN"/>
        </w:rPr>
        <w:t>4、</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安全监管</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43.03</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Style w:val="29"/>
          <w:rFonts w:ascii="仿宋" w:eastAsia="仿宋" w:hint="eastAsia"/>
          <w:b w:val="0"/>
          <w:bCs/>
          <w:color w:val="000000"/>
          <w:sz w:val="32"/>
          <w:szCs w:val="32"/>
          <w:lang w:eastAsia="zh-CN"/>
        </w:rPr>
      </w:pPr>
      <w:r>
        <w:rPr>
          <w:rStyle w:val="29"/>
          <w:rFonts w:ascii="仿宋" w:eastAsia="仿宋" w:hint="eastAsia"/>
          <w:bCs/>
          <w:color w:val="000000"/>
          <w:sz w:val="32"/>
          <w:szCs w:val="32"/>
          <w:lang w:val="en-US" w:eastAsia="zh-CN"/>
        </w:rPr>
        <w:t>5、</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应急管理</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4.52</w:t>
      </w:r>
      <w:r>
        <w:rPr>
          <w:rStyle w:val="29"/>
          <w:rFonts w:ascii="仿宋" w:eastAsia="仿宋" w:hint="eastAsia"/>
          <w:b w:val="0"/>
          <w:bCs/>
          <w:color w:val="000000"/>
          <w:sz w:val="32"/>
          <w:szCs w:val="32"/>
        </w:rPr>
        <w:t>万元，完成预算</w:t>
      </w:r>
      <w:r>
        <w:rPr>
          <w:rStyle w:val="29"/>
          <w:rFonts w:ascii="仿宋" w:eastAsia="仿宋" w:hint="eastAsia"/>
          <w:b w:val="0"/>
          <w:bCs/>
          <w:color w:val="000000"/>
          <w:sz w:val="32"/>
          <w:szCs w:val="32"/>
          <w:lang w:eastAsia="zh-CN"/>
        </w:rPr>
        <w:t>数的</w:t>
      </w:r>
      <w:r>
        <w:rPr>
          <w:rStyle w:val="29"/>
          <w:rFonts w:ascii="仿宋" w:eastAsia="仿宋" w:hint="eastAsia"/>
          <w:b w:val="0"/>
          <w:bCs/>
          <w:color w:val="000000"/>
          <w:sz w:val="32"/>
          <w:szCs w:val="32"/>
          <w:lang w:val="en-US" w:eastAsia="zh-CN"/>
        </w:rPr>
        <w:t>100</w:t>
      </w:r>
      <w:r>
        <w:rPr>
          <w:rStyle w:val="29"/>
          <w:rFonts w:ascii="仿宋" w:eastAsia="仿宋"/>
          <w:b w:val="0"/>
          <w:bCs/>
          <w:color w:val="000000"/>
          <w:sz w:val="32"/>
          <w:szCs w:val="32"/>
        </w:rPr>
        <w:t>%</w:t>
      </w:r>
      <w:r>
        <w:rPr>
          <w:rStyle w:val="29"/>
          <w:rFonts w:ascii="仿宋" w:eastAsia="仿宋" w:hint="eastAsia"/>
          <w:b w:val="0"/>
          <w:bCs/>
          <w:color w:val="000000"/>
          <w:sz w:val="32"/>
          <w:szCs w:val="32"/>
          <w:lang w:eastAsia="zh-CN"/>
        </w:rPr>
        <w:t>。</w:t>
      </w:r>
    </w:p>
    <w:p>
      <w:pPr>
        <w:spacing w:line="600" w:lineRule="exact"/>
        <w:ind w:firstLineChars="200" w:firstLine="640"/>
        <w:rPr>
          <w:rStyle w:val="29"/>
          <w:rFonts w:ascii="仿宋" w:eastAsia="仿宋" w:hint="eastAsia"/>
          <w:b w:val="0"/>
          <w:bCs/>
          <w:color w:val="000000"/>
          <w:sz w:val="32"/>
          <w:szCs w:val="32"/>
          <w:lang w:val="en-US" w:eastAsia="zh-CN"/>
        </w:rPr>
      </w:pPr>
      <w:r>
        <w:rPr>
          <w:rStyle w:val="29"/>
          <w:rFonts w:ascii="仿宋" w:eastAsia="仿宋" w:hint="eastAsia"/>
          <w:bCs/>
          <w:color w:val="000000"/>
          <w:sz w:val="32"/>
          <w:szCs w:val="32"/>
          <w:lang w:val="en-US" w:eastAsia="zh-CN"/>
        </w:rPr>
        <w:t>6、</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应急管理事务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其他应急管理支出</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42.71</w:t>
      </w:r>
      <w:r>
        <w:rPr>
          <w:rStyle w:val="29"/>
          <w:rFonts w:ascii="仿宋" w:eastAsia="仿宋" w:hint="eastAsia"/>
          <w:b w:val="0"/>
          <w:bCs/>
          <w:color w:val="000000"/>
          <w:sz w:val="32"/>
          <w:szCs w:val="32"/>
        </w:rPr>
        <w:t>万元，完成预算</w:t>
      </w:r>
      <w:r>
        <w:rPr>
          <w:rStyle w:val="29"/>
          <w:rFonts w:ascii="仿宋" w:eastAsia="仿宋" w:hint="eastAsia"/>
          <w:b w:val="0"/>
          <w:bCs/>
          <w:color w:val="000000"/>
          <w:sz w:val="32"/>
          <w:szCs w:val="32"/>
          <w:lang w:eastAsia="zh-CN"/>
        </w:rPr>
        <w:t>数的</w:t>
      </w:r>
      <w:r>
        <w:rPr>
          <w:rStyle w:val="29"/>
          <w:rFonts w:ascii="仿宋" w:eastAsia="仿宋" w:hint="eastAsia"/>
          <w:b w:val="0"/>
          <w:bCs/>
          <w:color w:val="000000"/>
          <w:sz w:val="32"/>
          <w:szCs w:val="32"/>
          <w:lang w:val="en-US" w:eastAsia="zh-CN"/>
        </w:rPr>
        <w:t>100</w:t>
      </w:r>
      <w:r>
        <w:rPr>
          <w:rStyle w:val="29"/>
          <w:rFonts w:ascii="仿宋" w:eastAsia="仿宋"/>
          <w:b w:val="0"/>
          <w:bCs/>
          <w:color w:val="000000"/>
          <w:sz w:val="32"/>
          <w:szCs w:val="32"/>
        </w:rPr>
        <w:t>%</w:t>
      </w:r>
      <w:r>
        <w:rPr>
          <w:rStyle w:val="29"/>
          <w:rFonts w:ascii="仿宋" w:eastAsia="仿宋" w:hint="eastAsia"/>
          <w:b w:val="0"/>
          <w:bCs/>
          <w:color w:val="000000"/>
          <w:sz w:val="32"/>
          <w:szCs w:val="32"/>
          <w:lang w:eastAsia="zh-CN"/>
        </w:rPr>
        <w:t>。</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7、</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自然灾害防治</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地质灾害防治</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29.60</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8、</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自然灾害救灾及恢复重建支出</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自然灾害救灾补助</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45</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9、</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自然灾害救灾及恢复重建支出</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自然灾害灾后重建补助</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710</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rPr>
      </w:pPr>
      <w:r>
        <w:rPr>
          <w:rStyle w:val="29"/>
          <w:rFonts w:ascii="仿宋" w:eastAsia="仿宋" w:hint="eastAsia"/>
          <w:bCs/>
          <w:color w:val="000000"/>
          <w:sz w:val="32"/>
          <w:szCs w:val="32"/>
          <w:lang w:val="en-US" w:eastAsia="zh-CN"/>
        </w:rPr>
        <w:t>10、</w:t>
      </w:r>
      <w:r>
        <w:rPr>
          <w:rStyle w:val="29"/>
          <w:rFonts w:ascii="仿宋" w:eastAsia="仿宋" w:hint="eastAsia"/>
          <w:bCs/>
          <w:color w:val="000000"/>
          <w:sz w:val="32"/>
          <w:szCs w:val="32"/>
          <w:lang w:eastAsia="zh-CN"/>
        </w:rPr>
        <w:t>灾害防治及应急管理</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消防救援事务</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消防应急救援</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363.46</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Style w:val="29"/>
          <w:rFonts w:ascii="仿宋" w:eastAsia="仿宋" w:hint="eastAsia"/>
          <w:b w:val="0"/>
          <w:bCs/>
          <w:color w:val="000000"/>
          <w:sz w:val="32"/>
          <w:szCs w:val="32"/>
        </w:rPr>
      </w:pPr>
      <w:r>
        <w:rPr>
          <w:rStyle w:val="29"/>
          <w:rFonts w:ascii="仿宋" w:eastAsia="仿宋" w:hint="eastAsia"/>
          <w:bCs/>
          <w:color w:val="000000"/>
          <w:sz w:val="32"/>
          <w:szCs w:val="32"/>
          <w:lang w:val="en-US" w:eastAsia="zh-CN"/>
        </w:rPr>
        <w:t>11、</w:t>
      </w:r>
      <w:r>
        <w:rPr>
          <w:rStyle w:val="29"/>
          <w:rFonts w:ascii="仿宋" w:eastAsia="仿宋" w:hint="eastAsia"/>
          <w:bCs/>
          <w:color w:val="000000"/>
          <w:sz w:val="32"/>
          <w:szCs w:val="32"/>
        </w:rPr>
        <w:t>社会保障和就业</w:t>
      </w:r>
      <w:r>
        <w:rPr>
          <w:rStyle w:val="29"/>
          <w:rFonts w:ascii="仿宋" w:eastAsia="仿宋" w:hint="eastAsia"/>
          <w:bCs/>
          <w:color w:val="000000"/>
          <w:sz w:val="32"/>
          <w:szCs w:val="32"/>
          <w:lang w:eastAsia="zh-CN"/>
        </w:rPr>
        <w:t>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行政事业单位养老支出</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机关事业单位基本养老保险缴费支出</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42.97</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Style w:val="29"/>
          <w:rFonts w:ascii="仿宋" w:eastAsia="仿宋" w:hint="eastAsia"/>
          <w:b w:val="0"/>
          <w:bCs/>
          <w:color w:val="000000"/>
          <w:sz w:val="32"/>
          <w:szCs w:val="32"/>
        </w:rPr>
        <w:t>。</w:t>
      </w:r>
    </w:p>
    <w:p>
      <w:pPr>
        <w:spacing w:line="600" w:lineRule="exact"/>
        <w:ind w:firstLine="640"/>
        <w:rPr>
          <w:rFonts w:ascii="仿宋" w:eastAsia="仿宋"/>
          <w:color w:val="000000"/>
          <w:sz w:val="32"/>
          <w:szCs w:val="32"/>
        </w:rPr>
      </w:pPr>
      <w:r>
        <w:rPr>
          <w:rStyle w:val="29"/>
          <w:rFonts w:ascii="仿宋" w:eastAsia="仿宋" w:hint="eastAsia"/>
          <w:bCs/>
          <w:color w:val="000000"/>
          <w:sz w:val="32"/>
          <w:szCs w:val="32"/>
          <w:lang w:val="en-US" w:eastAsia="zh-CN"/>
        </w:rPr>
        <w:t>12、</w:t>
      </w:r>
      <w:r>
        <w:rPr>
          <w:rStyle w:val="29"/>
          <w:rFonts w:ascii="仿宋" w:eastAsia="仿宋" w:hint="eastAsia"/>
          <w:bCs/>
          <w:color w:val="000000"/>
          <w:sz w:val="32"/>
          <w:szCs w:val="32"/>
        </w:rPr>
        <w:t>社会保障和就业</w:t>
      </w:r>
      <w:r>
        <w:rPr>
          <w:rStyle w:val="29"/>
          <w:rFonts w:ascii="仿宋" w:eastAsia="仿宋" w:hint="eastAsia"/>
          <w:bCs/>
          <w:color w:val="000000"/>
          <w:sz w:val="32"/>
          <w:szCs w:val="32"/>
          <w:lang w:eastAsia="zh-CN"/>
        </w:rPr>
        <w:t>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行政事业单位养老支出</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机关事业单位职业年金缴费支出</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b w:val="0"/>
          <w:bCs/>
          <w:color w:val="000000"/>
          <w:sz w:val="32"/>
          <w:szCs w:val="32"/>
        </w:rPr>
        <w:t xml:space="preserve"> </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21.63</w:t>
      </w:r>
      <w:r>
        <w:rPr>
          <w:rStyle w:val="29"/>
          <w:rFonts w:ascii="仿宋" w:eastAsia="仿宋" w:hint="eastAsia"/>
          <w:b w:val="0"/>
          <w:bCs/>
          <w:color w:val="000000"/>
          <w:sz w:val="32"/>
          <w:szCs w:val="32"/>
        </w:rPr>
        <w:t>万元，</w:t>
      </w:r>
      <w:r>
        <w:rPr>
          <w:rFonts w:ascii="仿宋" w:eastAsia="仿宋" w:hint="eastAsia"/>
          <w:color w:val="000000"/>
          <w:sz w:val="32"/>
          <w:szCs w:val="32"/>
        </w:rPr>
        <w:t>完成</w:t>
      </w:r>
      <w:r>
        <w:rPr>
          <w:rFonts w:ascii="仿宋" w:eastAsia="仿宋" w:hint="eastAsia"/>
          <w:color w:val="000000"/>
          <w:sz w:val="32"/>
          <w:szCs w:val="32"/>
          <w:lang w:eastAsia="zh-CN"/>
        </w:rPr>
        <w:t>调整</w:t>
      </w:r>
      <w:r>
        <w:rPr>
          <w:rFonts w:ascii="仿宋" w:eastAsia="仿宋" w:hint="eastAsia"/>
          <w:color w:val="000000"/>
          <w:sz w:val="32"/>
          <w:szCs w:val="32"/>
        </w:rPr>
        <w:t>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eastAsia="zh-CN"/>
        </w:rPr>
        <w:t>等于调整</w:t>
      </w:r>
      <w:r>
        <w:rPr>
          <w:rFonts w:ascii="仿宋" w:eastAsia="仿宋" w:hint="eastAsia"/>
          <w:color w:val="000000"/>
          <w:sz w:val="32"/>
          <w:szCs w:val="32"/>
        </w:rPr>
        <w:t>预算数。</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13、</w:t>
      </w:r>
      <w:r>
        <w:rPr>
          <w:rStyle w:val="29"/>
          <w:rFonts w:ascii="仿宋" w:eastAsia="仿宋" w:hint="eastAsia"/>
          <w:bCs/>
          <w:color w:val="000000"/>
          <w:sz w:val="32"/>
          <w:szCs w:val="32"/>
          <w:lang w:eastAsia="zh-CN"/>
        </w:rPr>
        <w:t>卫生健康支出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行政事业单位医疗</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行政单位医疗</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16.63</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14、</w:t>
      </w:r>
      <w:r>
        <w:rPr>
          <w:rStyle w:val="29"/>
          <w:rFonts w:ascii="仿宋" w:eastAsia="仿宋" w:hint="eastAsia"/>
          <w:bCs/>
          <w:color w:val="000000"/>
          <w:sz w:val="32"/>
          <w:szCs w:val="32"/>
          <w:lang w:eastAsia="zh-CN"/>
        </w:rPr>
        <w:t>卫生健康支出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行政事业单位医疗</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事业单位医疗</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3.91</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hint="eastAsia"/>
          <w:color w:val="000000"/>
          <w:sz w:val="32"/>
          <w:szCs w:val="32"/>
        </w:rPr>
      </w:pPr>
      <w:r>
        <w:rPr>
          <w:rStyle w:val="29"/>
          <w:rFonts w:ascii="仿宋" w:eastAsia="仿宋" w:hint="eastAsia"/>
          <w:bCs/>
          <w:color w:val="000000"/>
          <w:sz w:val="32"/>
          <w:szCs w:val="32"/>
          <w:lang w:val="en-US" w:eastAsia="zh-CN"/>
        </w:rPr>
        <w:t>15、</w:t>
      </w:r>
      <w:r>
        <w:rPr>
          <w:rStyle w:val="29"/>
          <w:rFonts w:ascii="仿宋" w:eastAsia="仿宋" w:hint="eastAsia"/>
          <w:bCs/>
          <w:color w:val="000000"/>
          <w:sz w:val="32"/>
          <w:szCs w:val="32"/>
          <w:lang w:eastAsia="zh-CN"/>
        </w:rPr>
        <w:t>卫生健康支出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行政事业单位医疗</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公务员医疗补助</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4.19</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rPr>
      </w:pPr>
      <w:r>
        <w:rPr>
          <w:rStyle w:val="29"/>
          <w:rFonts w:ascii="仿宋" w:eastAsia="仿宋" w:hint="eastAsia"/>
          <w:bCs/>
          <w:color w:val="000000"/>
          <w:sz w:val="32"/>
          <w:szCs w:val="32"/>
          <w:lang w:val="en-US" w:eastAsia="zh-CN"/>
        </w:rPr>
        <w:t>16、</w:t>
      </w:r>
      <w:r>
        <w:rPr>
          <w:rStyle w:val="29"/>
          <w:rFonts w:ascii="仿宋" w:eastAsia="仿宋" w:hint="eastAsia"/>
          <w:bCs/>
          <w:color w:val="000000"/>
          <w:sz w:val="32"/>
          <w:szCs w:val="32"/>
          <w:lang w:eastAsia="zh-CN"/>
        </w:rPr>
        <w:t>卫生健康支出</w:t>
      </w:r>
      <w:r>
        <w:rPr>
          <w:rStyle w:val="29"/>
          <w:rFonts w:ascii="仿宋" w:eastAsia="仿宋" w:hint="eastAsia"/>
          <w:bCs/>
          <w:color w:val="000000"/>
          <w:sz w:val="32"/>
          <w:szCs w:val="32"/>
        </w:rPr>
        <w:t>（类）</w:t>
      </w:r>
      <w:r>
        <w:rPr>
          <w:rStyle w:val="29"/>
          <w:rFonts w:ascii="仿宋" w:eastAsia="仿宋" w:hint="eastAsia"/>
          <w:bCs/>
          <w:color w:val="000000"/>
          <w:sz w:val="32"/>
          <w:szCs w:val="32"/>
          <w:lang w:val="en-US" w:eastAsia="zh-CN"/>
        </w:rPr>
        <w:t>行政事业单位医疗</w:t>
      </w:r>
      <w:r>
        <w:rPr>
          <w:rStyle w:val="29"/>
          <w:rFonts w:ascii="仿宋" w:eastAsia="仿宋" w:hint="eastAsia"/>
          <w:bCs/>
          <w:color w:val="000000"/>
          <w:sz w:val="32"/>
          <w:szCs w:val="32"/>
        </w:rPr>
        <w:t>（款）</w:t>
      </w:r>
      <w:r>
        <w:rPr>
          <w:rStyle w:val="29"/>
          <w:rFonts w:ascii="仿宋" w:eastAsia="仿宋" w:hint="eastAsia"/>
          <w:bCs/>
          <w:color w:val="000000"/>
          <w:sz w:val="32"/>
          <w:szCs w:val="32"/>
          <w:lang w:val="en-US" w:eastAsia="zh-CN"/>
        </w:rPr>
        <w:t>其他行政事业单位医疗支出</w:t>
      </w:r>
      <w:r>
        <w:rPr>
          <w:rStyle w:val="29"/>
          <w:rFonts w:ascii="仿宋" w:eastAsia="仿宋" w:hint="eastAsia"/>
          <w:bCs/>
          <w:color w:val="000000"/>
          <w:sz w:val="32"/>
          <w:szCs w:val="32"/>
        </w:rPr>
        <w:t>（项）</w:t>
      </w:r>
      <w:r>
        <w:rPr>
          <w:rStyle w:val="29"/>
          <w:rFonts w:ascii="仿宋" w:eastAsia="仿宋"/>
          <w:bCs/>
          <w:color w:val="000000"/>
          <w:sz w:val="32"/>
          <w:szCs w:val="32"/>
        </w:rPr>
        <w:t>:</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1.10</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rPr>
      </w:pPr>
      <w:bookmarkStart w:id="39" w:name="_Toc15396608"/>
      <w:bookmarkStart w:id="40" w:name="_Toc15377214"/>
      <w:r>
        <w:rPr>
          <w:rStyle w:val="29"/>
          <w:rFonts w:ascii="仿宋" w:eastAsia="仿宋" w:hint="eastAsia"/>
          <w:bCs/>
          <w:color w:val="000000"/>
          <w:sz w:val="32"/>
          <w:szCs w:val="32"/>
          <w:lang w:val="en-US" w:eastAsia="zh-CN"/>
        </w:rPr>
        <w:t>17、住房保障支出（类）住房改革支出（款）住房公积金（项）：</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38.96</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lang w:val="en-US" w:eastAsia="zh-CN"/>
        </w:rPr>
      </w:pPr>
      <w:r>
        <w:rPr>
          <w:rStyle w:val="29"/>
          <w:rFonts w:ascii="仿宋" w:eastAsia="仿宋" w:hint="eastAsia"/>
          <w:bCs/>
          <w:color w:val="000000"/>
          <w:sz w:val="32"/>
          <w:szCs w:val="32"/>
          <w:lang w:val="en-US" w:eastAsia="zh-CN"/>
        </w:rPr>
        <w:t>18、教育支出（类）进修及培训（款）培训支出（项）：</w:t>
      </w:r>
      <w:r>
        <w:rPr>
          <w:rStyle w:val="29"/>
          <w:rFonts w:ascii="仿宋" w:eastAsia="仿宋" w:hint="eastAsia"/>
          <w:b w:val="0"/>
          <w:bCs/>
          <w:color w:val="000000"/>
          <w:sz w:val="32"/>
          <w:szCs w:val="32"/>
        </w:rPr>
        <w:t>支出决算为</w:t>
      </w:r>
      <w:r>
        <w:rPr>
          <w:rStyle w:val="29"/>
          <w:rFonts w:ascii="仿宋" w:eastAsia="仿宋" w:hint="eastAsia"/>
          <w:b w:val="0"/>
          <w:bCs/>
          <w:color w:val="000000"/>
          <w:sz w:val="32"/>
          <w:szCs w:val="32"/>
          <w:lang w:val="en-US" w:eastAsia="zh-CN"/>
        </w:rPr>
        <w:t>1.73</w:t>
      </w:r>
      <w:r>
        <w:rPr>
          <w:rStyle w:val="29"/>
          <w:rFonts w:ascii="仿宋" w:eastAsia="仿宋" w:hint="eastAsia"/>
          <w:b w:val="0"/>
          <w:bCs/>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9"/>
      <w:bookmarkEnd w:id="40"/>
      <w:r>
        <w:rPr>
          <w:rStyle w:val="2Char"/>
          <w:rFonts w:ascii="黑体" w:eastAsia="黑体"/>
          <w:b w:val="0"/>
        </w:rPr>
        <w:tab/>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lang w:val="en-US" w:eastAsia="zh-CN"/>
        </w:rPr>
        <w:t>2022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575.33</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517.94</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109.25万元</w:t>
      </w:r>
      <w:r>
        <w:rPr>
          <w:rFonts w:ascii="仿宋" w:eastAsia="仿宋" w:hint="eastAsia"/>
          <w:color w:val="000000"/>
          <w:sz w:val="32"/>
          <w:szCs w:val="32"/>
        </w:rPr>
        <w:t>、津贴补贴</w:t>
      </w:r>
      <w:r>
        <w:rPr>
          <w:rFonts w:ascii="仿宋" w:eastAsia="仿宋" w:hint="eastAsia"/>
          <w:color w:val="000000"/>
          <w:sz w:val="32"/>
          <w:szCs w:val="32"/>
          <w:lang w:val="en-US" w:eastAsia="zh-CN"/>
        </w:rPr>
        <w:t>111.86万元</w:t>
      </w:r>
      <w:r>
        <w:rPr>
          <w:rFonts w:ascii="仿宋" w:eastAsia="仿宋" w:hint="eastAsia"/>
          <w:color w:val="000000"/>
          <w:sz w:val="32"/>
          <w:szCs w:val="32"/>
        </w:rPr>
        <w:t>、奖金</w:t>
      </w:r>
      <w:r>
        <w:rPr>
          <w:rFonts w:ascii="仿宋" w:eastAsia="仿宋" w:hint="eastAsia"/>
          <w:color w:val="000000"/>
          <w:sz w:val="32"/>
          <w:szCs w:val="32"/>
          <w:lang w:val="en-US" w:eastAsia="zh-CN"/>
        </w:rPr>
        <w:t>89.95万元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17.35万元、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42.97万元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21.63万元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职工基本医疗保险缴费20.53万元、公务员医疗补助缴费4.19万元、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6.31万元</w:t>
      </w:r>
      <w:r>
        <w:rPr>
          <w:rFonts w:ascii="仿宋" w:eastAsia="仿宋" w:hint="eastAsia"/>
          <w:color w:val="000000"/>
          <w:sz w:val="32"/>
          <w:szCs w:val="32"/>
        </w:rPr>
        <w:t>、住房公积金</w:t>
      </w:r>
      <w:r>
        <w:rPr>
          <w:rFonts w:ascii="仿宋" w:eastAsia="仿宋" w:hint="eastAsia"/>
          <w:color w:val="000000"/>
          <w:sz w:val="32"/>
          <w:szCs w:val="32"/>
          <w:lang w:val="en-US" w:eastAsia="zh-CN"/>
        </w:rPr>
        <w:t>38.96万元</w:t>
      </w:r>
      <w:r>
        <w:rPr>
          <w:rFonts w:ascii="仿宋" w:eastAsia="仿宋" w:hint="eastAsia"/>
          <w:color w:val="000000"/>
          <w:sz w:val="32"/>
          <w:szCs w:val="32"/>
        </w:rPr>
        <w:t>、生活补助</w:t>
      </w:r>
      <w:r>
        <w:rPr>
          <w:rFonts w:ascii="仿宋" w:eastAsia="仿宋" w:hint="eastAsia"/>
          <w:color w:val="000000"/>
          <w:sz w:val="32"/>
          <w:szCs w:val="32"/>
          <w:lang w:val="en-US" w:eastAsia="zh-CN"/>
        </w:rPr>
        <w:t>2.85万元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52.08万元</w:t>
      </w:r>
      <w:r>
        <w:rPr>
          <w:rFonts w:ascii="仿宋" w:eastAsia="仿宋" w:hint="eastAsia"/>
          <w:color w:val="000000"/>
          <w:sz w:val="32"/>
          <w:szCs w:val="32"/>
        </w:rPr>
        <w:t>等。</w:t>
      </w:r>
    </w:p>
    <w:p>
      <w:pPr>
        <w:spacing w:line="600" w:lineRule="exact"/>
        <w:ind w:left="0" w:firstLineChars="200" w:firstLine="640"/>
        <w:rPr>
          <w:rFonts w:eastAsia="宋体" w:hint="eastAsia"/>
          <w:lang w:val="en-US" w:eastAsia="zh-CN"/>
        </w:rPr>
      </w:pPr>
      <w:r>
        <w:rPr>
          <w:rFonts w:ascii="仿宋" w:eastAsia="仿宋" w:hint="eastAsia"/>
          <w:color w:val="000000"/>
          <w:sz w:val="32"/>
          <w:szCs w:val="32"/>
          <w:lang w:val="en-US" w:eastAsia="zh-CN"/>
        </w:rPr>
        <w:t>1、金川县应急管理局本级</w:t>
      </w:r>
      <w:r>
        <w:rPr>
          <w:rFonts w:ascii="仿宋" w:eastAsia="仿宋" w:hint="eastAsia"/>
          <w:color w:val="000000"/>
          <w:sz w:val="32"/>
          <w:szCs w:val="32"/>
        </w:rPr>
        <w:t>人员经费</w:t>
      </w:r>
      <w:r>
        <w:rPr>
          <w:rFonts w:ascii="仿宋" w:eastAsia="仿宋" w:hint="eastAsia"/>
          <w:color w:val="000000"/>
          <w:sz w:val="32"/>
          <w:szCs w:val="32"/>
          <w:lang w:val="en-US" w:eastAsia="zh-CN"/>
        </w:rPr>
        <w:t>231.87</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50.24万元</w:t>
      </w:r>
      <w:r>
        <w:rPr>
          <w:rFonts w:ascii="仿宋" w:eastAsia="仿宋" w:hint="eastAsia"/>
          <w:color w:val="000000"/>
          <w:sz w:val="32"/>
          <w:szCs w:val="32"/>
        </w:rPr>
        <w:t>、津贴补贴</w:t>
      </w:r>
      <w:r>
        <w:rPr>
          <w:rFonts w:ascii="仿宋" w:eastAsia="仿宋" w:hint="eastAsia"/>
          <w:color w:val="000000"/>
          <w:sz w:val="32"/>
          <w:szCs w:val="32"/>
          <w:lang w:val="en-US" w:eastAsia="zh-CN"/>
        </w:rPr>
        <w:t>54.51万元</w:t>
      </w:r>
      <w:r>
        <w:rPr>
          <w:rFonts w:ascii="仿宋" w:eastAsia="仿宋" w:hint="eastAsia"/>
          <w:color w:val="000000"/>
          <w:sz w:val="32"/>
          <w:szCs w:val="32"/>
        </w:rPr>
        <w:t>、奖金</w:t>
      </w:r>
      <w:r>
        <w:rPr>
          <w:rFonts w:ascii="仿宋" w:eastAsia="仿宋" w:hint="eastAsia"/>
          <w:color w:val="000000"/>
          <w:sz w:val="32"/>
          <w:szCs w:val="32"/>
          <w:lang w:val="en-US" w:eastAsia="zh-CN"/>
        </w:rPr>
        <w:t>38.10万元、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19.23万元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9.61万元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职工基本医疗保险缴费9.20万元、公务员医疗补助缴费2.51万元、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2.63万元</w:t>
      </w:r>
      <w:r>
        <w:rPr>
          <w:rFonts w:ascii="仿宋" w:eastAsia="仿宋" w:hint="eastAsia"/>
          <w:color w:val="000000"/>
          <w:sz w:val="32"/>
          <w:szCs w:val="32"/>
        </w:rPr>
        <w:t>、住房公积金</w:t>
      </w:r>
      <w:r>
        <w:rPr>
          <w:rFonts w:ascii="仿宋" w:eastAsia="仿宋" w:hint="eastAsia"/>
          <w:color w:val="000000"/>
          <w:sz w:val="32"/>
          <w:szCs w:val="32"/>
          <w:lang w:val="en-US" w:eastAsia="zh-CN"/>
        </w:rPr>
        <w:t>17.60万元</w:t>
      </w:r>
      <w:r>
        <w:rPr>
          <w:rFonts w:ascii="仿宋" w:eastAsia="仿宋" w:hint="eastAsia"/>
          <w:color w:val="000000"/>
          <w:sz w:val="32"/>
          <w:szCs w:val="32"/>
        </w:rPr>
        <w:t>、生活补助</w:t>
      </w:r>
      <w:r>
        <w:rPr>
          <w:rFonts w:ascii="仿宋" w:eastAsia="仿宋" w:hint="eastAsia"/>
          <w:color w:val="000000"/>
          <w:sz w:val="32"/>
          <w:szCs w:val="32"/>
          <w:lang w:val="en-US" w:eastAsia="zh-CN"/>
        </w:rPr>
        <w:t>2.85万元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25.40万元</w:t>
      </w:r>
      <w:r>
        <w:rPr>
          <w:rFonts w:ascii="仿宋" w:eastAsia="仿宋" w:hint="eastAsia"/>
          <w:color w:val="000000"/>
          <w:sz w:val="32"/>
          <w:szCs w:val="32"/>
        </w:rPr>
        <w:t>等。</w:t>
      </w:r>
    </w:p>
    <w:p>
      <w:pPr>
        <w:spacing w:line="600" w:lineRule="exact"/>
        <w:ind w:firstLine="645"/>
        <w:rPr>
          <w:lang w:val="en-US" w:eastAsia="zh-CN"/>
        </w:rPr>
      </w:pPr>
      <w:r>
        <w:rPr>
          <w:rFonts w:ascii="仿宋" w:eastAsia="仿宋" w:hint="eastAsia"/>
          <w:color w:val="000000"/>
          <w:sz w:val="32"/>
          <w:szCs w:val="32"/>
          <w:lang w:val="en-US" w:eastAsia="zh-CN"/>
        </w:rPr>
        <w:t>2、金川县应急管理保障中心人员经费185.90万元，</w:t>
      </w:r>
      <w:r>
        <w:rPr>
          <w:rFonts w:ascii="仿宋" w:eastAsia="仿宋" w:hint="eastAsia"/>
          <w:color w:val="000000"/>
          <w:sz w:val="32"/>
          <w:szCs w:val="32"/>
        </w:rPr>
        <w:t>主要包括：基本工资</w:t>
      </w:r>
      <w:r>
        <w:rPr>
          <w:rFonts w:ascii="仿宋" w:eastAsia="仿宋" w:hint="eastAsia"/>
          <w:color w:val="000000"/>
          <w:sz w:val="32"/>
          <w:szCs w:val="32"/>
          <w:lang w:val="en-US" w:eastAsia="zh-CN"/>
        </w:rPr>
        <w:t>40.07万元</w:t>
      </w:r>
      <w:r>
        <w:rPr>
          <w:rFonts w:ascii="仿宋" w:eastAsia="仿宋" w:hint="eastAsia"/>
          <w:color w:val="000000"/>
          <w:sz w:val="32"/>
          <w:szCs w:val="32"/>
        </w:rPr>
        <w:t>、津贴补贴</w:t>
      </w:r>
      <w:r>
        <w:rPr>
          <w:rFonts w:ascii="仿宋" w:eastAsia="仿宋" w:hint="eastAsia"/>
          <w:color w:val="000000"/>
          <w:sz w:val="32"/>
          <w:szCs w:val="32"/>
          <w:lang w:val="en-US" w:eastAsia="zh-CN"/>
        </w:rPr>
        <w:t>48.48万元</w:t>
      </w:r>
      <w:r>
        <w:rPr>
          <w:rFonts w:ascii="仿宋" w:eastAsia="仿宋" w:hint="eastAsia"/>
          <w:color w:val="000000"/>
          <w:sz w:val="32"/>
          <w:szCs w:val="32"/>
        </w:rPr>
        <w:t>、奖金</w:t>
      </w:r>
      <w:r>
        <w:rPr>
          <w:rFonts w:ascii="仿宋" w:eastAsia="仿宋" w:hint="eastAsia"/>
          <w:color w:val="000000"/>
          <w:sz w:val="32"/>
          <w:szCs w:val="32"/>
          <w:lang w:val="en-US" w:eastAsia="zh-CN"/>
        </w:rPr>
        <w:t>31.26万元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15.50万元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7.90万元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职工基本医疗保险缴费7.43万元、公务员医疗补助缴费1.68万元、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1.52万元</w:t>
      </w:r>
      <w:r>
        <w:rPr>
          <w:rFonts w:ascii="仿宋" w:eastAsia="仿宋" w:hint="eastAsia"/>
          <w:color w:val="000000"/>
          <w:sz w:val="32"/>
          <w:szCs w:val="32"/>
        </w:rPr>
        <w:t>、住房公积金</w:t>
      </w:r>
      <w:r>
        <w:rPr>
          <w:rFonts w:ascii="仿宋" w:eastAsia="仿宋" w:hint="eastAsia"/>
          <w:color w:val="000000"/>
          <w:sz w:val="32"/>
          <w:szCs w:val="32"/>
          <w:lang w:val="en-US" w:eastAsia="zh-CN"/>
        </w:rPr>
        <w:t>14.07万元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17.99万元</w:t>
      </w:r>
      <w:r>
        <w:rPr>
          <w:rFonts w:ascii="仿宋" w:eastAsia="仿宋" w:hint="eastAsia"/>
          <w:color w:val="000000"/>
          <w:sz w:val="32"/>
          <w:szCs w:val="32"/>
        </w:rPr>
        <w:t>等。</w:t>
      </w:r>
    </w:p>
    <w:p>
      <w:pPr>
        <w:spacing w:line="600" w:lineRule="exact"/>
        <w:ind w:firstLine="645"/>
        <w:rPr>
          <w:rFonts w:eastAsia="仿宋" w:hint="eastAsia"/>
          <w:lang w:val="en-US" w:eastAsia="zh-CN"/>
        </w:rPr>
      </w:pPr>
      <w:r>
        <w:rPr>
          <w:rFonts w:ascii="仿宋" w:eastAsia="仿宋" w:hint="eastAsia"/>
          <w:color w:val="000000"/>
          <w:sz w:val="32"/>
          <w:szCs w:val="32"/>
          <w:lang w:val="en-US" w:eastAsia="zh-CN"/>
        </w:rPr>
        <w:t>3、金川县综合应急救援服务工作中心人员经费100.17万元，</w:t>
      </w:r>
      <w:r>
        <w:rPr>
          <w:rFonts w:ascii="仿宋" w:eastAsia="仿宋" w:hint="eastAsia"/>
          <w:color w:val="000000"/>
          <w:sz w:val="32"/>
          <w:szCs w:val="32"/>
        </w:rPr>
        <w:t>主要包括：基本工资</w:t>
      </w:r>
      <w:r>
        <w:rPr>
          <w:rFonts w:ascii="仿宋" w:eastAsia="仿宋" w:hint="eastAsia"/>
          <w:color w:val="000000"/>
          <w:sz w:val="32"/>
          <w:szCs w:val="32"/>
          <w:lang w:val="en-US" w:eastAsia="zh-CN"/>
        </w:rPr>
        <w:t>18.95万元</w:t>
      </w:r>
      <w:r>
        <w:rPr>
          <w:rFonts w:ascii="仿宋" w:eastAsia="仿宋" w:hint="eastAsia"/>
          <w:color w:val="000000"/>
          <w:sz w:val="32"/>
          <w:szCs w:val="32"/>
        </w:rPr>
        <w:t>、津贴补贴</w:t>
      </w:r>
      <w:r>
        <w:rPr>
          <w:rFonts w:ascii="仿宋" w:eastAsia="仿宋" w:hint="eastAsia"/>
          <w:color w:val="000000"/>
          <w:sz w:val="32"/>
          <w:szCs w:val="32"/>
          <w:lang w:val="en-US" w:eastAsia="zh-CN"/>
        </w:rPr>
        <w:t>8.88万元</w:t>
      </w:r>
      <w:r>
        <w:rPr>
          <w:rFonts w:ascii="仿宋" w:eastAsia="仿宋" w:hint="eastAsia"/>
          <w:color w:val="000000"/>
          <w:sz w:val="32"/>
          <w:szCs w:val="32"/>
        </w:rPr>
        <w:t>、奖金</w:t>
      </w:r>
      <w:r>
        <w:rPr>
          <w:rFonts w:ascii="仿宋" w:eastAsia="仿宋" w:hint="eastAsia"/>
          <w:color w:val="000000"/>
          <w:sz w:val="32"/>
          <w:szCs w:val="32"/>
          <w:lang w:val="en-US" w:eastAsia="zh-CN"/>
        </w:rPr>
        <w:t>20.59万元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17.35万元、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8.24万元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4.12万元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职工基本医疗保险缴费3.91万元、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2.16万元</w:t>
      </w:r>
      <w:r>
        <w:rPr>
          <w:rFonts w:ascii="仿宋" w:eastAsia="仿宋" w:hint="eastAsia"/>
          <w:color w:val="000000"/>
          <w:sz w:val="32"/>
          <w:szCs w:val="32"/>
        </w:rPr>
        <w:t>、住房公积金</w:t>
      </w:r>
      <w:r>
        <w:rPr>
          <w:rFonts w:ascii="仿宋" w:eastAsia="仿宋" w:hint="eastAsia"/>
          <w:color w:val="000000"/>
          <w:sz w:val="32"/>
          <w:szCs w:val="32"/>
          <w:lang w:val="en-US" w:eastAsia="zh-CN"/>
        </w:rPr>
        <w:t>7.29万元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8.68万元</w:t>
      </w:r>
      <w:r>
        <w:rPr>
          <w:rFonts w:ascii="仿宋" w:eastAsia="仿宋" w:hint="eastAsia"/>
          <w:color w:val="000000"/>
          <w:sz w:val="32"/>
          <w:szCs w:val="32"/>
        </w:rPr>
        <w:t>等。</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57.39</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8.72万元、印刷费3.63万元、水费0.5万元、</w:t>
      </w:r>
      <w:r>
        <w:rPr>
          <w:rFonts w:ascii="仿宋" w:eastAsia="仿宋" w:hint="eastAsia"/>
          <w:color w:val="000000"/>
          <w:sz w:val="32"/>
          <w:szCs w:val="32"/>
        </w:rPr>
        <w:t>电费</w:t>
      </w:r>
      <w:r>
        <w:rPr>
          <w:rFonts w:ascii="仿宋" w:eastAsia="仿宋" w:hint="eastAsia"/>
          <w:color w:val="000000"/>
          <w:sz w:val="32"/>
          <w:szCs w:val="32"/>
          <w:lang w:val="en-US" w:eastAsia="zh-CN"/>
        </w:rPr>
        <w:t>2万元</w:t>
      </w:r>
      <w:r>
        <w:rPr>
          <w:rFonts w:ascii="仿宋" w:eastAsia="仿宋" w:hint="eastAsia"/>
          <w:color w:val="000000"/>
          <w:sz w:val="32"/>
          <w:szCs w:val="32"/>
        </w:rPr>
        <w:t>、邮电费</w:t>
      </w:r>
      <w:r>
        <w:rPr>
          <w:rFonts w:ascii="仿宋" w:eastAsia="仿宋" w:hint="eastAsia"/>
          <w:color w:val="000000"/>
          <w:sz w:val="32"/>
          <w:szCs w:val="32"/>
          <w:lang w:val="en-US" w:eastAsia="zh-CN"/>
        </w:rPr>
        <w:t>4万元</w:t>
      </w:r>
      <w:r>
        <w:rPr>
          <w:rFonts w:ascii="仿宋" w:eastAsia="仿宋" w:hint="eastAsia"/>
          <w:color w:val="000000"/>
          <w:sz w:val="32"/>
          <w:szCs w:val="32"/>
        </w:rPr>
        <w:t>、差旅费</w:t>
      </w:r>
      <w:r>
        <w:rPr>
          <w:rFonts w:ascii="仿宋" w:eastAsia="仿宋" w:hint="eastAsia"/>
          <w:color w:val="000000"/>
          <w:sz w:val="32"/>
          <w:szCs w:val="32"/>
          <w:lang w:val="en-US" w:eastAsia="zh-CN"/>
        </w:rPr>
        <w:t>8.99万元</w:t>
      </w:r>
      <w:r>
        <w:rPr>
          <w:rFonts w:ascii="仿宋" w:eastAsia="仿宋" w:hint="eastAsia"/>
          <w:color w:val="000000"/>
          <w:sz w:val="32"/>
          <w:szCs w:val="32"/>
        </w:rPr>
        <w:t>、维修（护）费</w:t>
      </w:r>
      <w:r>
        <w:rPr>
          <w:rFonts w:ascii="仿宋" w:eastAsia="仿宋" w:hint="eastAsia"/>
          <w:color w:val="000000"/>
          <w:sz w:val="32"/>
          <w:szCs w:val="32"/>
          <w:lang w:val="en-US" w:eastAsia="zh-CN"/>
        </w:rPr>
        <w:t>1万元</w:t>
      </w:r>
      <w:r>
        <w:rPr>
          <w:rFonts w:ascii="仿宋" w:eastAsia="仿宋" w:hint="eastAsia"/>
          <w:color w:val="000000"/>
          <w:sz w:val="32"/>
          <w:szCs w:val="32"/>
        </w:rPr>
        <w:t>、</w:t>
      </w:r>
      <w:r>
        <w:rPr>
          <w:rFonts w:ascii="仿宋" w:eastAsia="仿宋" w:hint="eastAsia"/>
          <w:color w:val="000000"/>
          <w:sz w:val="32"/>
          <w:szCs w:val="32"/>
          <w:lang w:eastAsia="zh-CN"/>
        </w:rPr>
        <w:t>会议费</w:t>
      </w:r>
      <w:r>
        <w:rPr>
          <w:rFonts w:ascii="仿宋" w:eastAsia="仿宋" w:hint="eastAsia"/>
          <w:color w:val="000000"/>
          <w:sz w:val="32"/>
          <w:szCs w:val="32"/>
          <w:lang w:val="en-US" w:eastAsia="zh-CN"/>
        </w:rPr>
        <w:t>0.14万元、</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10.87万元、委托业务费3万元、福利费0.5万元、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3.01万元、其他交通费用6.19万元、办公设备购置4.83万元。</w:t>
      </w:r>
    </w:p>
    <w:p>
      <w:pPr>
        <w:spacing w:line="600" w:lineRule="exact"/>
        <w:ind w:firstLine="645"/>
        <w:rPr>
          <w:rFonts w:eastAsia="宋体" w:hint="eastAsia"/>
          <w:lang w:val="en-US" w:eastAsia="zh-CN"/>
        </w:rPr>
      </w:pPr>
      <w:r>
        <w:rPr>
          <w:rFonts w:ascii="仿宋" w:eastAsia="仿宋" w:hint="eastAsia"/>
          <w:color w:val="000000"/>
          <w:sz w:val="32"/>
          <w:szCs w:val="32"/>
          <w:lang w:val="en-US" w:eastAsia="zh-CN"/>
        </w:rPr>
        <w:t>1、金川县应急管理局本级</w:t>
      </w:r>
      <w:r>
        <w:rPr>
          <w:rFonts w:ascii="仿宋" w:eastAsia="仿宋" w:hint="eastAsia"/>
          <w:color w:val="000000"/>
          <w:sz w:val="32"/>
          <w:szCs w:val="32"/>
          <w:lang w:eastAsia="zh-CN"/>
        </w:rPr>
        <w:t>公用经费</w:t>
      </w:r>
      <w:r>
        <w:rPr>
          <w:rFonts w:ascii="仿宋" w:eastAsia="仿宋" w:hint="eastAsia"/>
          <w:color w:val="000000"/>
          <w:sz w:val="32"/>
          <w:szCs w:val="32"/>
          <w:lang w:val="en-US" w:eastAsia="zh-CN"/>
        </w:rPr>
        <w:t>23.71万</w:t>
      </w:r>
      <w:r>
        <w:rPr>
          <w:rFonts w:ascii="仿宋" w:eastAsia="仿宋" w:hint="eastAsia"/>
          <w:color w:val="000000"/>
          <w:sz w:val="32"/>
          <w:szCs w:val="32"/>
        </w:rPr>
        <w:t>元，主要包括：办公费</w:t>
      </w:r>
      <w:r>
        <w:rPr>
          <w:rFonts w:ascii="仿宋" w:eastAsia="仿宋" w:hint="eastAsia"/>
          <w:color w:val="000000"/>
          <w:sz w:val="32"/>
          <w:szCs w:val="32"/>
          <w:lang w:val="en-US" w:eastAsia="zh-CN"/>
        </w:rPr>
        <w:t>3.62万元、印刷费1.42万元、水费0.21万元、</w:t>
      </w:r>
      <w:r>
        <w:rPr>
          <w:rFonts w:ascii="仿宋" w:eastAsia="仿宋" w:hint="eastAsia"/>
          <w:color w:val="000000"/>
          <w:sz w:val="32"/>
          <w:szCs w:val="32"/>
        </w:rPr>
        <w:t>电费</w:t>
      </w:r>
      <w:r>
        <w:rPr>
          <w:rFonts w:ascii="仿宋" w:eastAsia="仿宋" w:hint="eastAsia"/>
          <w:color w:val="000000"/>
          <w:sz w:val="32"/>
          <w:szCs w:val="32"/>
          <w:lang w:val="en-US" w:eastAsia="zh-CN"/>
        </w:rPr>
        <w:t>0.86万元</w:t>
      </w:r>
      <w:r>
        <w:rPr>
          <w:rFonts w:ascii="仿宋" w:eastAsia="仿宋" w:hint="eastAsia"/>
          <w:color w:val="000000"/>
          <w:sz w:val="32"/>
          <w:szCs w:val="32"/>
        </w:rPr>
        <w:t>、邮电费</w:t>
      </w:r>
      <w:r>
        <w:rPr>
          <w:rFonts w:ascii="仿宋" w:eastAsia="仿宋" w:hint="eastAsia"/>
          <w:color w:val="000000"/>
          <w:sz w:val="32"/>
          <w:szCs w:val="32"/>
          <w:lang w:val="en-US" w:eastAsia="zh-CN"/>
        </w:rPr>
        <w:t>1.72万元</w:t>
      </w:r>
      <w:r>
        <w:rPr>
          <w:rFonts w:ascii="仿宋" w:eastAsia="仿宋" w:hint="eastAsia"/>
          <w:color w:val="000000"/>
          <w:sz w:val="32"/>
          <w:szCs w:val="32"/>
        </w:rPr>
        <w:t>、差旅费</w:t>
      </w:r>
      <w:r>
        <w:rPr>
          <w:rFonts w:ascii="仿宋" w:eastAsia="仿宋" w:hint="eastAsia"/>
          <w:color w:val="000000"/>
          <w:sz w:val="32"/>
          <w:szCs w:val="32"/>
          <w:lang w:val="en-US" w:eastAsia="zh-CN"/>
        </w:rPr>
        <w:t>3.67万元</w:t>
      </w:r>
      <w:r>
        <w:rPr>
          <w:rFonts w:ascii="仿宋" w:eastAsia="仿宋" w:hint="eastAsia"/>
          <w:color w:val="000000"/>
          <w:sz w:val="32"/>
          <w:szCs w:val="32"/>
        </w:rPr>
        <w:t>、维修（护）费</w:t>
      </w:r>
      <w:r>
        <w:rPr>
          <w:rFonts w:ascii="仿宋" w:eastAsia="仿宋" w:hint="eastAsia"/>
          <w:color w:val="000000"/>
          <w:sz w:val="32"/>
          <w:szCs w:val="32"/>
          <w:lang w:val="en-US" w:eastAsia="zh-CN"/>
        </w:rPr>
        <w:t>0.43万元</w:t>
      </w:r>
      <w:r>
        <w:rPr>
          <w:rFonts w:ascii="仿宋" w:eastAsia="仿宋" w:hint="eastAsia"/>
          <w:color w:val="000000"/>
          <w:sz w:val="32"/>
          <w:szCs w:val="32"/>
        </w:rPr>
        <w:t>、</w:t>
      </w:r>
      <w:r>
        <w:rPr>
          <w:rFonts w:ascii="仿宋" w:eastAsia="仿宋" w:hint="eastAsia"/>
          <w:color w:val="000000"/>
          <w:sz w:val="32"/>
          <w:szCs w:val="32"/>
          <w:lang w:eastAsia="zh-CN"/>
        </w:rPr>
        <w:t>会议费</w:t>
      </w:r>
      <w:r>
        <w:rPr>
          <w:rFonts w:ascii="仿宋" w:eastAsia="仿宋" w:hint="eastAsia"/>
          <w:color w:val="000000"/>
          <w:sz w:val="32"/>
          <w:szCs w:val="32"/>
          <w:lang w:val="en-US" w:eastAsia="zh-CN"/>
        </w:rPr>
        <w:t>0.14万元、</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4.60万元、委托业务费1.29万元、福利费0.22万元、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3.01万元、其他交通费用0.53万元、办公设备购置2万元。</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val="en-US" w:eastAsia="zh-CN"/>
        </w:rPr>
        <w:t>2、金川县应急管理保障中心公用经费18.77万元，</w:t>
      </w:r>
      <w:r>
        <w:rPr>
          <w:rFonts w:ascii="仿宋" w:eastAsia="仿宋" w:hint="eastAsia"/>
          <w:color w:val="000000"/>
          <w:sz w:val="32"/>
          <w:szCs w:val="32"/>
        </w:rPr>
        <w:t>主要包括：办公费</w:t>
      </w:r>
      <w:r>
        <w:rPr>
          <w:rFonts w:ascii="仿宋" w:eastAsia="仿宋" w:hint="eastAsia"/>
          <w:color w:val="000000"/>
          <w:sz w:val="32"/>
          <w:szCs w:val="32"/>
          <w:lang w:val="en-US" w:eastAsia="zh-CN"/>
        </w:rPr>
        <w:t>2.87万元、印刷费1.21万元、水费0.16万元、</w:t>
      </w:r>
      <w:r>
        <w:rPr>
          <w:rFonts w:ascii="仿宋" w:eastAsia="仿宋" w:hint="eastAsia"/>
          <w:color w:val="000000"/>
          <w:sz w:val="32"/>
          <w:szCs w:val="32"/>
        </w:rPr>
        <w:t>电费</w:t>
      </w:r>
      <w:r>
        <w:rPr>
          <w:rFonts w:ascii="仿宋" w:eastAsia="仿宋" w:hint="eastAsia"/>
          <w:color w:val="000000"/>
          <w:sz w:val="32"/>
          <w:szCs w:val="32"/>
          <w:lang w:val="en-US" w:eastAsia="zh-CN"/>
        </w:rPr>
        <w:t>0.64万元</w:t>
      </w:r>
      <w:r>
        <w:rPr>
          <w:rFonts w:ascii="仿宋" w:eastAsia="仿宋" w:hint="eastAsia"/>
          <w:color w:val="000000"/>
          <w:sz w:val="32"/>
          <w:szCs w:val="32"/>
        </w:rPr>
        <w:t>、邮电费</w:t>
      </w:r>
      <w:r>
        <w:rPr>
          <w:rFonts w:ascii="仿宋" w:eastAsia="仿宋" w:hint="eastAsia"/>
          <w:color w:val="000000"/>
          <w:sz w:val="32"/>
          <w:szCs w:val="32"/>
          <w:lang w:val="en-US" w:eastAsia="zh-CN"/>
        </w:rPr>
        <w:t>1.28万元</w:t>
      </w:r>
      <w:r>
        <w:rPr>
          <w:rFonts w:ascii="仿宋" w:eastAsia="仿宋" w:hint="eastAsia"/>
          <w:color w:val="000000"/>
          <w:sz w:val="32"/>
          <w:szCs w:val="32"/>
        </w:rPr>
        <w:t>、差旅费</w:t>
      </w:r>
      <w:r>
        <w:rPr>
          <w:rFonts w:ascii="仿宋" w:eastAsia="仿宋" w:hint="eastAsia"/>
          <w:color w:val="000000"/>
          <w:sz w:val="32"/>
          <w:szCs w:val="32"/>
          <w:lang w:val="en-US" w:eastAsia="zh-CN"/>
        </w:rPr>
        <w:t>2.88万元</w:t>
      </w:r>
      <w:r>
        <w:rPr>
          <w:rFonts w:ascii="仿宋" w:eastAsia="仿宋" w:hint="eastAsia"/>
          <w:color w:val="000000"/>
          <w:sz w:val="32"/>
          <w:szCs w:val="32"/>
        </w:rPr>
        <w:t>、维修（护）费</w:t>
      </w:r>
      <w:r>
        <w:rPr>
          <w:rFonts w:ascii="仿宋" w:eastAsia="仿宋" w:hint="eastAsia"/>
          <w:color w:val="000000"/>
          <w:sz w:val="32"/>
          <w:szCs w:val="32"/>
          <w:lang w:val="en-US" w:eastAsia="zh-CN"/>
        </w:rPr>
        <w:t>0.32万元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3.52万元、委托业务费0.96万元、福利费0.16万元、其他交通费用3.16万元、办公设备购置1.6万元。</w:t>
      </w:r>
    </w:p>
    <w:p>
      <w:pPr>
        <w:spacing w:line="600" w:lineRule="exact"/>
        <w:ind w:firstLine="645"/>
        <w:rPr>
          <w:rFonts w:hint="eastAsia"/>
          <w:lang w:val="en-US" w:eastAsia="zh-CN"/>
        </w:rPr>
      </w:pPr>
      <w:r>
        <w:rPr>
          <w:rFonts w:ascii="仿宋" w:eastAsia="仿宋" w:hint="eastAsia"/>
          <w:color w:val="000000"/>
          <w:sz w:val="32"/>
          <w:szCs w:val="32"/>
          <w:lang w:val="en-US" w:eastAsia="zh-CN"/>
        </w:rPr>
        <w:t>3、金川县综合应急救援服务工作中心公用经费14.91万元，</w:t>
      </w:r>
      <w:r>
        <w:rPr>
          <w:rFonts w:ascii="仿宋" w:eastAsia="仿宋" w:hint="eastAsia"/>
          <w:color w:val="000000"/>
          <w:sz w:val="32"/>
          <w:szCs w:val="32"/>
        </w:rPr>
        <w:t>主要包括：办公费</w:t>
      </w:r>
      <w:r>
        <w:rPr>
          <w:rFonts w:ascii="仿宋" w:eastAsia="仿宋" w:hint="eastAsia"/>
          <w:color w:val="000000"/>
          <w:sz w:val="32"/>
          <w:szCs w:val="32"/>
          <w:lang w:val="en-US" w:eastAsia="zh-CN"/>
        </w:rPr>
        <w:t>2.23万元、印刷费1万元、水费0.13万元、</w:t>
      </w:r>
      <w:r>
        <w:rPr>
          <w:rFonts w:ascii="仿宋" w:eastAsia="仿宋" w:hint="eastAsia"/>
          <w:color w:val="000000"/>
          <w:sz w:val="32"/>
          <w:szCs w:val="32"/>
        </w:rPr>
        <w:t>电费</w:t>
      </w:r>
      <w:r>
        <w:rPr>
          <w:rFonts w:ascii="仿宋" w:eastAsia="仿宋" w:hint="eastAsia"/>
          <w:color w:val="000000"/>
          <w:sz w:val="32"/>
          <w:szCs w:val="32"/>
          <w:lang w:val="en-US" w:eastAsia="zh-CN"/>
        </w:rPr>
        <w:t>0.5万元</w:t>
      </w:r>
      <w:r>
        <w:rPr>
          <w:rFonts w:ascii="仿宋" w:eastAsia="仿宋" w:hint="eastAsia"/>
          <w:color w:val="000000"/>
          <w:sz w:val="32"/>
          <w:szCs w:val="32"/>
        </w:rPr>
        <w:t>、邮电费</w:t>
      </w:r>
      <w:r>
        <w:rPr>
          <w:rFonts w:ascii="仿宋" w:eastAsia="仿宋" w:hint="eastAsia"/>
          <w:color w:val="000000"/>
          <w:sz w:val="32"/>
          <w:szCs w:val="32"/>
          <w:lang w:val="en-US" w:eastAsia="zh-CN"/>
        </w:rPr>
        <w:t>1万元</w:t>
      </w:r>
      <w:r>
        <w:rPr>
          <w:rFonts w:ascii="仿宋" w:eastAsia="仿宋" w:hint="eastAsia"/>
          <w:color w:val="000000"/>
          <w:sz w:val="32"/>
          <w:szCs w:val="32"/>
        </w:rPr>
        <w:t>、差旅费</w:t>
      </w:r>
      <w:r>
        <w:rPr>
          <w:rFonts w:ascii="仿宋" w:eastAsia="仿宋" w:hint="eastAsia"/>
          <w:color w:val="000000"/>
          <w:sz w:val="32"/>
          <w:szCs w:val="32"/>
          <w:lang w:val="en-US" w:eastAsia="zh-CN"/>
        </w:rPr>
        <w:t>2.45万元</w:t>
      </w:r>
      <w:r>
        <w:rPr>
          <w:rFonts w:ascii="仿宋" w:eastAsia="仿宋" w:hint="eastAsia"/>
          <w:color w:val="000000"/>
          <w:sz w:val="32"/>
          <w:szCs w:val="32"/>
        </w:rPr>
        <w:t>、维修（护）费</w:t>
      </w:r>
      <w:r>
        <w:rPr>
          <w:rFonts w:ascii="仿宋" w:eastAsia="仿宋" w:hint="eastAsia"/>
          <w:color w:val="000000"/>
          <w:sz w:val="32"/>
          <w:szCs w:val="32"/>
          <w:lang w:val="en-US" w:eastAsia="zh-CN"/>
        </w:rPr>
        <w:t>0.25万元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2.75万元、委托业务费0.75万元、福利费0.13万元、其他交通费用2.5万元、办公设备购置1.23万元。</w:t>
      </w:r>
    </w:p>
    <w:p>
      <w:pPr>
        <w:spacing w:line="600" w:lineRule="exact"/>
        <w:ind w:firstLineChars="200" w:firstLine="640"/>
        <w:outlineLvl w:val="1"/>
        <w:rPr>
          <w:rStyle w:val="2Char"/>
          <w:rFonts w:ascii="黑体" w:eastAsia="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ascii="仿宋" w:eastAsia="仿宋" w:hint="eastAsia"/>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31.81</w:t>
      </w:r>
      <w:r>
        <w:rPr>
          <w:rFonts w:ascii="仿宋" w:eastAsia="仿宋" w:hint="eastAsia"/>
          <w:color w:val="000000"/>
          <w:sz w:val="32"/>
          <w:szCs w:val="32"/>
        </w:rPr>
        <w:t>万元，完成预算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eastAsia="zh-CN"/>
        </w:rPr>
        <w:t>支出决算数比</w:t>
      </w:r>
      <w:r>
        <w:rPr>
          <w:rFonts w:ascii="仿宋" w:eastAsia="仿宋" w:hint="eastAsia"/>
          <w:color w:val="000000"/>
          <w:sz w:val="32"/>
          <w:szCs w:val="32"/>
          <w:lang w:val="en-US" w:eastAsia="zh-CN"/>
        </w:rPr>
        <w:t>2021年增加24.98万元。</w:t>
      </w:r>
      <w:r>
        <w:rPr>
          <w:rFonts w:ascii="仿宋_GB2312" w:eastAsia="仿宋_GB2312" w:cs="仿宋" w:hint="eastAsia"/>
          <w:color w:val="000000"/>
          <w:sz w:val="32"/>
          <w:szCs w:val="32"/>
          <w:lang w:val="en-US" w:eastAsia="zh-CN"/>
        </w:rPr>
        <w:t>增加原因是</w:t>
      </w:r>
      <w:r>
        <w:rPr>
          <w:rFonts w:ascii="仿宋_GB2312" w:eastAsia="仿宋_GB2312" w:cs="仿宋" w:hint="eastAsia"/>
          <w:color w:val="000000"/>
          <w:sz w:val="32"/>
          <w:szCs w:val="32"/>
          <w14:textFill>
            <w14:solidFill>
              <w14:srgbClr w14:val="000000"/>
            </w14:solidFill>
          </w14:textFill>
          <w:lang w:eastAsia="zh-CN"/>
        </w:rPr>
        <w:t>本年度购置车辆一辆</w:t>
      </w:r>
      <w:r>
        <w:rPr>
          <w:rFonts w:ascii="仿宋_GB2312" w:eastAsia="仿宋_GB2312" w:cs="仿宋" w:hint="eastAsia"/>
          <w:color w:val="000000"/>
          <w:sz w:val="32"/>
          <w:szCs w:val="32"/>
          <w:lang w:val="en-US" w:eastAsia="zh-CN"/>
        </w:rPr>
        <w:t>。</w:t>
      </w:r>
    </w:p>
    <w:p>
      <w:pPr>
        <w:spacing w:line="600" w:lineRule="exact"/>
        <w:ind w:firstLine="640"/>
        <w:outlineLvl w:val="2"/>
        <w:rPr>
          <w:rFonts w:ascii="仿宋" w:eastAsia="仿宋"/>
          <w:b/>
          <w:color w:val="000000"/>
          <w:sz w:val="32"/>
          <w:szCs w:val="32"/>
        </w:rPr>
      </w:pPr>
      <w:bookmarkStart w:id="44" w:name="_Toc15377217"/>
      <w:r>
        <w:rPr>
          <w:rFonts w:ascii="仿宋" w:eastAsia="仿宋" w:hint="eastAsia"/>
          <w:b/>
          <w:color w:val="000000"/>
          <w:sz w:val="32"/>
          <w:szCs w:val="32"/>
        </w:rPr>
        <w:t>（二）“三公”经费财政拨款支出决算具体情况说明</w:t>
      </w:r>
      <w:bookmarkEnd w:id="44"/>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lang w:eastAsia="zh-CN"/>
        </w:rPr>
        <w:drawing>
          <wp:anchor distT="0" distB="0" distL="114300" distR="114300" simplePos="0" relativeHeight="42" behindDoc="0" locked="0" layoutInCell="1" hidden="0" allowOverlap="1">
            <wp:simplePos x="0" y="0"/>
            <wp:positionH relativeFrom="column">
              <wp:posOffset>215899</wp:posOffset>
            </wp:positionH>
            <wp:positionV relativeFrom="paragraph">
              <wp:posOffset>1594485</wp:posOffset>
            </wp:positionV>
            <wp:extent cx="5071109" cy="3023235"/>
            <wp:effectExtent l="0" t="0" r="0" b="0"/>
            <wp:wrapTopAndBottom/>
            <wp:docPr id="17" name="图表 2"/>
            <wp:cNvGraphicFramePr>
              <a:graphicFrameLocks noChangeAspect="0"/>
            </wp:cNvGraphicFramePr>
            <a:graphic>
              <a:graphicData uri="http://schemas.openxmlformats.org/drawingml/2006/chart">
                <c:chart xmlns:c="http://schemas.openxmlformats.org/drawingml/2006/chart" r:id="rId20"/>
              </a:graphicData>
            </a:graphic>
          </wp:anchor>
        </w:drawing>
      </w:r>
      <w:r>
        <w:rPr>
          <w:rFonts w:ascii="仿宋" w:eastAsia="仿宋" w:hint="eastAsia"/>
          <w:color w:val="000000"/>
          <w:sz w:val="32"/>
          <w:szCs w:val="32"/>
          <w:lang w:val="en-US" w:eastAsia="zh-CN"/>
        </w:rPr>
        <w:t>2022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31.81万元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支出决算数的</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lang w:eastAsia="zh-CN"/>
        </w:rPr>
        <w:t>，支出决算数等于预算数</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31.81</w:t>
      </w:r>
      <w:r>
        <w:rPr>
          <w:rFonts w:ascii="仿宋" w:eastAsia="仿宋" w:hint="eastAsia"/>
          <w:color w:val="000000"/>
          <w:sz w:val="32"/>
          <w:szCs w:val="32"/>
        </w:rPr>
        <w:t>万元，占</w:t>
      </w:r>
      <w:r>
        <w:rPr>
          <w:rFonts w:ascii="仿宋" w:eastAsia="仿宋" w:hint="eastAsia"/>
          <w:color w:val="000000"/>
          <w:sz w:val="32"/>
          <w:szCs w:val="32"/>
          <w:lang w:eastAsia="zh-CN"/>
        </w:rPr>
        <w:t>支出决算数的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eastAsia="zh-CN"/>
        </w:rPr>
        <w:t>支出</w:t>
      </w:r>
      <w:r>
        <w:rPr>
          <w:rFonts w:ascii="仿宋" w:eastAsia="仿宋" w:hint="eastAsia"/>
          <w:color w:val="000000"/>
          <w:sz w:val="32"/>
          <w:szCs w:val="32"/>
        </w:rPr>
        <w:t>决算</w:t>
      </w:r>
      <w:r>
        <w:rPr>
          <w:rFonts w:ascii="仿宋" w:eastAsia="仿宋" w:hint="eastAsia"/>
          <w:color w:val="000000"/>
          <w:sz w:val="32"/>
          <w:szCs w:val="32"/>
          <w:lang w:eastAsia="zh-CN"/>
        </w:rPr>
        <w:t>数等于</w:t>
      </w:r>
      <w:r>
        <w:rPr>
          <w:rFonts w:ascii="仿宋" w:eastAsia="仿宋" w:hint="eastAsia"/>
          <w:color w:val="000000"/>
          <w:sz w:val="32"/>
          <w:szCs w:val="32"/>
        </w:rPr>
        <w:t>预算数；公务接待费支出决算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支出决算数的</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lang w:eastAsia="zh-CN"/>
        </w:rPr>
        <w:t>，支出决算数等于预算数</w:t>
      </w:r>
      <w:r>
        <w:rPr>
          <w:rFonts w:ascii="仿宋" w:eastAsia="仿宋" w:hint="eastAsia"/>
          <w:color w:val="000000"/>
          <w:sz w:val="32"/>
          <w:szCs w:val="32"/>
        </w:rPr>
        <w:t>。具体情况如下：</w:t>
      </w:r>
    </w:p>
    <w:p>
      <w:pPr>
        <w:spacing w:line="600" w:lineRule="exact"/>
        <w:ind w:left="0" w:firstLineChars="20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完成预算</w:t>
      </w:r>
      <w:r>
        <w:rPr>
          <w:rStyle w:val="29"/>
          <w:rFonts w:ascii="仿宋" w:eastAsia="仿宋" w:hint="eastAsia"/>
          <w:b w:val="0"/>
          <w:bCs/>
          <w:color w:val="000000"/>
          <w:sz w:val="32"/>
          <w:szCs w:val="32"/>
          <w:lang w:val="en-US" w:eastAsia="zh-CN"/>
        </w:rPr>
        <w:t>0</w:t>
      </w:r>
      <w:r>
        <w:rPr>
          <w:rStyle w:val="29"/>
          <w:rFonts w:ascii="仿宋" w:eastAsia="仿宋"/>
          <w:b w:val="0"/>
          <w:bCs/>
          <w:color w:val="000000"/>
          <w:sz w:val="32"/>
          <w:szCs w:val="32"/>
        </w:rPr>
        <w:t>%</w:t>
      </w:r>
      <w:r>
        <w:rPr>
          <w:rStyle w:val="29"/>
          <w:rFonts w:ascii="仿宋" w:eastAsia="仿宋" w:hint="eastAsia"/>
          <w:b w:val="0"/>
          <w:bCs/>
          <w:color w:val="000000"/>
          <w:sz w:val="32"/>
          <w:szCs w:val="32"/>
          <w:lang w:eastAsia="zh-CN"/>
        </w:rPr>
        <w:t>，</w:t>
      </w:r>
      <w:r>
        <w:rPr>
          <w:rFonts w:ascii="仿宋" w:eastAsia="仿宋" w:hint="eastAsia"/>
          <w:color w:val="000000"/>
          <w:sz w:val="32"/>
          <w:szCs w:val="32"/>
          <w:lang w:eastAsia="zh-CN"/>
        </w:rPr>
        <w:t>支出决算数等于预算数</w:t>
      </w:r>
      <w:r>
        <w:rPr>
          <w:rStyle w:val="29"/>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人。因</w:t>
      </w:r>
      <w:r>
        <w:rPr>
          <w:rFonts w:ascii="仿宋_GB2312" w:eastAsia="仿宋_GB2312" w:hint="eastAsia"/>
          <w:color w:val="000000"/>
          <w:sz w:val="32"/>
          <w:szCs w:val="32"/>
        </w:rPr>
        <w:t>公出国（境）支出决算比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增加0万元。</w:t>
      </w:r>
    </w:p>
    <w:p>
      <w:pPr>
        <w:spacing w:line="600" w:lineRule="exact"/>
        <w:ind w:firstLine="640"/>
        <w:rPr>
          <w:rFonts w:ascii="仿宋" w:eastAsia="仿宋"/>
          <w:color w:val="000000"/>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lang w:eastAsia="zh-CN"/>
        </w:rPr>
        <w:t>、</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31.81</w:t>
      </w:r>
      <w:r>
        <w:rPr>
          <w:rFonts w:ascii="仿宋_GB2312" w:eastAsia="仿宋_GB2312" w:hint="eastAsia"/>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eastAsia="zh-CN"/>
        </w:rPr>
        <w:t>数的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eastAsia="zh-CN"/>
        </w:rPr>
        <w:t>支出</w:t>
      </w:r>
      <w:r>
        <w:rPr>
          <w:rFonts w:ascii="仿宋" w:eastAsia="仿宋" w:hint="eastAsia"/>
          <w:color w:val="000000"/>
          <w:sz w:val="32"/>
          <w:szCs w:val="32"/>
        </w:rPr>
        <w:t>决算</w:t>
      </w:r>
      <w:r>
        <w:rPr>
          <w:rFonts w:ascii="仿宋" w:eastAsia="仿宋" w:hint="eastAsia"/>
          <w:color w:val="000000"/>
          <w:sz w:val="32"/>
          <w:szCs w:val="32"/>
          <w:lang w:eastAsia="zh-CN"/>
        </w:rPr>
        <w:t>数等于</w:t>
      </w:r>
      <w:r>
        <w:rPr>
          <w:rFonts w:ascii="仿宋" w:eastAsia="仿宋" w:hint="eastAsia"/>
          <w:color w:val="000000"/>
          <w:sz w:val="32"/>
          <w:szCs w:val="32"/>
        </w:rPr>
        <w:t>预算数</w:t>
      </w:r>
      <w:r>
        <w:rPr>
          <w:rStyle w:val="29"/>
          <w:rFonts w:ascii="仿宋" w:eastAsia="仿宋" w:hint="eastAsia"/>
          <w:b w:val="0"/>
          <w:bCs/>
          <w:color w:val="000000"/>
          <w:sz w:val="32"/>
          <w:szCs w:val="32"/>
        </w:rPr>
        <w:t>。</w:t>
      </w:r>
      <w:r>
        <w:rPr>
          <w:rFonts w:ascii="仿宋" w:eastAsia="仿宋" w:hint="eastAsia"/>
          <w:color w:val="000000"/>
          <w:sz w:val="32"/>
          <w:szCs w:val="32"/>
          <w:lang w:eastAsia="zh-CN"/>
        </w:rPr>
        <w:t>支出决算数比</w:t>
      </w:r>
      <w:r>
        <w:rPr>
          <w:rFonts w:ascii="仿宋" w:eastAsia="仿宋" w:hint="eastAsia"/>
          <w:color w:val="000000"/>
          <w:sz w:val="32"/>
          <w:szCs w:val="32"/>
          <w:lang w:val="en-US" w:eastAsia="zh-CN"/>
        </w:rPr>
        <w:t>2021年增加24.98万元。</w:t>
      </w:r>
      <w:r>
        <w:rPr>
          <w:rFonts w:ascii="仿宋_GB2312" w:eastAsia="仿宋_GB2312" w:cs="仿宋" w:hint="eastAsia"/>
          <w:color w:val="000000"/>
          <w:sz w:val="32"/>
          <w:szCs w:val="32"/>
          <w:lang w:val="en-US" w:eastAsia="zh-CN"/>
        </w:rPr>
        <w:t>增加原因是</w:t>
      </w:r>
      <w:r>
        <w:rPr>
          <w:rFonts w:ascii="仿宋_GB2312" w:eastAsia="仿宋_GB2312" w:cs="仿宋" w:hint="eastAsia"/>
          <w:color w:val="000000"/>
          <w:sz w:val="32"/>
          <w:szCs w:val="32"/>
          <w14:textFill>
            <w14:solidFill>
              <w14:srgbClr w14:val="000000"/>
            </w14:solidFill>
          </w14:textFill>
          <w:lang w:eastAsia="zh-CN"/>
        </w:rPr>
        <w:t>本年度购置车辆一辆</w:t>
      </w:r>
      <w:r>
        <w:rPr>
          <w:rFonts w:ascii="仿宋_GB2312" w:eastAsia="仿宋_GB2312" w:cs="仿宋" w:hint="eastAsia"/>
          <w:color w:val="000000"/>
          <w:sz w:val="32"/>
          <w:szCs w:val="32"/>
          <w:lang w:val="en-US" w:eastAsia="zh-CN"/>
        </w:rPr>
        <w:t>。</w:t>
      </w:r>
    </w:p>
    <w:p>
      <w:pPr>
        <w:autoSpaceDE w:val="0"/>
        <w:autoSpaceDN w:val="0"/>
        <w:adjustRightInd w:val="0"/>
        <w:spacing w:line="600" w:lineRule="exact"/>
        <w:ind w:firstLineChars="200" w:firstLine="640"/>
        <w:jc w:val="left"/>
        <w:rPr>
          <w:rFonts w:ascii="仿宋_GB2312" w:eastAsia="仿宋_GB2312" w:hint="eastAsia"/>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28.80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auto"/>
          <w:sz w:val="32"/>
          <w:szCs w:val="32"/>
          <w:lang w:val="en-US" w:eastAsia="zh-CN"/>
        </w:rPr>
        <w:t>3.01</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我单位</w:t>
      </w:r>
      <w:r>
        <w:rPr>
          <w:rFonts w:ascii="仿宋_GB2312" w:eastAsia="仿宋_GB2312" w:hint="eastAsia"/>
          <w:color w:val="000000"/>
          <w:sz w:val="32"/>
          <w:szCs w:val="32"/>
        </w:rPr>
        <w:t>所需的公务用车燃料费、维修费、过路过桥费、保险费等支出。</w:t>
      </w:r>
    </w:p>
    <w:p>
      <w:pPr>
        <w:spacing w:line="600" w:lineRule="exact"/>
        <w:ind w:left="0" w:firstLineChars="20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完成预算</w:t>
      </w:r>
      <w:r>
        <w:rPr>
          <w:rStyle w:val="29"/>
          <w:rFonts w:ascii="仿宋" w:eastAsia="仿宋" w:hint="eastAsia"/>
          <w:b w:val="0"/>
          <w:bCs/>
          <w:color w:val="000000"/>
          <w:sz w:val="32"/>
          <w:szCs w:val="32"/>
          <w:lang w:val="en-US" w:eastAsia="zh-CN"/>
        </w:rPr>
        <w:t>0</w:t>
      </w:r>
      <w:r>
        <w:rPr>
          <w:rStyle w:val="29"/>
          <w:rFonts w:ascii="仿宋" w:eastAsia="仿宋"/>
          <w:b w:val="0"/>
          <w:bCs/>
          <w:color w:val="000000"/>
          <w:sz w:val="32"/>
          <w:szCs w:val="32"/>
        </w:rPr>
        <w:t>%</w:t>
      </w:r>
      <w:r>
        <w:rPr>
          <w:rStyle w:val="29"/>
          <w:rFonts w:ascii="仿宋" w:eastAsia="仿宋" w:hint="eastAsia"/>
          <w:b w:val="0"/>
          <w:bCs/>
          <w:color w:val="000000"/>
          <w:sz w:val="32"/>
          <w:szCs w:val="32"/>
          <w:lang w:eastAsia="zh-CN"/>
        </w:rPr>
        <w:t>，</w:t>
      </w:r>
      <w:r>
        <w:rPr>
          <w:rFonts w:ascii="仿宋" w:eastAsia="仿宋" w:hint="eastAsia"/>
          <w:color w:val="000000"/>
          <w:sz w:val="32"/>
          <w:szCs w:val="32"/>
          <w:lang w:eastAsia="zh-CN"/>
        </w:rPr>
        <w:t>支出决算数等于预算数</w:t>
      </w:r>
      <w:r>
        <w:rPr>
          <w:rStyle w:val="29"/>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公务接待费0万元，与上年比无增减。</w:t>
      </w:r>
    </w:p>
    <w:p>
      <w:pPr>
        <w:spacing w:line="600" w:lineRule="exact"/>
        <w:ind w:firstLine="640"/>
        <w:outlineLvl w:val="1"/>
        <w:rPr>
          <w:rStyle w:val="2Char"/>
          <w:rFonts w:ascii="黑体" w:eastAsia="黑体"/>
        </w:rPr>
      </w:pPr>
      <w:bookmarkStart w:id="45" w:name="_Toc15377218"/>
      <w:bookmarkStart w:id="46"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5"/>
        </w:numPr>
        <w:spacing w:line="600" w:lineRule="exact"/>
        <w:ind w:left="0" w:firstLine="640"/>
        <w:outlineLvl w:val="1"/>
        <w:rPr>
          <w:rStyle w:val="2Char"/>
          <w:rFonts w:ascii="黑体" w:eastAsia="黑体"/>
          <w:b w:val="0"/>
        </w:rPr>
      </w:pPr>
      <w:bookmarkStart w:id="47" w:name="_Toc15396611"/>
      <w:bookmarkStart w:id="48" w:name="_Toc15377219"/>
      <w:r>
        <w:rPr>
          <w:rStyle w:val="2Char"/>
          <w:rFonts w:ascii="黑体" w:eastAsia="黑体" w:hint="eastAsia"/>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outlineLvl w:val="1"/>
        <w:rPr>
          <w:rStyle w:val="2Char"/>
          <w:rFonts w:ascii="黑体" w:eastAsia="黑体"/>
        </w:rPr>
      </w:pPr>
      <w:bookmarkStart w:id="49" w:name="_Toc15396612"/>
      <w:bookmarkStart w:id="50"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49"/>
      <w:bookmarkEnd w:id="50"/>
    </w:p>
    <w:p>
      <w:pPr>
        <w:spacing w:line="600" w:lineRule="exact"/>
        <w:ind w:firstLineChars="200" w:firstLine="640"/>
        <w:outlineLvl w:val="2"/>
        <w:rPr>
          <w:rFonts w:ascii="仿宋" w:eastAsia="仿宋"/>
          <w:color w:val="000000"/>
          <w:sz w:val="32"/>
          <w:szCs w:val="32"/>
        </w:rPr>
      </w:pPr>
      <w:bookmarkStart w:id="51" w:name="_Toc15377222"/>
      <w:r>
        <w:rPr>
          <w:rFonts w:ascii="仿宋" w:eastAsia="仿宋" w:hint="eastAsia"/>
          <w:b/>
          <w:color w:val="000000"/>
          <w:sz w:val="32"/>
          <w:szCs w:val="32"/>
        </w:rPr>
        <w:t>（一）机关运行经费支出情况</w:t>
      </w:r>
      <w:bookmarkEnd w:id="51"/>
    </w:p>
    <w:p>
      <w:pPr>
        <w:spacing w:line="600" w:lineRule="exact"/>
        <w:ind w:firstLineChars="200" w:firstLine="640"/>
        <w:rPr>
          <w:rFonts w:ascii="仿宋_GB2312" w:eastAsia="仿宋_GB2312" w:hint="eastAsia"/>
          <w:color w:val="auto"/>
          <w:sz w:val="32"/>
          <w:szCs w:val="32"/>
          <w:lang w:val="en-US" w:eastAsia="zh-CN"/>
        </w:rPr>
      </w:pP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金川县应急管理局机关</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42.48</w:t>
      </w:r>
      <w:r>
        <w:rPr>
          <w:rFonts w:ascii="仿宋_GB2312" w:eastAsia="仿宋_GB2312" w:hint="eastAsia"/>
          <w:color w:val="000000"/>
          <w:sz w:val="32"/>
          <w:szCs w:val="32"/>
        </w:rPr>
        <w:t>万元，比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3.70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8.02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auto"/>
          <w:sz w:val="32"/>
          <w:szCs w:val="32"/>
        </w:rPr>
        <w:t>主要原因</w:t>
      </w:r>
      <w:r>
        <w:rPr>
          <w:rFonts w:ascii="仿宋_GB2312" w:eastAsia="仿宋_GB2312" w:hint="eastAsia"/>
          <w:color w:val="auto"/>
          <w:sz w:val="32"/>
          <w:szCs w:val="32"/>
          <w:lang w:eastAsia="zh-CN"/>
        </w:rPr>
        <w:t>是人员变动。</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2" w:name="_Toc15377223"/>
      <w:r>
        <w:rPr>
          <w:rFonts w:ascii="仿宋" w:eastAsia="仿宋" w:hint="eastAsia"/>
          <w:b/>
          <w:color w:val="000000"/>
          <w:sz w:val="32"/>
          <w:szCs w:val="32"/>
        </w:rPr>
        <w:t>（二）政府采购支出情况</w:t>
      </w:r>
      <w:bookmarkEnd w:id="52"/>
    </w:p>
    <w:p>
      <w:pPr>
        <w:spacing w:line="560" w:lineRule="exact"/>
        <w:ind w:firstLineChars="200" w:firstLine="640"/>
        <w:rPr>
          <w:rFonts w:ascii="仿宋_GB2312" w:eastAsia="仿宋_GB2312" w:hint="eastAsia"/>
          <w:color w:val="auto"/>
          <w:sz w:val="32"/>
          <w:szCs w:val="32"/>
          <w:lang w:val="en-US" w:eastAsia="zh-CN"/>
        </w:rPr>
      </w:pP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591.90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566.22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政府采购工程支出</w:t>
      </w:r>
      <w:r>
        <w:rPr>
          <w:rFonts w:ascii="仿宋_GB2312" w:eastAsia="仿宋_GB2312" w:hint="eastAsia"/>
          <w:color w:val="000000"/>
          <w:sz w:val="32"/>
          <w:szCs w:val="32"/>
          <w:lang w:val="en-US" w:eastAsia="zh-CN"/>
        </w:rPr>
        <w:t>0万元、</w:t>
      </w:r>
      <w:r>
        <w:rPr>
          <w:rFonts w:ascii="仿宋_GB2312" w:eastAsia="仿宋_GB2312" w:hint="eastAsia"/>
          <w:color w:val="000000"/>
          <w:sz w:val="32"/>
          <w:szCs w:val="32"/>
        </w:rPr>
        <w:t>政府采购服务支出</w:t>
      </w:r>
      <w:r>
        <w:rPr>
          <w:rFonts w:ascii="仿宋_GB2312" w:eastAsia="仿宋_GB2312" w:hint="eastAsia"/>
          <w:color w:val="000000"/>
          <w:sz w:val="32"/>
          <w:szCs w:val="32"/>
          <w:lang w:val="en-US" w:eastAsia="zh-CN"/>
        </w:rPr>
        <w:t>25.68</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000000"/>
          <w:sz w:val="32"/>
          <w:szCs w:val="32"/>
          <w14:textFill>
            <w14:solidFill>
              <w14:srgbClr w14:val="000000"/>
            </w14:solidFill>
          </w14:textFill>
          <w:lang w:val="en-US" w:eastAsia="zh-CN"/>
        </w:rPr>
        <w:t>专用设备购置、备灾点防汛物资、第三方服务经费</w:t>
      </w:r>
      <w:r>
        <w:rPr>
          <w:rFonts w:ascii="仿宋_GB2312" w:eastAsia="仿宋_GB2312" w:hint="eastAsia"/>
          <w:color w:val="auto"/>
          <w:sz w:val="32"/>
          <w:szCs w:val="32"/>
          <w:lang w:val="en-US" w:eastAsia="zh-CN"/>
        </w:rPr>
        <w:t>等。</w:t>
      </w:r>
      <w:bookmarkStart w:id="53" w:name="_Toc15377224"/>
      <w:r>
        <w:rPr>
          <w:rFonts w:ascii="仿宋_GB2312" w:eastAsia="仿宋_GB2312" w:hint="eastAsia"/>
          <w:color w:val="000000"/>
          <w:sz w:val="32"/>
          <w:szCs w:val="32"/>
        </w:rPr>
        <w:t>授予中小企业合同金额</w:t>
      </w:r>
      <w:r>
        <w:rPr>
          <w:rFonts w:ascii="仿宋_GB2312" w:eastAsia="仿宋_GB2312" w:hint="eastAsia"/>
          <w:color w:val="000000"/>
          <w:sz w:val="32"/>
          <w:szCs w:val="32"/>
          <w:lang w:val="en-US" w:eastAsia="zh-CN"/>
        </w:rPr>
        <w:t>591.90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hint="eastAsia"/>
          <w:color w:val="000000"/>
          <w:sz w:val="32"/>
          <w:szCs w:val="32"/>
        </w:rPr>
        <w:t>%，其中：</w:t>
      </w:r>
      <w:r>
        <w:rPr>
          <w:rFonts w:ascii="仿宋_GB2312" w:eastAsia="仿宋_GB2312" w:hint="eastAsia"/>
          <w:color w:val="auto"/>
          <w:sz w:val="32"/>
          <w:szCs w:val="32"/>
        </w:rPr>
        <w:t>授予小微企业合同金额</w:t>
      </w:r>
      <w:r>
        <w:rPr>
          <w:rFonts w:ascii="仿宋_GB2312" w:eastAsia="仿宋_GB2312" w:hint="eastAsia"/>
          <w:color w:val="auto"/>
          <w:sz w:val="32"/>
          <w:szCs w:val="32"/>
          <w:lang w:val="en-US" w:eastAsia="zh-CN"/>
        </w:rPr>
        <w:t>591.90</w:t>
      </w:r>
      <w:r>
        <w:rPr>
          <w:rFonts w:ascii="仿宋_GB2312" w:eastAsia="仿宋_GB2312" w:hint="eastAsia"/>
          <w:color w:val="auto"/>
          <w:sz w:val="32"/>
          <w:szCs w:val="32"/>
        </w:rPr>
        <w:t>万元，</w:t>
      </w:r>
      <w:r>
        <w:rPr>
          <w:rFonts w:ascii="仿宋_GB2312" w:eastAsia="仿宋_GB2312" w:hint="eastAsia"/>
          <w:color w:val="000000"/>
          <w:sz w:val="32"/>
          <w:szCs w:val="32"/>
        </w:rPr>
        <w:t>占政府采购支出总额的</w:t>
      </w:r>
      <w:r>
        <w:rPr>
          <w:rFonts w:ascii="仿宋_GB2312" w:eastAsia="仿宋_GB2312" w:hint="eastAsia"/>
          <w:color w:val="000000"/>
          <w:sz w:val="32"/>
          <w:szCs w:val="32"/>
          <w:lang w:val="en-US" w:eastAsia="zh-CN"/>
        </w:rPr>
        <w:t>100</w:t>
      </w:r>
      <w:r>
        <w:rPr>
          <w:rFonts w:ascii="仿宋_GB2312" w:eastAsia="仿宋_GB2312" w:hint="eastAsia"/>
          <w:color w:val="000000"/>
          <w:sz w:val="32"/>
          <w:szCs w:val="32"/>
        </w:rPr>
        <w:t>%。</w:t>
      </w:r>
    </w:p>
    <w:p>
      <w:pPr>
        <w:spacing w:line="600" w:lineRule="exact"/>
        <w:ind w:firstLineChars="200" w:firstLine="640"/>
        <w:rPr>
          <w:rFonts w:ascii="仿宋" w:eastAsia="仿宋"/>
          <w:b/>
          <w:color w:val="000000"/>
          <w:sz w:val="32"/>
          <w:szCs w:val="32"/>
        </w:rPr>
      </w:pPr>
      <w:r>
        <w:rPr>
          <w:rFonts w:ascii="仿宋" w:eastAsia="仿宋" w:hint="eastAsia"/>
          <w:b/>
          <w:color w:val="000000"/>
          <w:sz w:val="32"/>
          <w:szCs w:val="32"/>
        </w:rPr>
        <w:t>（三）国有资产占有使用情况</w:t>
      </w:r>
      <w:bookmarkEnd w:id="53"/>
    </w:p>
    <w:p>
      <w:pPr>
        <w:widowControl/>
        <w:ind w:firstLineChars="200" w:firstLine="640"/>
        <w:jc w:val="left"/>
        <w:rPr>
          <w:rFonts w:ascii="仿宋_GB2312" w:eastAsia="仿宋_GB2312" w:hint="eastAsia"/>
          <w:color w:val="000000"/>
          <w:sz w:val="32"/>
          <w:szCs w:val="32"/>
          <w14:textFill>
            <w14:solidFill>
              <w14:srgbClr w14:val="000000"/>
            </w14:solidFill>
          </w14:textFill>
          <w:lang w:eastAsia="zh-CN"/>
        </w:rPr>
      </w:pPr>
      <w:r>
        <w:rPr>
          <w:rFonts w:ascii="仿宋_GB2312" w:eastAsia="仿宋_GB2312" w:hint="eastAsia"/>
          <w:color w:val="000000"/>
          <w:sz w:val="32"/>
          <w:szCs w:val="32"/>
        </w:rPr>
        <w:t>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14:textFill>
            <w14:solidFill>
              <w14:srgbClr w14:val="000000"/>
            </w14:solidFill>
          </w14:textFill>
          <w:lang w:val="en-US" w:eastAsia="zh-CN"/>
        </w:rPr>
        <w:t>为日常工作及</w:t>
      </w:r>
      <w:r>
        <w:rPr>
          <w:rFonts w:ascii="仿宋_GB2312" w:eastAsia="仿宋_GB2312" w:hint="eastAsia"/>
          <w:color w:val="000000"/>
          <w:sz w:val="32"/>
          <w:szCs w:val="32"/>
          <w14:textFill>
            <w14:solidFill>
              <w14:srgbClr w14:val="000000"/>
            </w14:solidFill>
          </w14:textFill>
        </w:rPr>
        <w:t>应急保障用车</w:t>
      </w:r>
      <w:r>
        <w:rPr>
          <w:rFonts w:ascii="仿宋_GB2312" w:eastAsia="仿宋_GB2312" w:hint="eastAsia"/>
          <w:color w:val="000000"/>
          <w:sz w:val="32"/>
          <w:szCs w:val="32"/>
          <w14:textFill>
            <w14:solidFill>
              <w14:srgbClr w14:val="000000"/>
            </w14:solidFill>
          </w14:textFill>
          <w:lang w:eastAsia="zh-CN"/>
        </w:rPr>
        <w:t>。</w:t>
      </w:r>
      <w:r>
        <w:rPr>
          <w:rFonts w:ascii="仿宋_GB2312" w:eastAsia="仿宋_GB2312" w:hint="eastAsia"/>
          <w:b/>
          <w:color w:val="000000"/>
          <w:sz w:val="32"/>
          <w:szCs w:val="32"/>
          <w14:textFill>
            <w14:solidFill>
              <w14:srgbClr w14:val="000000"/>
            </w14:solidFill>
          </w14:textFill>
          <w:lang w:val="en-US" w:eastAsia="zh-CN"/>
        </w:rPr>
        <w:t xml:space="preserve">    </w:t>
      </w:r>
    </w:p>
    <w:p>
      <w:pPr>
        <w:tabs>
          <w:tab w:val="left" w:pos="0"/>
        </w:tabs>
        <w:spacing w:line="580" w:lineRule="exact"/>
        <w:ind w:left="0" w:firstLineChars="200" w:firstLine="640"/>
        <w:rPr>
          <w:rFonts w:ascii="仿宋" w:eastAsia="仿宋" w:cs="楷体_GB2312"/>
          <w:b/>
          <w:bCs/>
          <w:sz w:val="32"/>
          <w:szCs w:val="32"/>
        </w:rPr>
      </w:pPr>
      <w:r>
        <w:rPr>
          <w:rFonts w:ascii="仿宋" w:eastAsia="仿宋" w:hint="eastAsia"/>
          <w:b/>
          <w:color w:val="000000"/>
          <w:sz w:val="32"/>
          <w:szCs w:val="32"/>
        </w:rPr>
        <w:t>（</w:t>
      </w:r>
      <w:r>
        <w:rPr>
          <w:rFonts w:ascii="仿宋" w:eastAsia="仿宋" w:hint="eastAsia"/>
          <w:b/>
          <w:color w:val="000000"/>
          <w:sz w:val="32"/>
          <w:szCs w:val="32"/>
          <w:lang w:eastAsia="zh-CN"/>
        </w:rPr>
        <w:t>四</w:t>
      </w:r>
      <w:r>
        <w:rPr>
          <w:rFonts w:ascii="仿宋" w:eastAsia="仿宋" w:hint="eastAsia"/>
          <w:b/>
          <w:color w:val="000000"/>
          <w:sz w:val="32"/>
          <w:szCs w:val="32"/>
        </w:rPr>
        <w:t>）</w:t>
      </w:r>
      <w:r>
        <w:rPr>
          <w:rFonts w:ascii="仿宋" w:eastAsia="仿宋" w:cs="楷体_GB2312" w:hint="eastAsia"/>
          <w:b/>
          <w:bCs/>
          <w:sz w:val="32"/>
          <w:szCs w:val="32"/>
        </w:rPr>
        <w:t>预算绩效管理情况</w:t>
      </w:r>
    </w:p>
    <w:p>
      <w:pPr>
        <w:spacing w:line="60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按照预算绩效管理要求，本单位对</w:t>
      </w:r>
      <w:r>
        <w:rPr>
          <w:rFonts w:ascii="仿宋_GB2312" w:eastAsia="仿宋_GB2312" w:cs="仿宋_GB2312" w:hint="eastAsia"/>
          <w:sz w:val="32"/>
          <w:szCs w:val="32"/>
          <w:lang w:val="en-US" w:eastAsia="zh-CN"/>
        </w:rPr>
        <w:t>2022</w:t>
      </w:r>
      <w:r>
        <w:rPr>
          <w:rFonts w:ascii="仿宋_GB2312" w:eastAsia="仿宋_GB2312" w:cs="仿宋_GB2312" w:hint="eastAsia"/>
          <w:sz w:val="32"/>
          <w:szCs w:val="32"/>
        </w:rPr>
        <w:t>年一般公共预算项目支出开展了绩效目标管理，编制绩效目标，涉及财政资金</w:t>
      </w:r>
      <w:r>
        <w:rPr>
          <w:rFonts w:ascii="仿宋_GB2312" w:eastAsia="仿宋_GB2312" w:cs="仿宋_GB2312" w:hint="eastAsia"/>
          <w:sz w:val="32"/>
          <w:szCs w:val="32"/>
          <w:lang w:val="en-US" w:eastAsia="zh-CN"/>
        </w:rPr>
        <w:t>1484.53</w:t>
      </w:r>
      <w:r>
        <w:rPr>
          <w:rFonts w:ascii="仿宋_GB2312" w:eastAsia="仿宋_GB2312" w:cs="仿宋_GB2312" w:hint="eastAsia"/>
          <w:sz w:val="32"/>
          <w:szCs w:val="32"/>
        </w:rPr>
        <w:t>万元，覆盖率达到100%。</w:t>
      </w:r>
    </w:p>
    <w:p>
      <w:pPr>
        <w:spacing w:line="600" w:lineRule="atLeast"/>
        <w:ind w:firstLineChars="200" w:firstLine="640"/>
        <w:outlineLvl w:val="2"/>
        <w:rPr>
          <w:rFonts w:ascii="仿宋_GB2312" w:eastAsia="仿宋_GB2312" w:cs="仿宋_GB2312" w:hint="eastAsia"/>
          <w:b/>
          <w:bCs/>
          <w:sz w:val="32"/>
          <w:szCs w:val="32"/>
        </w:rPr>
      </w:pPr>
      <w:r>
        <w:rPr>
          <w:rFonts w:ascii="仿宋_GB2312" w:eastAsia="仿宋_GB2312" w:cs="仿宋_GB2312" w:hint="eastAsia"/>
          <w:b/>
          <w:bCs/>
          <w:sz w:val="32"/>
          <w:szCs w:val="32"/>
        </w:rPr>
        <w:t>1、评价结论</w:t>
      </w:r>
    </w:p>
    <w:p>
      <w:pPr>
        <w:spacing w:line="60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部门预算执行情况良好，无不良记录及违规违纪行为，预算支出和决算支出基本情况相符。</w:t>
      </w:r>
    </w:p>
    <w:p>
      <w:pPr>
        <w:spacing w:line="600" w:lineRule="atLeast"/>
        <w:ind w:firstLineChars="200" w:firstLine="640"/>
        <w:outlineLvl w:val="2"/>
        <w:rPr>
          <w:rFonts w:ascii="仿宋_GB2312" w:eastAsia="仿宋_GB2312" w:cs="仿宋_GB2312" w:hint="eastAsia"/>
          <w:b/>
          <w:bCs/>
          <w:sz w:val="32"/>
          <w:szCs w:val="32"/>
        </w:rPr>
      </w:pPr>
      <w:r>
        <w:rPr>
          <w:rFonts w:ascii="仿宋_GB2312" w:eastAsia="仿宋_GB2312" w:cs="仿宋_GB2312" w:hint="eastAsia"/>
          <w:b/>
          <w:bCs/>
          <w:sz w:val="32"/>
          <w:szCs w:val="32"/>
        </w:rPr>
        <w:t>2、存在问题</w:t>
      </w:r>
    </w:p>
    <w:p>
      <w:pPr>
        <w:spacing w:line="60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一是预算项目经费支出进度</w:t>
      </w:r>
      <w:r>
        <w:rPr>
          <w:rFonts w:ascii="仿宋_GB2312" w:eastAsia="仿宋_GB2312" w:cs="仿宋_GB2312" w:hint="eastAsia"/>
          <w:sz w:val="32"/>
          <w:szCs w:val="32"/>
          <w:lang w:eastAsia="zh-CN"/>
        </w:rPr>
        <w:t>较</w:t>
      </w:r>
      <w:r>
        <w:rPr>
          <w:rFonts w:ascii="仿宋_GB2312" w:eastAsia="仿宋_GB2312" w:cs="仿宋_GB2312" w:hint="eastAsia"/>
          <w:sz w:val="32"/>
          <w:szCs w:val="32"/>
        </w:rPr>
        <w:t>慢；二是部门决算上报处理效率还需继续提升。</w:t>
      </w:r>
    </w:p>
    <w:p>
      <w:pPr>
        <w:spacing w:line="600" w:lineRule="atLeast"/>
        <w:ind w:firstLineChars="200" w:firstLine="640"/>
        <w:outlineLvl w:val="2"/>
        <w:rPr>
          <w:rFonts w:ascii="仿宋_GB2312" w:eastAsia="仿宋_GB2312" w:cs="仿宋_GB2312" w:hint="eastAsia"/>
          <w:b/>
          <w:bCs/>
          <w:sz w:val="32"/>
          <w:szCs w:val="32"/>
        </w:rPr>
      </w:pPr>
      <w:r>
        <w:rPr>
          <w:rFonts w:ascii="仿宋_GB2312" w:eastAsia="仿宋_GB2312" w:cs="仿宋_GB2312" w:hint="eastAsia"/>
          <w:b/>
          <w:bCs/>
          <w:sz w:val="32"/>
          <w:szCs w:val="32"/>
        </w:rPr>
        <w:t>3、改进建议</w:t>
      </w:r>
    </w:p>
    <w:p>
      <w:pPr>
        <w:spacing w:line="60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加快完成机关财务管理规章制度建设、加强会计核算和财务管理能力，及时与财政局相关科室对接工作，提升工作效率。</w:t>
      </w:r>
    </w:p>
    <w:p>
      <w:pPr>
        <w:tabs>
          <w:tab w:val="left" w:pos="0"/>
        </w:tabs>
        <w:spacing w:line="580" w:lineRule="exact"/>
        <w:ind w:left="630"/>
        <w:rPr>
          <w:rFonts w:ascii="仿宋" w:eastAsia="仿宋" w:cs="仿宋_GB2312"/>
          <w:sz w:val="32"/>
          <w:szCs w:val="32"/>
        </w:rPr>
      </w:pPr>
      <w:r>
        <w:rPr>
          <w:rFonts w:ascii="仿宋" w:eastAsia="仿宋" w:cs="楷体_GB2312" w:hint="eastAsia"/>
          <w:b/>
          <w:bCs/>
          <w:sz w:val="32"/>
          <w:szCs w:val="32"/>
          <w:lang w:val="en-US" w:eastAsia="zh-CN"/>
        </w:rPr>
        <w:t>4、</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val="en-US" w:eastAsia="zh-CN"/>
        </w:rPr>
        <w:t>2022</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w:t>
      </w:r>
      <w:r>
        <w:rPr>
          <w:rFonts w:ascii="仿宋_GB2312" w:eastAsia="仿宋_GB2312" w:hint="eastAsia"/>
          <w:sz w:val="32"/>
          <w:szCs w:val="32"/>
          <w:lang w:eastAsia="zh-CN"/>
        </w:rPr>
        <w:t>金川县应急管理局</w:t>
      </w:r>
      <w:r>
        <w:rPr>
          <w:rFonts w:ascii="仿宋_GB2312" w:eastAsia="仿宋_GB2312" w:hint="eastAsia"/>
          <w:sz w:val="32"/>
          <w:szCs w:val="32"/>
          <w:lang w:val="en-US" w:eastAsia="zh-CN"/>
        </w:rPr>
        <w:t>2022年部门整体支出绩效评价报告</w:t>
      </w:r>
      <w:r>
        <w:rPr>
          <w:rFonts w:ascii="仿宋_GB2312" w:eastAsia="仿宋_GB2312" w:hint="eastAsia"/>
          <w:sz w:val="32"/>
          <w:szCs w:val="32"/>
        </w:rPr>
        <w:t>》</w:t>
      </w:r>
      <w:r>
        <w:rPr>
          <w:rFonts w:ascii="仿宋_GB2312" w:eastAsia="仿宋_GB2312" w:cs="仿宋_GB2312" w:hint="eastAsia"/>
          <w:sz w:val="32"/>
          <w:szCs w:val="32"/>
        </w:rPr>
        <w:t>见附件</w:t>
      </w:r>
      <w:r>
        <w:rPr>
          <w:rFonts w:ascii="仿宋_GB2312" w:eastAsia="仿宋_GB2312" w:cs="仿宋_GB2312" w:hint="eastAsia"/>
          <w:sz w:val="32"/>
          <w:szCs w:val="32"/>
          <w:lang w:eastAsia="zh-CN"/>
        </w:rPr>
        <w:t>一</w:t>
      </w:r>
    </w:p>
    <w:p>
      <w:pPr>
        <w:pStyle w:val="24"/>
        <w:rPr>
          <w:lang w:val="en-US" w:eastAsia="zh-CN"/>
        </w:rPr>
      </w:pPr>
    </w:p>
    <w:p>
      <w:pPr>
        <w:rPr>
          <w:lang w:val="en-US" w:eastAsia="zh-CN"/>
        </w:rPr>
      </w:pPr>
    </w:p>
    <w:p>
      <w:pPr>
        <w:numPr>
          <w:ilvl w:val="0"/>
          <w:numId w:val="6"/>
        </w:numPr>
        <w:spacing w:line="600" w:lineRule="exact"/>
        <w:ind w:left="0" w:firstLineChars="150" w:firstLine="660"/>
        <w:jc w:val="center"/>
        <w:outlineLvl w:val="0"/>
        <w:rPr>
          <w:rStyle w:val="1Char"/>
          <w:rFonts w:ascii="黑体" w:eastAsia="黑体"/>
          <w:b w:val="0"/>
        </w:rPr>
      </w:pPr>
      <w:bookmarkStart w:id="54" w:name="_Toc15377225"/>
      <w:bookmarkStart w:id="55" w:name="_Toc15396613"/>
      <w:r>
        <w:rPr>
          <w:rFonts w:ascii="黑体" w:eastAsia="黑体" w:hint="eastAsia"/>
          <w:b/>
          <w:color w:val="000000"/>
          <w:sz w:val="44"/>
          <w:szCs w:val="44"/>
        </w:rPr>
        <w:t>名</w:t>
      </w:r>
      <w:r>
        <w:rPr>
          <w:rStyle w:val="1Char"/>
          <w:rFonts w:ascii="黑体" w:eastAsia="黑体" w:hint="eastAsia"/>
          <w:b w:val="0"/>
        </w:rPr>
        <w:t>词解释</w:t>
      </w:r>
      <w:bookmarkEnd w:id="54"/>
      <w:bookmarkEnd w:id="55"/>
    </w:p>
    <w:p>
      <w:pPr>
        <w:pStyle w:val="35"/>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eastAsia="zh-CN"/>
        </w:rPr>
        <w:t>、</w:t>
      </w:r>
      <w:r>
        <w:rPr>
          <w:rFonts w:ascii="仿宋_GB2312" w:eastAsia="仿宋_GB2312" w:hint="eastAsia"/>
          <w:sz w:val="32"/>
          <w:szCs w:val="32"/>
        </w:rPr>
        <w:t>财政拨款收入：指单位从同级财政部门取得的财政预算资金。</w:t>
      </w:r>
    </w:p>
    <w:p>
      <w:pPr>
        <w:pStyle w:val="35"/>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lang w:eastAsia="zh-CN"/>
        </w:rPr>
        <w:t>、</w:t>
      </w:r>
      <w:r>
        <w:rPr>
          <w:rFonts w:ascii="仿宋_GB2312" w:eastAsia="仿宋_GB2312" w:hint="eastAsia"/>
          <w:sz w:val="32"/>
          <w:szCs w:val="32"/>
        </w:rPr>
        <w:t>事业收入：指事业单位开展专业业务活动及辅助活动取得的收入。</w:t>
      </w:r>
    </w:p>
    <w:p>
      <w:pPr>
        <w:pStyle w:val="35"/>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lang w:eastAsia="zh-CN"/>
        </w:rPr>
        <w:t>、</w:t>
      </w:r>
      <w:r>
        <w:rPr>
          <w:rFonts w:ascii="仿宋_GB2312" w:eastAsia="仿宋_GB2312" w:hint="eastAsia"/>
          <w:sz w:val="32"/>
          <w:szCs w:val="32"/>
        </w:rPr>
        <w:t>经营收入：指事业单位在专业业务活动及其辅助活动之外开展非独立核算经营活动取得的收入。</w:t>
      </w:r>
    </w:p>
    <w:p>
      <w:pPr>
        <w:pStyle w:val="35"/>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lang w:eastAsia="zh-CN"/>
        </w:rPr>
        <w:t>、</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5"/>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lang w:eastAsia="zh-CN"/>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hint="eastAsia"/>
          <w:sz w:val="32"/>
          <w:szCs w:val="32"/>
        </w:rPr>
        <w:t>结余分配：指事业单位按照事业单位会计制度的规定从非财政补助结余中分配的事业基金和职工福利基金等。</w:t>
      </w:r>
    </w:p>
    <w:p>
      <w:pPr>
        <w:pStyle w:val="35"/>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8、灾害防治及应急管理（类）应急管理事务（款）行政运行（项）：指行政单位的基本支出。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9、</w:t>
      </w:r>
      <w:r>
        <w:rPr>
          <w:rFonts w:ascii="仿宋_GB2312" w:eastAsia="仿宋_GB2312" w:hint="eastAsia"/>
          <w:sz w:val="32"/>
          <w:szCs w:val="32"/>
          <w:lang w:eastAsia="zh-CN"/>
        </w:rPr>
        <w:t>灾害防治及应急管理</w:t>
      </w:r>
      <w:r>
        <w:rPr>
          <w:rFonts w:ascii="仿宋_GB2312" w:eastAsia="仿宋_GB2312" w:hint="eastAsia"/>
          <w:sz w:val="32"/>
          <w:szCs w:val="32"/>
        </w:rPr>
        <w:t>（类）</w:t>
      </w:r>
      <w:r>
        <w:rPr>
          <w:rFonts w:ascii="仿宋_GB2312" w:eastAsia="仿宋_GB2312" w:hint="eastAsia"/>
          <w:sz w:val="32"/>
          <w:szCs w:val="32"/>
          <w:lang w:val="en-US" w:eastAsia="zh-CN"/>
        </w:rPr>
        <w:t>应急管理事务</w:t>
      </w:r>
      <w:r>
        <w:rPr>
          <w:rFonts w:ascii="仿宋_GB2312" w:eastAsia="仿宋_GB2312" w:hint="eastAsia"/>
          <w:sz w:val="32"/>
          <w:szCs w:val="32"/>
        </w:rPr>
        <w:t>（款）</w:t>
      </w:r>
      <w:r>
        <w:rPr>
          <w:rFonts w:ascii="仿宋_GB2312" w:eastAsia="仿宋_GB2312" w:hint="eastAsia"/>
          <w:sz w:val="32"/>
          <w:szCs w:val="32"/>
          <w:lang w:val="en-US" w:eastAsia="zh-CN"/>
        </w:rPr>
        <w:t>机关服务</w:t>
      </w:r>
      <w:r>
        <w:rPr>
          <w:rFonts w:ascii="仿宋_GB2312" w:eastAsia="仿宋_GB2312" w:hint="eastAsia"/>
          <w:sz w:val="32"/>
          <w:szCs w:val="32"/>
        </w:rPr>
        <w:t>（项）</w:t>
      </w:r>
      <w:r>
        <w:rPr>
          <w:rFonts w:ascii="仿宋_GB2312" w:eastAsia="仿宋_GB2312"/>
          <w:sz w:val="32"/>
          <w:szCs w:val="32"/>
        </w:rPr>
        <w:t>:</w:t>
      </w:r>
      <w:r>
        <w:rPr>
          <w:rFonts w:ascii="仿宋_GB2312" w:eastAsia="仿宋_GB2312" w:hint="eastAsia"/>
          <w:sz w:val="32"/>
          <w:szCs w:val="32"/>
          <w:lang w:eastAsia="zh-CN"/>
        </w:rPr>
        <w:t>反映为行政单位（包括实行公务员管理的事业单位）提供后勤服务的各类后勤服务中心、医务室等附属事业单位的支出。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10、灾害防治及应急管理（类）应急管理事务（款）灾害风险防治（项）：指反映组织、指导、协调各类风险灾害防范治理方面的支出。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11、灾害防治及应急管理（类）应急管理事务（款）安全监管（项）：反映安全生产监管方面的支出。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12、</w:t>
      </w:r>
      <w:r>
        <w:rPr>
          <w:rFonts w:ascii="仿宋_GB2312" w:eastAsia="仿宋_GB2312" w:hint="eastAsia"/>
          <w:sz w:val="32"/>
          <w:szCs w:val="32"/>
          <w:lang w:eastAsia="zh-CN"/>
        </w:rPr>
        <w:t>灾害防治及应急管理</w:t>
      </w:r>
      <w:r>
        <w:rPr>
          <w:rFonts w:ascii="仿宋_GB2312" w:eastAsia="仿宋_GB2312" w:hint="eastAsia"/>
          <w:sz w:val="32"/>
          <w:szCs w:val="32"/>
        </w:rPr>
        <w:t>（类）</w:t>
      </w:r>
      <w:r>
        <w:rPr>
          <w:rFonts w:ascii="仿宋_GB2312" w:eastAsia="仿宋_GB2312" w:hint="eastAsia"/>
          <w:sz w:val="32"/>
          <w:szCs w:val="32"/>
          <w:lang w:val="en-US" w:eastAsia="zh-CN"/>
        </w:rPr>
        <w:t>应急管理事务</w:t>
      </w:r>
      <w:r>
        <w:rPr>
          <w:rFonts w:ascii="仿宋_GB2312" w:eastAsia="仿宋_GB2312" w:hint="eastAsia"/>
          <w:sz w:val="32"/>
          <w:szCs w:val="32"/>
        </w:rPr>
        <w:t>（款）</w:t>
      </w:r>
      <w:r>
        <w:rPr>
          <w:rFonts w:ascii="仿宋_GB2312" w:eastAsia="仿宋_GB2312" w:hint="eastAsia"/>
          <w:sz w:val="32"/>
          <w:szCs w:val="32"/>
          <w:lang w:val="en-US" w:eastAsia="zh-CN"/>
        </w:rPr>
        <w:t>应急管理</w:t>
      </w:r>
      <w:r>
        <w:rPr>
          <w:rFonts w:ascii="仿宋_GB2312" w:eastAsia="仿宋_GB2312" w:hint="eastAsia"/>
          <w:sz w:val="32"/>
          <w:szCs w:val="32"/>
        </w:rPr>
        <w:t>（项）</w:t>
      </w:r>
      <w:r>
        <w:rPr>
          <w:rFonts w:ascii="仿宋_GB2312" w:eastAsia="仿宋_GB2312"/>
          <w:sz w:val="32"/>
          <w:szCs w:val="32"/>
        </w:rPr>
        <w:t xml:space="preserve">: </w:t>
      </w:r>
      <w:r>
        <w:rPr>
          <w:rFonts w:ascii="仿宋_GB2312" w:eastAsia="仿宋_GB2312" w:hint="eastAsia"/>
          <w:sz w:val="32"/>
          <w:szCs w:val="32"/>
          <w:lang w:eastAsia="zh-CN"/>
        </w:rPr>
        <w:t>反映用于应急管理的法律法规制定修订，应急预案演练、协调保障等方面的支出。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13、灾害防治及应急管理（类）应急管理事务（款）其他应急管理支出（项）:反映其他应急管理方面的支出。</w:t>
      </w:r>
    </w:p>
    <w:p>
      <w:pPr>
        <w:pStyle w:val="35"/>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14、</w:t>
      </w:r>
      <w:r>
        <w:rPr>
          <w:rFonts w:ascii="仿宋_GB2312" w:eastAsia="仿宋_GB2312" w:hint="eastAsia"/>
          <w:sz w:val="32"/>
          <w:szCs w:val="32"/>
          <w:lang w:eastAsia="zh-CN"/>
        </w:rPr>
        <w:t>灾害防治及应急管理</w:t>
      </w:r>
      <w:r>
        <w:rPr>
          <w:rFonts w:ascii="仿宋_GB2312" w:eastAsia="仿宋_GB2312" w:hint="eastAsia"/>
          <w:sz w:val="32"/>
          <w:szCs w:val="32"/>
        </w:rPr>
        <w:t>（类）</w:t>
      </w:r>
      <w:r>
        <w:rPr>
          <w:rFonts w:ascii="仿宋_GB2312" w:eastAsia="仿宋_GB2312" w:hint="eastAsia"/>
          <w:sz w:val="32"/>
          <w:szCs w:val="32"/>
          <w:lang w:val="en-US" w:eastAsia="zh-CN"/>
        </w:rPr>
        <w:t>自然灾害防治</w:t>
      </w:r>
      <w:r>
        <w:rPr>
          <w:rFonts w:ascii="仿宋_GB2312" w:eastAsia="仿宋_GB2312" w:hint="eastAsia"/>
          <w:sz w:val="32"/>
          <w:szCs w:val="32"/>
        </w:rPr>
        <w:t>（款）</w:t>
      </w:r>
      <w:r>
        <w:rPr>
          <w:rFonts w:ascii="仿宋_GB2312" w:eastAsia="仿宋_GB2312" w:hint="eastAsia"/>
          <w:sz w:val="32"/>
          <w:szCs w:val="32"/>
          <w:lang w:val="en-US" w:eastAsia="zh-CN"/>
        </w:rPr>
        <w:t>地质灾害防治</w:t>
      </w:r>
      <w:r>
        <w:rPr>
          <w:rFonts w:ascii="仿宋_GB2312" w:eastAsia="仿宋_GB2312" w:hint="eastAsia"/>
          <w:sz w:val="32"/>
          <w:szCs w:val="32"/>
        </w:rPr>
        <w:t>（项）</w:t>
      </w:r>
      <w:r>
        <w:rPr>
          <w:rFonts w:ascii="仿宋_GB2312" w:eastAsia="仿宋_GB2312"/>
          <w:sz w:val="32"/>
          <w:szCs w:val="32"/>
        </w:rPr>
        <w:t xml:space="preserve">: </w:t>
      </w:r>
      <w:r>
        <w:rPr>
          <w:rFonts w:ascii="仿宋_GB2312" w:eastAsia="仿宋_GB2312" w:hint="eastAsia"/>
          <w:sz w:val="32"/>
          <w:szCs w:val="32"/>
          <w:lang w:eastAsia="zh-CN"/>
        </w:rPr>
        <w:t>反映防治地质灾害方面的支出。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15、</w:t>
      </w:r>
      <w:r>
        <w:rPr>
          <w:rFonts w:ascii="仿宋_GB2312" w:eastAsia="仿宋_GB2312" w:hint="eastAsia"/>
          <w:sz w:val="32"/>
          <w:szCs w:val="32"/>
          <w:lang w:eastAsia="zh-CN"/>
        </w:rPr>
        <w:t>灾害防治及应急管理</w:t>
      </w:r>
      <w:r>
        <w:rPr>
          <w:rFonts w:ascii="仿宋_GB2312" w:eastAsia="仿宋_GB2312" w:hint="eastAsia"/>
          <w:sz w:val="32"/>
          <w:szCs w:val="32"/>
        </w:rPr>
        <w:t>（类）</w:t>
      </w:r>
      <w:r>
        <w:rPr>
          <w:rFonts w:ascii="仿宋_GB2312" w:eastAsia="仿宋_GB2312" w:hint="eastAsia"/>
          <w:sz w:val="32"/>
          <w:szCs w:val="32"/>
          <w:lang w:val="en-US" w:eastAsia="zh-CN"/>
        </w:rPr>
        <w:t>自然灾害救灾及恢复重建支出</w:t>
      </w:r>
      <w:r>
        <w:rPr>
          <w:rFonts w:ascii="仿宋_GB2312" w:eastAsia="仿宋_GB2312" w:hint="eastAsia"/>
          <w:sz w:val="32"/>
          <w:szCs w:val="32"/>
        </w:rPr>
        <w:t>（款）</w:t>
      </w:r>
      <w:r>
        <w:rPr>
          <w:rFonts w:ascii="仿宋_GB2312" w:eastAsia="仿宋_GB2312" w:hint="eastAsia"/>
          <w:sz w:val="32"/>
          <w:szCs w:val="32"/>
          <w:lang w:val="en-US" w:eastAsia="zh-CN"/>
        </w:rPr>
        <w:t>自然灾害救灾补助</w:t>
      </w:r>
      <w:r>
        <w:rPr>
          <w:rFonts w:ascii="仿宋_GB2312" w:eastAsia="仿宋_GB2312" w:hint="eastAsia"/>
          <w:sz w:val="32"/>
          <w:szCs w:val="32"/>
        </w:rPr>
        <w:t>（项）</w:t>
      </w:r>
      <w:r>
        <w:rPr>
          <w:rFonts w:ascii="仿宋_GB2312" w:eastAsia="仿宋_GB2312"/>
          <w:sz w:val="32"/>
          <w:szCs w:val="32"/>
        </w:rPr>
        <w:t>:</w:t>
      </w:r>
      <w:r>
        <w:rPr>
          <w:rFonts w:ascii="仿宋_GB2312" w:eastAsia="仿宋_GB2312" w:hint="eastAsia"/>
          <w:sz w:val="32"/>
          <w:szCs w:val="32"/>
          <w:lang w:eastAsia="zh-CN"/>
        </w:rPr>
        <w:t>反映用于应对重大自然灾害应急救援和受灾群众救助的支出。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16、灾害防治及应急管理（类）自然灾害救灾及恢复重建支出（款）自然灾害灾后重建补助（项）: 反映政府预算安排用于自然灾害恢复重建的补助支出。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17、</w:t>
      </w:r>
      <w:r>
        <w:rPr>
          <w:rFonts w:ascii="仿宋_GB2312" w:eastAsia="仿宋_GB2312" w:hint="eastAsia"/>
          <w:sz w:val="32"/>
          <w:szCs w:val="32"/>
          <w:lang w:eastAsia="zh-CN"/>
        </w:rPr>
        <w:t>灾害防治及应急管理</w:t>
      </w:r>
      <w:r>
        <w:rPr>
          <w:rFonts w:ascii="仿宋_GB2312" w:eastAsia="仿宋_GB2312" w:hint="eastAsia"/>
          <w:sz w:val="32"/>
          <w:szCs w:val="32"/>
        </w:rPr>
        <w:t>（类）</w:t>
      </w:r>
      <w:r>
        <w:rPr>
          <w:rFonts w:ascii="仿宋_GB2312" w:eastAsia="仿宋_GB2312" w:hint="eastAsia"/>
          <w:sz w:val="32"/>
          <w:szCs w:val="32"/>
          <w:lang w:val="en-US" w:eastAsia="zh-CN"/>
        </w:rPr>
        <w:t>消防救援事务</w:t>
      </w:r>
      <w:r>
        <w:rPr>
          <w:rFonts w:ascii="仿宋_GB2312" w:eastAsia="仿宋_GB2312" w:hint="eastAsia"/>
          <w:sz w:val="32"/>
          <w:szCs w:val="32"/>
        </w:rPr>
        <w:t>（款）</w:t>
      </w:r>
      <w:r>
        <w:rPr>
          <w:rFonts w:ascii="仿宋_GB2312" w:eastAsia="仿宋_GB2312" w:hint="eastAsia"/>
          <w:sz w:val="32"/>
          <w:szCs w:val="32"/>
          <w:lang w:val="en-US" w:eastAsia="zh-CN"/>
        </w:rPr>
        <w:t>消防应急救援</w:t>
      </w:r>
      <w:r>
        <w:rPr>
          <w:rFonts w:ascii="仿宋_GB2312" w:eastAsia="仿宋_GB2312" w:hint="eastAsia"/>
          <w:sz w:val="32"/>
          <w:szCs w:val="32"/>
        </w:rPr>
        <w:t>（项）</w:t>
      </w:r>
      <w:r>
        <w:rPr>
          <w:rFonts w:ascii="仿宋_GB2312" w:eastAsia="仿宋_GB2312"/>
          <w:sz w:val="32"/>
          <w:szCs w:val="32"/>
        </w:rPr>
        <w:t xml:space="preserve">: </w:t>
      </w:r>
      <w:r>
        <w:rPr>
          <w:rFonts w:ascii="仿宋_GB2312" w:eastAsia="仿宋_GB2312" w:hint="eastAsia"/>
          <w:sz w:val="32"/>
          <w:szCs w:val="32"/>
          <w:lang w:eastAsia="zh-CN"/>
        </w:rPr>
        <w:t>反映用于消防应急救援队伍（不包括行政单位）人员基本支出、装备购置、基础设施及运行维护等方面支出。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18、社会保障和就业支出（类）行政事业单位养老支出（款）机关事业单位基本养老保险缴费支出（项）: 指单位为职工缴纳的基本养老保险费。</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19、社会保障和就业支出（类）行政事业单位养老支出（款）机关事业单位职业年金缴费支出（项）: 指单位为职工实际缴纳的职业年金。</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20、卫生健康支出（类）行政事业单位医疗（款）行政单位医疗（项）:指反映职工缴纳的基本医疗保险费。</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21</w:t>
      </w:r>
      <w:r>
        <w:rPr>
          <w:rFonts w:ascii="仿宋_GB2312" w:eastAsia="仿宋_GB2312" w:hint="eastAsia"/>
          <w:sz w:val="32"/>
          <w:szCs w:val="32"/>
          <w:lang w:eastAsia="zh-CN"/>
        </w:rPr>
        <w:t>卫生健康支出</w:t>
      </w:r>
      <w:r>
        <w:rPr>
          <w:rFonts w:ascii="仿宋_GB2312" w:eastAsia="仿宋_GB2312" w:hint="eastAsia"/>
          <w:sz w:val="32"/>
          <w:szCs w:val="32"/>
        </w:rPr>
        <w:t>（类）</w:t>
      </w:r>
      <w:r>
        <w:rPr>
          <w:rFonts w:ascii="仿宋_GB2312" w:eastAsia="仿宋_GB2312" w:hint="eastAsia"/>
          <w:sz w:val="32"/>
          <w:szCs w:val="32"/>
          <w:lang w:val="en-US" w:eastAsia="zh-CN"/>
        </w:rPr>
        <w:t>行政事业单位医疗</w:t>
      </w:r>
      <w:r>
        <w:rPr>
          <w:rFonts w:ascii="仿宋_GB2312" w:eastAsia="仿宋_GB2312" w:hint="eastAsia"/>
          <w:sz w:val="32"/>
          <w:szCs w:val="32"/>
        </w:rPr>
        <w:t>（款）</w:t>
      </w:r>
      <w:r>
        <w:rPr>
          <w:rFonts w:ascii="仿宋_GB2312" w:eastAsia="仿宋_GB2312" w:hint="eastAsia"/>
          <w:sz w:val="32"/>
          <w:szCs w:val="32"/>
          <w:lang w:val="en-US" w:eastAsia="zh-CN"/>
        </w:rPr>
        <w:t>事业单位医疗</w:t>
      </w:r>
      <w:r>
        <w:rPr>
          <w:rFonts w:ascii="仿宋_GB2312" w:eastAsia="仿宋_GB2312" w:hint="eastAsia"/>
          <w:sz w:val="32"/>
          <w:szCs w:val="32"/>
        </w:rPr>
        <w:t>（项）</w:t>
      </w:r>
      <w:r>
        <w:rPr>
          <w:rFonts w:ascii="仿宋_GB2312" w:eastAsia="仿宋_GB2312"/>
          <w:sz w:val="32"/>
          <w:szCs w:val="32"/>
        </w:rPr>
        <w:t>:</w:t>
      </w:r>
      <w:r>
        <w:rPr>
          <w:rFonts w:ascii="仿宋_GB2312" w:eastAsia="仿宋_GB2312" w:hint="eastAsia"/>
          <w:sz w:val="32"/>
          <w:szCs w:val="32"/>
          <w:lang w:eastAsia="zh-CN"/>
        </w:rPr>
        <w:t>事业单位基本医疗保险缴费。</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22、卫生健康支出（类）行政事业单位医疗（款）公务员医疗补助（项）:指按规定可享受公务员医疗补助单位为职工缴纳的公务员医疗补助费。</w:t>
      </w:r>
    </w:p>
    <w:p>
      <w:pPr>
        <w:pStyle w:val="35"/>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23、</w:t>
      </w:r>
      <w:r>
        <w:rPr>
          <w:rFonts w:ascii="仿宋_GB2312" w:eastAsia="仿宋_GB2312" w:hint="eastAsia"/>
          <w:sz w:val="32"/>
          <w:szCs w:val="32"/>
          <w:lang w:eastAsia="zh-CN"/>
        </w:rPr>
        <w:t>卫生健康支出</w:t>
      </w:r>
      <w:r>
        <w:rPr>
          <w:rFonts w:ascii="仿宋_GB2312" w:eastAsia="仿宋_GB2312" w:hint="eastAsia"/>
          <w:sz w:val="32"/>
          <w:szCs w:val="32"/>
        </w:rPr>
        <w:t>（类）</w:t>
      </w:r>
      <w:r>
        <w:rPr>
          <w:rFonts w:ascii="仿宋_GB2312" w:eastAsia="仿宋_GB2312" w:hint="eastAsia"/>
          <w:sz w:val="32"/>
          <w:szCs w:val="32"/>
          <w:lang w:val="en-US" w:eastAsia="zh-CN"/>
        </w:rPr>
        <w:t>行政事业单位医疗</w:t>
      </w:r>
      <w:r>
        <w:rPr>
          <w:rFonts w:ascii="仿宋_GB2312" w:eastAsia="仿宋_GB2312" w:hint="eastAsia"/>
          <w:sz w:val="32"/>
          <w:szCs w:val="32"/>
        </w:rPr>
        <w:t>（款）</w:t>
      </w:r>
      <w:r>
        <w:rPr>
          <w:rFonts w:ascii="仿宋_GB2312" w:eastAsia="仿宋_GB2312" w:hint="eastAsia"/>
          <w:sz w:val="32"/>
          <w:szCs w:val="32"/>
          <w:lang w:val="en-US" w:eastAsia="zh-CN"/>
        </w:rPr>
        <w:t>其他行政事业单位医疗支出</w:t>
      </w:r>
      <w:r>
        <w:rPr>
          <w:rFonts w:ascii="仿宋_GB2312" w:eastAsia="仿宋_GB2312" w:hint="eastAsia"/>
          <w:sz w:val="32"/>
          <w:szCs w:val="32"/>
        </w:rPr>
        <w:t>（项）</w:t>
      </w:r>
      <w:r>
        <w:rPr>
          <w:rFonts w:ascii="仿宋_GB2312" w:eastAsia="仿宋_GB2312"/>
          <w:sz w:val="32"/>
          <w:szCs w:val="32"/>
        </w:rPr>
        <w:t>:</w:t>
      </w:r>
      <w:r>
        <w:rPr>
          <w:rFonts w:ascii="仿宋_GB2312" w:eastAsia="仿宋_GB2312" w:hint="eastAsia"/>
          <w:sz w:val="32"/>
          <w:szCs w:val="32"/>
          <w:lang w:eastAsia="zh-CN"/>
        </w:rPr>
        <w:t>指其他用于行政事业单位医疗方面的支出。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24、住房保障支出（类）住房改革支出（款）住房公积金（项）：指单位按规定为职工缴纳的住房公积金。</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25、教育支出（类）进修及培训（款）培训支出（项）：</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26、基本支出：指为保障机构正常运转、完成日常工作任务而发生的人员支出和公用支出。</w:t>
      </w:r>
    </w:p>
    <w:p>
      <w:pPr>
        <w:pStyle w:val="35"/>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27、项目支出：指在基本支出之外为完成特定行政任务和事业发展目标所发生的支出。 </w:t>
      </w:r>
    </w:p>
    <w:p>
      <w:pPr>
        <w:pStyle w:val="35"/>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ind w:firstLineChars="200" w:firstLine="640"/>
        <w:rPr>
          <w:rFonts w:ascii="仿宋_GB2312" w:eastAsia="仿宋_GB2312" w:hint="eastAsia"/>
          <w:sz w:val="32"/>
          <w:szCs w:val="32"/>
        </w:rPr>
      </w:pPr>
    </w:p>
    <w:p>
      <w:pPr>
        <w:pStyle w:val="35"/>
        <w:spacing w:line="560" w:lineRule="exact"/>
        <w:rPr>
          <w:rFonts w:ascii="仿宋_GB2312" w:eastAsia="仿宋_GB2312" w:hint="eastAsia"/>
          <w:sz w:val="32"/>
          <w:szCs w:val="32"/>
        </w:rPr>
      </w:pPr>
    </w:p>
    <w:p>
      <w:pPr>
        <w:pStyle w:val="2"/>
        <w:rPr>
          <w:rStyle w:val="1Char"/>
          <w:rFonts w:ascii="仿宋" w:eastAsia="仿宋"/>
          <w:b w:val="0"/>
          <w:bCs w:val="0"/>
          <w:sz w:val="32"/>
          <w:szCs w:val="32"/>
        </w:rPr>
      </w:pPr>
      <w:bookmarkStart w:id="56" w:name="_Toc15396615"/>
      <w:bookmarkStart w:id="57" w:name="_Toc15396614"/>
      <w:bookmarkStart w:id="58" w:name="_Toc15377226"/>
      <w:r>
        <w:rPr>
          <w:rStyle w:val="1Char"/>
          <w:rFonts w:ascii="仿宋" w:eastAsia="仿宋" w:hint="eastAsia"/>
          <w:b w:val="0"/>
          <w:bCs w:val="0"/>
          <w:sz w:val="32"/>
          <w:szCs w:val="32"/>
        </w:rPr>
        <w:t>附件1</w:t>
      </w:r>
      <w:bookmarkEnd w:id="56"/>
    </w:p>
    <w:p>
      <w:pPr>
        <w:numPr>
          <w:ilvl w:val="0"/>
          <w:numId w:val="6"/>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附件</w:t>
      </w:r>
      <w:bookmarkEnd w:id="57"/>
    </w:p>
    <w:p>
      <w:pPr>
        <w:spacing w:line="240" w:lineRule="auto"/>
        <w:jc w:val="both"/>
        <w:outlineLvl w:val="0"/>
        <w:rPr>
          <w:rStyle w:val="1Char"/>
          <w:rFonts w:ascii="黑体" w:eastAsia="黑体" w:hint="eastAsia"/>
          <w:b w:val="0"/>
        </w:rPr>
      </w:pPr>
    </w:p>
    <w:p>
      <w:pPr>
        <w:spacing w:line="560" w:lineRule="exact"/>
        <w:jc w:val="center"/>
        <w:rPr>
          <w:rFonts w:ascii="方正小标宋简体" w:eastAsia="方正小标宋简体" w:hint="eastAsia"/>
          <w:sz w:val="44"/>
          <w:szCs w:val="44"/>
        </w:rPr>
      </w:pPr>
      <w:bookmarkEnd w:id="58"/>
    </w:p>
    <w:p>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lang w:val="en-US" w:eastAsia="zh-CN"/>
        </w:rPr>
        <w:t>金川县应急管理局2022年部门</w:t>
      </w:r>
      <w:r>
        <w:rPr>
          <w:rFonts w:ascii="方正小标宋简体" w:eastAsia="方正小标宋简体" w:hint="eastAsia"/>
          <w:sz w:val="44"/>
          <w:szCs w:val="44"/>
        </w:rPr>
        <w:t>整体支出</w:t>
      </w:r>
    </w:p>
    <w:p>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绩效</w:t>
      </w:r>
      <w:r>
        <w:rPr>
          <w:rFonts w:ascii="方正小标宋简体" w:eastAsia="方正小标宋简体" w:hint="eastAsia"/>
          <w:sz w:val="44"/>
          <w:szCs w:val="44"/>
          <w:lang w:eastAsia="zh-CN"/>
        </w:rPr>
        <w:t>评价</w:t>
      </w:r>
      <w:r>
        <w:rPr>
          <w:rFonts w:ascii="方正小标宋简体" w:eastAsia="方正小标宋简体" w:hint="eastAsia"/>
          <w:sz w:val="44"/>
          <w:szCs w:val="44"/>
        </w:rPr>
        <w:t>报告</w:t>
      </w:r>
    </w:p>
    <w:p>
      <w:pPr>
        <w:pStyle w:val="38"/>
        <w:widowControl/>
        <w:suppressAutoHyphens w:val="0"/>
        <w:bidi w:val="0"/>
        <w:snapToGrid w:val="0"/>
        <w:spacing w:line="480" w:lineRule="exact"/>
        <w:ind w:firstLine="720"/>
        <w:jc w:val="left"/>
        <w:rPr>
          <w:rFonts w:ascii="仿宋_GB2312" w:eastAsia="仿宋_GB2312" w:cs="仿宋_GB2312"/>
          <w:color w:val="000000"/>
          <w:kern w:val="0"/>
          <w:sz w:val="32"/>
          <w:szCs w:val="20"/>
          <w:shd w:val="clear" w:color="auto" w:fill="FFFFFF"/>
        </w:rPr>
      </w:pPr>
    </w:p>
    <w:p>
      <w:pPr>
        <w:pStyle w:val="38"/>
        <w:widowControl/>
        <w:suppressAutoHyphens w:val="0"/>
        <w:bidi w:val="0"/>
        <w:snapToGrid w:val="0"/>
        <w:spacing w:line="560" w:lineRule="exact"/>
        <w:ind w:firstLine="720"/>
        <w:jc w:val="left"/>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eastAsia="zh-CN"/>
        </w:rPr>
        <w:t>根据《金川县财政局关于开展</w:t>
      </w:r>
      <w:r>
        <w:rPr>
          <w:rFonts w:ascii="仿宋_GB2312" w:eastAsia="仿宋_GB2312" w:cs="仿宋_GB2312" w:hint="eastAsia"/>
          <w:color w:val="000000"/>
          <w:kern w:val="0"/>
          <w:sz w:val="32"/>
          <w:szCs w:val="32"/>
          <w:lang w:val="en-US" w:eastAsia="zh-CN"/>
        </w:rPr>
        <w:t>2023年部门、政策和项目支出绩效评价工作的通知</w:t>
      </w:r>
      <w:r>
        <w:rPr>
          <w:rFonts w:ascii="仿宋_GB2312" w:eastAsia="仿宋_GB2312" w:cs="仿宋_GB2312" w:hint="eastAsia"/>
          <w:color w:val="000000"/>
          <w:kern w:val="0"/>
          <w:sz w:val="32"/>
          <w:szCs w:val="32"/>
          <w:lang w:val="zh-CN" w:eastAsia="zh-CN"/>
        </w:rPr>
        <w:t>》（金财建绩【</w:t>
      </w:r>
      <w:r>
        <w:rPr>
          <w:rFonts w:ascii="仿宋_GB2312" w:eastAsia="仿宋_GB2312" w:cs="仿宋_GB2312" w:hint="eastAsia"/>
          <w:color w:val="000000"/>
          <w:kern w:val="0"/>
          <w:sz w:val="32"/>
          <w:szCs w:val="32"/>
          <w:lang w:val="en-US" w:eastAsia="zh-CN"/>
        </w:rPr>
        <w:t>2023</w:t>
      </w:r>
      <w:r>
        <w:rPr>
          <w:rFonts w:ascii="仿宋_GB2312" w:eastAsia="仿宋_GB2312" w:cs="仿宋_GB2312" w:hint="eastAsia"/>
          <w:color w:val="000000"/>
          <w:kern w:val="0"/>
          <w:sz w:val="32"/>
          <w:szCs w:val="32"/>
          <w:lang w:val="zh-CN" w:eastAsia="zh-CN"/>
        </w:rPr>
        <w:t>】</w:t>
      </w:r>
      <w:r>
        <w:rPr>
          <w:rFonts w:ascii="仿宋_GB2312" w:eastAsia="仿宋_GB2312" w:cs="仿宋_GB2312" w:hint="eastAsia"/>
          <w:color w:val="000000"/>
          <w:kern w:val="0"/>
          <w:sz w:val="32"/>
          <w:szCs w:val="32"/>
          <w:lang w:val="en-US" w:eastAsia="zh-CN"/>
        </w:rPr>
        <w:t>32号</w:t>
      </w:r>
      <w:r>
        <w:rPr>
          <w:rFonts w:ascii="仿宋_GB2312" w:eastAsia="仿宋_GB2312" w:cs="仿宋_GB2312" w:hint="eastAsia"/>
          <w:color w:val="000000"/>
          <w:kern w:val="0"/>
          <w:sz w:val="32"/>
          <w:szCs w:val="32"/>
          <w:lang w:val="zh-CN" w:eastAsia="zh-CN"/>
        </w:rPr>
        <w:t>）文件要求，我局立足实际，运用科学合理的绩效评价指标、评价标准和方法，认真组织开展了</w:t>
      </w:r>
      <w:r>
        <w:rPr>
          <w:rFonts w:ascii="仿宋_GB2312" w:eastAsia="仿宋_GB2312" w:cs="仿宋_GB2312" w:hint="eastAsia"/>
          <w:color w:val="000000"/>
          <w:kern w:val="0"/>
          <w:sz w:val="32"/>
          <w:szCs w:val="32"/>
          <w:lang w:val="en-US" w:eastAsia="zh-CN"/>
        </w:rPr>
        <w:t>2022年</w:t>
      </w:r>
      <w:r>
        <w:rPr>
          <w:rFonts w:ascii="仿宋_GB2312" w:eastAsia="仿宋_GB2312" w:cs="仿宋_GB2312" w:hint="eastAsia"/>
          <w:color w:val="000000"/>
          <w:kern w:val="0"/>
          <w:sz w:val="32"/>
          <w:szCs w:val="32"/>
          <w:lang w:val="zh-CN"/>
        </w:rPr>
        <w:t>部门预算支出绩效自评工作</w:t>
      </w:r>
      <w:r>
        <w:rPr>
          <w:rFonts w:ascii="仿宋_GB2312" w:eastAsia="仿宋_GB2312" w:cs="仿宋_GB2312" w:hint="eastAsia"/>
          <w:color w:val="000000"/>
          <w:kern w:val="0"/>
          <w:sz w:val="32"/>
          <w:szCs w:val="32"/>
          <w:lang w:val="zh-CN" w:eastAsia="zh-CN"/>
        </w:rPr>
        <w:t>，现将</w:t>
      </w:r>
      <w:r>
        <w:rPr>
          <w:rFonts w:ascii="仿宋_GB2312" w:eastAsia="仿宋_GB2312" w:cs="仿宋_GB2312" w:hint="eastAsia"/>
          <w:color w:val="000000"/>
          <w:kern w:val="0"/>
          <w:sz w:val="32"/>
          <w:szCs w:val="32"/>
          <w:lang w:val="zh-CN"/>
        </w:rPr>
        <w:t>预算支出绩效自评工作报告如下：</w:t>
      </w:r>
    </w:p>
    <w:p>
      <w:pPr>
        <w:pStyle w:val="38"/>
        <w:widowControl/>
        <w:suppressAutoHyphens w:val="0"/>
        <w:bidi w:val="0"/>
        <w:snapToGrid w:val="0"/>
        <w:spacing w:line="560" w:lineRule="exact"/>
        <w:ind w:firstLine="720"/>
        <w:jc w:val="left"/>
        <w:rPr>
          <w:rFonts w:ascii="仿宋_GB2312" w:eastAsia="仿宋_GB2312" w:cs="仿宋_GB2312" w:hint="eastAsia"/>
          <w:b/>
          <w:bCs/>
          <w:color w:val="000000"/>
          <w:kern w:val="0"/>
          <w:sz w:val="32"/>
          <w:szCs w:val="32"/>
          <w:lang w:val="zh-CN"/>
        </w:rPr>
      </w:pPr>
      <w:r>
        <w:rPr>
          <w:rFonts w:ascii="仿宋_GB2312" w:eastAsia="仿宋_GB2312" w:cs="仿宋_GB2312" w:hint="eastAsia"/>
          <w:b/>
          <w:bCs/>
          <w:color w:val="000000"/>
          <w:kern w:val="0"/>
          <w:sz w:val="32"/>
          <w:szCs w:val="32"/>
        </w:rPr>
        <w:t>一、</w:t>
      </w:r>
      <w:r>
        <w:rPr>
          <w:rFonts w:ascii="仿宋_GB2312" w:eastAsia="仿宋_GB2312" w:cs="仿宋_GB2312" w:hint="eastAsia"/>
          <w:b/>
          <w:bCs/>
          <w:color w:val="000000"/>
          <w:kern w:val="0"/>
          <w:sz w:val="32"/>
          <w:szCs w:val="32"/>
          <w:lang w:val="zh-CN"/>
        </w:rPr>
        <w:t>单位概况</w:t>
      </w:r>
    </w:p>
    <w:p>
      <w:pPr>
        <w:pStyle w:val="38"/>
        <w:widowControl/>
        <w:suppressAutoHyphens w:val="0"/>
        <w:bidi w:val="0"/>
        <w:snapToGrid w:val="0"/>
        <w:spacing w:line="560" w:lineRule="exact"/>
        <w:ind w:firstLine="720"/>
        <w:jc w:val="left"/>
        <w:rPr>
          <w:rFonts w:ascii="仿宋_GB2312" w:eastAsia="仿宋_GB2312" w:cs="仿宋_GB2312" w:hint="eastAsia"/>
          <w:b/>
          <w:bCs/>
          <w:color w:val="000000"/>
          <w:kern w:val="0"/>
          <w:sz w:val="32"/>
          <w:szCs w:val="32"/>
          <w:lang w:val="zh-CN"/>
        </w:rPr>
      </w:pPr>
      <w:r>
        <w:rPr>
          <w:rFonts w:ascii="仿宋_GB2312" w:eastAsia="仿宋_GB2312" w:cs="仿宋_GB2312" w:hint="eastAsia"/>
          <w:b/>
          <w:bCs/>
          <w:color w:val="000000"/>
          <w:kern w:val="0"/>
          <w:sz w:val="32"/>
          <w:szCs w:val="32"/>
          <w:lang w:val="zh-CN"/>
        </w:rPr>
        <w:t>（一）机构组成</w:t>
      </w:r>
    </w:p>
    <w:p>
      <w:pPr>
        <w:pStyle w:val="38"/>
        <w:widowControl/>
        <w:suppressAutoHyphens w:val="0"/>
        <w:bidi w:val="0"/>
        <w:snapToGrid w:val="0"/>
        <w:spacing w:line="560" w:lineRule="exact"/>
        <w:ind w:firstLine="720"/>
        <w:jc w:val="left"/>
        <w:rPr>
          <w:rFonts w:ascii="仿宋_GB2312" w:eastAsia="仿宋_GB2312" w:cs="仿宋_GB2312" w:hint="eastAsia"/>
          <w:color w:val="FF0000"/>
          <w:spacing w:val="-14"/>
          <w:sz w:val="32"/>
          <w:szCs w:val="32"/>
        </w:rPr>
      </w:pPr>
      <w:r>
        <w:rPr>
          <w:rFonts w:ascii="仿宋_GB2312" w:eastAsia="仿宋_GB2312" w:cs="仿宋_GB2312" w:hint="eastAsia"/>
          <w:color w:val="000000"/>
          <w:kern w:val="0"/>
          <w:sz w:val="32"/>
          <w:szCs w:val="32"/>
          <w:lang w:val="zh-CN"/>
        </w:rPr>
        <w:t>应急管理局为县级一级预算单位</w:t>
      </w:r>
      <w:r>
        <w:rPr>
          <w:rFonts w:ascii="仿宋_GB2312" w:eastAsia="仿宋_GB2312" w:cs="仿宋_GB2312" w:hint="eastAsia"/>
          <w:color w:val="000000"/>
          <w:kern w:val="0"/>
          <w:sz w:val="32"/>
          <w:szCs w:val="32"/>
        </w:rPr>
        <w:t>。</w:t>
      </w:r>
      <w:r>
        <w:rPr>
          <w:rFonts w:ascii="仿宋_GB2312" w:eastAsia="仿宋_GB2312" w:cs="仿宋_GB2312" w:hint="eastAsia"/>
          <w:color w:val="000000"/>
          <w:kern w:val="0"/>
          <w:sz w:val="32"/>
          <w:szCs w:val="32"/>
          <w:lang w:eastAsia="zh-CN"/>
        </w:rPr>
        <w:t>县应急管理局（</w:t>
      </w:r>
      <w:r>
        <w:rPr>
          <w:rFonts w:ascii="仿宋_GB2312" w:eastAsia="仿宋_GB2312" w:cs="仿宋_GB2312" w:hint="eastAsia"/>
          <w:color w:val="auto"/>
          <w:sz w:val="32"/>
          <w:szCs w:val="32"/>
        </w:rPr>
        <w:t>内设办公室、安全生产综合监管股、</w:t>
      </w:r>
      <w:r>
        <w:rPr>
          <w:rFonts w:ascii="仿宋_GB2312" w:eastAsia="仿宋_GB2312" w:cs="仿宋_GB2312" w:hint="eastAsia"/>
          <w:color w:val="auto"/>
          <w:spacing w:val="-14"/>
          <w:sz w:val="32"/>
          <w:szCs w:val="32"/>
        </w:rPr>
        <w:t>应急指挥中心</w:t>
      </w:r>
      <w:r>
        <w:rPr>
          <w:rFonts w:ascii="仿宋_GB2312" w:eastAsia="仿宋_GB2312" w:cs="仿宋_GB2312" w:hint="eastAsia"/>
          <w:color w:val="auto"/>
          <w:spacing w:val="-14"/>
          <w:sz w:val="32"/>
          <w:szCs w:val="32"/>
          <w:lang w:eastAsia="zh-CN"/>
        </w:rPr>
        <w:t>、</w:t>
      </w:r>
      <w:r>
        <w:rPr>
          <w:rFonts w:ascii="仿宋_GB2312" w:eastAsia="仿宋_GB2312" w:cs="仿宋_GB2312" w:hint="eastAsia"/>
          <w:color w:val="auto"/>
          <w:sz w:val="32"/>
          <w:szCs w:val="32"/>
        </w:rPr>
        <w:t>安全生产执法大队、</w:t>
      </w:r>
      <w:r>
        <w:rPr>
          <w:rFonts w:ascii="仿宋_GB2312" w:eastAsia="仿宋_GB2312" w:cs="仿宋_GB2312" w:hint="eastAsia"/>
          <w:color w:val="auto"/>
          <w:spacing w:val="-14"/>
          <w:sz w:val="32"/>
          <w:szCs w:val="32"/>
          <w:lang w:eastAsia="zh-CN"/>
        </w:rPr>
        <w:t>金川县防汛抗旱工作中心、森林草原防灭火指挥部办公室、应急保障中心</w:t>
      </w:r>
      <w:r>
        <w:rPr>
          <w:rFonts w:ascii="仿宋_GB2312" w:eastAsia="仿宋_GB2312" w:cs="仿宋_GB2312" w:hint="eastAsia"/>
          <w:color w:val="auto"/>
          <w:spacing w:val="-14"/>
          <w:sz w:val="32"/>
          <w:szCs w:val="32"/>
          <w:lang w:val="en-US" w:eastAsia="zh-CN"/>
        </w:rPr>
        <w:t>)、代管县应急管理保障中心、县综合应急救援服务工作中心</w:t>
      </w:r>
      <w:r>
        <w:rPr>
          <w:rFonts w:ascii="仿宋_GB2312" w:eastAsia="仿宋_GB2312" w:cs="仿宋_GB2312" w:hint="eastAsia"/>
          <w:color w:val="auto"/>
          <w:spacing w:val="-14"/>
          <w:sz w:val="32"/>
          <w:szCs w:val="32"/>
        </w:rPr>
        <w:t>。</w:t>
      </w:r>
    </w:p>
    <w:p>
      <w:pPr>
        <w:pStyle w:val="38"/>
        <w:widowControl/>
        <w:suppressAutoHyphens w:val="0"/>
        <w:bidi w:val="0"/>
        <w:snapToGrid w:val="0"/>
        <w:spacing w:line="560" w:lineRule="exact"/>
        <w:ind w:firstLineChars="200" w:firstLine="640"/>
        <w:jc w:val="left"/>
        <w:rPr>
          <w:rFonts w:ascii="仿宋_GB2312" w:eastAsia="仿宋_GB2312" w:cs="仿宋_GB2312" w:hint="eastAsia"/>
          <w:b/>
          <w:bCs/>
          <w:color w:val="000000"/>
          <w:kern w:val="0"/>
          <w:sz w:val="32"/>
          <w:szCs w:val="32"/>
          <w:lang w:val="zh-CN"/>
        </w:rPr>
      </w:pPr>
      <w:r>
        <w:rPr>
          <w:rFonts w:ascii="仿宋_GB2312" w:eastAsia="仿宋_GB2312" w:cs="仿宋_GB2312" w:hint="eastAsia"/>
          <w:b/>
          <w:bCs/>
          <w:color w:val="000000"/>
          <w:kern w:val="0"/>
          <w:sz w:val="32"/>
          <w:szCs w:val="32"/>
          <w:lang w:val="zh-CN"/>
        </w:rPr>
        <w:t>（二）机构职能</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、负责应急管理工作，组织和指导各乡（镇）、县级各部门（单位）应对安全生产类、自然灾害类等突发事件和综合防灾减灾救灾工作。负责安全生产综合监督管理和工矿商贸安全生产监督管理工作。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、拟订应急管理、安全生产等有关规范性文件，组织编制应急体系建设、安全生产和综合防灾减灾规划。</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、牵头建立统一的应急管理信息系统，负责信息传输渠道的规划和布局，建立监测预警和灾情报告制度，健全自然灾害信息资源获取和共享机制，依法统一发布灾情。</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、负责组织、指导、协调安全生产类、自然灾害类等突发事件应急救援，承担全县应对较大及以上灾害指挥部工作，综合研判突发事件发展态势并提出应对建议，负责组织较大及以上灾害应急处置工作。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、统一协调指挥各类应急专业队伍，建立应急协调联动机制，推进指挥平台对接。</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、按照国家、省、州相关政策和县委、县政府相关规定负责消防工作，组织和指导消防监督、火灾预防、火灾扑救等工作。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、负责自然灾害综合监测预警工作，承担自然灾害综合风险评估工作，指导协调森林和草原火灾、水旱灾害、地震和地质灾害等防治工作。</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、负责组织、协调灾害救助工作，组织和指导灾情核查、损失评估、救灾捐赠工作，管理、分配中央、省、州下拨及县级救灾款物并监督使用。</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、依法承担县政府安全生产综合监督管理责任，指导协调、监督检查各乡（镇）和各部门（单位）安全生产工作，组织开展安全生产巡查、督查、考核工作。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13</w:t>
      </w:r>
      <w:r>
        <w:rPr>
          <w:rFonts w:ascii="仿宋_GB2312" w:eastAsia="仿宋_GB2312" w:cs="仿宋_GB2312" w:hint="eastAsia"/>
          <w:sz w:val="32"/>
          <w:szCs w:val="32"/>
        </w:rPr>
        <w:t>、承担非煤矿山、危险化学品、非药品类易制毒化学品和烟花爆竹等生产经营单位安全生产准入管理责任。</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14</w:t>
      </w:r>
      <w:r>
        <w:rPr>
          <w:rFonts w:ascii="仿宋_GB2312" w:eastAsia="仿宋_GB2312" w:cs="仿宋_GB2312" w:hint="eastAsia"/>
          <w:sz w:val="32"/>
          <w:szCs w:val="32"/>
        </w:rPr>
        <w:t>、依法组织、指导生产安全事故调查处理，监督事故查处和责任追究落实情况。组织开展自然灾害类突发事件的调查评估工作。</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、开展应急管理和安全生产方面的交流与合作，组织参与安全生产类、自然灾害类等突发事件的跨区域救援工作。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16</w:t>
      </w:r>
      <w:r>
        <w:rPr>
          <w:rFonts w:ascii="仿宋_GB2312" w:eastAsia="仿宋_GB2312" w:cs="仿宋_GB2312" w:hint="eastAsia"/>
          <w:sz w:val="32"/>
          <w:szCs w:val="32"/>
        </w:rPr>
        <w:t>、制定应急物资储备和应急救援装备规划并组织实施，会同县发展改革和经济商务信息化局等部门建立健全应急物资信息平台和调拨制度，在救灾时统一调度。</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、负责应急管理、安全生产宣传教育和培训工作，组织和指导应急管理、安全生产的科学技术推广应用和信息化建设工作。</w:t>
      </w:r>
    </w:p>
    <w:p>
      <w:pPr>
        <w:pStyle w:val="38"/>
        <w:bidi w:val="0"/>
        <w:snapToGrid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18</w:t>
      </w:r>
      <w:r>
        <w:rPr>
          <w:rFonts w:ascii="仿宋_GB2312" w:eastAsia="仿宋_GB2312" w:cs="仿宋_GB2312" w:hint="eastAsia"/>
          <w:sz w:val="32"/>
          <w:szCs w:val="32"/>
        </w:rPr>
        <w:t>、负责职责范围内的职业健康、生态环境保护、公共机构节能减排、审批服务便民化工作。</w:t>
      </w:r>
    </w:p>
    <w:p>
      <w:pPr>
        <w:pStyle w:val="38"/>
        <w:bidi w:val="0"/>
        <w:spacing w:line="576"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19</w:t>
      </w:r>
      <w:r>
        <w:rPr>
          <w:rFonts w:ascii="仿宋_GB2312" w:eastAsia="仿宋_GB2312" w:cs="仿宋_GB2312" w:hint="eastAsia"/>
          <w:sz w:val="32"/>
          <w:szCs w:val="32"/>
        </w:rPr>
        <w:t>、完成县委、县政府交办的其他任务。</w:t>
      </w:r>
    </w:p>
    <w:p>
      <w:pPr>
        <w:pStyle w:val="38"/>
        <w:widowControl/>
        <w:suppressAutoHyphens w:val="0"/>
        <w:bidi w:val="0"/>
        <w:snapToGrid w:val="0"/>
        <w:spacing w:line="56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pStyle w:val="38"/>
        <w:widowControl/>
        <w:suppressAutoHyphens w:val="0"/>
        <w:bidi w:val="0"/>
        <w:snapToGrid w:val="0"/>
        <w:spacing w:line="560" w:lineRule="exact"/>
        <w:ind w:firstLineChars="200" w:firstLine="640"/>
        <w:jc w:val="left"/>
        <w:rPr>
          <w:rFonts w:ascii="仿宋_GB2312" w:eastAsia="仿宋_GB2312" w:cs="仿宋_GB2312" w:hint="eastAsia"/>
          <w:b/>
          <w:bCs/>
          <w:kern w:val="0"/>
          <w:sz w:val="32"/>
          <w:szCs w:val="32"/>
          <w:lang w:val="zh-CN"/>
        </w:rPr>
      </w:pPr>
      <w:r>
        <w:rPr>
          <w:rFonts w:ascii="仿宋_GB2312" w:eastAsia="仿宋_GB2312" w:cs="仿宋_GB2312" w:hint="eastAsia"/>
          <w:b/>
          <w:bCs/>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hint="eastAsia"/>
          <w:kern w:val="0"/>
          <w:sz w:val="32"/>
          <w:szCs w:val="32"/>
          <w:lang w:val="zh-CN"/>
        </w:rPr>
      </w:pPr>
      <w:r>
        <w:rPr>
          <w:rFonts w:ascii="仿宋_GB2312" w:eastAsia="仿宋_GB2312" w:cs="仿宋_GB2312" w:hint="eastAsia"/>
          <w:kern w:val="0"/>
          <w:sz w:val="32"/>
          <w:szCs w:val="32"/>
          <w:lang w:val="en-US" w:eastAsia="zh-CN"/>
        </w:rPr>
        <w:t>我单位2022</w:t>
      </w:r>
      <w:r>
        <w:rPr>
          <w:rFonts w:ascii="仿宋_GB2312" w:eastAsia="仿宋_GB2312" w:cs="仿宋_GB2312" w:hint="eastAsia"/>
          <w:color w:val="auto"/>
          <w:sz w:val="32"/>
          <w:szCs w:val="32"/>
          <w:lang w:val="en-US" w:eastAsia="zh-CN"/>
        </w:rPr>
        <w:t>总编制数28名，其中：行政编制11名，机关工勤编制</w:t>
      </w:r>
      <w:r>
        <w:rPr>
          <w:rFonts w:ascii="仿宋_GB2312" w:eastAsia="仿宋_GB2312" w:cs="仿宋_GB2312" w:hint="eastAsia"/>
          <w:b w:val="0"/>
          <w:bCs w:val="0"/>
          <w:color w:val="auto"/>
          <w:kern w:val="2"/>
          <w:sz w:val="32"/>
          <w:szCs w:val="32"/>
          <w:lang w:val="en-US" w:eastAsia="zh-CN"/>
        </w:rPr>
        <w:t>1名，参公事业编制9名，事业编制7名。2022年末实有人数26人，其中：行政人员 9人、行政工勤1人，参公人员10人，事业人员6人。离休人员0人，退休人员3人。</w:t>
      </w:r>
    </w:p>
    <w:p>
      <w:pPr>
        <w:pStyle w:val="38"/>
        <w:widowControl/>
        <w:suppressAutoHyphens w:val="0"/>
        <w:bidi w:val="0"/>
        <w:snapToGrid w:val="0"/>
        <w:spacing w:line="560" w:lineRule="exact"/>
        <w:ind w:firstLineChars="200" w:firstLine="640"/>
        <w:jc w:val="left"/>
        <w:rPr>
          <w:rFonts w:ascii="仿宋_GB2312" w:eastAsia="仿宋_GB2312" w:cs="仿宋_GB2312" w:hint="eastAsia"/>
          <w:b/>
          <w:bCs/>
          <w:color w:val="000000"/>
          <w:kern w:val="0"/>
          <w:sz w:val="32"/>
          <w:szCs w:val="32"/>
        </w:rPr>
      </w:pPr>
      <w:r>
        <w:rPr>
          <w:rFonts w:ascii="仿宋_GB2312" w:eastAsia="仿宋_GB2312" w:cs="仿宋_GB2312" w:hint="eastAsia"/>
          <w:b/>
          <w:bCs/>
          <w:color w:val="000000"/>
          <w:kern w:val="0"/>
          <w:sz w:val="32"/>
          <w:szCs w:val="32"/>
        </w:rPr>
        <w:t>二、部门财政资金收支情况</w:t>
      </w:r>
    </w:p>
    <w:p>
      <w:pPr>
        <w:pStyle w:val="38"/>
        <w:widowControl/>
        <w:suppressAutoHyphens w:val="0"/>
        <w:bidi w:val="0"/>
        <w:snapToGrid w:val="0"/>
        <w:spacing w:line="560" w:lineRule="exact"/>
        <w:ind w:firstLine="720"/>
        <w:jc w:val="left"/>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（一）部门财政资金收入情况</w:t>
      </w:r>
    </w:p>
    <w:p>
      <w:pPr>
        <w:snapToGrid w:val="0"/>
        <w:spacing w:line="520" w:lineRule="exact"/>
        <w:ind w:firstLineChars="200" w:firstLine="632"/>
        <w:rPr>
          <w:rFonts w:ascii="仿宋_GB2312" w:eastAsia="仿宋_GB2312" w:cs="仿宋_GB2312" w:hint="eastAsia"/>
          <w:color w:val="FF0000"/>
          <w:kern w:val="0"/>
          <w:sz w:val="32"/>
          <w:szCs w:val="32"/>
        </w:rPr>
      </w:pPr>
      <w:r>
        <w:rPr>
          <w:rFonts w:ascii="仿宋_GB2312" w:eastAsia="仿宋_GB2312" w:hint="eastAsia"/>
          <w:color w:val="000000"/>
          <w:spacing w:val="-2"/>
          <w:kern w:val="2"/>
          <w:sz w:val="32"/>
          <w:szCs w:val="32"/>
          <w:lang w:val="en-US" w:eastAsia="zh-CN" w:bidi="ar-SA"/>
        </w:rPr>
        <w:t>2022年度</w:t>
      </w:r>
      <w:r>
        <w:rPr>
          <w:rFonts w:ascii="仿宋_GB2312" w:eastAsia="仿宋_GB2312" w:cs="仿宋_GB2312" w:hint="eastAsia"/>
          <w:kern w:val="0"/>
          <w:sz w:val="32"/>
          <w:szCs w:val="32"/>
          <w:lang w:val="zh-CN"/>
        </w:rPr>
        <w:t>财政拨款收入</w:t>
      </w:r>
      <w:r>
        <w:rPr>
          <w:rFonts w:ascii="仿宋_GB2312" w:eastAsia="仿宋_GB2312" w:cs="仿宋_GB2312" w:hint="eastAsia"/>
          <w:sz w:val="32"/>
          <w:szCs w:val="32"/>
          <w:lang w:val="en-US" w:eastAsia="zh-CN"/>
        </w:rPr>
        <w:t>2059.87</w:t>
      </w:r>
      <w:r>
        <w:rPr>
          <w:rFonts w:ascii="仿宋_GB2312" w:eastAsia="仿宋_GB2312" w:cs="仿宋_GB2312" w:hint="eastAsia"/>
          <w:kern w:val="0"/>
          <w:sz w:val="32"/>
          <w:szCs w:val="32"/>
          <w:lang w:val="zh-CN"/>
        </w:rPr>
        <w:t>万元，</w:t>
      </w:r>
      <w:r>
        <w:rPr>
          <w:rFonts w:ascii="仿宋_GB2312" w:eastAsia="仿宋_GB2312" w:hint="eastAsia"/>
          <w:color w:val="000000"/>
          <w:spacing w:val="-2"/>
          <w:kern w:val="2"/>
          <w:sz w:val="32"/>
          <w:szCs w:val="32"/>
          <w:lang w:val="en-US" w:eastAsia="zh-CN" w:bidi="ar-SA"/>
        </w:rPr>
        <w:t>较上年收入增加1076.59万元，增加109.49%。增加的主要原因是2022年本年项目及基本收入增加。</w:t>
      </w:r>
      <w:r>
        <w:rPr>
          <w:rFonts w:ascii="仿宋_GB2312" w:eastAsia="仿宋_GB2312" w:cs="仿宋_GB2312" w:hint="eastAsia"/>
          <w:kern w:val="0"/>
          <w:sz w:val="32"/>
          <w:szCs w:val="32"/>
          <w:lang w:val="zh-CN"/>
        </w:rPr>
        <w:t>其中：</w:t>
      </w:r>
      <w:r>
        <w:rPr>
          <w:rFonts w:ascii="仿宋_GB2312" w:eastAsia="仿宋_GB2312" w:cs="仿宋_GB2312" w:hint="eastAsia"/>
          <w:kern w:val="0"/>
          <w:sz w:val="32"/>
          <w:szCs w:val="32"/>
        </w:rPr>
        <w:t>人员经费收入</w:t>
      </w:r>
      <w:r>
        <w:rPr>
          <w:rFonts w:ascii="仿宋_GB2312" w:eastAsia="仿宋_GB2312" w:cs="仿宋_GB2312" w:hint="eastAsia"/>
          <w:kern w:val="0"/>
          <w:sz w:val="32"/>
          <w:szCs w:val="32"/>
          <w:lang w:val="en-US" w:eastAsia="zh-CN"/>
        </w:rPr>
        <w:t>517.94</w:t>
      </w:r>
      <w:r>
        <w:rPr>
          <w:rFonts w:ascii="仿宋_GB2312" w:eastAsia="仿宋_GB2312" w:cs="仿宋_GB2312" w:hint="eastAsia"/>
          <w:kern w:val="0"/>
          <w:sz w:val="32"/>
          <w:szCs w:val="32"/>
        </w:rPr>
        <w:t>万元</w:t>
      </w:r>
      <w:r>
        <w:rPr>
          <w:rFonts w:ascii="仿宋_GB2312" w:eastAsia="仿宋_GB2312" w:cs="仿宋_GB2312" w:hint="eastAsia"/>
          <w:kern w:val="0"/>
          <w:sz w:val="32"/>
          <w:szCs w:val="32"/>
          <w:lang w:eastAsia="zh-CN"/>
        </w:rPr>
        <w:t>、</w:t>
      </w:r>
      <w:r>
        <w:rPr>
          <w:rFonts w:ascii="仿宋_GB2312" w:eastAsia="仿宋_GB2312" w:cs="仿宋_GB2312" w:hint="eastAsia"/>
          <w:kern w:val="0"/>
          <w:sz w:val="32"/>
          <w:szCs w:val="32"/>
        </w:rPr>
        <w:t>日常公用经费收入</w:t>
      </w:r>
      <w:r>
        <w:rPr>
          <w:rFonts w:ascii="仿宋_GB2312" w:eastAsia="仿宋_GB2312" w:cs="仿宋_GB2312" w:hint="eastAsia"/>
          <w:kern w:val="0"/>
          <w:sz w:val="32"/>
          <w:szCs w:val="32"/>
          <w:lang w:val="en-US" w:eastAsia="zh-CN"/>
        </w:rPr>
        <w:t>57.39</w:t>
      </w:r>
      <w:r>
        <w:rPr>
          <w:rFonts w:ascii="仿宋_GB2312" w:eastAsia="仿宋_GB2312" w:cs="仿宋_GB2312" w:hint="eastAsia"/>
          <w:kern w:val="0"/>
          <w:sz w:val="32"/>
          <w:szCs w:val="32"/>
        </w:rPr>
        <w:t>万元</w:t>
      </w:r>
      <w:r>
        <w:rPr>
          <w:rFonts w:ascii="仿宋_GB2312" w:eastAsia="仿宋_GB2312" w:cs="仿宋_GB2312" w:hint="eastAsia"/>
          <w:kern w:val="0"/>
          <w:sz w:val="32"/>
          <w:szCs w:val="32"/>
          <w:lang w:eastAsia="zh-CN"/>
        </w:rPr>
        <w:t>、</w:t>
      </w:r>
      <w:r>
        <w:rPr>
          <w:rFonts w:ascii="仿宋_GB2312" w:eastAsia="仿宋_GB2312" w:cs="仿宋_GB2312" w:hint="eastAsia"/>
          <w:kern w:val="0"/>
          <w:sz w:val="32"/>
          <w:szCs w:val="32"/>
        </w:rPr>
        <w:t>项目收入</w:t>
      </w:r>
      <w:r>
        <w:rPr>
          <w:rFonts w:ascii="仿宋_GB2312" w:eastAsia="仿宋_GB2312" w:cs="仿宋_GB2312" w:hint="eastAsia"/>
          <w:kern w:val="0"/>
          <w:sz w:val="32"/>
          <w:szCs w:val="32"/>
          <w:lang w:val="en-US" w:eastAsia="zh-CN"/>
        </w:rPr>
        <w:t>1484.53</w:t>
      </w:r>
      <w:r>
        <w:rPr>
          <w:rFonts w:ascii="仿宋_GB2312" w:eastAsia="仿宋_GB2312" w:cs="仿宋_GB2312" w:hint="eastAsia"/>
          <w:kern w:val="0"/>
          <w:sz w:val="32"/>
          <w:szCs w:val="32"/>
        </w:rPr>
        <w:t>万元</w:t>
      </w:r>
      <w:r>
        <w:rPr>
          <w:rFonts w:ascii="仿宋_GB2312" w:eastAsia="仿宋_GB2312" w:cs="仿宋_GB2312" w:hint="eastAsia"/>
          <w:kern w:val="0"/>
          <w:sz w:val="32"/>
          <w:szCs w:val="32"/>
          <w:lang w:val="zh-CN"/>
        </w:rPr>
        <w:t>。</w:t>
      </w:r>
    </w:p>
    <w:p>
      <w:pPr>
        <w:pStyle w:val="38"/>
        <w:widowControl/>
        <w:numPr>
          <w:ilvl w:val="0"/>
          <w:numId w:val="7"/>
        </w:numPr>
        <w:suppressAutoHyphens w:val="0"/>
        <w:bidi w:val="0"/>
        <w:snapToGrid w:val="0"/>
        <w:spacing w:line="56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lang w:val="zh-CN"/>
        </w:rPr>
        <w:t>部门财政资金支出情况</w:t>
      </w:r>
    </w:p>
    <w:p>
      <w:pPr>
        <w:spacing w:line="600" w:lineRule="exact"/>
        <w:ind w:firstLineChars="200" w:firstLine="632"/>
        <w:rPr>
          <w:rFonts w:ascii="仿宋_GB2312" w:eastAsia="仿宋_GB2312" w:cs="仿宋_GB2312" w:hint="eastAsia"/>
          <w:color w:val="auto"/>
          <w:kern w:val="0"/>
          <w:sz w:val="32"/>
          <w:szCs w:val="32"/>
          <w:lang w:val="zh-CN" w:eastAsia="zh-CN" w:bidi="ar-SA"/>
        </w:rPr>
      </w:pPr>
      <w:r>
        <w:rPr>
          <w:rFonts w:ascii="仿宋_GB2312" w:eastAsia="仿宋_GB2312" w:hint="eastAsia"/>
          <w:color w:val="auto"/>
          <w:spacing w:val="-2"/>
          <w:kern w:val="2"/>
          <w:sz w:val="32"/>
          <w:szCs w:val="32"/>
          <w:lang w:val="en-US" w:eastAsia="zh-CN" w:bidi="ar-SA"/>
        </w:rPr>
        <w:t>2022年度</w:t>
      </w:r>
      <w:r>
        <w:rPr>
          <w:rFonts w:ascii="仿宋_GB2312" w:eastAsia="仿宋_GB2312" w:cs="仿宋_GB2312" w:hint="eastAsia"/>
          <w:color w:val="000000"/>
          <w:kern w:val="0"/>
          <w:sz w:val="32"/>
          <w:szCs w:val="32"/>
          <w:shd w:val="clear" w:color="auto" w:fill="FFFFFF"/>
          <w:lang w:val="en-US" w:eastAsia="zh-CN"/>
        </w:rPr>
        <w:t>财政拨款</w:t>
      </w:r>
      <w:r>
        <w:rPr>
          <w:rFonts w:ascii="仿宋_GB2312" w:eastAsia="仿宋_GB2312" w:hint="eastAsia"/>
          <w:color w:val="auto"/>
          <w:spacing w:val="-2"/>
          <w:kern w:val="2"/>
          <w:sz w:val="32"/>
          <w:szCs w:val="32"/>
          <w:lang w:val="en-US" w:eastAsia="zh-CN" w:bidi="ar-SA"/>
        </w:rPr>
        <w:t>支出2059.87万元，较上年支出增加426.83万元，增加26.14%。主要原因项目支出及基本支出增加。</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517.94</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109.25万元</w:t>
      </w:r>
      <w:r>
        <w:rPr>
          <w:rFonts w:ascii="仿宋" w:eastAsia="仿宋" w:hint="eastAsia"/>
          <w:color w:val="000000"/>
          <w:sz w:val="32"/>
          <w:szCs w:val="32"/>
        </w:rPr>
        <w:t>、津贴补贴</w:t>
      </w:r>
      <w:r>
        <w:rPr>
          <w:rFonts w:ascii="仿宋" w:eastAsia="仿宋" w:hint="eastAsia"/>
          <w:color w:val="000000"/>
          <w:sz w:val="32"/>
          <w:szCs w:val="32"/>
          <w:lang w:val="en-US" w:eastAsia="zh-CN"/>
        </w:rPr>
        <w:t>111.86万元</w:t>
      </w:r>
      <w:r>
        <w:rPr>
          <w:rFonts w:ascii="仿宋" w:eastAsia="仿宋" w:hint="eastAsia"/>
          <w:color w:val="000000"/>
          <w:sz w:val="32"/>
          <w:szCs w:val="32"/>
        </w:rPr>
        <w:t>、奖金</w:t>
      </w:r>
      <w:r>
        <w:rPr>
          <w:rFonts w:ascii="仿宋" w:eastAsia="仿宋" w:hint="eastAsia"/>
          <w:color w:val="000000"/>
          <w:sz w:val="32"/>
          <w:szCs w:val="32"/>
          <w:lang w:val="en-US" w:eastAsia="zh-CN"/>
        </w:rPr>
        <w:t>89.95万元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17.35万元、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42.97万元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21.63万元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职工基本医疗保险缴费20.53万元、公务员医疗补助缴费4.19万元、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6.31万元</w:t>
      </w:r>
      <w:r>
        <w:rPr>
          <w:rFonts w:ascii="仿宋" w:eastAsia="仿宋" w:hint="eastAsia"/>
          <w:color w:val="000000"/>
          <w:sz w:val="32"/>
          <w:szCs w:val="32"/>
        </w:rPr>
        <w:t>、住房公积金</w:t>
      </w:r>
      <w:r>
        <w:rPr>
          <w:rFonts w:ascii="仿宋" w:eastAsia="仿宋" w:hint="eastAsia"/>
          <w:color w:val="000000"/>
          <w:sz w:val="32"/>
          <w:szCs w:val="32"/>
          <w:lang w:val="en-US" w:eastAsia="zh-CN"/>
        </w:rPr>
        <w:t>38.96万元</w:t>
      </w:r>
      <w:r>
        <w:rPr>
          <w:rFonts w:ascii="仿宋" w:eastAsia="仿宋" w:hint="eastAsia"/>
          <w:color w:val="000000"/>
          <w:sz w:val="32"/>
          <w:szCs w:val="32"/>
        </w:rPr>
        <w:t>、生活补助</w:t>
      </w:r>
      <w:r>
        <w:rPr>
          <w:rFonts w:ascii="仿宋" w:eastAsia="仿宋" w:hint="eastAsia"/>
          <w:color w:val="000000"/>
          <w:sz w:val="32"/>
          <w:szCs w:val="32"/>
          <w:lang w:val="en-US" w:eastAsia="zh-CN"/>
        </w:rPr>
        <w:t>2.85万元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52.08万元</w:t>
      </w:r>
      <w:r>
        <w:rPr>
          <w:rFonts w:ascii="仿宋" w:eastAsia="仿宋" w:hint="eastAsia"/>
          <w:color w:val="000000"/>
          <w:sz w:val="32"/>
          <w:szCs w:val="32"/>
        </w:rPr>
        <w:t>等。</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57.39</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8.72万元、印刷费3.63万元、水费0.5万元、</w:t>
      </w:r>
      <w:r>
        <w:rPr>
          <w:rFonts w:ascii="仿宋" w:eastAsia="仿宋" w:hint="eastAsia"/>
          <w:color w:val="000000"/>
          <w:sz w:val="32"/>
          <w:szCs w:val="32"/>
        </w:rPr>
        <w:t>电费</w:t>
      </w:r>
      <w:r>
        <w:rPr>
          <w:rFonts w:ascii="仿宋" w:eastAsia="仿宋" w:hint="eastAsia"/>
          <w:color w:val="000000"/>
          <w:sz w:val="32"/>
          <w:szCs w:val="32"/>
          <w:lang w:val="en-US" w:eastAsia="zh-CN"/>
        </w:rPr>
        <w:t>2万元</w:t>
      </w:r>
      <w:r>
        <w:rPr>
          <w:rFonts w:ascii="仿宋" w:eastAsia="仿宋" w:hint="eastAsia"/>
          <w:color w:val="000000"/>
          <w:sz w:val="32"/>
          <w:szCs w:val="32"/>
        </w:rPr>
        <w:t>、邮电费</w:t>
      </w:r>
      <w:r>
        <w:rPr>
          <w:rFonts w:ascii="仿宋" w:eastAsia="仿宋" w:hint="eastAsia"/>
          <w:color w:val="000000"/>
          <w:sz w:val="32"/>
          <w:szCs w:val="32"/>
          <w:lang w:val="en-US" w:eastAsia="zh-CN"/>
        </w:rPr>
        <w:t>4万元</w:t>
      </w:r>
      <w:r>
        <w:rPr>
          <w:rFonts w:ascii="仿宋" w:eastAsia="仿宋" w:hint="eastAsia"/>
          <w:color w:val="000000"/>
          <w:sz w:val="32"/>
          <w:szCs w:val="32"/>
        </w:rPr>
        <w:t>、差旅费</w:t>
      </w:r>
      <w:r>
        <w:rPr>
          <w:rFonts w:ascii="仿宋" w:eastAsia="仿宋" w:hint="eastAsia"/>
          <w:color w:val="000000"/>
          <w:sz w:val="32"/>
          <w:szCs w:val="32"/>
          <w:lang w:val="en-US" w:eastAsia="zh-CN"/>
        </w:rPr>
        <w:t>8.99万元</w:t>
      </w:r>
      <w:r>
        <w:rPr>
          <w:rFonts w:ascii="仿宋" w:eastAsia="仿宋" w:hint="eastAsia"/>
          <w:color w:val="000000"/>
          <w:sz w:val="32"/>
          <w:szCs w:val="32"/>
        </w:rPr>
        <w:t>、维修（护）费</w:t>
      </w:r>
      <w:r>
        <w:rPr>
          <w:rFonts w:ascii="仿宋" w:eastAsia="仿宋" w:hint="eastAsia"/>
          <w:color w:val="000000"/>
          <w:sz w:val="32"/>
          <w:szCs w:val="32"/>
          <w:lang w:val="en-US" w:eastAsia="zh-CN"/>
        </w:rPr>
        <w:t>1万元</w:t>
      </w:r>
      <w:r>
        <w:rPr>
          <w:rFonts w:ascii="仿宋" w:eastAsia="仿宋" w:hint="eastAsia"/>
          <w:color w:val="000000"/>
          <w:sz w:val="32"/>
          <w:szCs w:val="32"/>
        </w:rPr>
        <w:t>、</w:t>
      </w:r>
      <w:r>
        <w:rPr>
          <w:rFonts w:ascii="仿宋" w:eastAsia="仿宋" w:hint="eastAsia"/>
          <w:color w:val="000000"/>
          <w:sz w:val="32"/>
          <w:szCs w:val="32"/>
          <w:lang w:eastAsia="zh-CN"/>
        </w:rPr>
        <w:t>会议费</w:t>
      </w:r>
      <w:r>
        <w:rPr>
          <w:rFonts w:ascii="仿宋" w:eastAsia="仿宋" w:hint="eastAsia"/>
          <w:color w:val="000000"/>
          <w:sz w:val="32"/>
          <w:szCs w:val="32"/>
          <w:lang w:val="en-US" w:eastAsia="zh-CN"/>
        </w:rPr>
        <w:t>0.14万元、</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10.87万元、委托业务费3万元、福利费0.5万元、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3.01万元、其他交通费用6.19万元、办公设备购置4.83万元。</w:t>
      </w:r>
    </w:p>
    <w:p>
      <w:pPr>
        <w:pStyle w:val="38"/>
        <w:widowControl/>
        <w:suppressAutoHyphens w:val="0"/>
        <w:bidi w:val="0"/>
        <w:snapToGrid w:val="0"/>
        <w:spacing w:line="560" w:lineRule="exact"/>
        <w:ind w:left="0" w:firstLineChars="200" w:firstLine="640"/>
        <w:jc w:val="left"/>
        <w:rPr>
          <w:rFonts w:ascii="仿宋_GB2312" w:eastAsia="仿宋_GB2312" w:cs="仿宋_GB2312" w:hint="eastAsia"/>
          <w:color w:val="auto"/>
          <w:kern w:val="0"/>
          <w:sz w:val="32"/>
          <w:szCs w:val="32"/>
          <w:lang w:val="zh-CN" w:eastAsia="zh-CN" w:bidi="ar-SA"/>
        </w:rPr>
      </w:pPr>
      <w:r>
        <w:rPr>
          <w:rFonts w:ascii="仿宋_GB2312" w:eastAsia="仿宋_GB2312" w:cs="仿宋" w:hint="eastAsia"/>
          <w:sz w:val="32"/>
          <w:szCs w:val="32"/>
        </w:rPr>
        <w:t>项目支出</w:t>
      </w:r>
      <w:r>
        <w:rPr>
          <w:rFonts w:ascii="仿宋_GB2312" w:eastAsia="仿宋_GB2312" w:cs="仿宋" w:hint="eastAsia"/>
          <w:sz w:val="32"/>
          <w:szCs w:val="32"/>
          <w:lang w:val="en-US" w:eastAsia="zh-CN"/>
        </w:rPr>
        <w:t>1484.53万</w:t>
      </w:r>
      <w:r>
        <w:rPr>
          <w:rFonts w:ascii="仿宋_GB2312" w:eastAsia="仿宋_GB2312" w:cs="仿宋" w:hint="eastAsia"/>
          <w:sz w:val="32"/>
          <w:szCs w:val="32"/>
        </w:rPr>
        <w:t>元</w:t>
      </w:r>
      <w:r>
        <w:rPr>
          <w:rFonts w:ascii="仿宋_GB2312" w:eastAsia="仿宋_GB2312" w:cs="仿宋" w:hint="eastAsia"/>
          <w:sz w:val="32"/>
          <w:szCs w:val="32"/>
          <w:lang w:eastAsia="zh-CN"/>
        </w:rPr>
        <w:t>。</w:t>
      </w:r>
      <w:r>
        <w:rPr>
          <w:rFonts w:ascii="仿宋_GB2312" w:eastAsia="仿宋_GB2312" w:cs="仿宋" w:hint="eastAsia"/>
          <w:sz w:val="32"/>
          <w:szCs w:val="32"/>
        </w:rPr>
        <w:t>其中：</w:t>
      </w:r>
      <w:r>
        <w:rPr>
          <w:rFonts w:ascii="仿宋_GB2312" w:eastAsia="仿宋_GB2312" w:cs="仿宋" w:hint="eastAsia"/>
          <w:sz w:val="32"/>
          <w:szCs w:val="32"/>
          <w:lang w:eastAsia="zh-CN"/>
        </w:rPr>
        <w:t>办公费</w:t>
      </w:r>
      <w:r>
        <w:rPr>
          <w:rFonts w:ascii="仿宋_GB2312" w:eastAsia="仿宋_GB2312" w:cs="仿宋" w:hint="eastAsia"/>
          <w:sz w:val="32"/>
          <w:szCs w:val="32"/>
          <w:lang w:val="en-US" w:eastAsia="zh-CN"/>
        </w:rPr>
        <w:t>9.18万元、印刷费10.37万元、租赁费3.57万元、培训费1.73万元、专用材料费53.29万元、</w:t>
      </w:r>
      <w:r>
        <w:rPr>
          <w:rFonts w:ascii="仿宋_GB2312" w:eastAsia="仿宋_GB2312" w:cs="仿宋_GB2312" w:hint="eastAsia"/>
          <w:color w:val="auto"/>
          <w:kern w:val="0"/>
          <w:sz w:val="32"/>
          <w:szCs w:val="32"/>
          <w:lang w:val="zh-CN" w:eastAsia="zh-CN" w:bidi="ar-SA"/>
        </w:rPr>
        <w:t>劳务费</w:t>
      </w:r>
      <w:r>
        <w:rPr>
          <w:rFonts w:ascii="仿宋_GB2312" w:eastAsia="仿宋_GB2312" w:cs="仿宋_GB2312" w:hint="eastAsia"/>
          <w:color w:val="auto"/>
          <w:kern w:val="0"/>
          <w:sz w:val="32"/>
          <w:szCs w:val="32"/>
          <w:lang w:val="en-US" w:eastAsia="zh-CN" w:bidi="ar-SA"/>
        </w:rPr>
        <w:t>2.67万</w:t>
      </w:r>
      <w:r>
        <w:rPr>
          <w:rFonts w:ascii="仿宋_GB2312" w:eastAsia="仿宋_GB2312" w:cs="仿宋_GB2312" w:hint="eastAsia"/>
          <w:color w:val="auto"/>
          <w:kern w:val="0"/>
          <w:sz w:val="32"/>
          <w:szCs w:val="32"/>
          <w:lang w:val="zh-CN" w:eastAsia="zh-CN" w:bidi="ar-SA"/>
        </w:rPr>
        <w:t>元、委托业务费</w:t>
      </w:r>
      <w:r>
        <w:rPr>
          <w:rFonts w:ascii="仿宋_GB2312" w:eastAsia="仿宋_GB2312" w:cs="仿宋_GB2312" w:hint="eastAsia"/>
          <w:color w:val="auto"/>
          <w:kern w:val="0"/>
          <w:sz w:val="32"/>
          <w:szCs w:val="32"/>
          <w:lang w:val="en-US" w:eastAsia="zh-CN" w:bidi="ar-SA"/>
        </w:rPr>
        <w:t>101.14万元、其他交通费用2.21万元、生活补助0.67万元、资本性支出（基本建设）基础设施建设14.56万元、资本性支出中办公设备购置3.95万元、专用设备购置256.56万元、基础设施建设738.53万元、大型修缮22.81万元、物资储备234.50万元、公务用车购置28.80万元</w:t>
      </w:r>
      <w:r>
        <w:rPr>
          <w:rFonts w:ascii="仿宋_GB2312" w:eastAsia="仿宋_GB2312" w:cs="仿宋_GB2312" w:hint="eastAsia"/>
          <w:color w:val="auto"/>
          <w:kern w:val="0"/>
          <w:sz w:val="32"/>
          <w:szCs w:val="32"/>
          <w:lang w:val="zh-CN" w:eastAsia="zh-CN" w:bidi="ar-SA"/>
        </w:rPr>
        <w:t>。</w:t>
      </w:r>
    </w:p>
    <w:p>
      <w:pPr>
        <w:keepNext w:val="0"/>
        <w:keepLines w:val="0"/>
        <w:widowControl/>
        <w:numPr>
          <w:ilvl w:val="0"/>
          <w:numId w:val="8"/>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b/>
          <w:bCs/>
          <w:color w:val="000000"/>
          <w:kern w:val="0"/>
          <w:sz w:val="32"/>
          <w:szCs w:val="32"/>
        </w:rPr>
      </w:pPr>
      <w:r>
        <w:rPr>
          <w:rFonts w:ascii="黑体" w:eastAsia="黑体" w:cs="黑体" w:hint="eastAsia"/>
          <w:color w:val="000000"/>
          <w:kern w:val="0"/>
          <w:sz w:val="32"/>
          <w:szCs w:val="32"/>
          <w:shd w:val="clear" w:color="auto" w:fill="FFFFFF"/>
          <w:lang w:val="en-US" w:eastAsia="zh-CN"/>
        </w:rPr>
        <w:t>部门整体预算绩效管理情况</w:t>
      </w:r>
    </w:p>
    <w:p>
      <w:pPr>
        <w:numPr>
          <w:ilvl w:val="0"/>
          <w:numId w:val="9"/>
        </w:numPr>
        <w:spacing w:line="600" w:lineRule="exact"/>
        <w:ind w:left="-15" w:firstLine="645"/>
        <w:rPr>
          <w:rFonts w:ascii="仿宋_GB2312" w:eastAsia="仿宋_GB2312" w:cs="仿宋_GB2312" w:hint="eastAsia"/>
          <w:b/>
          <w:bCs/>
          <w:color w:val="000000"/>
          <w:kern w:val="0"/>
          <w:sz w:val="32"/>
          <w:szCs w:val="32"/>
          <w:lang w:val="en-US" w:eastAsia="zh-CN" w:bidi="ar-SA"/>
        </w:rPr>
      </w:pPr>
      <w:r>
        <w:rPr>
          <w:rFonts w:ascii="仿宋_GB2312" w:eastAsia="仿宋_GB2312" w:cs="仿宋_GB2312" w:hint="eastAsia"/>
          <w:b/>
          <w:bCs/>
          <w:color w:val="000000"/>
          <w:kern w:val="0"/>
          <w:sz w:val="32"/>
          <w:szCs w:val="32"/>
          <w:lang w:val="en-US" w:eastAsia="zh-CN" w:bidi="ar-SA"/>
        </w:rPr>
        <w:t>部门预算管理</w:t>
      </w:r>
    </w:p>
    <w:p>
      <w:pPr>
        <w:spacing w:line="600" w:lineRule="exact"/>
        <w:ind w:left="0" w:firstLineChars="200" w:firstLine="640"/>
        <w:rPr>
          <w:rFonts w:ascii="仿宋_GB2312" w:eastAsia="仿宋_GB2312" w:cs="仿宋_GB2312" w:hint="eastAsia"/>
          <w:color w:val="auto"/>
          <w:kern w:val="0"/>
          <w:sz w:val="32"/>
          <w:szCs w:val="32"/>
          <w:lang w:val="en-US" w:eastAsia="zh-CN" w:bidi="ar-SA"/>
        </w:rPr>
      </w:pPr>
      <w:r>
        <w:rPr>
          <w:rFonts w:ascii="仿宋_GB2312" w:eastAsia="仿宋_GB2312" w:cs="仿宋_GB2312" w:hint="eastAsia"/>
          <w:color w:val="auto"/>
          <w:kern w:val="0"/>
          <w:sz w:val="32"/>
          <w:szCs w:val="32"/>
          <w:lang w:val="en-US" w:eastAsia="zh-CN" w:bidi="ar-SA"/>
        </w:rPr>
        <w:t>本单位预算编制严格按照《</w:t>
      </w:r>
      <w:r>
        <w:rPr>
          <w:rFonts w:ascii="仿宋_GB2312" w:eastAsia="仿宋_GB2312" w:cs="仿宋_GB2312"/>
          <w:color w:val="auto"/>
          <w:kern w:val="0"/>
          <w:sz w:val="32"/>
          <w:szCs w:val="32"/>
          <w:lang w:val="en-US" w:eastAsia="zh-CN" w:bidi="ar-SA"/>
        </w:rPr>
        <w:t>中华人民共和国</w:t>
      </w:r>
      <w:r>
        <w:rPr>
          <w:rFonts w:ascii="仿宋_GB2312" w:eastAsia="仿宋_GB2312" w:cs="仿宋_GB2312" w:hint="eastAsia"/>
          <w:color w:val="auto"/>
          <w:kern w:val="0"/>
          <w:sz w:val="32"/>
          <w:szCs w:val="32"/>
          <w:lang w:val="en-US" w:eastAsia="zh-CN" w:bidi="ar-SA"/>
        </w:rPr>
        <w:t>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p>
    <w:p>
      <w:pPr>
        <w:pStyle w:val="38"/>
        <w:widowControl/>
        <w:tabs>
          <w:tab w:val="left" w:pos="1297"/>
        </w:tabs>
        <w:suppressAutoHyphens w:val="0"/>
        <w:bidi w:val="0"/>
        <w:snapToGrid w:val="0"/>
        <w:spacing w:line="560" w:lineRule="exact"/>
        <w:ind w:left="720" w:firstLine="0"/>
        <w:jc w:val="left"/>
        <w:rPr>
          <w:rFonts w:ascii="仿宋_GB2312" w:eastAsia="仿宋_GB2312" w:cs="仿宋_GB2312" w:hint="eastAsia"/>
          <w:color w:val="000000"/>
          <w:kern w:val="0"/>
          <w:sz w:val="32"/>
          <w:szCs w:val="32"/>
          <w:lang w:val="zh-CN"/>
        </w:rPr>
      </w:pPr>
      <w:r>
        <w:rPr>
          <w:rFonts w:ascii="仿宋_GB2312" w:eastAsia="仿宋_GB2312" w:cs="仿宋_GB2312" w:hint="eastAsia"/>
          <w:b/>
          <w:bCs/>
          <w:color w:val="000000"/>
          <w:kern w:val="0"/>
          <w:sz w:val="32"/>
          <w:szCs w:val="32"/>
        </w:rPr>
        <w:t>(二）</w:t>
      </w:r>
      <w:r>
        <w:rPr>
          <w:rFonts w:ascii="仿宋_GB2312" w:eastAsia="仿宋_GB2312" w:cs="仿宋_GB2312" w:hint="eastAsia"/>
          <w:b/>
          <w:bCs/>
          <w:color w:val="000000"/>
          <w:kern w:val="0"/>
          <w:sz w:val="32"/>
          <w:szCs w:val="32"/>
          <w:lang w:val="zh-CN"/>
        </w:rPr>
        <w:t>执行管理情况</w:t>
      </w:r>
      <w:r>
        <w:rPr>
          <w:rFonts w:ascii="仿宋_GB2312" w:eastAsia="仿宋_GB2312" w:cs="仿宋_GB2312" w:hint="eastAsia"/>
          <w:color w:val="000000"/>
          <w:kern w:val="0"/>
          <w:sz w:val="32"/>
          <w:szCs w:val="32"/>
          <w:lang w:val="zh-CN"/>
        </w:rPr>
        <w:tab/>
      </w:r>
    </w:p>
    <w:p>
      <w:pPr>
        <w:autoSpaceDE w:val="0"/>
        <w:autoSpaceDN w:val="0"/>
        <w:adjustRightInd w:val="0"/>
        <w:spacing w:line="600" w:lineRule="exact"/>
        <w:ind w:firstLineChars="200" w:firstLine="640"/>
        <w:jc w:val="left"/>
        <w:rPr>
          <w:rFonts w:ascii="仿宋_GB2312" w:eastAsia="仿宋_GB2312" w:cs="仿宋" w:hint="eastAsia"/>
          <w:color w:val="auto"/>
          <w:sz w:val="32"/>
          <w:szCs w:val="32"/>
          <w:lang w:val="en-US" w:eastAsia="zh-CN"/>
        </w:rPr>
      </w:pPr>
      <w:r>
        <w:rPr>
          <w:rFonts w:ascii="仿宋_GB2312" w:eastAsia="仿宋_GB2312" w:cs="仿宋_GB2312" w:hint="eastAsia"/>
          <w:color w:val="auto"/>
          <w:sz w:val="32"/>
          <w:szCs w:val="32"/>
          <w:lang w:val="en-US" w:eastAsia="zh-CN"/>
        </w:rPr>
        <w:t>1、“</w:t>
      </w:r>
      <w:r>
        <w:rPr>
          <w:rFonts w:ascii="仿宋_GB2312" w:eastAsia="仿宋_GB2312" w:cs="仿宋_GB2312" w:hint="eastAsia"/>
          <w:bCs/>
          <w:color w:val="auto"/>
          <w:sz w:val="32"/>
          <w:szCs w:val="32"/>
        </w:rPr>
        <w:t>三公</w:t>
      </w:r>
      <w:r>
        <w:rPr>
          <w:rFonts w:ascii="仿宋_GB2312" w:eastAsia="仿宋_GB2312" w:cs="仿宋_GB2312" w:hint="eastAsia"/>
          <w:bCs/>
          <w:color w:val="auto"/>
          <w:sz w:val="32"/>
          <w:szCs w:val="32"/>
          <w:lang w:eastAsia="zh-CN"/>
        </w:rPr>
        <w:t>”</w:t>
      </w:r>
      <w:r>
        <w:rPr>
          <w:rFonts w:ascii="仿宋_GB2312" w:eastAsia="仿宋_GB2312" w:cs="仿宋_GB2312" w:hint="eastAsia"/>
          <w:bCs/>
          <w:color w:val="auto"/>
          <w:sz w:val="32"/>
          <w:szCs w:val="32"/>
        </w:rPr>
        <w:t>经费预算执行情况</w:t>
      </w:r>
      <w:r>
        <w:rPr>
          <w:rFonts w:ascii="仿宋_GB2312" w:eastAsia="仿宋_GB2312" w:cs="仿宋_GB2312" w:hint="eastAsia"/>
          <w:bCs/>
          <w:color w:val="auto"/>
          <w:sz w:val="32"/>
          <w:szCs w:val="32"/>
          <w:lang w:eastAsia="zh-CN"/>
        </w:rPr>
        <w:t>：</w:t>
      </w:r>
      <w:r>
        <w:rPr>
          <w:rFonts w:ascii="仿宋_GB2312" w:eastAsia="仿宋_GB2312" w:cs="仿宋_GB2312" w:hint="eastAsia"/>
          <w:bCs/>
          <w:color w:val="auto"/>
          <w:sz w:val="32"/>
          <w:szCs w:val="32"/>
          <w:lang w:val="en-US" w:eastAsia="zh-CN"/>
        </w:rPr>
        <w:t>2022</w:t>
      </w:r>
      <w:r>
        <w:rPr>
          <w:rFonts w:ascii="仿宋_GB2312" w:eastAsia="仿宋_GB2312" w:cs="仿宋_GB2312" w:hint="eastAsia"/>
          <w:bCs/>
          <w:color w:val="auto"/>
          <w:sz w:val="32"/>
          <w:szCs w:val="32"/>
        </w:rPr>
        <w:t>年</w:t>
      </w:r>
      <w:r>
        <w:rPr>
          <w:rFonts w:ascii="仿宋_GB2312" w:eastAsia="仿宋_GB2312" w:cs="仿宋" w:hint="eastAsia"/>
          <w:color w:val="auto"/>
          <w:sz w:val="32"/>
          <w:szCs w:val="32"/>
          <w:lang w:val="en-US" w:eastAsia="zh-CN"/>
        </w:rPr>
        <w:t>“三公”经费支出31.81万元.其中：</w:t>
      </w:r>
      <w:r>
        <w:rPr>
          <w:rFonts w:ascii="仿宋_GB2312" w:eastAsia="仿宋_GB2312" w:cs="仿宋_GB2312" w:hint="eastAsia"/>
          <w:bCs/>
          <w:color w:val="auto"/>
          <w:sz w:val="32"/>
          <w:szCs w:val="32"/>
        </w:rPr>
        <w:t>公务接待费</w:t>
      </w:r>
      <w:r>
        <w:rPr>
          <w:rFonts w:ascii="仿宋_GB2312" w:eastAsia="仿宋_GB2312" w:cs="仿宋_GB2312" w:hint="eastAsia"/>
          <w:bCs/>
          <w:color w:val="auto"/>
          <w:sz w:val="32"/>
          <w:szCs w:val="32"/>
          <w:lang w:val="en-US" w:eastAsia="zh-CN"/>
        </w:rPr>
        <w:t>0</w:t>
      </w:r>
      <w:r>
        <w:rPr>
          <w:rFonts w:ascii="仿宋_GB2312" w:eastAsia="仿宋_GB2312" w:cs="仿宋_GB2312" w:hint="eastAsia"/>
          <w:bCs/>
          <w:color w:val="auto"/>
          <w:sz w:val="32"/>
          <w:szCs w:val="32"/>
        </w:rPr>
        <w:t>万元</w:t>
      </w:r>
      <w:r>
        <w:rPr>
          <w:rFonts w:ascii="仿宋_GB2312" w:eastAsia="仿宋_GB2312" w:cs="仿宋_GB2312" w:hint="eastAsia"/>
          <w:bCs/>
          <w:color w:val="auto"/>
          <w:sz w:val="32"/>
          <w:szCs w:val="32"/>
          <w:lang w:eastAsia="zh-CN"/>
        </w:rPr>
        <w:t>、</w:t>
      </w:r>
      <w:r>
        <w:rPr>
          <w:rFonts w:ascii="仿宋_GB2312" w:eastAsia="仿宋_GB2312" w:cs="仿宋_GB2312" w:hint="eastAsia"/>
          <w:bCs/>
          <w:color w:val="auto"/>
          <w:sz w:val="32"/>
          <w:szCs w:val="32"/>
          <w:lang w:val="en-US" w:eastAsia="zh-CN"/>
        </w:rPr>
        <w:t>公务用车购置及运行维护费31.81</w:t>
      </w:r>
      <w:r>
        <w:rPr>
          <w:rFonts w:ascii="仿宋_GB2312" w:eastAsia="仿宋_GB2312" w:cs="仿宋_GB2312" w:hint="eastAsia"/>
          <w:bCs/>
          <w:color w:val="auto"/>
          <w:sz w:val="32"/>
          <w:szCs w:val="32"/>
        </w:rPr>
        <w:t>万元</w:t>
      </w:r>
      <w:r>
        <w:rPr>
          <w:rFonts w:ascii="仿宋_GB2312" w:eastAsia="仿宋_GB2312" w:cs="仿宋_GB2312" w:hint="eastAsia"/>
          <w:bCs/>
          <w:color w:val="auto"/>
          <w:sz w:val="32"/>
          <w:szCs w:val="32"/>
          <w:lang w:eastAsia="zh-CN"/>
        </w:rPr>
        <w:t>、</w:t>
      </w:r>
      <w:r>
        <w:rPr>
          <w:rFonts w:ascii="仿宋_GB2312" w:eastAsia="仿宋_GB2312" w:cs="仿宋" w:hint="eastAsia"/>
          <w:color w:val="auto"/>
          <w:sz w:val="32"/>
          <w:szCs w:val="32"/>
          <w:lang w:val="en-US" w:eastAsia="zh-CN"/>
        </w:rPr>
        <w:t>因公出国（境）经费0万元。</w:t>
      </w:r>
    </w:p>
    <w:p>
      <w:pPr>
        <w:spacing w:line="600" w:lineRule="exact"/>
        <w:ind w:firstLine="640"/>
        <w:rPr>
          <w:rFonts w:ascii="仿宋_GB2312" w:eastAsia="仿宋_GB2312" w:cs="仿宋_GB2312" w:hint="eastAsia"/>
          <w:bCs/>
          <w:color w:val="auto"/>
          <w:sz w:val="32"/>
          <w:szCs w:val="32"/>
          <w:lang w:val="en-US" w:eastAsia="zh-CN"/>
        </w:rPr>
      </w:pPr>
      <w:r>
        <w:rPr>
          <w:rFonts w:ascii="仿宋_GB2312" w:eastAsia="仿宋_GB2312" w:hint="eastAsia"/>
          <w:b w:val="0"/>
          <w:bCs/>
          <w:color w:val="000000"/>
          <w:sz w:val="32"/>
          <w:szCs w:val="32"/>
          <w:lang w:val="en-US" w:eastAsia="zh-CN"/>
        </w:rPr>
        <w:t>公务</w:t>
      </w:r>
      <w:r>
        <w:rPr>
          <w:rFonts w:ascii="仿宋_GB2312" w:eastAsia="仿宋_GB2312" w:hint="eastAsia"/>
          <w:b w:val="0"/>
          <w:bCs/>
          <w:color w:val="auto"/>
          <w:sz w:val="32"/>
          <w:szCs w:val="32"/>
          <w:shd w:val="clear" w:color="auto" w:fill="auto"/>
        </w:rPr>
        <w:t>用车</w:t>
      </w:r>
      <w:r>
        <w:rPr>
          <w:rFonts w:ascii="仿宋_GB2312" w:eastAsia="仿宋_GB2312" w:hint="eastAsia"/>
          <w:b w:val="0"/>
          <w:bCs/>
          <w:color w:val="000000"/>
          <w:sz w:val="32"/>
          <w:szCs w:val="32"/>
          <w:shd w:val="clear" w:color="auto" w:fill="auto"/>
        </w:rPr>
        <w:t>购置</w:t>
      </w:r>
      <w:r>
        <w:rPr>
          <w:rFonts w:ascii="仿宋_GB2312" w:eastAsia="仿宋_GB2312" w:hint="eastAsia"/>
          <w:b w:val="0"/>
          <w:bCs/>
          <w:color w:val="000000"/>
          <w:sz w:val="32"/>
          <w:szCs w:val="32"/>
        </w:rPr>
        <w:t>及运行维护费支出</w:t>
      </w:r>
      <w:r>
        <w:rPr>
          <w:rFonts w:ascii="仿宋_GB2312" w:eastAsia="仿宋_GB2312" w:hint="eastAsia"/>
          <w:color w:val="000000"/>
          <w:sz w:val="32"/>
          <w:szCs w:val="32"/>
          <w:lang w:val="en-US" w:eastAsia="zh-CN"/>
        </w:rPr>
        <w:t>31.81</w:t>
      </w:r>
      <w:r>
        <w:rPr>
          <w:rFonts w:ascii="仿宋_GB2312" w:eastAsia="仿宋_GB2312" w:hint="eastAsia"/>
          <w:color w:val="000000"/>
          <w:sz w:val="32"/>
          <w:szCs w:val="32"/>
        </w:rPr>
        <w:t>万元,</w:t>
      </w:r>
      <w:r>
        <w:rPr>
          <w:rFonts w:ascii="仿宋" w:eastAsia="仿宋" w:hint="eastAsia"/>
          <w:color w:val="000000"/>
          <w:sz w:val="32"/>
          <w:szCs w:val="32"/>
          <w:lang w:eastAsia="zh-CN"/>
        </w:rPr>
        <w:t>比</w:t>
      </w:r>
      <w:r>
        <w:rPr>
          <w:rFonts w:ascii="仿宋" w:eastAsia="仿宋" w:hint="eastAsia"/>
          <w:color w:val="000000"/>
          <w:sz w:val="32"/>
          <w:szCs w:val="32"/>
          <w:lang w:val="en-US" w:eastAsia="zh-CN"/>
        </w:rPr>
        <w:t>2021年增加24.98万元。</w:t>
      </w:r>
      <w:r>
        <w:rPr>
          <w:rFonts w:ascii="仿宋_GB2312" w:eastAsia="仿宋_GB2312" w:hint="eastAsia"/>
          <w:color w:val="000000"/>
          <w:sz w:val="32"/>
          <w:szCs w:val="32"/>
        </w:rPr>
        <w:t>其中：</w:t>
      </w:r>
      <w:r>
        <w:rPr>
          <w:rFonts w:ascii="仿宋_GB2312" w:eastAsia="仿宋_GB2312" w:hint="eastAsia"/>
          <w:b w:val="0"/>
          <w:bCs/>
          <w:color w:val="000000"/>
          <w:sz w:val="32"/>
          <w:szCs w:val="32"/>
        </w:rPr>
        <w:t>公务用车购置支出</w:t>
      </w:r>
      <w:r>
        <w:rPr>
          <w:rFonts w:ascii="仿宋_GB2312" w:eastAsia="仿宋_GB2312" w:hint="eastAsia"/>
          <w:color w:val="000000"/>
          <w:sz w:val="32"/>
          <w:szCs w:val="32"/>
          <w:lang w:val="en-US" w:eastAsia="zh-CN"/>
        </w:rPr>
        <w:t>28.80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b w:val="0"/>
          <w:bCs/>
          <w:color w:val="000000"/>
          <w:sz w:val="32"/>
          <w:szCs w:val="32"/>
        </w:rPr>
        <w:t>公务用车运行维护费支出</w:t>
      </w:r>
      <w:r>
        <w:rPr>
          <w:rFonts w:ascii="仿宋_GB2312" w:eastAsia="仿宋_GB2312" w:hint="eastAsia"/>
          <w:color w:val="auto"/>
          <w:sz w:val="32"/>
          <w:szCs w:val="32"/>
          <w:lang w:val="en-US" w:eastAsia="zh-CN"/>
        </w:rPr>
        <w:t>3.01</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我单位</w:t>
      </w:r>
      <w:r>
        <w:rPr>
          <w:rFonts w:ascii="仿宋_GB2312" w:eastAsia="仿宋_GB2312" w:hint="eastAsia"/>
          <w:color w:val="000000"/>
          <w:sz w:val="32"/>
          <w:szCs w:val="32"/>
        </w:rPr>
        <w:t>所需的公务用车燃料费、维修费、过路过桥费、保险费等支出。</w:t>
      </w:r>
      <w:r>
        <w:rPr>
          <w:rFonts w:ascii="仿宋_GB2312" w:eastAsia="仿宋_GB2312" w:cs="仿宋_GB2312" w:hint="eastAsia"/>
          <w:bCs/>
          <w:color w:val="auto"/>
          <w:sz w:val="32"/>
          <w:szCs w:val="32"/>
          <w:lang w:val="en-US" w:eastAsia="zh-CN"/>
        </w:rPr>
        <w:t xml:space="preserve"> </w:t>
      </w:r>
    </w:p>
    <w:p>
      <w:pPr>
        <w:autoSpaceDE w:val="0"/>
        <w:autoSpaceDN w:val="0"/>
        <w:adjustRightInd w:val="0"/>
        <w:spacing w:line="600" w:lineRule="exact"/>
        <w:ind w:firstLine="640"/>
        <w:jc w:val="left"/>
        <w:rPr>
          <w:rFonts w:ascii="仿宋_GB2312" w:eastAsia="仿宋_GB2312" w:cs="仿宋_GB2312" w:hint="eastAsia"/>
          <w:bCs/>
          <w:color w:val="auto"/>
          <w:sz w:val="32"/>
          <w:szCs w:val="32"/>
          <w:lang w:val="en-US" w:eastAsia="zh-CN"/>
        </w:rPr>
      </w:pPr>
      <w:r>
        <w:rPr>
          <w:rFonts w:ascii="仿宋_GB2312" w:eastAsia="仿宋_GB2312" w:cs="仿宋_GB2312" w:hint="eastAsia"/>
          <w:bCs/>
          <w:color w:val="auto"/>
          <w:sz w:val="32"/>
          <w:szCs w:val="32"/>
          <w:lang w:val="en-US" w:eastAsia="zh-CN"/>
        </w:rPr>
        <w:t>因公出国（境）经费支出0万元。全年安排因公出国（境）团组0次，出国（境）0人。</w:t>
      </w:r>
    </w:p>
    <w:p>
      <w:pPr>
        <w:autoSpaceDE w:val="0"/>
        <w:autoSpaceDN w:val="0"/>
        <w:adjustRightInd w:val="0"/>
        <w:spacing w:line="600" w:lineRule="exact"/>
        <w:ind w:firstLine="640"/>
        <w:jc w:val="left"/>
        <w:rPr>
          <w:rFonts w:ascii="仿宋_GB2312" w:eastAsia="仿宋_GB2312" w:cs="仿宋_GB2312" w:hint="eastAsia"/>
          <w:bCs/>
          <w:color w:val="auto"/>
          <w:sz w:val="32"/>
          <w:szCs w:val="32"/>
          <w:lang w:val="en-US" w:eastAsia="zh-CN"/>
        </w:rPr>
      </w:pPr>
      <w:r>
        <w:rPr>
          <w:rFonts w:ascii="仿宋_GB2312" w:eastAsia="仿宋_GB2312" w:cs="仿宋_GB2312" w:hint="eastAsia"/>
          <w:bCs/>
          <w:color w:val="auto"/>
          <w:sz w:val="32"/>
          <w:szCs w:val="32"/>
          <w:lang w:val="en-US" w:eastAsia="zh-CN"/>
        </w:rPr>
        <w:t>公务接待费支出0万元。</w:t>
      </w:r>
    </w:p>
    <w:p>
      <w:pPr>
        <w:keepNext w:val="0"/>
        <w:keepLines w:val="0"/>
        <w:pageBreakBefore w:val="0"/>
        <w:widowControl w:val="0"/>
        <w:kinsoku/>
        <w:wordWrap/>
        <w:overflowPunct/>
        <w:topLinePunct w:val="0"/>
        <w:autoSpaceDE/>
        <w:autoSpaceDN/>
        <w:bidi w:val="0"/>
        <w:spacing w:line="360" w:lineRule="auto"/>
        <w:ind w:firstLineChars="200" w:firstLine="640"/>
        <w:textAlignment w:val="auto"/>
        <w:rPr>
          <w:rFonts w:ascii="仿宋_GB2312" w:eastAsia="仿宋_GB2312" w:cs="仿宋_GB2312" w:hint="eastAsia"/>
          <w:bCs/>
          <w:color w:val="auto"/>
          <w:sz w:val="32"/>
          <w:szCs w:val="32"/>
        </w:rPr>
      </w:pPr>
      <w:r>
        <w:rPr>
          <w:rStyle w:val="10"/>
          <w:rFonts w:ascii="仿宋_GB2312" w:eastAsia="仿宋_GB2312" w:cs="仿宋_GB2312" w:hint="eastAsia"/>
          <w:sz w:val="32"/>
          <w:szCs w:val="32"/>
          <w:lang w:val="en-US" w:eastAsia="zh-CN"/>
        </w:rPr>
        <w:t>2、执行管理情况：一是</w:t>
      </w:r>
      <w:r>
        <w:rPr>
          <w:rStyle w:val="10"/>
          <w:rFonts w:ascii="仿宋_GB2312" w:eastAsia="仿宋_GB2312" w:cs="仿宋_GB2312" w:hint="eastAsia"/>
          <w:sz w:val="32"/>
          <w:szCs w:val="32"/>
        </w:rPr>
        <w:t>在严格执行国家、省财政财纪有关法律法规的同时，明确了经费审批权限及程序，经费预算管理、财务经费管理、资产购置与处置、财务监督，开展公用经费使用监督和绩效评估，进一步落实厉行节约的各项规</w:t>
      </w:r>
      <w:r>
        <w:rPr>
          <w:rStyle w:val="10"/>
          <w:rFonts w:ascii="仿宋_GB2312" w:eastAsia="仿宋_GB2312" w:cs="仿宋_GB2312" w:hint="eastAsia"/>
          <w:sz w:val="32"/>
          <w:szCs w:val="32"/>
          <w:lang w:eastAsia="zh-CN"/>
        </w:rPr>
        <w:t>定。二是</w:t>
      </w:r>
      <w:r>
        <w:rPr>
          <w:rStyle w:val="10"/>
          <w:rFonts w:ascii="仿宋_GB2312" w:eastAsia="仿宋_GB2312" w:cs="仿宋_GB2312" w:hint="eastAsia"/>
          <w:sz w:val="32"/>
          <w:szCs w:val="32"/>
        </w:rPr>
        <w:t>规章制度建立健全，制度执行严格合规，会计核算符合相关规定。</w:t>
      </w:r>
      <w:r>
        <w:rPr>
          <w:rStyle w:val="10"/>
          <w:rFonts w:ascii="仿宋_GB2312" w:eastAsia="仿宋_GB2312" w:cs="仿宋_GB2312" w:hint="eastAsia"/>
          <w:sz w:val="32"/>
          <w:szCs w:val="32"/>
          <w:lang w:eastAsia="zh-CN"/>
        </w:rPr>
        <w:t>三</w:t>
      </w:r>
      <w:r>
        <w:rPr>
          <w:rStyle w:val="10"/>
          <w:rFonts w:ascii="仿宋_GB2312" w:eastAsia="仿宋_GB2312" w:cs="仿宋_GB2312" w:hint="eastAsia"/>
          <w:sz w:val="32"/>
          <w:szCs w:val="32"/>
        </w:rPr>
        <w:t>是严格按照有关规定，加强对财政各项资金的监督管理，确保资金及时、足额到位、专款专用。资金支付依据和开支标准合法合规，未出现截留和挪作他用现象。</w:t>
      </w:r>
      <w:r>
        <w:rPr>
          <w:rStyle w:val="10"/>
          <w:rFonts w:ascii="仿宋_GB2312" w:eastAsia="仿宋_GB2312" w:cs="仿宋_GB2312" w:hint="eastAsia"/>
          <w:sz w:val="32"/>
          <w:szCs w:val="32"/>
          <w:lang w:eastAsia="zh-CN"/>
        </w:rPr>
        <w:t>四</w:t>
      </w:r>
      <w:r>
        <w:rPr>
          <w:rStyle w:val="10"/>
          <w:rFonts w:ascii="仿宋_GB2312" w:eastAsia="仿宋_GB2312" w:cs="仿宋_GB2312" w:hint="eastAsia"/>
          <w:sz w:val="32"/>
          <w:szCs w:val="32"/>
        </w:rPr>
        <w:t>是按规定对财政拨付的资金进行自检自查，做好资金使用效益管理工作。</w:t>
      </w:r>
    </w:p>
    <w:p>
      <w:pPr>
        <w:pStyle w:val="38"/>
        <w:widowControl/>
        <w:suppressAutoHyphens w:val="0"/>
        <w:bidi w:val="0"/>
        <w:snapToGrid w:val="0"/>
        <w:spacing w:line="560" w:lineRule="exact"/>
        <w:ind w:firstLine="720"/>
        <w:jc w:val="left"/>
        <w:rPr>
          <w:rFonts w:ascii="仿宋_GB2312" w:eastAsia="仿宋_GB2312" w:cs="仿宋_GB2312" w:hint="eastAsia"/>
          <w:b/>
          <w:bCs/>
          <w:color w:val="auto"/>
          <w:kern w:val="0"/>
          <w:sz w:val="32"/>
          <w:szCs w:val="32"/>
          <w:lang w:val="zh-CN"/>
        </w:rPr>
      </w:pPr>
      <w:r>
        <w:rPr>
          <w:rFonts w:ascii="仿宋_GB2312" w:eastAsia="仿宋_GB2312" w:cs="仿宋_GB2312" w:hint="eastAsia"/>
          <w:b/>
          <w:bCs/>
          <w:color w:val="auto"/>
          <w:kern w:val="0"/>
          <w:sz w:val="32"/>
          <w:szCs w:val="32"/>
          <w:lang w:val="zh-CN"/>
        </w:rPr>
        <w:t>（三）综合管理情况</w:t>
      </w:r>
    </w:p>
    <w:p>
      <w:pPr>
        <w:spacing w:line="600" w:lineRule="exact"/>
        <w:ind w:firstLineChars="200" w:firstLine="640"/>
        <w:rPr>
          <w:rFonts w:ascii="仿宋_GB2312" w:eastAsia="仿宋_GB2312" w:hint="eastAsia"/>
          <w:color w:val="auto"/>
          <w:sz w:val="32"/>
          <w:szCs w:val="32"/>
          <w:lang w:val="en-US" w:eastAsia="zh-CN"/>
        </w:rPr>
      </w:pPr>
      <w:r>
        <w:rPr>
          <w:rFonts w:ascii="仿宋_GB2312" w:eastAsia="仿宋_GB2312" w:cs="仿宋_GB2312" w:hint="eastAsia"/>
          <w:color w:val="auto"/>
          <w:sz w:val="32"/>
          <w:szCs w:val="32"/>
        </w:rPr>
        <w:t>1</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政府采购方面</w:t>
      </w:r>
      <w:r>
        <w:rPr>
          <w:rFonts w:ascii="仿宋_GB2312" w:eastAsia="仿宋_GB2312" w:cs="仿宋_GB2312" w:hint="eastAsia"/>
          <w:b/>
          <w:bCs/>
          <w:color w:val="auto"/>
          <w:sz w:val="32"/>
          <w:szCs w:val="32"/>
        </w:rPr>
        <w:t>：</w:t>
      </w:r>
      <w:r>
        <w:rPr>
          <w:rFonts w:ascii="仿宋_GB2312" w:eastAsia="仿宋_GB2312" w:cs="仿宋_GB2312" w:hint="eastAsia"/>
          <w:sz w:val="32"/>
          <w:szCs w:val="32"/>
        </w:rPr>
        <w:t>政府采购目录内的货物与服务全部按要求实施了政府采购</w:t>
      </w:r>
      <w:r>
        <w:rPr>
          <w:rFonts w:ascii="仿宋_GB2312" w:eastAsia="仿宋_GB2312" w:cs="仿宋_GB2312" w:hint="eastAsia"/>
          <w:sz w:val="32"/>
          <w:szCs w:val="32"/>
          <w:lang w:eastAsia="zh-CN"/>
        </w:rPr>
        <w:t>，</w:t>
      </w:r>
      <w:r>
        <w:rPr>
          <w:rFonts w:ascii="仿宋_GB2312" w:eastAsia="仿宋_GB2312" w:cs="仿宋_GB2312" w:hint="eastAsia"/>
          <w:color w:val="auto"/>
          <w:sz w:val="32"/>
          <w:szCs w:val="32"/>
          <w:lang w:eastAsia="zh-CN"/>
        </w:rPr>
        <w:t>应记为固定资产的都登记</w:t>
      </w:r>
      <w:r>
        <w:rPr>
          <w:rFonts w:ascii="仿宋_GB2312" w:eastAsia="仿宋_GB2312" w:cs="仿宋_GB2312" w:hint="eastAsia"/>
          <w:color w:val="auto"/>
          <w:sz w:val="32"/>
          <w:szCs w:val="32"/>
        </w:rPr>
        <w:t>入账</w:t>
      </w:r>
      <w:r>
        <w:rPr>
          <w:rFonts w:ascii="仿宋_GB2312" w:eastAsia="仿宋_GB2312" w:cs="仿宋_GB2312" w:hint="eastAsia"/>
          <w:color w:val="auto"/>
          <w:sz w:val="32"/>
          <w:szCs w:val="32"/>
          <w:lang w:eastAsia="zh-CN"/>
        </w:rPr>
        <w:t>。</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591.90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566.22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政府采购工程支出</w:t>
      </w:r>
      <w:r>
        <w:rPr>
          <w:rFonts w:ascii="仿宋_GB2312" w:eastAsia="仿宋_GB2312" w:hint="eastAsia"/>
          <w:color w:val="000000"/>
          <w:sz w:val="32"/>
          <w:szCs w:val="32"/>
          <w:lang w:val="en-US" w:eastAsia="zh-CN"/>
        </w:rPr>
        <w:t>0万元、</w:t>
      </w:r>
      <w:r>
        <w:rPr>
          <w:rFonts w:ascii="仿宋_GB2312" w:eastAsia="仿宋_GB2312" w:hint="eastAsia"/>
          <w:color w:val="000000"/>
          <w:sz w:val="32"/>
          <w:szCs w:val="32"/>
        </w:rPr>
        <w:t>政府采购服务支出</w:t>
      </w:r>
      <w:r>
        <w:rPr>
          <w:rFonts w:ascii="仿宋_GB2312" w:eastAsia="仿宋_GB2312" w:hint="eastAsia"/>
          <w:color w:val="000000"/>
          <w:sz w:val="32"/>
          <w:szCs w:val="32"/>
          <w:lang w:val="en-US" w:eastAsia="zh-CN"/>
        </w:rPr>
        <w:t>25.68</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000000"/>
          <w:sz w:val="32"/>
          <w:szCs w:val="32"/>
          <w14:textFill>
            <w14:solidFill>
              <w14:srgbClr w14:val="000000"/>
            </w14:solidFill>
          </w14:textFill>
          <w:lang w:val="en-US" w:eastAsia="zh-CN"/>
        </w:rPr>
        <w:t>专用设备购置、备灾点防汛物资、第三方服务经费</w:t>
      </w:r>
      <w:r>
        <w:rPr>
          <w:rFonts w:ascii="仿宋_GB2312" w:eastAsia="仿宋_GB2312" w:hint="eastAsia"/>
          <w:color w:val="auto"/>
          <w:sz w:val="32"/>
          <w:szCs w:val="32"/>
          <w:lang w:val="en-US" w:eastAsia="zh-CN"/>
        </w:rPr>
        <w:t>等。</w:t>
      </w:r>
    </w:p>
    <w:p>
      <w:pPr>
        <w:pStyle w:val="38"/>
        <w:bidi w:val="0"/>
        <w:spacing w:line="560" w:lineRule="exact"/>
        <w:ind w:firstLineChars="200" w:firstLine="640"/>
        <w:rPr>
          <w:rFonts w:ascii="仿宋_GB2312" w:eastAsia="仿宋_GB2312" w:cs="仿宋_GB2312" w:hint="eastAsia"/>
          <w:color w:val="auto"/>
          <w:sz w:val="32"/>
          <w:szCs w:val="32"/>
        </w:rPr>
      </w:pPr>
      <w:r>
        <w:rPr>
          <w:rFonts w:ascii="仿宋_GB2312" w:eastAsia="仿宋_GB2312" w:cs="仿宋_GB2312" w:hint="eastAsia"/>
          <w:color w:val="auto"/>
          <w:sz w:val="32"/>
          <w:szCs w:val="32"/>
        </w:rPr>
        <w:t>2</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资产管理方面：我局</w:t>
      </w:r>
      <w:r>
        <w:rPr>
          <w:rFonts w:ascii="仿宋_GB2312" w:eastAsia="仿宋_GB2312" w:cs="仿宋_GB2312" w:hint="eastAsia"/>
          <w:color w:val="auto"/>
          <w:sz w:val="32"/>
          <w:szCs w:val="32"/>
          <w:lang w:val="en-US" w:eastAsia="zh-CN"/>
        </w:rPr>
        <w:t>2022</w:t>
      </w:r>
      <w:r>
        <w:rPr>
          <w:rFonts w:ascii="仿宋_GB2312" w:eastAsia="仿宋_GB2312" w:cs="仿宋_GB2312" w:hint="eastAsia"/>
          <w:color w:val="auto"/>
          <w:sz w:val="32"/>
          <w:szCs w:val="32"/>
        </w:rPr>
        <w:t>年年初资产合计</w:t>
      </w:r>
      <w:r>
        <w:rPr>
          <w:rFonts w:ascii="仿宋_GB2312" w:eastAsia="仿宋_GB2312" w:cs="仿宋_GB2312" w:hint="eastAsia"/>
          <w:color w:val="auto"/>
          <w:sz w:val="32"/>
          <w:szCs w:val="32"/>
          <w:lang w:val="en-US" w:eastAsia="zh-CN"/>
        </w:rPr>
        <w:t>89.88</w:t>
      </w:r>
      <w:r>
        <w:rPr>
          <w:rFonts w:ascii="仿宋_GB2312" w:eastAsia="仿宋_GB2312" w:cs="仿宋_GB2312" w:hint="eastAsia"/>
          <w:color w:val="auto"/>
          <w:sz w:val="32"/>
          <w:szCs w:val="32"/>
        </w:rPr>
        <w:t>万元（银行存款</w:t>
      </w:r>
      <w:r>
        <w:rPr>
          <w:rFonts w:ascii="仿宋_GB2312" w:eastAsia="仿宋_GB2312" w:cs="仿宋_GB2312" w:hint="eastAsia"/>
          <w:color w:val="auto"/>
          <w:sz w:val="32"/>
          <w:szCs w:val="32"/>
          <w:lang w:val="en-US" w:eastAsia="zh-CN"/>
        </w:rPr>
        <w:t>8.51</w:t>
      </w:r>
      <w:r>
        <w:rPr>
          <w:rFonts w:ascii="仿宋_GB2312" w:eastAsia="仿宋_GB2312" w:cs="仿宋_GB2312" w:hint="eastAsia"/>
          <w:color w:val="auto"/>
          <w:sz w:val="32"/>
          <w:szCs w:val="32"/>
        </w:rPr>
        <w:t>万元、财政应返还额度</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万元、固定资产</w:t>
      </w:r>
      <w:r>
        <w:rPr>
          <w:rFonts w:ascii="仿宋_GB2312" w:eastAsia="仿宋_GB2312" w:cs="仿宋_GB2312" w:hint="eastAsia"/>
          <w:color w:val="auto"/>
          <w:sz w:val="32"/>
          <w:szCs w:val="32"/>
          <w:lang w:eastAsia="zh-CN"/>
        </w:rPr>
        <w:t>净值</w:t>
      </w:r>
      <w:r>
        <w:rPr>
          <w:rFonts w:ascii="仿宋_GB2312" w:eastAsia="仿宋_GB2312" w:cs="仿宋_GB2312" w:hint="eastAsia"/>
          <w:color w:val="auto"/>
          <w:sz w:val="32"/>
          <w:szCs w:val="32"/>
          <w:lang w:val="en-US" w:eastAsia="zh-CN"/>
        </w:rPr>
        <w:t>81.37</w:t>
      </w:r>
      <w:r>
        <w:rPr>
          <w:rFonts w:ascii="仿宋_GB2312" w:eastAsia="仿宋_GB2312" w:cs="仿宋_GB2312" w:hint="eastAsia"/>
          <w:color w:val="auto"/>
          <w:sz w:val="32"/>
          <w:szCs w:val="32"/>
        </w:rPr>
        <w:t>万元）；</w:t>
      </w:r>
      <w:r>
        <w:rPr>
          <w:rFonts w:ascii="仿宋_GB2312" w:eastAsia="仿宋_GB2312" w:cs="仿宋_GB2312" w:hint="eastAsia"/>
          <w:color w:val="000000"/>
          <w:sz w:val="32"/>
          <w:szCs w:val="32"/>
          <w14:textFill>
            <w14:solidFill>
              <w14:srgbClr w14:val="000000"/>
            </w14:solidFill>
          </w14:textFill>
        </w:rPr>
        <w:t>年末资产合计</w:t>
      </w:r>
      <w:r>
        <w:rPr>
          <w:rFonts w:ascii="仿宋_GB2312" w:eastAsia="仿宋_GB2312" w:cs="仿宋_GB2312" w:hint="eastAsia"/>
          <w:color w:val="000000"/>
          <w:sz w:val="32"/>
          <w:szCs w:val="32"/>
          <w14:textFill>
            <w14:solidFill>
              <w14:srgbClr w14:val="000000"/>
            </w14:solidFill>
          </w14:textFill>
          <w:lang w:val="en-US" w:eastAsia="zh-CN"/>
        </w:rPr>
        <w:t>214.56</w:t>
      </w:r>
      <w:r>
        <w:rPr>
          <w:rFonts w:ascii="仿宋_GB2312" w:eastAsia="仿宋_GB2312" w:cs="仿宋_GB2312" w:hint="eastAsia"/>
          <w:color w:val="000000"/>
          <w:sz w:val="32"/>
          <w:szCs w:val="32"/>
          <w14:textFill>
            <w14:solidFill>
              <w14:srgbClr w14:val="000000"/>
            </w14:solidFill>
          </w14:textFill>
        </w:rPr>
        <w:t>万元</w:t>
      </w:r>
      <w:r>
        <w:rPr>
          <w:rFonts w:ascii="仿宋_GB2312" w:eastAsia="仿宋_GB2312" w:cs="仿宋_GB2312" w:hint="eastAsia"/>
          <w:color w:val="auto"/>
          <w:sz w:val="32"/>
          <w:szCs w:val="32"/>
        </w:rPr>
        <w:t>（银行存款</w:t>
      </w:r>
      <w:r>
        <w:rPr>
          <w:rFonts w:ascii="仿宋_GB2312" w:eastAsia="仿宋_GB2312" w:cs="仿宋_GB2312" w:hint="eastAsia"/>
          <w:color w:val="auto"/>
          <w:sz w:val="32"/>
          <w:szCs w:val="32"/>
          <w:lang w:val="en-US" w:eastAsia="zh-CN"/>
        </w:rPr>
        <w:t>6.11</w:t>
      </w:r>
      <w:r>
        <w:rPr>
          <w:rFonts w:ascii="仿宋_GB2312" w:eastAsia="仿宋_GB2312" w:cs="仿宋_GB2312" w:hint="eastAsia"/>
          <w:color w:val="auto"/>
          <w:sz w:val="32"/>
          <w:szCs w:val="32"/>
        </w:rPr>
        <w:t>万元、财政应返还额度</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万元、固定资产</w:t>
      </w:r>
      <w:r>
        <w:rPr>
          <w:rFonts w:ascii="仿宋_GB2312" w:eastAsia="仿宋_GB2312" w:cs="仿宋_GB2312" w:hint="eastAsia"/>
          <w:color w:val="auto"/>
          <w:sz w:val="32"/>
          <w:szCs w:val="32"/>
          <w:lang w:eastAsia="zh-CN"/>
        </w:rPr>
        <w:t>净值</w:t>
      </w:r>
      <w:r>
        <w:rPr>
          <w:rFonts w:ascii="仿宋_GB2312" w:eastAsia="仿宋_GB2312" w:cs="仿宋_GB2312" w:hint="eastAsia"/>
          <w:color w:val="auto"/>
          <w:sz w:val="32"/>
          <w:szCs w:val="32"/>
          <w:lang w:val="en-US" w:eastAsia="zh-CN"/>
        </w:rPr>
        <w:t>208.45</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eastAsia="zh-CN"/>
        </w:rPr>
        <w:t>。</w:t>
      </w:r>
    </w:p>
    <w:p>
      <w:pPr>
        <w:pStyle w:val="38"/>
        <w:bidi w:val="0"/>
        <w:spacing w:line="560" w:lineRule="exact"/>
        <w:ind w:firstLineChars="200" w:firstLine="640"/>
        <w:rPr>
          <w:rFonts w:ascii="仿宋_GB2312" w:eastAsia="仿宋_GB2312" w:cs="仿宋_GB2312" w:hint="eastAsia"/>
          <w:color w:val="auto"/>
          <w:sz w:val="32"/>
          <w:szCs w:val="32"/>
        </w:rPr>
      </w:pPr>
      <w:r>
        <w:rPr>
          <w:rFonts w:ascii="仿宋_GB2312" w:eastAsia="仿宋_GB2312" w:cs="仿宋_GB2312" w:hint="eastAsia"/>
          <w:color w:val="auto"/>
          <w:sz w:val="32"/>
          <w:szCs w:val="32"/>
          <w:lang w:val="en-US" w:eastAsia="zh-CN"/>
        </w:rPr>
        <w:t>3</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信息公开方面：预算决算公开按财政局的要求在收到财政批复后20个工作日在金川县政府中心的信息网站进行公开。</w:t>
      </w:r>
    </w:p>
    <w:p>
      <w:pPr>
        <w:pStyle w:val="38"/>
        <w:widowControl/>
        <w:suppressAutoHyphens w:val="0"/>
        <w:bidi w:val="0"/>
        <w:snapToGrid w:val="0"/>
        <w:spacing w:line="560" w:lineRule="exact"/>
        <w:ind w:firstLineChars="200" w:firstLine="640"/>
        <w:jc w:val="left"/>
        <w:rPr>
          <w:rFonts w:ascii="仿宋_GB2312" w:eastAsia="仿宋_GB2312" w:cs="仿宋_GB2312" w:hint="eastAsia"/>
          <w:b/>
          <w:bCs/>
          <w:color w:val="auto"/>
          <w:kern w:val="0"/>
          <w:sz w:val="32"/>
          <w:szCs w:val="32"/>
          <w:lang w:val="zh-CN"/>
        </w:rPr>
      </w:pPr>
      <w:r>
        <w:rPr>
          <w:rFonts w:ascii="仿宋_GB2312" w:eastAsia="仿宋_GB2312" w:cs="仿宋_GB2312" w:hint="eastAsia"/>
          <w:b/>
          <w:bCs/>
          <w:color w:val="auto"/>
          <w:kern w:val="0"/>
          <w:sz w:val="32"/>
          <w:szCs w:val="32"/>
          <w:lang w:val="zh-CN"/>
        </w:rPr>
        <w:t>（四）整体绩效</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通过加强预算收支的管理，不断建立健全内部管理制度，理顺内部管理流程，部门整体支出管理情况得到了提升。</w:t>
      </w:r>
    </w:p>
    <w:p>
      <w:pPr>
        <w:ind w:firstLineChars="200" w:firstLine="640"/>
        <w:rPr>
          <w:rFonts w:ascii="仿宋_GB2312" w:eastAsia="仿宋_GB2312" w:cs="仿宋_GB2312" w:hint="eastAsia"/>
          <w:color w:val="auto"/>
          <w:kern w:val="0"/>
          <w:sz w:val="32"/>
          <w:szCs w:val="32"/>
          <w:lang w:val="zh-CN" w:eastAsia="zh-CN" w:bidi="ar-SA"/>
        </w:rPr>
      </w:pPr>
      <w:r>
        <w:rPr>
          <w:rFonts w:ascii="仿宋_GB2312" w:eastAsia="仿宋_GB2312" w:cs="仿宋_GB2312" w:hint="eastAsia"/>
          <w:color w:val="auto"/>
          <w:kern w:val="0"/>
          <w:sz w:val="32"/>
          <w:szCs w:val="32"/>
          <w:lang w:val="en-US" w:eastAsia="zh-CN" w:bidi="ar-SA"/>
        </w:rPr>
        <w:t>2、</w:t>
      </w:r>
      <w:r>
        <w:rPr>
          <w:rFonts w:ascii="仿宋" w:eastAsia="仿宋" w:cs="仿宋" w:hint="eastAsia"/>
          <w:sz w:val="32"/>
          <w:szCs w:val="32"/>
          <w:lang w:eastAsia="zh-CN"/>
        </w:rPr>
        <w:t>建立健全</w:t>
      </w:r>
      <w:r>
        <w:rPr>
          <w:rFonts w:ascii="仿宋_GB2312" w:eastAsia="仿宋_GB2312" w:hint="eastAsia"/>
          <w:sz w:val="32"/>
          <w:szCs w:val="32"/>
          <w:lang w:eastAsia="zh-CN"/>
        </w:rPr>
        <w:t>我单位</w:t>
      </w:r>
      <w:r>
        <w:rPr>
          <w:rFonts w:ascii="仿宋_GB2312" w:eastAsia="仿宋_GB2312" w:hint="eastAsia"/>
          <w:sz w:val="32"/>
          <w:szCs w:val="32"/>
        </w:rPr>
        <w:t>财务管理制度，执行制度严格合规，会计核算符合相关规定，资金专款专用，资金支付依据和开支标准合法合规，严格执行政府采购</w:t>
      </w:r>
      <w:r>
        <w:rPr>
          <w:rFonts w:ascii="仿宋_GB2312" w:eastAsia="仿宋_GB2312" w:hint="eastAsia"/>
          <w:sz w:val="32"/>
          <w:szCs w:val="32"/>
          <w:lang w:eastAsia="zh-CN"/>
        </w:rPr>
        <w:t>，并依法接受财政监督。</w:t>
      </w:r>
      <w:r>
        <w:rPr>
          <w:rFonts w:ascii="仿宋_GB2312" w:eastAsia="仿宋_GB2312" w:cs="仿宋_GB2312" w:hint="eastAsia"/>
          <w:color w:val="auto"/>
          <w:kern w:val="0"/>
          <w:sz w:val="32"/>
          <w:szCs w:val="32"/>
          <w:lang w:val="en-US" w:eastAsia="zh-CN" w:bidi="ar-SA"/>
        </w:rPr>
        <w:t xml:space="preserve">财务支出符合相关要求规定，充分发挥了财政资金的作用，在经济效益、社会效益、生态效益等方面发挥了积极作用。 </w:t>
      </w:r>
    </w:p>
    <w:p>
      <w:pPr>
        <w:pStyle w:val="38"/>
        <w:widowControl/>
        <w:suppressAutoHyphens w:val="0"/>
        <w:bidi w:val="0"/>
        <w:snapToGrid w:val="0"/>
        <w:spacing w:line="560" w:lineRule="exact"/>
        <w:ind w:firstLine="720"/>
        <w:jc w:val="left"/>
        <w:rPr>
          <w:rFonts w:ascii="仿宋_GB2312" w:eastAsia="仿宋_GB2312" w:cs="仿宋_GB2312" w:hint="eastAsia"/>
          <w:b/>
          <w:bCs/>
          <w:color w:val="auto"/>
          <w:kern w:val="0"/>
          <w:sz w:val="32"/>
          <w:szCs w:val="32"/>
        </w:rPr>
      </w:pPr>
      <w:r>
        <w:rPr>
          <w:rFonts w:ascii="仿宋_GB2312" w:eastAsia="仿宋_GB2312" w:cs="仿宋_GB2312" w:hint="eastAsia"/>
          <w:b/>
          <w:bCs/>
          <w:color w:val="auto"/>
          <w:kern w:val="0"/>
          <w:sz w:val="32"/>
          <w:szCs w:val="32"/>
        </w:rPr>
        <w:t>四、评价结论及建议</w:t>
      </w:r>
    </w:p>
    <w:p>
      <w:pPr>
        <w:pStyle w:val="38"/>
        <w:widowControl/>
        <w:suppressAutoHyphens w:val="0"/>
        <w:bidi w:val="0"/>
        <w:snapToGrid w:val="0"/>
        <w:spacing w:line="540" w:lineRule="exact"/>
        <w:ind w:firstLineChars="200" w:firstLine="640"/>
        <w:jc w:val="left"/>
        <w:rPr>
          <w:rFonts w:ascii="仿宋_GB2312" w:eastAsia="仿宋_GB2312" w:cs="仿宋_GB2312" w:hint="eastAsia"/>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（一）评价结论</w:t>
      </w:r>
    </w:p>
    <w:p>
      <w:pPr>
        <w:ind w:left="0" w:firstLine="640"/>
        <w:rPr>
          <w:rFonts w:ascii="仿宋_GB2312" w:eastAsia="仿宋_GB2312" w:cs="仿宋_GB2312" w:hint="eastAsia"/>
          <w:color w:val="000000"/>
          <w:kern w:val="0"/>
          <w:sz w:val="32"/>
          <w:szCs w:val="32"/>
          <w:shd w:val="clear" w:color="auto" w:fill="FFFFFF"/>
          <w:lang w:val="zh-CN"/>
        </w:rPr>
      </w:pPr>
      <w:r>
        <w:rPr>
          <w:rFonts w:ascii="仿宋_GB2312" w:eastAsia="仿宋_GB2312" w:hint="eastAsia"/>
          <w:sz w:val="32"/>
          <w:szCs w:val="32"/>
          <w:lang w:eastAsia="zh-CN"/>
        </w:rPr>
        <w:t>我单位深入贯彻落实“全面实施绩效管理”的要求，努力提升本单位绩效预算管理业务水平。主动公开绩效结果，加大资金使用效率。</w:t>
      </w:r>
      <w:r>
        <w:rPr>
          <w:rFonts w:ascii="仿宋_GB2312" w:eastAsia="仿宋_GB2312" w:cs="仿宋_GB2312" w:hint="eastAsia"/>
          <w:sz w:val="32"/>
          <w:szCs w:val="32"/>
        </w:rPr>
        <w:t>按照预算绩效管理要求对20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年部门整体支出开展绩效自评</w:t>
      </w:r>
      <w:r>
        <w:rPr>
          <w:rFonts w:ascii="仿宋_GB2312" w:eastAsia="仿宋_GB2312" w:cs="仿宋_GB2312" w:hint="eastAsia"/>
          <w:sz w:val="32"/>
          <w:szCs w:val="32"/>
          <w:lang w:eastAsia="zh-CN"/>
        </w:rPr>
        <w:t>；</w:t>
      </w:r>
      <w:r>
        <w:rPr>
          <w:rFonts w:ascii="仿宋_GB2312" w:eastAsia="仿宋_GB2312" w:cs="仿宋_GB2312" w:hint="eastAsia"/>
          <w:sz w:val="32"/>
          <w:szCs w:val="32"/>
        </w:rPr>
        <w:t>对</w:t>
      </w:r>
      <w:r>
        <w:rPr>
          <w:rFonts w:ascii="仿宋_GB2312" w:eastAsia="仿宋_GB2312" w:cs="仿宋_GB2312" w:hint="eastAsia"/>
          <w:sz w:val="32"/>
          <w:szCs w:val="32"/>
          <w:lang w:val="en-US" w:eastAsia="zh-CN"/>
        </w:rPr>
        <w:t>2022</w:t>
      </w:r>
      <w:r>
        <w:rPr>
          <w:rFonts w:ascii="仿宋_GB2312" w:eastAsia="仿宋_GB2312" w:cs="仿宋_GB2312" w:hint="eastAsia"/>
          <w:sz w:val="32"/>
          <w:szCs w:val="32"/>
        </w:rPr>
        <w:t>年一般公共预算项目支出开展了绩效目标管理，编制绩效目标，涉及财政资金</w:t>
      </w:r>
      <w:r>
        <w:rPr>
          <w:rFonts w:ascii="仿宋_GB2312" w:eastAsia="仿宋_GB2312" w:cs="仿宋_GB2312" w:hint="eastAsia"/>
          <w:sz w:val="32"/>
          <w:szCs w:val="32"/>
          <w:lang w:val="en-US" w:eastAsia="zh-CN"/>
        </w:rPr>
        <w:t>1484.53</w:t>
      </w:r>
      <w:r>
        <w:rPr>
          <w:rFonts w:ascii="仿宋_GB2312" w:eastAsia="仿宋_GB2312" w:cs="仿宋_GB2312" w:hint="eastAsia"/>
          <w:sz w:val="32"/>
          <w:szCs w:val="32"/>
        </w:rPr>
        <w:t>万元，覆盖率达到100%。从评价情况来看</w:t>
      </w:r>
      <w:r>
        <w:rPr>
          <w:rFonts w:ascii="仿宋_GB2312" w:eastAsia="仿宋_GB2312" w:cs="仿宋_GB2312" w:hint="eastAsia"/>
          <w:sz w:val="32"/>
          <w:szCs w:val="32"/>
          <w:lang w:val="en-US" w:eastAsia="zh-CN"/>
        </w:rPr>
        <w:t>我单位年初预算基本按照绩效目标完成支付。</w:t>
      </w:r>
    </w:p>
    <w:p>
      <w:pPr>
        <w:pStyle w:val="38"/>
        <w:bidi w:val="0"/>
        <w:ind w:firstLineChars="200" w:firstLine="640"/>
        <w:rPr>
          <w:rFonts w:ascii="仿宋_GB2312" w:eastAsia="仿宋_GB2312" w:cs="仿宋_GB2312" w:hint="eastAsia"/>
          <w:color w:val="auto"/>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（二）存在问题</w:t>
      </w:r>
    </w:p>
    <w:p>
      <w:pPr>
        <w:pStyle w:val="38"/>
        <w:bidi w:val="0"/>
        <w:spacing w:line="520" w:lineRule="exact"/>
        <w:ind w:firstLineChars="200" w:firstLine="640"/>
        <w:rPr>
          <w:rFonts w:ascii="仿宋_GB2312" w:eastAsia="仿宋_GB2312" w:cs="仿宋_GB2312" w:hint="eastAsia"/>
          <w:color w:val="333333"/>
          <w:sz w:val="32"/>
          <w:szCs w:val="32"/>
          <w:lang w:eastAsia="zh-CN"/>
        </w:rPr>
      </w:pPr>
      <w:r>
        <w:rPr>
          <w:rFonts w:ascii="仿宋_GB2312" w:eastAsia="仿宋_GB2312" w:cs="仿宋_GB2312" w:hint="eastAsia"/>
          <w:color w:val="333333"/>
          <w:sz w:val="32"/>
          <w:szCs w:val="32"/>
        </w:rPr>
        <w:t>1</w:t>
      </w:r>
      <w:r>
        <w:rPr>
          <w:rFonts w:ascii="仿宋_GB2312" w:eastAsia="仿宋_GB2312" w:cs="仿宋_GB2312" w:hint="eastAsia"/>
          <w:color w:val="333333"/>
          <w:sz w:val="32"/>
          <w:szCs w:val="32"/>
          <w:lang w:eastAsia="zh-CN"/>
        </w:rPr>
        <w:t>、</w:t>
      </w:r>
      <w:r>
        <w:rPr>
          <w:rFonts w:ascii="仿宋_GB2312" w:eastAsia="仿宋_GB2312" w:cs="仿宋_GB2312" w:hint="eastAsia"/>
          <w:color w:val="333333"/>
          <w:sz w:val="32"/>
          <w:szCs w:val="32"/>
        </w:rPr>
        <w:t>对绩效评价工作的认识和重视程度</w:t>
      </w:r>
      <w:r>
        <w:rPr>
          <w:rFonts w:ascii="仿宋_GB2312" w:eastAsia="仿宋_GB2312" w:cs="仿宋_GB2312" w:hint="eastAsia"/>
          <w:color w:val="333333"/>
          <w:sz w:val="32"/>
          <w:szCs w:val="32"/>
          <w:lang w:eastAsia="zh-CN"/>
        </w:rPr>
        <w:t>还不够。</w:t>
      </w:r>
    </w:p>
    <w:p>
      <w:pPr>
        <w:pStyle w:val="38"/>
        <w:bidi w:val="0"/>
        <w:spacing w:line="520" w:lineRule="exact"/>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w:t>
      </w:r>
      <w:r>
        <w:rPr>
          <w:rStyle w:val="10"/>
          <w:rFonts w:ascii="仿宋_GB2312" w:eastAsia="仿宋_GB2312" w:cs="仿宋_GB2312" w:hint="eastAsia"/>
          <w:sz w:val="32"/>
          <w:szCs w:val="32"/>
        </w:rPr>
        <w:t>在资金的使用和安排上取得了较好的预算执行结果，但仍存在预算管理不够完善，资金使用不够科学等问题</w:t>
      </w:r>
      <w:r>
        <w:rPr>
          <w:rStyle w:val="10"/>
          <w:rFonts w:ascii="仿宋_GB2312" w:eastAsia="仿宋_GB2312" w:cs="仿宋_GB2312" w:hint="eastAsia"/>
          <w:sz w:val="32"/>
          <w:szCs w:val="32"/>
          <w:lang w:eastAsia="zh-CN"/>
        </w:rPr>
        <w:t>。</w:t>
      </w:r>
    </w:p>
    <w:p>
      <w:pPr>
        <w:pStyle w:val="38"/>
        <w:widowControl/>
        <w:suppressAutoHyphens w:val="0"/>
        <w:bidi w:val="0"/>
        <w:snapToGrid w:val="0"/>
        <w:spacing w:line="540" w:lineRule="exact"/>
        <w:ind w:firstLineChars="200" w:firstLine="640"/>
        <w:jc w:val="left"/>
        <w:rPr>
          <w:rFonts w:ascii="仿宋_GB2312" w:eastAsia="仿宋_GB2312" w:cs="仿宋_GB2312" w:hint="eastAsia"/>
          <w:color w:val="auto"/>
          <w:kern w:val="0"/>
          <w:sz w:val="32"/>
          <w:szCs w:val="32"/>
          <w:shd w:val="clear" w:color="auto" w:fill="FFFFFF"/>
        </w:rPr>
      </w:pPr>
      <w:r>
        <w:rPr>
          <w:rFonts w:ascii="仿宋_GB2312" w:eastAsia="仿宋_GB2312" w:cs="仿宋_GB2312" w:hint="eastAsia"/>
          <w:color w:val="000000"/>
          <w:kern w:val="0"/>
          <w:sz w:val="32"/>
          <w:szCs w:val="32"/>
          <w:shd w:val="clear" w:color="auto" w:fill="FFFFFF"/>
          <w:lang w:val="zh-CN"/>
        </w:rPr>
        <w:t>（三）改进建议</w:t>
      </w:r>
    </w:p>
    <w:p>
      <w:pPr>
        <w:pStyle w:val="38"/>
        <w:bidi w:val="0"/>
        <w:ind w:firstLine="630"/>
        <w:rPr>
          <w:rFonts w:ascii="仿宋" w:eastAsia="仿宋"/>
          <w:b/>
          <w:color w:val="000000"/>
          <w:sz w:val="44"/>
          <w:szCs w:val="44"/>
        </w:rPr>
      </w:pPr>
      <w:r>
        <w:rPr>
          <w:rFonts w:ascii="仿宋_GB2312" w:eastAsia="仿宋_GB2312" w:cs="仿宋_GB2312" w:hint="eastAsia"/>
          <w:color w:val="000000"/>
          <w:kern w:val="0"/>
          <w:sz w:val="32"/>
          <w:szCs w:val="32"/>
          <w:shd w:val="clear" w:color="auto" w:fill="FFFFFF"/>
        </w:rPr>
        <w:t>在今后的工作中，我局要继续合理计划利用财政资金，</w:t>
      </w:r>
      <w:r>
        <w:rPr>
          <w:rFonts w:ascii="仿宋_GB2312" w:eastAsia="仿宋_GB2312" w:cs="仿宋_GB2312" w:hint="eastAsia"/>
          <w:color w:val="auto"/>
          <w:sz w:val="32"/>
          <w:szCs w:val="32"/>
        </w:rPr>
        <w:t>根据资金管理办法进行管理，做好经费保障等工作，明确分工，落实责任。</w:t>
      </w:r>
      <w:r>
        <w:rPr>
          <w:rFonts w:ascii="仿宋_GB2312" w:eastAsia="仿宋_GB2312" w:cs="仿宋_GB2312" w:hint="eastAsia"/>
          <w:color w:val="333333"/>
          <w:sz w:val="32"/>
          <w:szCs w:val="32"/>
        </w:rPr>
        <w:t>建立健全严格的经费开支审批制度和严格的经费开支报销程序，加强经费开支的监督，控制经费支出，保证财政资金发挥应起的作用。</w:t>
      </w:r>
    </w:p>
    <w:p>
      <w:pPr>
        <w:spacing w:line="600" w:lineRule="exact"/>
        <w:jc w:val="center"/>
        <w:outlineLvl w:val="0"/>
        <w:rPr>
          <w:rFonts w:ascii="黑体" w:eastAsia="黑体" w:hint="eastAsia"/>
          <w:color w:val="000000"/>
          <w:sz w:val="44"/>
          <w:szCs w:val="44"/>
        </w:rPr>
      </w:pPr>
      <w:bookmarkStart w:id="59" w:name="_Toc15396618"/>
      <w:bookmarkStart w:id="60" w:name="_Toc15396619"/>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Style w:val="1"/>
        <w:rPr>
          <w:rFonts w:ascii="黑体" w:eastAsia="黑体" w:hint="eastAsia"/>
          <w:color w:val="000000"/>
          <w:sz w:val="44"/>
          <w:szCs w:val="44"/>
        </w:rPr>
      </w:pPr>
    </w:p>
    <w:p>
      <w:pPr>
        <w:rPr>
          <w:rFonts w:ascii="黑体" w:eastAsia="黑体" w:hint="eastAsia"/>
          <w:color w:val="000000"/>
          <w:sz w:val="44"/>
          <w:szCs w:val="44"/>
        </w:rPr>
      </w:pPr>
    </w:p>
    <w:p>
      <w:pPr>
        <w:pStyle w:val="1"/>
        <w:rPr>
          <w:rFonts w:ascii="黑体" w:eastAsia="黑体" w:hint="eastAsia"/>
          <w:color w:val="000000"/>
          <w:sz w:val="44"/>
          <w:szCs w:val="44"/>
        </w:rPr>
      </w:pPr>
    </w:p>
    <w:p>
      <w:pPr>
        <w:rPr>
          <w:rFonts w:ascii="黑体" w:eastAsia="黑体" w:hint="eastAsia"/>
          <w:color w:val="000000"/>
          <w:sz w:val="44"/>
          <w:szCs w:val="44"/>
        </w:rPr>
      </w:pPr>
    </w:p>
    <w:p>
      <w:pPr>
        <w:pStyle w:val="1"/>
        <w:rPr>
          <w:rFonts w:ascii="黑体" w:eastAsia="黑体" w:hint="eastAsia"/>
          <w:color w:val="000000"/>
          <w:sz w:val="44"/>
          <w:szCs w:val="44"/>
        </w:rPr>
      </w:pPr>
    </w:p>
    <w:p>
      <w:pPr>
        <w:rPr>
          <w:rFonts w:hint="eastAsia"/>
        </w:rPr>
      </w:pPr>
    </w:p>
    <w:p>
      <w:pPr>
        <w:spacing w:line="600" w:lineRule="exact"/>
        <w:jc w:val="both"/>
        <w:outlineLvl w:val="0"/>
        <w:rPr>
          <w:rFonts w:ascii="黑体" w:eastAsia="黑体" w:hint="eastAsia"/>
          <w:color w:val="000000"/>
          <w:sz w:val="44"/>
          <w:szCs w:val="44"/>
        </w:rPr>
      </w:pPr>
    </w:p>
    <w:p>
      <w:pPr>
        <w:pStyle w:val="31"/>
        <w:rPr>
          <w:rFonts w:hint="eastAsia"/>
        </w:rPr>
      </w:pPr>
    </w:p>
    <w:p>
      <w:pPr>
        <w:spacing w:line="600" w:lineRule="exact"/>
        <w:jc w:val="center"/>
        <w:outlineLvl w:val="0"/>
        <w:rPr>
          <w:rFonts w:ascii="黑体" w:eastAsia="黑体" w:hint="eastAsia"/>
          <w:color w:val="000000"/>
          <w:sz w:val="44"/>
          <w:szCs w:val="44"/>
        </w:rPr>
      </w:pP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0"/>
          <w:rFonts w:ascii="方正小标宋简体" w:eastAsia="方正小标宋简体" w:cs="Times New Roman" w:hint="eastAsia"/>
          <w:sz w:val="40"/>
          <w:szCs w:val="40"/>
          <w:lang w:eastAsia="zh-CN"/>
        </w:rPr>
      </w:pPr>
    </w:p>
    <w:p>
      <w:pPr>
        <w:pStyle w:val="26"/>
        <w:keepNext w:val="0"/>
        <w:keepLines w:val="0"/>
        <w:widowControl/>
        <w:suppressLineNumbers w:val="0"/>
        <w:tabs>
          <w:tab w:val="left" w:pos="3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0"/>
          <w:rFonts w:ascii="方正小标宋简体" w:eastAsia="方正小标宋简体" w:cs="Times New Roman" w:hint="eastAsia"/>
          <w:sz w:val="40"/>
          <w:szCs w:val="40"/>
          <w:lang w:eastAsia="zh-CN"/>
        </w:rPr>
      </w:pPr>
      <w:r>
        <w:rPr>
          <w:rStyle w:val="1Char"/>
          <w:rFonts w:ascii="仿宋" w:eastAsia="仿宋" w:hint="eastAsia"/>
          <w:b w:val="0"/>
          <w:bCs w:val="0"/>
          <w:sz w:val="32"/>
          <w:szCs w:val="32"/>
        </w:rPr>
        <w:t>附件</w:t>
      </w:r>
      <w:r>
        <w:rPr>
          <w:rStyle w:val="0"/>
          <w:rFonts w:ascii="方正小标宋简体" w:eastAsia="方正小标宋简体" w:cs="Times New Roman" w:hint="eastAsia"/>
          <w:sz w:val="40"/>
          <w:szCs w:val="40"/>
          <w:lang w:eastAsia="zh-CN"/>
        </w:rPr>
        <w:tab/>
        <w:tab/>
        <w:tab/>
        <w:tab/>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0"/>
          <w:rFonts w:ascii="方正小标宋简体" w:eastAsia="方正小标宋简体" w:cs="Times New Roman" w:hint="eastAsia"/>
          <w:sz w:val="40"/>
          <w:szCs w:val="40"/>
          <w:lang w:eastAsia="zh-CN"/>
        </w:rPr>
      </w:pPr>
      <w:r>
        <w:rPr>
          <w:rStyle w:val="0"/>
          <w:rFonts w:ascii="方正小标宋简体" w:eastAsia="方正小标宋简体" w:cs="Times New Roman" w:hint="eastAsia"/>
          <w:sz w:val="40"/>
          <w:szCs w:val="40"/>
          <w:lang w:eastAsia="zh-CN"/>
        </w:rPr>
        <w:t>金川县应急管理局</w:t>
      </w:r>
    </w:p>
    <w:p>
      <w:pPr>
        <w:keepNext w:val="0"/>
        <w:keepLines w:val="0"/>
        <w:pageBreakBefore w:val="0"/>
        <w:widowControl/>
        <w:kinsoku/>
        <w:wordWrap/>
        <w:overflowPunct/>
        <w:topLinePunct w:val="0"/>
        <w:autoSpaceDE/>
        <w:autoSpaceDN/>
        <w:bidi w:val="0"/>
        <w:adjustRightInd/>
        <w:spacing w:line="500" w:lineRule="exact"/>
        <w:ind w:right="0" w:firstLine="0"/>
        <w:jc w:val="center"/>
        <w:textAlignment w:val="baseline"/>
        <w:outlineLvl w:val="9"/>
        <w:rPr>
          <w:rStyle w:val="0"/>
          <w:rFonts w:ascii="方正小标宋简体" w:eastAsia="方正小标宋简体" w:cs="Times New Roman" w:hint="eastAsia"/>
          <w:sz w:val="40"/>
          <w:szCs w:val="40"/>
          <w:lang w:val="en-US" w:eastAsia="zh-CN"/>
        </w:rPr>
      </w:pPr>
      <w:r>
        <w:rPr>
          <w:rStyle w:val="0"/>
          <w:rFonts w:ascii="方正小标宋简体" w:eastAsia="方正小标宋简体" w:cs="Times New Roman" w:hint="eastAsia"/>
          <w:sz w:val="40"/>
          <w:szCs w:val="40"/>
        </w:rPr>
        <w:t>2020年因洪涝灾害倒塌和严重损毁民房恢复重建补助资金</w:t>
      </w:r>
      <w:r>
        <w:rPr>
          <w:rStyle w:val="0"/>
          <w:rFonts w:ascii="方正小标宋简体" w:eastAsia="方正小标宋简体" w:cs="Times New Roman" w:hint="eastAsia"/>
          <w:sz w:val="40"/>
          <w:szCs w:val="40"/>
          <w:lang w:val="en-US" w:eastAsia="zh-CN"/>
        </w:rPr>
        <w:t>支出绩效自评报告</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一、项目概况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（一）项目基本情况。</w:t>
      </w:r>
    </w:p>
    <w:p>
      <w:pPr>
        <w:keepNext w:val="0"/>
        <w:keepLines w:val="0"/>
        <w:pageBreakBefore w:val="0"/>
        <w:widowControl w:val="0"/>
        <w:kinsoku/>
        <w:wordWrap/>
        <w:overflowPunct/>
        <w:topLinePunct w:val="0"/>
        <w:autoSpaceDE/>
        <w:autoSpaceDN/>
        <w:bidi w:val="0"/>
        <w:adjustRightInd/>
        <w:snapToGrid w:val="0"/>
        <w:spacing w:line="60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根据《关于下达2020年因洪涝灾害倒塌和严重损毁民房恢复重建补助资金的通知》（金财建资〔2020〕104号）、《关于下达2020年灾后恢复重建中央财力补助资金预算的通知》（金财建资〔2020〕98号）《关于调整2020年洪涝灾害倒塌和严重民房恢复重建补助资金的通知》（金财建资〔2021〕8号）文件要求</w:t>
      </w:r>
      <w:r>
        <w:rPr>
          <w:rFonts w:ascii="仿宋" w:eastAsia="仿宋" w:cs="仿宋" w:hint="eastAsia"/>
          <w:sz w:val="32"/>
          <w:szCs w:val="32"/>
          <w:lang w:eastAsia="zh-CN"/>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（二）项目绩效目标。</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color w:val="auto"/>
          <w:sz w:val="32"/>
          <w:szCs w:val="32"/>
        </w:rPr>
      </w:pPr>
      <w:r>
        <w:rPr>
          <w:rFonts w:eastAsia="仿宋_GB2312" w:hint="eastAsia"/>
          <w:color w:val="auto"/>
          <w:sz w:val="32"/>
          <w:szCs w:val="32"/>
        </w:rPr>
        <w:t>根据</w:t>
      </w:r>
      <w:r>
        <w:rPr>
          <w:rFonts w:ascii="仿宋_GB2312" w:eastAsia="仿宋_GB2312" w:cs="仿宋_GB2312" w:hint="eastAsia"/>
          <w:color w:val="auto"/>
          <w:sz w:val="32"/>
          <w:szCs w:val="32"/>
          <w:lang w:val="en-US" w:eastAsia="zh-CN"/>
        </w:rPr>
        <w:t>2020年洪涝灾害民房受损情况，按照</w:t>
      </w:r>
      <w:r>
        <w:rPr>
          <w:rFonts w:ascii="仿宋_GB2312" w:eastAsia="仿宋_GB2312" w:cs="仿宋_GB2312" w:hint="eastAsia"/>
          <w:sz w:val="32"/>
          <w:szCs w:val="32"/>
          <w:lang w:val="en-US" w:eastAsia="zh-CN"/>
        </w:rPr>
        <w:t>十四届县人民政府第78次常务会议要求，</w:t>
      </w:r>
      <w:r>
        <w:rPr>
          <w:rFonts w:ascii="仿宋_GB2312" w:eastAsia="仿宋_GB2312" w:cs="仿宋_GB2312" w:hint="eastAsia"/>
          <w:color w:val="auto"/>
          <w:sz w:val="32"/>
          <w:szCs w:val="32"/>
          <w:lang w:val="en-US" w:eastAsia="zh-CN"/>
        </w:rPr>
        <w:t>经再次核实：重建138户，维修加固122户。</w:t>
      </w:r>
      <w:r>
        <w:rPr>
          <w:rFonts w:eastAsia="仿宋_GB2312"/>
          <w:color w:val="auto"/>
          <w:sz w:val="32"/>
          <w:szCs w:val="32"/>
        </w:rPr>
        <w:t>确保20</w:t>
      </w:r>
      <w:r>
        <w:rPr>
          <w:rFonts w:eastAsia="仿宋_GB2312" w:hint="eastAsia"/>
          <w:color w:val="auto"/>
          <w:sz w:val="32"/>
          <w:szCs w:val="32"/>
          <w:lang w:val="en-US" w:eastAsia="zh-CN"/>
        </w:rPr>
        <w:t>21</w:t>
      </w:r>
      <w:r>
        <w:rPr>
          <w:rFonts w:eastAsia="仿宋_GB2312"/>
          <w:color w:val="auto"/>
          <w:sz w:val="32"/>
          <w:szCs w:val="32"/>
        </w:rPr>
        <w:t>年底</w:t>
      </w:r>
      <w:r>
        <w:rPr>
          <w:rFonts w:eastAsia="仿宋_GB2312" w:hint="eastAsia"/>
          <w:color w:val="auto"/>
          <w:sz w:val="32"/>
          <w:szCs w:val="32"/>
          <w:lang w:eastAsia="zh-CN"/>
        </w:rPr>
        <w:t>完成</w:t>
      </w:r>
      <w:r>
        <w:rPr>
          <w:rFonts w:eastAsia="仿宋_GB2312" w:hint="eastAsia"/>
          <w:color w:val="auto"/>
          <w:sz w:val="32"/>
          <w:szCs w:val="32"/>
          <w:lang w:val="en-US" w:eastAsia="zh-CN"/>
        </w:rPr>
        <w:t>260户灾后民房恢复建设任务并通过</w:t>
      </w:r>
      <w:r>
        <w:rPr>
          <w:rFonts w:eastAsia="仿宋_GB2312"/>
          <w:color w:val="auto"/>
          <w:sz w:val="32"/>
          <w:szCs w:val="32"/>
        </w:rPr>
        <w:t>竣工</w:t>
      </w:r>
      <w:r>
        <w:rPr>
          <w:rFonts w:eastAsia="仿宋_GB2312" w:hint="eastAsia"/>
          <w:color w:val="auto"/>
          <w:sz w:val="32"/>
          <w:szCs w:val="32"/>
          <w:lang w:eastAsia="zh-CN"/>
        </w:rPr>
        <w:t>验收</w:t>
      </w:r>
      <w:r>
        <w:rPr>
          <w:rFonts w:eastAsia="仿宋_GB2312"/>
          <w:color w:val="auto"/>
          <w:sz w:val="32"/>
          <w:szCs w:val="32"/>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（三）项目自评步骤及方法。</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eastAsia="仿宋_GB2312"/>
          <w:color w:val="000000"/>
          <w:sz w:val="32"/>
          <w:szCs w:val="32"/>
        </w:rPr>
        <w:t>乡</w:t>
      </w:r>
      <w:r>
        <w:rPr>
          <w:rFonts w:eastAsia="仿宋_GB2312" w:hint="eastAsia"/>
          <w:color w:val="000000"/>
          <w:sz w:val="32"/>
          <w:szCs w:val="32"/>
          <w:lang w:eastAsia="zh-CN"/>
        </w:rPr>
        <w:t>（镇）</w:t>
      </w:r>
      <w:r>
        <w:rPr>
          <w:rFonts w:eastAsia="仿宋_GB2312"/>
          <w:color w:val="000000"/>
          <w:sz w:val="32"/>
          <w:szCs w:val="32"/>
        </w:rPr>
        <w:t>人民政府要建立健全</w:t>
      </w:r>
      <w:r>
        <w:rPr>
          <w:rFonts w:ascii="仿宋_GB2312" w:eastAsia="仿宋_GB2312" w:cs="仿宋_GB2312" w:hint="eastAsia"/>
          <w:sz w:val="32"/>
          <w:szCs w:val="32"/>
          <w:lang w:eastAsia="zh-CN"/>
        </w:rPr>
        <w:t>灾后民房恢复建</w:t>
      </w:r>
      <w:r>
        <w:rPr>
          <w:rFonts w:eastAsia="仿宋_GB2312"/>
          <w:color w:val="000000"/>
          <w:sz w:val="32"/>
          <w:szCs w:val="32"/>
        </w:rPr>
        <w:t>档案，做到一户一档，材料齐全、痕迹化管理。档案内容应包括：开展此项工作的会议纪要、实施方案、户主申请书、</w:t>
      </w:r>
      <w:r>
        <w:rPr>
          <w:rFonts w:eastAsia="仿宋_GB2312" w:hint="eastAsia"/>
          <w:sz w:val="32"/>
          <w:szCs w:val="32"/>
          <w:lang w:eastAsia="zh-CN"/>
        </w:rPr>
        <w:t>灾后民房恢复建设</w:t>
      </w:r>
      <w:r>
        <w:rPr>
          <w:rFonts w:eastAsia="仿宋_GB2312"/>
          <w:color w:val="000000"/>
          <w:sz w:val="32"/>
          <w:szCs w:val="32"/>
        </w:rPr>
        <w:t>审</w:t>
      </w:r>
      <w:r>
        <w:rPr>
          <w:rFonts w:eastAsia="仿宋_GB2312" w:hint="eastAsia"/>
          <w:color w:val="000000"/>
          <w:sz w:val="32"/>
          <w:szCs w:val="32"/>
        </w:rPr>
        <w:t>核</w:t>
      </w:r>
      <w:r>
        <w:rPr>
          <w:rFonts w:eastAsia="仿宋_GB2312"/>
          <w:color w:val="000000"/>
          <w:sz w:val="32"/>
          <w:szCs w:val="32"/>
        </w:rPr>
        <w:t>表</w:t>
      </w:r>
      <w:r>
        <w:rPr>
          <w:rFonts w:eastAsia="仿宋_GB2312" w:hint="eastAsia"/>
          <w:color w:val="000000"/>
          <w:sz w:val="32"/>
          <w:szCs w:val="32"/>
          <w:lang w:eastAsia="zh-CN"/>
        </w:rPr>
        <w:t>、</w:t>
      </w:r>
      <w:r>
        <w:rPr>
          <w:rFonts w:eastAsia="仿宋_GB2312"/>
          <w:color w:val="000000"/>
          <w:sz w:val="32"/>
          <w:szCs w:val="32"/>
        </w:rPr>
        <w:t>房屋改造前、中、后照片、家庭户主身份证复印件或户口簿复印件等有关证明材料。验收合格后各乡（镇）人民政府需把改造户的信息及相关照片归档成册。</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二、项目资金申报及使用情况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（一）项目资金申报及批复情况。</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eastAsia="仿宋_GB2312"/>
          <w:color w:val="auto"/>
          <w:sz w:val="32"/>
          <w:szCs w:val="32"/>
          <w:u w:val="none"/>
          <w:lang w:val="en-US" w:eastAsia="zh-CN"/>
        </w:rPr>
      </w:pPr>
      <w:r>
        <w:rPr>
          <w:rFonts w:eastAsia="仿宋_GB2312"/>
          <w:sz w:val="32"/>
          <w:szCs w:val="32"/>
          <w:u w:val="none"/>
        </w:rPr>
        <w:t>项目建设资金来源以农户自筹为主、政府补助为辅，</w:t>
      </w:r>
      <w:r>
        <w:rPr>
          <w:rFonts w:eastAsia="仿宋_GB2312"/>
          <w:color w:val="auto"/>
          <w:sz w:val="32"/>
          <w:szCs w:val="32"/>
          <w:u w:val="none"/>
        </w:rPr>
        <w:t>政府补助资金标准</w:t>
      </w:r>
      <w:r>
        <w:rPr>
          <w:rFonts w:eastAsia="仿宋_GB2312" w:hint="eastAsia"/>
          <w:color w:val="auto"/>
          <w:sz w:val="32"/>
          <w:szCs w:val="32"/>
          <w:u w:val="none"/>
          <w:lang w:eastAsia="zh-CN"/>
        </w:rPr>
        <w:t>：重建或搬迁（包括购买安全住房）最高补贴</w:t>
      </w:r>
      <w:r>
        <w:rPr>
          <w:rFonts w:eastAsia="仿宋_GB2312" w:hint="eastAsia"/>
          <w:color w:val="auto"/>
          <w:sz w:val="32"/>
          <w:szCs w:val="32"/>
          <w:u w:val="none"/>
          <w:lang w:val="en-US" w:eastAsia="zh-CN"/>
        </w:rPr>
        <w:t>6万元，维修加固0.5万元。</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（二）资金计划、到位及使用情况（可用表格形式反映）。</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hint="eastAsia"/>
          <w:color w:val="000000"/>
          <w:sz w:val="32"/>
          <w:szCs w:val="32"/>
          <w:lang w:eastAsia="zh-CN"/>
        </w:rPr>
      </w:pPr>
      <w:r>
        <w:rPr>
          <w:rFonts w:eastAsia="仿宋_GB2312" w:hint="eastAsia"/>
          <w:color w:val="000000"/>
          <w:sz w:val="32"/>
          <w:szCs w:val="32"/>
          <w:lang w:eastAsia="zh-CN"/>
        </w:rPr>
        <w:t>中央补助资金</w:t>
      </w:r>
      <w:r>
        <w:rPr>
          <w:rFonts w:eastAsia="仿宋_GB2312" w:hint="eastAsia"/>
          <w:color w:val="auto"/>
          <w:sz w:val="32"/>
          <w:szCs w:val="32"/>
          <w:lang w:val="en-US" w:eastAsia="zh-CN"/>
        </w:rPr>
        <w:t>710</w:t>
      </w:r>
      <w:r>
        <w:rPr>
          <w:rFonts w:eastAsia="仿宋_GB2312" w:hint="eastAsia"/>
          <w:color w:val="000000"/>
          <w:sz w:val="32"/>
          <w:szCs w:val="32"/>
          <w:lang w:val="en-US" w:eastAsia="zh-CN"/>
        </w:rPr>
        <w:t>万元</w:t>
      </w:r>
      <w:r>
        <w:rPr>
          <w:rFonts w:eastAsia="仿宋_GB2312" w:hint="eastAsia"/>
          <w:color w:val="000000"/>
          <w:sz w:val="32"/>
          <w:szCs w:val="32"/>
          <w:lang w:eastAsia="zh-CN"/>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（三）项目财务管理情况。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eastAsia="仿宋_GB2312"/>
          <w:sz w:val="32"/>
          <w:szCs w:val="32"/>
        </w:rPr>
      </w:pPr>
      <w:r>
        <w:rPr>
          <w:rFonts w:eastAsia="仿宋_GB2312" w:hint="eastAsia"/>
          <w:color w:val="000000"/>
          <w:sz w:val="32"/>
          <w:szCs w:val="32"/>
        </w:rPr>
        <w:t>项目</w:t>
      </w:r>
      <w:r>
        <w:rPr>
          <w:rFonts w:eastAsia="仿宋_GB2312"/>
          <w:sz w:val="32"/>
          <w:szCs w:val="32"/>
        </w:rPr>
        <w:t>建设资金严格按照政府投资项目相关管理办法执行</w:t>
      </w:r>
      <w:r>
        <w:rPr>
          <w:rFonts w:eastAsia="仿宋_GB2312" w:hint="eastAsia"/>
          <w:sz w:val="32"/>
          <w:szCs w:val="32"/>
          <w:lang w:eastAsia="zh-CN"/>
        </w:rPr>
        <w:t>，</w:t>
      </w:r>
      <w:r>
        <w:rPr>
          <w:rFonts w:eastAsia="仿宋_GB2312"/>
          <w:sz w:val="32"/>
          <w:szCs w:val="32"/>
        </w:rPr>
        <w:t>资金实行专项管理、专账核算、专款专用。建立健全资金管理制度，按规定标准，必须将补助资金通过“一卡通”补助到户</w:t>
      </w:r>
      <w:r>
        <w:rPr>
          <w:rFonts w:eastAsia="仿宋_GB2312" w:hint="eastAsia"/>
          <w:sz w:val="32"/>
          <w:szCs w:val="32"/>
          <w:lang w:eastAsia="zh-CN"/>
        </w:rPr>
        <w:t>，</w:t>
      </w:r>
      <w:r>
        <w:rPr>
          <w:rFonts w:eastAsia="仿宋_GB2312"/>
          <w:sz w:val="32"/>
          <w:szCs w:val="32"/>
        </w:rPr>
        <w:t>严禁截留、挤占、挪用或变相使用。资金不得用于车辆、通讯设备购置及生活补贴等与</w:t>
      </w:r>
      <w:r>
        <w:rPr>
          <w:rFonts w:eastAsia="仿宋_GB2312" w:hint="eastAsia"/>
          <w:sz w:val="32"/>
          <w:szCs w:val="32"/>
        </w:rPr>
        <w:t>项目</w:t>
      </w:r>
      <w:r>
        <w:rPr>
          <w:rFonts w:eastAsia="仿宋_GB2312"/>
          <w:sz w:val="32"/>
          <w:szCs w:val="32"/>
        </w:rPr>
        <w:t>建设无关的支出，更不能在补助资金中提取工作经费，县财政局负责</w:t>
      </w:r>
      <w:r>
        <w:rPr>
          <w:rFonts w:eastAsia="仿宋_GB2312" w:hint="eastAsia"/>
          <w:sz w:val="32"/>
          <w:szCs w:val="32"/>
        </w:rPr>
        <w:t>资金</w:t>
      </w:r>
      <w:r>
        <w:rPr>
          <w:rFonts w:eastAsia="仿宋_GB2312"/>
          <w:sz w:val="32"/>
          <w:szCs w:val="32"/>
        </w:rPr>
        <w:t>下达和监管工作。</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三、项目实施及管理情况</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eastAsia="仿宋_GB2312"/>
          <w:sz w:val="32"/>
          <w:szCs w:val="32"/>
        </w:rPr>
      </w:pPr>
      <w:r>
        <w:rPr>
          <w:rFonts w:ascii="仿宋_GB2312" w:eastAsia="仿宋_GB2312" w:cs="仿宋_GB2312" w:hint="eastAsia"/>
          <w:color w:val="000000"/>
          <w:sz w:val="32"/>
          <w:szCs w:val="32"/>
          <w14:textFill>
            <w14:solidFill>
              <w14:srgbClr w14:val="000000"/>
            </w14:solidFill>
          </w14:textFill>
          <w:lang w:eastAsia="zh-CN"/>
        </w:rPr>
        <w:t>建设资金由应急局</w:t>
      </w:r>
      <w:r>
        <w:rPr>
          <w:rFonts w:ascii="仿宋_GB2312" w:eastAsia="仿宋_GB2312" w:cs="Times New Roman" w:hint="eastAsia"/>
          <w:color w:val="000000"/>
          <w:sz w:val="32"/>
          <w:szCs w:val="32"/>
        </w:rPr>
        <w:t>建立名册，推行村委会、乡（镇）、县级负责的三级负责制，实行</w:t>
      </w:r>
      <w:r>
        <w:rPr>
          <w:rFonts w:ascii="仿宋_GB2312" w:eastAsia="仿宋_GB2312" w:cs="Times New Roman" w:hint="eastAsia"/>
          <w:color w:val="000000"/>
          <w:sz w:val="32"/>
          <w:szCs w:val="32"/>
          <w:lang w:eastAsia="zh-CN"/>
        </w:rPr>
        <w:t>“户报、村评、乡申、县定”工作流程</w:t>
      </w:r>
      <w:r>
        <w:rPr>
          <w:rFonts w:ascii="仿宋_GB2312" w:eastAsia="仿宋_GB2312" w:cs="Times New Roman" w:hint="eastAsia"/>
          <w:color w:val="000000"/>
          <w:sz w:val="32"/>
          <w:szCs w:val="32"/>
        </w:rPr>
        <w:t>，</w:t>
      </w:r>
      <w:r>
        <w:rPr>
          <w:rFonts w:ascii="仿宋_GB2312" w:eastAsia="仿宋_GB2312" w:cs="仿宋_GB2312" w:hint="eastAsia"/>
          <w:color w:val="000000"/>
          <w:sz w:val="32"/>
          <w:szCs w:val="32"/>
          <w14:textFill>
            <w14:solidFill>
              <w14:srgbClr w14:val="000000"/>
            </w14:solidFill>
          </w14:textFill>
        </w:rPr>
        <w:t>通过“一卡通”的方式补助到户。</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四、项目绩效情况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Style w:val="0"/>
          <w:rFonts w:ascii="仿宋_GB2312" w:eastAsia="仿宋_GB2312"/>
          <w:b w:val="0"/>
          <w:i w:val="0"/>
          <w:caps w:val="0"/>
          <w:smallCaps w:val="0"/>
          <w:color w:val="000000"/>
          <w:spacing w:val="0"/>
          <w:w w:val="100"/>
          <w:kern w:val="2"/>
          <w:sz w:val="32"/>
          <w:szCs w:val="32"/>
          <w:lang w:val="en-US" w:eastAsia="zh-CN" w:bidi="ar-SA"/>
        </w:rPr>
        <w:t>充分认识做好抗灾救灾和群众生活的重要性、紧迫性、严峻性和长期性， 坚持“以民为本、为民解困、为民服务”的宗旨，高度重视灾区群众生活，建立从上至下、齐抓共管、人人有责的工作机制，切实保障受灾群众</w:t>
      </w:r>
      <w:r>
        <w:rPr>
          <w:rStyle w:val="0"/>
          <w:rFonts w:ascii="仿宋_GB2312" w:eastAsia="仿宋_GB2312" w:hint="eastAsia"/>
          <w:b w:val="0"/>
          <w:i w:val="0"/>
          <w:caps w:val="0"/>
          <w:smallCaps w:val="0"/>
          <w:color w:val="000000"/>
          <w:spacing w:val="0"/>
          <w:w w:val="100"/>
          <w:kern w:val="2"/>
          <w:sz w:val="32"/>
          <w:szCs w:val="32"/>
          <w:lang w:val="en-US" w:eastAsia="zh-CN" w:bidi="ar-SA"/>
        </w:rPr>
        <w:t>有房住、</w:t>
      </w:r>
      <w:r>
        <w:rPr>
          <w:rStyle w:val="0"/>
          <w:rFonts w:ascii="仿宋_GB2312" w:eastAsia="仿宋_GB2312"/>
          <w:b w:val="0"/>
          <w:i w:val="0"/>
          <w:caps w:val="0"/>
          <w:smallCaps w:val="0"/>
          <w:color w:val="000000"/>
          <w:spacing w:val="0"/>
          <w:w w:val="100"/>
          <w:kern w:val="2"/>
          <w:sz w:val="32"/>
          <w:szCs w:val="32"/>
          <w:lang w:val="en-US" w:eastAsia="zh-CN" w:bidi="ar-SA"/>
        </w:rPr>
        <w:t>有水喝、有饭吃、有病能及时医治，确保救</w:t>
      </w:r>
      <w:r>
        <w:rPr>
          <w:rStyle w:val="0"/>
          <w:rFonts w:ascii="仿宋_GB2312" w:eastAsia="仿宋_GB2312" w:hint="eastAsia"/>
          <w:b w:val="0"/>
          <w:i w:val="0"/>
          <w:caps w:val="0"/>
          <w:smallCaps w:val="0"/>
          <w:color w:val="000000"/>
          <w:spacing w:val="0"/>
          <w:w w:val="100"/>
          <w:kern w:val="2"/>
          <w:sz w:val="32"/>
          <w:szCs w:val="32"/>
          <w:lang w:val="en-US" w:eastAsia="zh-CN" w:bidi="ar-SA"/>
        </w:rPr>
        <w:t>灾</w:t>
      </w:r>
      <w:r>
        <w:rPr>
          <w:rStyle w:val="0"/>
          <w:rFonts w:ascii="仿宋_GB2312" w:eastAsia="仿宋_GB2312"/>
          <w:b w:val="0"/>
          <w:i w:val="0"/>
          <w:caps w:val="0"/>
          <w:smallCaps w:val="0"/>
          <w:color w:val="000000"/>
          <w:spacing w:val="0"/>
          <w:w w:val="100"/>
          <w:kern w:val="2"/>
          <w:sz w:val="32"/>
          <w:szCs w:val="32"/>
          <w:lang w:val="en-US" w:eastAsia="zh-CN" w:bidi="ar-SA"/>
        </w:rPr>
        <w:t>工作不漏一户、不掉一人。确保</w:t>
      </w:r>
      <w:r>
        <w:rPr>
          <w:rStyle w:val="0"/>
          <w:rFonts w:ascii="仿宋_GB2312" w:hAnsi="仿宋_GB2312" w:hint="eastAsia"/>
          <w:b w:val="0"/>
          <w:i w:val="0"/>
          <w:caps w:val="0"/>
          <w:smallCaps w:val="0"/>
          <w:color w:val="000000"/>
          <w:spacing w:val="0"/>
          <w:w w:val="100"/>
          <w:kern w:val="2"/>
          <w:sz w:val="32"/>
          <w:szCs w:val="32"/>
          <w:lang w:val="en-US" w:eastAsia="zh-CN" w:bidi="ar-SA"/>
        </w:rPr>
        <w:t>了</w:t>
      </w:r>
      <w:r>
        <w:rPr>
          <w:rStyle w:val="0"/>
          <w:rFonts w:ascii="仿宋_GB2312" w:eastAsia="仿宋_GB2312"/>
          <w:b w:val="0"/>
          <w:i w:val="0"/>
          <w:caps w:val="0"/>
          <w:smallCaps w:val="0"/>
          <w:color w:val="000000"/>
          <w:spacing w:val="0"/>
          <w:w w:val="100"/>
          <w:kern w:val="2"/>
          <w:sz w:val="32"/>
          <w:szCs w:val="32"/>
          <w:lang w:val="en-US" w:eastAsia="zh-CN" w:bidi="ar-SA"/>
        </w:rPr>
        <w:t>困难群众生活不出问题，</w:t>
      </w:r>
      <w:r>
        <w:rPr>
          <w:rStyle w:val="0"/>
          <w:rFonts w:ascii="仿宋_GB2312" w:eastAsia="仿宋_GB2312"/>
          <w:b w:val="0"/>
          <w:i w:val="0"/>
          <w:caps w:val="0"/>
          <w:smallCaps w:val="0"/>
          <w:spacing w:val="0"/>
          <w:w w:val="100"/>
          <w:kern w:val="0"/>
          <w:sz w:val="32"/>
          <w:szCs w:val="32"/>
          <w:lang w:val="en-US" w:eastAsia="zh-CN" w:bidi="ar-SA"/>
        </w:rPr>
        <w:t>确保</w:t>
      </w:r>
      <w:r>
        <w:rPr>
          <w:rStyle w:val="0"/>
          <w:rFonts w:ascii="仿宋_GB2312" w:hAnsi="仿宋_GB2312" w:hint="eastAsia"/>
          <w:b w:val="0"/>
          <w:i w:val="0"/>
          <w:caps w:val="0"/>
          <w:smallCaps w:val="0"/>
          <w:spacing w:val="0"/>
          <w:w w:val="100"/>
          <w:kern w:val="0"/>
          <w:sz w:val="32"/>
          <w:szCs w:val="32"/>
          <w:lang w:val="en-US" w:eastAsia="zh-CN" w:bidi="ar-SA"/>
        </w:rPr>
        <w:t>了</w:t>
      </w:r>
      <w:r>
        <w:rPr>
          <w:rStyle w:val="0"/>
          <w:rFonts w:ascii="仿宋_GB2312" w:eastAsia="仿宋_GB2312"/>
          <w:b w:val="0"/>
          <w:i w:val="0"/>
          <w:caps w:val="0"/>
          <w:smallCaps w:val="0"/>
          <w:spacing w:val="0"/>
          <w:w w:val="100"/>
          <w:kern w:val="0"/>
          <w:sz w:val="32"/>
          <w:szCs w:val="32"/>
          <w:lang w:val="en-US" w:eastAsia="zh-CN" w:bidi="ar-SA"/>
        </w:rPr>
        <w:t>受灾困难群众</w:t>
      </w:r>
      <w:r>
        <w:rPr>
          <w:rStyle w:val="0"/>
          <w:rFonts w:ascii="仿宋_GB2312" w:eastAsia="仿宋_GB2312" w:hint="eastAsia"/>
          <w:b w:val="0"/>
          <w:i w:val="0"/>
          <w:caps w:val="0"/>
          <w:smallCaps w:val="0"/>
          <w:spacing w:val="0"/>
          <w:w w:val="100"/>
          <w:kern w:val="0"/>
          <w:sz w:val="32"/>
          <w:szCs w:val="32"/>
          <w:lang w:val="en-US" w:eastAsia="zh-CN" w:bidi="ar-SA"/>
        </w:rPr>
        <w:t>基本生活。</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五、评价结论及建议</w:t>
      </w:r>
    </w:p>
    <w:p>
      <w:pPr>
        <w:ind w:left="0" w:firstLineChars="200" w:firstLine="420"/>
        <w:rPr>
          <w:rFonts w:ascii="仿宋" w:eastAsia="仿宋" w:cs="仿宋" w:hint="eastAsia"/>
          <w:sz w:val="32"/>
          <w:szCs w:val="32"/>
          <w:lang w:val="en-US" w:eastAsia="zh-CN"/>
        </w:rPr>
      </w:pPr>
      <w:r>
        <w:rPr>
          <w:rFonts w:ascii="黑体" w:eastAsia="黑体" w:cs="黑体" w:hint="eastAsia"/>
          <w:bCs/>
          <w:szCs w:val="32"/>
          <w:lang w:val="en-US" w:eastAsia="zh-CN"/>
        </w:rPr>
        <w:t xml:space="preserve"> </w:t>
      </w:r>
      <w:r>
        <w:rPr>
          <w:rFonts w:ascii="仿宋" w:eastAsia="仿宋" w:cs="仿宋" w:hint="eastAsia"/>
          <w:sz w:val="32"/>
          <w:szCs w:val="32"/>
          <w:lang w:val="en-US" w:eastAsia="zh-CN"/>
        </w:rPr>
        <w:t>一是严格执行自然灾害款的管理使用有关规定制度，进一步严格控制自然灾害款使用范围，把自然灾害款发放到最困难、最需要的灾民群众手中，保障他们的基本生活；二是进一步加强检查监督，本着公平、公正、公开的原则确保自然灾害款使用落到实处，进一步健全和完善各项监管机制，做到有章可循，提高自然灾害款的使用效益，切实实现好、维护好困难群众的切身利益。</w:t>
      </w:r>
    </w:p>
    <w:p/>
    <w:p>
      <w:pPr>
        <w:pStyle w:val="24"/>
        <w:rPr>
          <w:rFonts w:hint="eastAsia"/>
        </w:rPr>
      </w:pPr>
    </w:p>
    <w:p>
      <w:pPr>
        <w:rPr>
          <w:rFonts w:hint="eastAsia"/>
        </w:rPr>
      </w:pPr>
    </w:p>
    <w:p>
      <w:pPr>
        <w:pStyle w:val="1"/>
        <w:rPr>
          <w:rFonts w:hint="eastAsia"/>
        </w:rPr>
      </w:pPr>
    </w:p>
    <w:p>
      <w:pPr>
        <w:rPr>
          <w:rFonts w:hint="eastAsia"/>
        </w:rPr>
      </w:pPr>
    </w:p>
    <w:p>
      <w:pPr>
        <w:pStyle w:val="1"/>
        <w:rPr>
          <w:rFonts w:hint="eastAsia"/>
        </w:rPr>
      </w:pPr>
    </w:p>
    <w:p>
      <w:pPr>
        <w:rPr>
          <w:rFonts w:hint="eastAsia"/>
        </w:rPr>
      </w:pPr>
    </w:p>
    <w:p>
      <w:pPr>
        <w:pStyle w:val="24"/>
        <w:ind w:leftChars="0" w:left="0" w:firstLineChars="0" w:firstLine="0"/>
        <w:rPr>
          <w:rFonts w:hint="eastAsia"/>
        </w:rPr>
      </w:pPr>
    </w:p>
    <w:p>
      <w:pPr>
        <w:rPr>
          <w:rStyle w:val="1Char"/>
          <w:rFonts w:ascii="仿宋" w:eastAsia="仿宋" w:hint="eastAsia"/>
          <w:b w:val="0"/>
          <w:bCs w:val="0"/>
          <w:sz w:val="32"/>
          <w:szCs w:val="32"/>
        </w:rPr>
      </w:pPr>
      <w:r>
        <w:rPr>
          <w:rStyle w:val="1Char"/>
          <w:rFonts w:ascii="仿宋" w:eastAsia="仿宋" w:hint="eastAsia"/>
          <w:b w:val="0"/>
          <w:bCs w:val="0"/>
          <w:sz w:val="32"/>
          <w:szCs w:val="32"/>
        </w:rPr>
        <w:t>附件</w:t>
      </w:r>
    </w:p>
    <w:p>
      <w:pPr>
        <w:keepNext w:val="0"/>
        <w:keepLines w:val="0"/>
        <w:pageBreakBefore w:val="0"/>
        <w:widowControl/>
        <w:kinsoku/>
        <w:wordWrap/>
        <w:overflowPunct/>
        <w:topLinePunct w:val="0"/>
        <w:autoSpaceDE/>
        <w:autoSpaceDN/>
        <w:bidi w:val="0"/>
        <w:adjustRightInd/>
        <w:spacing w:line="500" w:lineRule="exact"/>
        <w:ind w:right="0" w:firstLine="0"/>
        <w:jc w:val="center"/>
        <w:textAlignment w:val="baseline"/>
        <w:outlineLvl w:val="9"/>
        <w:rPr>
          <w:rStyle w:val="0"/>
          <w:rFonts w:ascii="方正小标宋简体" w:eastAsia="方正小标宋简体" w:cs="Times New Roman" w:hint="eastAsia"/>
          <w:sz w:val="40"/>
          <w:szCs w:val="40"/>
          <w:lang w:val="en-US" w:eastAsia="zh-CN"/>
        </w:rPr>
      </w:pPr>
      <w:r>
        <w:rPr>
          <w:rStyle w:val="0"/>
          <w:rFonts w:ascii="方正小标宋简体" w:eastAsia="方正小标宋简体" w:cs="Times New Roman" w:hint="eastAsia"/>
          <w:sz w:val="40"/>
          <w:szCs w:val="40"/>
          <w:lang w:val="en-US" w:eastAsia="zh-CN"/>
        </w:rPr>
        <w:t>金川县应急管理局</w:t>
      </w:r>
    </w:p>
    <w:p>
      <w:pPr>
        <w:keepNext w:val="0"/>
        <w:keepLines w:val="0"/>
        <w:pageBreakBefore w:val="0"/>
        <w:widowControl/>
        <w:kinsoku/>
        <w:wordWrap/>
        <w:overflowPunct/>
        <w:topLinePunct w:val="0"/>
        <w:autoSpaceDE/>
        <w:autoSpaceDN/>
        <w:bidi w:val="0"/>
        <w:adjustRightInd/>
        <w:spacing w:line="500" w:lineRule="exact"/>
        <w:ind w:right="0" w:firstLine="0"/>
        <w:jc w:val="center"/>
        <w:textAlignment w:val="baseline"/>
        <w:outlineLvl w:val="9"/>
        <w:rPr>
          <w:rStyle w:val="0"/>
          <w:rFonts w:ascii="方正小标宋简体" w:eastAsia="方正小标宋简体" w:cs="Times New Roman" w:hint="eastAsia"/>
          <w:sz w:val="40"/>
          <w:szCs w:val="40"/>
          <w:lang w:val="en-US" w:eastAsia="zh-CN"/>
        </w:rPr>
      </w:pPr>
      <w:r>
        <w:rPr>
          <w:rFonts w:ascii="方正小标宋简体" w:eastAsia="方正小标宋简体" w:cs="Times New Roman" w:hint="eastAsia"/>
          <w:sz w:val="44"/>
          <w:szCs w:val="44"/>
        </w:rPr>
        <w:t>防汛减灾物资</w:t>
      </w:r>
      <w:r>
        <w:rPr>
          <w:rFonts w:ascii="方正小标宋简体" w:eastAsia="方正小标宋简体" w:cs="Times New Roman" w:hint="eastAsia"/>
          <w:sz w:val="44"/>
          <w:szCs w:val="44"/>
          <w:lang w:eastAsia="zh-CN"/>
        </w:rPr>
        <w:t>采</w:t>
      </w:r>
      <w:r>
        <w:rPr>
          <w:rStyle w:val="0"/>
          <w:rFonts w:ascii="方正小标宋简体" w:eastAsia="方正小标宋简体" w:cs="Times New Roman" w:hint="eastAsia"/>
          <w:sz w:val="40"/>
          <w:szCs w:val="40"/>
          <w:lang w:val="en-US" w:eastAsia="zh-CN"/>
        </w:rPr>
        <w:t>购</w:t>
      </w:r>
      <w:r>
        <w:rPr>
          <w:rStyle w:val="0"/>
          <w:rFonts w:ascii="方正小标宋简体" w:eastAsia="方正小标宋简体" w:cs="Times New Roman"/>
          <w:sz w:val="40"/>
          <w:szCs w:val="40"/>
          <w:lang w:val="en-US" w:eastAsia="zh-CN"/>
        </w:rPr>
        <w:t>项目</w:t>
      </w:r>
      <w:r>
        <w:rPr>
          <w:rStyle w:val="0"/>
          <w:rFonts w:ascii="方正小标宋简体" w:eastAsia="方正小标宋简体" w:cs="Times New Roman" w:hint="eastAsia"/>
          <w:sz w:val="40"/>
          <w:szCs w:val="40"/>
          <w:lang w:val="en-US" w:eastAsia="zh-CN"/>
        </w:rPr>
        <w:t>专项预算项目支出绩效自评报告</w:t>
      </w:r>
    </w:p>
    <w:p>
      <w:pPr>
        <w:adjustRightInd w:val="0"/>
        <w:snapToGrid w:val="0"/>
        <w:spacing w:line="520" w:lineRule="exact"/>
        <w:rPr>
          <w:rFonts w:hint="eastAsia"/>
          <w:sz w:val="28"/>
        </w:rPr>
      </w:pP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楷体" w:eastAsia="楷体" w:cs="楷体" w:hint="eastAsia"/>
          <w:b/>
          <w:bCs/>
          <w:kern w:val="2"/>
          <w:sz w:val="32"/>
          <w:szCs w:val="32"/>
          <w:lang w:val="en-US" w:eastAsia="zh-CN"/>
        </w:rPr>
      </w:pPr>
      <w:r>
        <w:rPr>
          <w:rFonts w:ascii="黑体" w:eastAsia="黑体" w:cs="黑体" w:hint="eastAsia"/>
          <w:kern w:val="2"/>
          <w:sz w:val="32"/>
          <w:szCs w:val="32"/>
          <w:lang w:val="en-US" w:eastAsia="zh-CN"/>
        </w:rPr>
        <w:t>一、项目概况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100" w:firstLine="32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（一）项目基本情况。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1．说明项目主管部门（单位）在该项目管理中的职能。</w:t>
      </w:r>
      <w:r>
        <w:rPr>
          <w:rFonts w:ascii="仿宋_GB2312" w:eastAsia="仿宋_GB2312" w:cs="仿宋_GB2312" w:hint="eastAsia"/>
          <w:kern w:val="2"/>
          <w:sz w:val="32"/>
          <w:szCs w:val="32"/>
          <w:lang w:val="en-US" w:eastAsia="zh-CN"/>
        </w:rPr>
        <w:t>应急局成立以来，承担安全生产、森林草原防灭火、防汛抗旱、应急抢险救援等职能职责、工作责任艰巨，压力较大。近几年来我县极端天气增多、曾达、卡撒、咯尔、卡拉脚、撒瓦脚相继发生较大、重特大自然灾害事故和生态环境事件，库存防汛物资、备灾物资、抢险救援物资消耗较大，在应对突发灾害时，也暴露出我县防灾减灾备灾物资供给矛盾突出，现实需求严重短缺不足等问题，需补给和添置防灾减灾物资。</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2．项目立项、资金申报的依据。</w:t>
      </w:r>
      <w:r>
        <w:rPr>
          <w:rFonts w:ascii="仿宋_GB2312" w:eastAsia="仿宋_GB2312" w:cs="仿宋_GB2312"/>
          <w:kern w:val="2"/>
          <w:sz w:val="32"/>
          <w:szCs w:val="32"/>
          <w:lang w:val="en-US" w:eastAsia="zh-CN"/>
        </w:rPr>
        <w:t>为</w:t>
      </w:r>
      <w:r>
        <w:rPr>
          <w:rFonts w:ascii="仿宋_GB2312" w:eastAsia="仿宋_GB2312" w:cs="仿宋_GB2312" w:hint="eastAsia"/>
          <w:kern w:val="2"/>
          <w:sz w:val="32"/>
          <w:szCs w:val="32"/>
          <w:lang w:val="en-US" w:eastAsia="zh-CN"/>
        </w:rPr>
        <w:t>提高我县防灾减灾备灾能力建设，最低限度保障人民群众生命财产，经十三届县委常委会第30会议、十五届县人民政府第11次常务会审议通过了《金川县急需采购防汛减灾物资工作方案（审议稿）》，防汛减灾物资预算资金2373108元。</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3．资金管理办法制定情况。</w:t>
      </w:r>
      <w:r>
        <w:rPr>
          <w:rFonts w:ascii="仿宋_GB2312" w:eastAsia="仿宋_GB2312" w:cs="仿宋_GB2312" w:hint="eastAsia"/>
          <w:kern w:val="2"/>
          <w:sz w:val="32"/>
          <w:szCs w:val="32"/>
          <w:lang w:val="en-US" w:eastAsia="zh-CN"/>
        </w:rPr>
        <w:t>该资金属于应急灾害资金，按照应急管理资金管理使用相关规定，主要用于购置通讯设备、急抢险救援装备、防汛物资、备灾物资等支出，重点加强全县应急备灾能力建设。该项目评价严格执行财务管理制度、财务处理否及时、会计核算规范。</w:t>
      </w:r>
      <w:r>
        <w:rPr>
          <w:rFonts w:ascii="楷体" w:eastAsia="楷体" w:cs="楷体" w:hint="eastAsia"/>
          <w:kern w:val="2"/>
          <w:sz w:val="32"/>
          <w:szCs w:val="32"/>
          <w:lang w:val="en-US" w:eastAsia="zh-CN"/>
        </w:rPr>
        <w:t>4．资金分配的原则及考虑因素。</w:t>
      </w:r>
      <w:r>
        <w:rPr>
          <w:rFonts w:ascii="仿宋_GB2312" w:eastAsia="仿宋_GB2312" w:cs="仿宋_GB2312" w:hint="eastAsia"/>
          <w:kern w:val="2"/>
          <w:sz w:val="32"/>
          <w:szCs w:val="32"/>
          <w:lang w:val="en-US" w:eastAsia="zh-CN"/>
        </w:rPr>
        <w:t>深入贯彻习近平总书记关于大力提高自然灾害防治能力体系建设指示精神，按照国家、省、州、县关于防灾减灾备灾工作安排部署，牢固树立“防灾胜于救灾”和突出“民生为先”理念，坚持“宁可备而不用”原则，结合我县防灾减灾实际和工作特点，突出防灾减灾备灾工作重点，加强全县自然灾害防治体系建设，最大限度降低人员伤亡和财产损失。</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（二）项目绩效目标。</w:t>
      </w:r>
    </w:p>
    <w:p>
      <w:pPr>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1．项目主要内容。</w:t>
      </w:r>
      <w:r>
        <w:rPr>
          <w:rFonts w:ascii="仿宋_GB2312" w:eastAsia="仿宋_GB2312" w:cs="仿宋_GB2312" w:hint="eastAsia"/>
          <w:kern w:val="2"/>
          <w:sz w:val="32"/>
          <w:szCs w:val="32"/>
          <w:lang w:val="en-US" w:eastAsia="zh-CN"/>
        </w:rPr>
        <w:t>在盘点清查基础上、同时对重点涉及部门防汛减灾需求进行了统计摸底，但因全县防汛减灾物资资金需求量较大，初步估算所需资金1100万元，结合汛期工作特点，仅对急需部分物资价格、规格、性能进行市场调研，同时征求了水务、环保、地震、交通、消防相关部门意见建议，并进行多次调整优化，拟定了防汛减灾物资需求表，急需完善添置雨衣、雨鞋、强光电筒、对讲机、应急包、防滑手套、铅丝网箱、绳索抛投器、塑料水桶、发电机、多功能轻便工作灯、毛毯、铁锹、棉被、便携式柴油泵组、双光融合热成像仪、无人机、吸油拖栏、泄漏吸附固化剂、变色型油品化学品吸附剂、颗粒活性炭等急需物资共计58类139146件，经核算所需资金2373108元，在县财政年初预算资金中解决，按照挂网采购程序，完成物资采购，将此次采购物资分别存放粮食和物资储备中心、12个乡镇应急物资储备点。</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2．项目应实现的具体绩效目标，包括目标的量化、细化情况以及项目实施进度计划等。项目实施周期：</w:t>
      </w:r>
      <w:r>
        <w:rPr>
          <w:rFonts w:ascii="仿宋_GB2312" w:eastAsia="仿宋_GB2312" w:cs="仿宋_GB2312" w:hint="eastAsia"/>
          <w:kern w:val="2"/>
          <w:sz w:val="32"/>
          <w:szCs w:val="32"/>
          <w:lang w:val="en-US" w:eastAsia="zh-CN"/>
        </w:rPr>
        <w:t>2022年4月—2022年8月，共4个月。项目进度安排：2022年4月所需物资价格、规格、性能进行市场调研，部门意见征求，项目编制等；2022年5月初报请县政府审议、方案优化、方案可行性论证、项目意向公开；2022年6月初挂网采购、2022年7月初确定供应商、签订合同；2022年8月中旬完成交付、验收、使用。</w:t>
      </w:r>
      <w:r>
        <w:rPr>
          <w:rFonts w:ascii="楷体" w:eastAsia="楷体" w:cs="楷体" w:hint="eastAsia"/>
          <w:kern w:val="2"/>
          <w:sz w:val="32"/>
          <w:szCs w:val="32"/>
          <w:lang w:val="en-US" w:eastAsia="zh-CN"/>
        </w:rPr>
        <w:t>项目管理：</w:t>
      </w:r>
      <w:r>
        <w:rPr>
          <w:rFonts w:ascii="仿宋_GB2312" w:eastAsia="仿宋_GB2312" w:cs="仿宋_GB2312" w:hint="eastAsia"/>
          <w:kern w:val="2"/>
          <w:sz w:val="32"/>
          <w:szCs w:val="32"/>
          <w:lang w:val="en-US" w:eastAsia="zh-CN"/>
        </w:rPr>
        <w:t>应急局是该项目实施的责任主体，要将项目实施纳入目标绩效进行考核，严格执行项目政府采购、招投标制，切实构建采购项目质量保证体系，将项目管理的责任落实到岗到人，做到责任到位、措施到位。及时排除、化解影响项目实施的各种制约性因素，确保项目加快实施。对发现的项目管理中存在的问题，要按照合同约定，界定责任，及时处理。</w:t>
      </w:r>
      <w:r>
        <w:rPr>
          <w:rFonts w:ascii="楷体" w:eastAsia="楷体" w:cs="楷体" w:hint="eastAsia"/>
          <w:kern w:val="2"/>
          <w:sz w:val="32"/>
          <w:szCs w:val="32"/>
          <w:lang w:val="en-US" w:eastAsia="zh-CN"/>
        </w:rPr>
        <w:t>运行管理：</w:t>
      </w:r>
      <w:r>
        <w:rPr>
          <w:rFonts w:ascii="仿宋_GB2312" w:eastAsia="仿宋_GB2312" w:cs="仿宋_GB2312" w:hint="eastAsia"/>
          <w:kern w:val="2"/>
          <w:sz w:val="32"/>
          <w:szCs w:val="32"/>
          <w:lang w:val="en-US" w:eastAsia="zh-CN"/>
        </w:rPr>
        <w:t xml:space="preserve">项目采购交付使用后，消防救援大队要落实专人，切实加强救援装备管理维护，保证装备处于良好的使用状态，装备处于良好的性能状态，确保各项采购内容的使用寿命，充分发挥资金使用的社会效益、经济效益、生态效益。 </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w:t>
      </w:r>
      <w:r>
        <w:rPr>
          <w:rFonts w:ascii="楷体" w:eastAsia="楷体" w:cs="楷体" w:hint="eastAsia"/>
          <w:kern w:val="2"/>
          <w:sz w:val="32"/>
          <w:szCs w:val="32"/>
          <w:lang w:val="en-US" w:eastAsia="zh-CN"/>
        </w:rPr>
        <w:t>分析评价申报内容是否与实际相符，申报目标是否合理可行。</w:t>
      </w:r>
      <w:r>
        <w:rPr>
          <w:rFonts w:ascii="仿宋_GB2312" w:eastAsia="仿宋_GB2312" w:cs="仿宋_GB2312" w:hint="eastAsia"/>
          <w:kern w:val="2"/>
          <w:sz w:val="32"/>
          <w:szCs w:val="32"/>
          <w:lang w:val="en-US" w:eastAsia="zh-CN"/>
        </w:rPr>
        <w:t>该资金属县财政下达资金，物资共计58类139146件，经核算所需资金2373108元，申报资金与实际相符，实施合理可行，资金渠道的合法合规性，政策项目具有公共性，属于公共财政支持范围，具有良好的社会效益、经济效益，资金渠道是符合法律法规规定，条件能够落实。</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（三）项目自评步骤及方法。</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说明项目绩效自评采用的组织实施步骤及方法。该项目申报预算2373108元，本次申报金额为2373108元，资金来源为县级财政资金。本次对项目投入经济性的评估是在项目事前绩效评估、预算测算的基础上，</w:t>
      </w:r>
      <w:r>
        <w:rPr>
          <w:rFonts w:ascii="仿宋_GB2312" w:eastAsia="仿宋_GB2312" w:cs="仿宋_GB2312" w:hint="eastAsia"/>
          <w:sz w:val="32"/>
          <w:szCs w:val="32"/>
        </w:rPr>
        <w:t>本着“经济、实用、管用、用得上”原则，征求了相关部门意见建议，并</w:t>
      </w:r>
      <w:r>
        <w:rPr>
          <w:rFonts w:ascii="仿宋_GB2312" w:eastAsia="仿宋_GB2312" w:cs="仿宋_GB2312" w:hint="eastAsia"/>
          <w:sz w:val="32"/>
          <w:szCs w:val="32"/>
          <w:lang w:eastAsia="zh-CN"/>
        </w:rPr>
        <w:t>召开</w:t>
      </w:r>
      <w:r>
        <w:rPr>
          <w:rFonts w:ascii="仿宋_GB2312" w:eastAsia="仿宋_GB2312" w:cs="仿宋_GB2312" w:hint="eastAsia"/>
          <w:sz w:val="32"/>
          <w:szCs w:val="32"/>
        </w:rPr>
        <w:t>会议作了调整优化，</w:t>
      </w:r>
      <w:r>
        <w:rPr>
          <w:rFonts w:ascii="仿宋_GB2312" w:eastAsia="仿宋_GB2312" w:cs="仿宋_GB2312" w:hint="eastAsia"/>
          <w:sz w:val="32"/>
          <w:szCs w:val="32"/>
          <w:lang w:eastAsia="zh-CN"/>
        </w:rPr>
        <w:t>经政府常务会审议、财政局审核、专家论证、需求编制等。</w:t>
      </w:r>
      <w:r>
        <w:rPr>
          <w:rFonts w:ascii="仿宋_GB2312" w:eastAsia="仿宋_GB2312" w:cs="仿宋_GB2312" w:hint="eastAsia"/>
          <w:kern w:val="2"/>
          <w:sz w:val="32"/>
          <w:szCs w:val="32"/>
          <w:lang w:val="en-US" w:eastAsia="zh-CN"/>
        </w:rPr>
        <w:t>评估认为，该项目任务数量科学合理、预算测算过程较为详细、测算依据基本充分、有一定的经济性。</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黑体" w:eastAsia="黑体" w:cs="黑体" w:hint="eastAsia"/>
          <w:kern w:val="2"/>
          <w:sz w:val="32"/>
          <w:szCs w:val="32"/>
          <w:lang w:val="en-US" w:eastAsia="zh-CN"/>
        </w:rPr>
      </w:pPr>
      <w:r>
        <w:rPr>
          <w:rFonts w:ascii="黑体" w:eastAsia="黑体" w:cs="黑体" w:hint="eastAsia"/>
          <w:kern w:val="2"/>
          <w:sz w:val="32"/>
          <w:szCs w:val="32"/>
          <w:lang w:val="en-US" w:eastAsia="zh-CN"/>
        </w:rPr>
        <w:t>二、项目资金申报及使用情况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2022年5月县应急管理局拟定《金川县急需采购防汛减灾物资工作方案（审议稿）》，2022年5月10日经十三届县委常委会第30会议、十五届县人民政府第11次常务会审议通过了《金川县急需采购防汛减灾物资工作方案（审议稿）》，防汛减灾物资预算资金2373108元。该资金属于应急灾害资金，按照应急管理资金管理使用相关规定，主要用于购置通讯设备、急抢险救援装备、防汛物资、备灾物资等支出，重点加强全县应急备灾能力建设。绩效评价其符合资金使用方向、资金性质和相关资金管理办法等相关规定。</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100" w:firstLine="32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资金计划。经十三届县委常委会第30会议、十五届县人民政府第11次常务会审议通过了《金川县急需采购防汛减灾物资工作方案（审议稿）》，防汛减灾物资预算资金2373108元，由县财政解决，计划资金2373108元。</w:t>
      </w:r>
    </w:p>
    <w:p>
      <w:pPr>
        <w:keepNext w:val="0"/>
        <w:keepLines w:val="0"/>
        <w:pageBreakBefore w:val="0"/>
        <w:widowControl w:val="0"/>
        <w:kinsoku/>
        <w:wordWrap/>
        <w:overflowPunct/>
        <w:topLinePunct w:val="0"/>
        <w:autoSpaceDE/>
        <w:autoSpaceDN/>
        <w:bidi w:val="0"/>
        <w:adjustRightInd w:val="0"/>
        <w:snapToGrid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2．资金到位。该项目资金实际到位2373108元。依据充分，绩效目标明确，具备实施条件，具有公共性，符合财政资金支持方向等。资金到位情况与资金计划一致，资金到位率100%、到位及时性。</w:t>
      </w:r>
    </w:p>
    <w:p>
      <w:pPr>
        <w:pStyle w:val="18"/>
        <w:keepNext w:val="0"/>
        <w:keepLines w:val="0"/>
        <w:pageBreakBefore w:val="0"/>
        <w:widowControl w:val="0"/>
        <w:kinsoku/>
        <w:wordWrap/>
        <w:overflowPunct/>
        <w:topLinePunct w:val="0"/>
        <w:autoSpaceDE/>
        <w:autoSpaceDN/>
        <w:bidi w:val="0"/>
        <w:adjustRightInd/>
        <w:snapToGrid/>
        <w:spacing w:before="0" w:after="0" w:line="520" w:lineRule="exact"/>
        <w:ind w:leftChars="0"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资金使用。我局按照法定政府采购程序，5月27日对该项目进行意向公开、6月15日进行挂网采购，6月27日开标等程序，于6月27日确定中标单位四川春凯信息科技有限责任公司，中标金额2359680元。根据《中华人民共和国</w:t>
      </w:r>
      <w:r>
        <w:rPr>
          <w:rFonts w:ascii="仿宋_GB2312" w:eastAsia="仿宋_GB2312" w:cs="仿宋_GB2312"/>
          <w:kern w:val="2"/>
          <w:sz w:val="32"/>
          <w:szCs w:val="32"/>
          <w:lang w:val="en-US" w:eastAsia="zh-CN"/>
        </w:rPr>
        <w:t>政府</w:t>
      </w:r>
      <w:r>
        <w:rPr>
          <w:rFonts w:ascii="仿宋_GB2312" w:eastAsia="仿宋_GB2312" w:cs="仿宋_GB2312" w:hint="eastAsia"/>
          <w:kern w:val="2"/>
          <w:sz w:val="32"/>
          <w:szCs w:val="32"/>
          <w:lang w:val="en-US" w:eastAsia="zh-CN"/>
        </w:rPr>
        <w:t>采购法》、《中华人民共和国民法典》、《结果通知书》《成交通知书》规定要求，7月27日与供应商签订采购合同，合同金额2359680元，因信号弹、照明弹是管制产品，8月1日签订补充协议，核减后总价变更为2344980元，8月10日防灾减灾物资完成验收，建议从防灾减灾项目资金中支付四川春凯信息科技有限责任公司2344980元。项目评价严格执行财务管理制度、财务处理及时、会计核算规范。资金支付范围、支付标准、支付进度、支付依据等是合规合法、与预算相符。</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200" w:firstLine="64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（三）项目财务管理情况。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我局加强对项目建设资金使用的监管，定期开展对防灾减灾物资采购项目资金使用的稽查，重点检查建设资金是否专账管理、资金使用是否与计划建设内容一致、履约金提取是否符合相关规定、报账凭证是否真实和规范。对发现的问题，及时督促项目单位进行整改，并做好对整改问题的追踪，确保建设资金安全运行。该项目评价严格执行财务管理制度、财务处理及时、会计核算规范。总体评价财务管理制度健全，严格执行财务管理制度，账务处理及时，会计核算规范等。</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三、项目实施及管理情况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（一）项目组织架构及实施流程。</w:t>
      </w:r>
      <w:r>
        <w:rPr>
          <w:rFonts w:ascii="仿宋_GB2312" w:eastAsia="仿宋_GB2312" w:cs="仿宋_GB2312" w:hint="eastAsia"/>
          <w:kern w:val="2"/>
          <w:sz w:val="32"/>
          <w:szCs w:val="32"/>
          <w:lang w:val="en-US" w:eastAsia="zh-CN"/>
        </w:rPr>
        <w:t>市场询价--征求意见--提请政府常务会审议--意向公开--需求编制--挂网采购--确定中标供应商--签订合同---物资采购---验收合格--物资中心入库---物资前置---出入库登记</w:t>
      </w:r>
      <w:r>
        <w:rPr>
          <w:rFonts w:ascii="仿宋_GB2312" w:eastAsia="仿宋_GB2312" w:cs="仿宋_GB2312"/>
          <w:kern w:val="2"/>
          <w:sz w:val="32"/>
          <w:szCs w:val="32"/>
          <w:lang w:val="en-US" w:eastAsia="zh-CN"/>
        </w:rPr>
        <w:t>。</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（二）项目管理情况。</w:t>
      </w:r>
      <w:r>
        <w:rPr>
          <w:rFonts w:ascii="仿宋_GB2312" w:eastAsia="仿宋_GB2312" w:cs="仿宋_GB2312" w:hint="eastAsia"/>
          <w:kern w:val="2"/>
          <w:sz w:val="32"/>
          <w:szCs w:val="32"/>
          <w:lang w:val="en-US" w:eastAsia="zh-CN"/>
        </w:rPr>
        <w:t>应急局是该项目实施的责任主体，要将项目实施纳入目标绩效进行考核，严格执行项目政府采购、招投标制，切实构建采购项目质量保证体系，将项目管理的责任落实到岗到人，做到责任到位、措施到位。及时排除、化解影响项目实施的各种制约性因素，确保项目加快实施。对发现的项目管理中存在的问题，要按照合同约定，界定责任，及时处理。</w:t>
      </w:r>
    </w:p>
    <w:p>
      <w:pPr>
        <w:keepNext w:val="0"/>
        <w:keepLines w:val="0"/>
        <w:pageBreakBefore w:val="0"/>
        <w:widowControl/>
        <w:suppressLineNumbers w:val="0"/>
        <w:kinsoku/>
        <w:wordWrap/>
        <w:overflowPunct/>
        <w:topLinePunct w:val="0"/>
        <w:autoSpaceDE/>
        <w:autoSpaceDN/>
        <w:bidi w:val="0"/>
        <w:spacing w:line="520" w:lineRule="exact"/>
        <w:ind w:left="0" w:firstLine="640"/>
        <w:jc w:val="right"/>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（三）项目监管情况。</w:t>
      </w:r>
      <w:r>
        <w:rPr>
          <w:rFonts w:ascii="仿宋_GB2312" w:eastAsia="仿宋_GB2312" w:cs="仿宋_GB2312" w:hint="eastAsia"/>
          <w:kern w:val="2"/>
          <w:sz w:val="32"/>
          <w:szCs w:val="32"/>
          <w:lang w:val="en-US" w:eastAsia="zh-CN"/>
        </w:rPr>
        <w:t>主要用于购置通讯设备、急抢险救援装备、防汛物资、备灾物资等支出，重点加强全县应急</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备灾能力建设。所采购的物资突出我县防灾减灾、抢险救援工作特点，结合县财力状况，急需的物资装备，严格按照政府采购相关法律法规挂网采购，做到公开、公平、公正、透明原则，确定供应商，未出现质疑、投诉、信访等现象，严格按照投标文件以及合同约定，按照物资的规格、型号、品牌、数量等进行交付，确保货物质量，达到了采购的目的，取得了良好的社会效益和经济效益，降低了灾害造成的损失。</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2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四、项目绩效情况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（一）项目完成情况。</w:t>
      </w:r>
      <w:r>
        <w:rPr>
          <w:rFonts w:ascii="仿宋_GB2312" w:eastAsia="仿宋_GB2312" w:cs="仿宋_GB2312" w:hint="eastAsia"/>
          <w:kern w:val="2"/>
          <w:sz w:val="32"/>
          <w:szCs w:val="32"/>
          <w:lang w:val="en-US" w:eastAsia="zh-CN"/>
        </w:rPr>
        <w:t>该项目共计完成56类，与合同目标完成一致，任务量完成与合同一致、质量标准与合同一致、进度与计划一致、厉行节约、严格控制成本。</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（二）项目效益情况。</w:t>
      </w:r>
      <w:r>
        <w:rPr>
          <w:rFonts w:ascii="仿宋_GB2312" w:eastAsia="仿宋_GB2312" w:cs="仿宋_GB2312" w:hint="eastAsia"/>
          <w:kern w:val="2"/>
          <w:sz w:val="32"/>
          <w:szCs w:val="32"/>
          <w:lang w:val="en-US" w:eastAsia="zh-CN"/>
        </w:rPr>
        <w:t>该项目实际56类，经核算所需资金2344980元，申报预算2344980万元，资金来源县财政资金。本次对项目投入经济性的评估是在项目事前绩效评估、预算测算的基础上，按照厉行节约的要求，结合项目22年开支情况结合22年实际需求、相关费用标准及市场价格水平。评估认为，该项目任务数量科学合理、预算测算过程较为详细、测算依据基本充分、有一定的经济性，该项目的实施，具有良好的经济、社会、生态、可持续效益，进一步减少灾害发生造成的损失，全力确保人民群众生命财产安全，得到社会一致好评。</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2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五、评价结论及建议</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（一）评价结论。</w:t>
      </w:r>
      <w:r>
        <w:rPr>
          <w:rFonts w:ascii="仿宋_GB2312" w:eastAsia="仿宋_GB2312" w:cs="仿宋_GB2312" w:hint="eastAsia"/>
          <w:kern w:val="2"/>
          <w:sz w:val="32"/>
          <w:szCs w:val="32"/>
          <w:lang w:val="en-US" w:eastAsia="zh-CN"/>
        </w:rPr>
        <w:t>防汛减灾物资预算资金2344980元已下达，该项目立项必要性、依据充分，绩效目标明确，具备实施条件，具有公共性，符合财政资金支持方向等。</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（二）存在的问题。</w:t>
      </w:r>
      <w:r>
        <w:rPr>
          <w:rFonts w:ascii="仿宋_GB2312" w:eastAsia="仿宋_GB2312" w:cs="仿宋_GB2312" w:hint="eastAsia"/>
          <w:sz w:val="32"/>
          <w:szCs w:val="32"/>
        </w:rPr>
        <w:t>我县是全省林业大县，属森林火险高危区，地形地貌复杂，山高林密，植被类型丰富，冬春气候干燥多风，极端干旱天气增多，森林草原防灭火形势严峻，加之我县位于青藏高原龙门上断裂带，属于地震灾害频发地区，近年来我县汛期地质灾害频发多发，在应对突发灾害时，暴露出我县救援装备供给矛盾突出，现实需求严重短缺不足等问题，防灾减灾任务繁重而艰巨。随着全县社会经济事业加快发展，城乡消防、特别是高层建筑救援压力增大，应急管理工作任重道远。</w:t>
      </w:r>
    </w:p>
    <w:p>
      <w:pPr>
        <w:ind w:firstLineChars="200" w:firstLine="640"/>
        <w:rPr>
          <w:rFonts w:ascii="仿宋_GB2312" w:eastAsia="仿宋_GB2312" w:cs="仿宋_GB2312" w:hint="eastAsia"/>
          <w:sz w:val="32"/>
          <w:szCs w:val="32"/>
        </w:rPr>
      </w:pPr>
      <w:r>
        <w:rPr>
          <w:rFonts w:ascii="楷体" w:eastAsia="楷体" w:cs="楷体" w:hint="eastAsia"/>
          <w:kern w:val="2"/>
          <w:sz w:val="32"/>
          <w:szCs w:val="32"/>
          <w:lang w:val="en-US" w:eastAsia="zh-CN"/>
        </w:rPr>
        <w:t>（三）相关建议。</w:t>
      </w:r>
      <w:r>
        <w:rPr>
          <w:rFonts w:ascii="仿宋_GB2312" w:eastAsia="仿宋_GB2312" w:cs="仿宋_GB2312" w:hint="eastAsia"/>
          <w:sz w:val="32"/>
          <w:szCs w:val="32"/>
        </w:rPr>
        <w:t>一是我县突发事故多发频发。我县地处大渡河上游干旱河谷地带，地震、崩塌、滑坡、泥石流等自然灾害多发、易发。特别是近几年来我县极端天气增多、曾达、卡撒、咯尔、卡拉脚、撒瓦脚也相继发生较大、重特大自然灾害事故和“3.9”生态环境事件，防灾减灾任务繁重。二是应急物资补给不及时。每年时置汛期，库存通讯设备、防汛物资、备灾物资、抢险救援物资消耗较大，在应对突发灾害时，也暴露出我县应急抢险备灾物资供给矛盾突出，现实需求严重短缺不足等问题。三是应急响应滞后。在遇突发灾害时极易造成通讯中断，应急响应不畅，由于地理客观原因、救援装备、备灾物资不能在第一时间到达现场，救援滞后。四是相应配套不完善。我县物资储备存在点多面广管理分散，且未落实专人管理、无专用调运车辆，调配能力不足等问题。五是县财政投入不够。主要存在应急物资储备品类少不齐、储备单一，部分物资数量不足，特别是大中型抢险救援机械装备少，难以及时满足较大、重大突发事故应急抢险救援。</w:t>
      </w:r>
    </w:p>
    <w:p>
      <w:pPr>
        <w:pStyle w:val="1"/>
        <w:rPr>
          <w:rFonts w:hint="eastAsia"/>
        </w:rPr>
      </w:pPr>
    </w:p>
    <w:p>
      <w:pPr>
        <w:rPr>
          <w:rFonts w:hint="eastAsia"/>
        </w:rPr>
      </w:pPr>
    </w:p>
    <w:p>
      <w:pPr>
        <w:pStyle w:val="1"/>
        <w:rPr>
          <w:rFonts w:hint="eastAsia"/>
        </w:rPr>
      </w:pPr>
    </w:p>
    <w:p>
      <w:pPr>
        <w:rPr>
          <w:rFonts w:hint="eastAsia"/>
        </w:rPr>
      </w:pPr>
    </w:p>
    <w:p>
      <w:pPr>
        <w:pStyle w:val="1"/>
        <w:rPr>
          <w:rFonts w:hint="eastAsia"/>
        </w:rPr>
      </w:pPr>
    </w:p>
    <w:p>
      <w:pPr>
        <w:rPr>
          <w:rFonts w:hint="eastAsia"/>
        </w:rPr>
      </w:pPr>
    </w:p>
    <w:p>
      <w:pPr>
        <w:pStyle w:val="1"/>
        <w:rPr>
          <w:rFonts w:hint="eastAsia"/>
        </w:rPr>
      </w:pPr>
    </w:p>
    <w:p>
      <w:pPr>
        <w:rPr>
          <w:rFonts w:hint="eastAsia"/>
        </w:rPr>
      </w:pPr>
    </w:p>
    <w:p>
      <w:pPr>
        <w:pStyle w:val="1"/>
        <w:rPr>
          <w:rFonts w:hint="eastAsia"/>
        </w:rPr>
      </w:pPr>
    </w:p>
    <w:p>
      <w:pPr>
        <w:rPr>
          <w:rFonts w:hint="eastAsia"/>
        </w:rPr>
      </w:pPr>
    </w:p>
    <w:p>
      <w:pPr>
        <w:pStyle w:val="1"/>
        <w:rPr>
          <w:rFonts w:hint="eastAsia"/>
        </w:rPr>
      </w:pPr>
    </w:p>
    <w:p>
      <w:pPr>
        <w:rPr>
          <w:rFonts w:hint="eastAsia"/>
        </w:rPr>
      </w:pPr>
    </w:p>
    <w:p>
      <w:pPr>
        <w:rPr>
          <w:rStyle w:val="1Char"/>
          <w:rFonts w:ascii="仿宋" w:eastAsia="仿宋" w:hint="eastAsia"/>
          <w:b w:val="0"/>
          <w:bCs w:val="0"/>
          <w:sz w:val="32"/>
          <w:szCs w:val="32"/>
        </w:rPr>
      </w:pPr>
    </w:p>
    <w:p>
      <w:pPr>
        <w:rPr>
          <w:rStyle w:val="1Char"/>
          <w:rFonts w:ascii="仿宋" w:eastAsia="仿宋" w:hint="eastAsia"/>
          <w:b w:val="0"/>
          <w:bCs w:val="0"/>
          <w:sz w:val="32"/>
          <w:szCs w:val="32"/>
        </w:rPr>
      </w:pPr>
      <w:r>
        <w:rPr>
          <w:rStyle w:val="1Char"/>
          <w:rFonts w:ascii="仿宋" w:eastAsia="仿宋" w:hint="eastAsia"/>
          <w:b w:val="0"/>
          <w:bCs w:val="0"/>
          <w:sz w:val="32"/>
          <w:szCs w:val="32"/>
        </w:rPr>
        <w:t>附件</w:t>
      </w:r>
    </w:p>
    <w:p>
      <w:pPr>
        <w:keepNext w:val="0"/>
        <w:keepLines w:val="0"/>
        <w:pageBreakBefore w:val="0"/>
        <w:widowControl/>
        <w:kinsoku/>
        <w:wordWrap/>
        <w:overflowPunct/>
        <w:topLinePunct w:val="0"/>
        <w:autoSpaceDE/>
        <w:autoSpaceDN/>
        <w:bidi w:val="0"/>
        <w:adjustRightInd/>
        <w:spacing w:line="500" w:lineRule="exact"/>
        <w:ind w:right="0" w:firstLine="0"/>
        <w:jc w:val="center"/>
        <w:textAlignment w:val="baseline"/>
        <w:outlineLvl w:val="9"/>
        <w:rPr>
          <w:rStyle w:val="0"/>
          <w:rFonts w:ascii="方正小标宋简体" w:eastAsia="方正小标宋简体" w:cs="Times New Roman" w:hint="eastAsia"/>
          <w:sz w:val="40"/>
          <w:szCs w:val="40"/>
          <w:lang w:val="en-US" w:eastAsia="zh-CN"/>
        </w:rPr>
      </w:pPr>
      <w:r>
        <w:rPr>
          <w:rStyle w:val="0"/>
          <w:rFonts w:ascii="方正小标宋简体" w:eastAsia="方正小标宋简体" w:cs="Times New Roman" w:hint="eastAsia"/>
          <w:sz w:val="40"/>
          <w:szCs w:val="40"/>
          <w:lang w:val="en-US" w:eastAsia="zh-CN"/>
        </w:rPr>
        <w:t>金川县应急管理局</w:t>
      </w:r>
    </w:p>
    <w:p>
      <w:pPr>
        <w:keepNext w:val="0"/>
        <w:keepLines w:val="0"/>
        <w:pageBreakBefore w:val="0"/>
        <w:widowControl/>
        <w:kinsoku/>
        <w:wordWrap/>
        <w:overflowPunct/>
        <w:topLinePunct w:val="0"/>
        <w:autoSpaceDE/>
        <w:autoSpaceDN/>
        <w:bidi w:val="0"/>
        <w:adjustRightInd/>
        <w:spacing w:line="500" w:lineRule="exact"/>
        <w:ind w:right="0" w:firstLine="0"/>
        <w:jc w:val="center"/>
        <w:textAlignment w:val="baseline"/>
        <w:outlineLvl w:val="9"/>
        <w:rPr>
          <w:rStyle w:val="0"/>
          <w:rFonts w:ascii="方正小标宋简体" w:eastAsia="方正小标宋简体" w:cs="Times New Roman" w:hint="eastAsia"/>
          <w:sz w:val="40"/>
          <w:szCs w:val="40"/>
          <w:lang w:val="en-US" w:eastAsia="zh-CN"/>
        </w:rPr>
      </w:pPr>
      <w:r>
        <w:rPr>
          <w:rStyle w:val="0"/>
          <w:rFonts w:ascii="方正小标宋简体" w:eastAsia="方正小标宋简体" w:hint="eastAsia"/>
          <w:sz w:val="44"/>
          <w:szCs w:val="44"/>
        </w:rPr>
        <w:t>应急救援装备</w:t>
      </w:r>
      <w:r>
        <w:rPr>
          <w:rFonts w:ascii="方正小标宋简体" w:eastAsia="方正小标宋简体" w:cs="Times New Roman" w:hint="eastAsia"/>
          <w:sz w:val="44"/>
          <w:szCs w:val="44"/>
          <w:lang w:eastAsia="zh-CN"/>
        </w:rPr>
        <w:t>采</w:t>
      </w:r>
      <w:r>
        <w:rPr>
          <w:rStyle w:val="0"/>
          <w:rFonts w:ascii="方正小标宋简体" w:eastAsia="方正小标宋简体" w:cs="Times New Roman" w:hint="eastAsia"/>
          <w:sz w:val="40"/>
          <w:szCs w:val="40"/>
          <w:lang w:val="en-US" w:eastAsia="zh-CN"/>
        </w:rPr>
        <w:t>购</w:t>
      </w:r>
      <w:r>
        <w:rPr>
          <w:rStyle w:val="0"/>
          <w:rFonts w:ascii="方正小标宋简体" w:eastAsia="方正小标宋简体" w:cs="Times New Roman"/>
          <w:sz w:val="40"/>
          <w:szCs w:val="40"/>
          <w:lang w:val="en-US" w:eastAsia="zh-CN"/>
        </w:rPr>
        <w:t>项目</w:t>
      </w:r>
      <w:r>
        <w:rPr>
          <w:rStyle w:val="0"/>
          <w:rFonts w:ascii="方正小标宋简体" w:eastAsia="方正小标宋简体" w:cs="Times New Roman" w:hint="eastAsia"/>
          <w:sz w:val="40"/>
          <w:szCs w:val="40"/>
          <w:lang w:val="en-US" w:eastAsia="zh-CN"/>
        </w:rPr>
        <w:t>专项预算项目支出绩效自评报告</w:t>
      </w:r>
    </w:p>
    <w:p>
      <w:pPr>
        <w:adjustRightInd w:val="0"/>
        <w:snapToGrid w:val="0"/>
        <w:spacing w:line="520" w:lineRule="exact"/>
        <w:rPr>
          <w:rFonts w:hint="eastAsia"/>
          <w:sz w:val="28"/>
        </w:rPr>
      </w:pP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楷体" w:eastAsia="楷体" w:cs="楷体" w:hint="eastAsia"/>
          <w:b/>
          <w:bCs/>
          <w:kern w:val="2"/>
          <w:sz w:val="32"/>
          <w:szCs w:val="32"/>
          <w:lang w:val="en-US" w:eastAsia="zh-CN"/>
        </w:rPr>
      </w:pPr>
      <w:r>
        <w:rPr>
          <w:rFonts w:ascii="黑体" w:eastAsia="黑体" w:cs="黑体" w:hint="eastAsia"/>
          <w:kern w:val="2"/>
          <w:sz w:val="32"/>
          <w:szCs w:val="32"/>
          <w:lang w:val="en-US" w:eastAsia="zh-CN"/>
        </w:rPr>
        <w:t>一、项目概况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jc w:val="left"/>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1．说明项目主管部门（单位）在该项目管理中的职能。</w:t>
      </w:r>
      <w:r>
        <w:rPr>
          <w:rFonts w:ascii="仿宋_GB2312" w:eastAsia="仿宋_GB2312" w:cs="仿宋_GB2312" w:hint="eastAsia"/>
          <w:kern w:val="2"/>
          <w:sz w:val="32"/>
          <w:szCs w:val="32"/>
          <w:lang w:val="en-US" w:eastAsia="zh-CN"/>
        </w:rPr>
        <w:t>应急局成立以来，承担安全生产、森林草原防灭火、防汛抗旱、应急抢险救援等职能职责、工作责任艰巨，压力较大。</w:t>
      </w:r>
      <w:r>
        <w:rPr>
          <w:rFonts w:ascii="仿宋_GB2312" w:eastAsia="仿宋_GB2312" w:cs="仿宋_GB2312" w:hint="eastAsia"/>
          <w:sz w:val="32"/>
          <w:szCs w:val="32"/>
        </w:rPr>
        <w:t>我县是全省林业大县，属森林火险高危区，地形地貌复杂，山高林密，植被类型丰富，冬春气候干燥多风，极端干旱天气增多，森林草原防灭火形势严峻，加之我县位于青藏高原龙门上断裂带，属于地震灾害频发地区，近年来我县汛期地质灾害频发多发，在应对突发灾害时，暴露出我县救援装备供给矛盾突出，现实需求严重短缺不足等问题，防灾减灾任务繁重而艰巨。随着全县社会经济事业加快发展，城乡消防、特别是高层建筑救援压力增大，应急管理工作任重道远。由于我县扑火队伍建设起步晚、底子薄，目前个人防护装备严重缺配，无法满足平时执勤、训练、战备需求，甚至危及到</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textAlignment w:val="auto"/>
        <w:rPr>
          <w:rFonts w:ascii="仿宋_GB2312" w:eastAsia="仿宋_GB2312" w:cs="仿宋_GB2312" w:hint="eastAsia"/>
          <w:kern w:val="2"/>
          <w:sz w:val="32"/>
          <w:szCs w:val="32"/>
          <w:lang w:val="en-US" w:eastAsia="zh-CN"/>
        </w:rPr>
      </w:pPr>
      <w:r>
        <w:rPr>
          <w:rFonts w:ascii="仿宋_GB2312" w:eastAsia="仿宋_GB2312" w:cs="仿宋_GB2312" w:hint="eastAsia"/>
          <w:sz w:val="32"/>
          <w:szCs w:val="32"/>
        </w:rPr>
        <w:t>一线救援人员生命安全。2022年3月1日，州森林</w:t>
      </w:r>
      <w:r>
        <w:rPr>
          <w:rFonts w:ascii="仿宋_GB2312" w:eastAsia="仿宋_GB2312" w:cs="仿宋_GB2312" w:hint="eastAsia"/>
          <w:sz w:val="32"/>
          <w:szCs w:val="32"/>
          <w:lang w:eastAsia="zh-CN"/>
        </w:rPr>
        <w:t>草</w:t>
      </w:r>
      <w:r>
        <w:rPr>
          <w:rFonts w:ascii="仿宋_GB2312" w:eastAsia="仿宋_GB2312" w:cs="仿宋_GB2312" w:hint="eastAsia"/>
          <w:sz w:val="32"/>
          <w:szCs w:val="32"/>
        </w:rPr>
        <w:t>原防灭火指挥部下达整改通知书（阿州森防指整</w:t>
      </w:r>
      <w:r>
        <w:rPr>
          <w:rFonts w:ascii="Times New Roman" w:eastAsia="仿宋_GB2312" w:hAnsi="Times New Roman" w:hint="eastAsia"/>
          <w:color w:val="0C0C0C"/>
          <w:kern w:val="0"/>
          <w:sz w:val="32"/>
          <w:szCs w:val="32"/>
        </w:rPr>
        <w:t>〔</w:t>
      </w:r>
      <w:r>
        <w:rPr>
          <w:rFonts w:ascii="Times New Roman" w:eastAsia="仿宋_GB2312" w:hAnsi="Times New Roman"/>
          <w:color w:val="0C0C0C"/>
          <w:kern w:val="0"/>
          <w:sz w:val="32"/>
          <w:szCs w:val="32"/>
        </w:rPr>
        <w:t>202</w:t>
      </w:r>
      <w:r>
        <w:rPr>
          <w:rFonts w:ascii="Times New Roman" w:eastAsia="仿宋_GB2312" w:hAnsi="Times New Roman" w:hint="eastAsia"/>
          <w:color w:val="0C0C0C"/>
          <w:kern w:val="0"/>
          <w:sz w:val="32"/>
          <w:szCs w:val="32"/>
        </w:rPr>
        <w:t>2〕2号</w:t>
      </w:r>
      <w:r>
        <w:rPr>
          <w:rFonts w:ascii="仿宋_GB2312" w:eastAsia="仿宋_GB2312" w:cs="仿宋_GB2312" w:hint="eastAsia"/>
          <w:sz w:val="32"/>
          <w:szCs w:val="32"/>
        </w:rPr>
        <w:t>），指出我县“队伍建设标准不高、灭火能力不强”等问题需整改。</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2．项目立项、资金申报的依据。</w:t>
      </w:r>
      <w:r>
        <w:rPr>
          <w:rFonts w:ascii="仿宋_GB2312" w:eastAsia="仿宋_GB2312" w:cs="仿宋_GB2312" w:hint="eastAsia"/>
          <w:sz w:val="32"/>
          <w:szCs w:val="32"/>
        </w:rPr>
        <w:t>按照国家省州县工作要求，切实加强</w:t>
      </w:r>
      <w:r>
        <w:rPr>
          <w:rFonts w:ascii="仿宋_GB2312" w:eastAsia="仿宋_GB2312" w:cs="仿宋_GB2312" w:hint="eastAsia"/>
          <w:sz w:val="32"/>
          <w:szCs w:val="32"/>
          <w:lang w:eastAsia="zh-CN"/>
        </w:rPr>
        <w:t>救援队伍</w:t>
      </w:r>
      <w:r>
        <w:rPr>
          <w:rFonts w:ascii="仿宋_GB2312" w:eastAsia="仿宋_GB2312" w:cs="仿宋_GB2312" w:hint="eastAsia"/>
          <w:sz w:val="32"/>
          <w:szCs w:val="32"/>
        </w:rPr>
        <w:t>正规化管理、</w:t>
      </w:r>
      <w:r>
        <w:rPr>
          <w:rFonts w:ascii="仿宋_GB2312" w:eastAsia="仿宋_GB2312" w:cs="仿宋_GB2312" w:hint="eastAsia"/>
          <w:sz w:val="32"/>
          <w:szCs w:val="32"/>
          <w:lang w:eastAsia="zh-CN"/>
        </w:rPr>
        <w:t>按照</w:t>
      </w:r>
      <w:r>
        <w:rPr>
          <w:rFonts w:ascii="仿宋_GB2312" w:eastAsia="仿宋_GB2312" w:cs="仿宋_GB2312" w:hint="eastAsia"/>
          <w:sz w:val="32"/>
          <w:szCs w:val="32"/>
        </w:rPr>
        <w:t>标准配置救援装备器材，最大限度地保障一线救援人员生命安全</w:t>
      </w:r>
      <w:r>
        <w:rPr>
          <w:rFonts w:ascii="仿宋_GB2312" w:eastAsia="仿宋_GB2312" w:cs="仿宋_GB2312" w:hint="eastAsia"/>
          <w:sz w:val="32"/>
          <w:szCs w:val="32"/>
          <w:lang w:eastAsia="zh-CN"/>
        </w:rPr>
        <w:t>，提高全县应急救援能力。</w:t>
      </w:r>
      <w:r>
        <w:rPr>
          <w:rFonts w:ascii="仿宋_GB2312" w:eastAsia="仿宋_GB2312" w:cs="仿宋_GB2312" w:hint="eastAsia"/>
          <w:sz w:val="32"/>
          <w:szCs w:val="32"/>
          <w:lang w:val="en-US" w:eastAsia="zh-CN"/>
        </w:rPr>
        <w:t>2022年7月5日经</w:t>
      </w:r>
      <w:r>
        <w:rPr>
          <w:rFonts w:ascii="仿宋_GB2312" w:eastAsia="仿宋_GB2312" w:cs="仿宋_GB2312" w:hint="eastAsia"/>
          <w:sz w:val="32"/>
          <w:szCs w:val="32"/>
          <w:lang w:eastAsia="zh-CN"/>
        </w:rPr>
        <w:t>十五届县人民政府第</w:t>
      </w:r>
      <w:r>
        <w:rPr>
          <w:rFonts w:ascii="仿宋_GB2312" w:eastAsia="仿宋_GB2312" w:cs="仿宋_GB2312" w:hint="eastAsia"/>
          <w:sz w:val="32"/>
          <w:szCs w:val="32"/>
          <w:lang w:val="en-US" w:eastAsia="zh-CN"/>
        </w:rPr>
        <w:t>15次常务会议审议通过</w:t>
      </w:r>
      <w:r>
        <w:rPr>
          <w:rFonts w:ascii="仿宋_GB2312" w:eastAsia="仿宋_GB2312" w:cs="仿宋_GB2312" w:hint="eastAsia"/>
          <w:sz w:val="32"/>
          <w:szCs w:val="32"/>
        </w:rPr>
        <w:t>《</w:t>
      </w:r>
      <w:r>
        <w:rPr>
          <w:rFonts w:ascii="仿宋_GB2312" w:eastAsia="仿宋_GB2312" w:cs="仿宋_GB2312" w:hint="eastAsia"/>
          <w:sz w:val="32"/>
          <w:szCs w:val="32"/>
          <w:lang w:eastAsia="zh-CN"/>
        </w:rPr>
        <w:t>关于</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的请示</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2022年7月21日经</w:t>
      </w:r>
      <w:r>
        <w:rPr>
          <w:rFonts w:ascii="仿宋_GB2312" w:eastAsia="仿宋_GB2312" w:cs="仿宋_GB2312" w:hint="eastAsia"/>
          <w:sz w:val="32"/>
          <w:szCs w:val="32"/>
          <w:lang w:eastAsia="zh-CN"/>
        </w:rPr>
        <w:t>中共金川县委十三届第</w:t>
      </w:r>
      <w:r>
        <w:rPr>
          <w:rFonts w:ascii="仿宋_GB2312" w:eastAsia="仿宋_GB2312" w:cs="仿宋_GB2312" w:hint="eastAsia"/>
          <w:sz w:val="32"/>
          <w:szCs w:val="32"/>
          <w:lang w:val="en-US" w:eastAsia="zh-CN"/>
        </w:rPr>
        <w:t>38次</w:t>
      </w:r>
      <w:r>
        <w:rPr>
          <w:rFonts w:ascii="仿宋_GB2312" w:eastAsia="仿宋_GB2312" w:cs="仿宋_GB2312" w:hint="eastAsia"/>
          <w:sz w:val="32"/>
          <w:szCs w:val="32"/>
          <w:lang w:eastAsia="zh-CN"/>
        </w:rPr>
        <w:t>常委会</w:t>
      </w:r>
      <w:r>
        <w:rPr>
          <w:rFonts w:ascii="仿宋_GB2312" w:eastAsia="仿宋_GB2312" w:cs="仿宋_GB2312" w:hint="eastAsia"/>
          <w:sz w:val="32"/>
          <w:szCs w:val="32"/>
          <w:lang w:val="en-US" w:eastAsia="zh-CN"/>
        </w:rPr>
        <w:t>审议通过</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w:t>
      </w:r>
      <w:r>
        <w:rPr>
          <w:rFonts w:ascii="仿宋_GB2312" w:eastAsia="仿宋_GB2312" w:cs="仿宋_GB2312" w:hint="eastAsia"/>
          <w:sz w:val="32"/>
          <w:szCs w:val="32"/>
        </w:rPr>
        <w:t>现急需采购应急救援装备器材共计43类1424件套，经核算所需资金</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sz w:val="32"/>
          <w:szCs w:val="32"/>
        </w:rPr>
        <w:t>元</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3．资金管理办法制定情况。</w:t>
      </w:r>
      <w:r>
        <w:rPr>
          <w:rFonts w:ascii="仿宋_GB2312" w:eastAsia="仿宋_GB2312" w:cs="仿宋_GB2312" w:hint="eastAsia"/>
          <w:sz w:val="32"/>
          <w:szCs w:val="32"/>
        </w:rPr>
        <w:t>该资金属于县级财政资金，符合财政资金支持方向，按照本次专项资金管理使用规定，主要用于购置通讯设备、抢险救援装备、个人防护装备等支出，重点加强应急救援能力建设。</w:t>
      </w:r>
      <w:r>
        <w:rPr>
          <w:rFonts w:ascii="仿宋_GB2312" w:eastAsia="仿宋_GB2312" w:cs="仿宋_GB2312" w:hint="eastAsia"/>
          <w:kern w:val="2"/>
          <w:sz w:val="32"/>
          <w:szCs w:val="32"/>
          <w:lang w:val="en-US" w:eastAsia="zh-CN"/>
        </w:rPr>
        <w:t>该项目评价严格执行财务管理制度、财务处理否及时、会计核算规范。</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4．资金分配的原则及考虑因素。</w:t>
      </w:r>
      <w:r>
        <w:rPr>
          <w:rFonts w:ascii="仿宋_GB2312" w:eastAsia="仿宋_GB2312" w:cs="仿宋_GB2312" w:hint="eastAsia"/>
          <w:sz w:val="32"/>
          <w:szCs w:val="32"/>
        </w:rPr>
        <w:t>深入贯彻习近平总书记关于应急救援能力体系建设指示批示精神，按照国家省州县工作要求，加强消防救援队员、扑火队员正规化管理、参照消防救援队员标准配置救援装备器材。牢固树立“防胜于救”和突出“以人为本”理念，坚持“宁可备而不用”原则，结合我县抢险救援工作实际，突出应急抢险工作重点，加强全县应急救援能力体系建设，最大限度降低人员伤亡和财产损失。</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（二）项目绩效目标。</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1．项目主要内容。</w:t>
      </w:r>
      <w:r>
        <w:rPr>
          <w:rFonts w:ascii="仿宋_GB2312" w:eastAsia="仿宋_GB2312" w:cs="仿宋_GB2312" w:hint="eastAsia"/>
          <w:sz w:val="32"/>
          <w:szCs w:val="32"/>
        </w:rPr>
        <w:t>目前县消防救援大队现有专职21人，县地方森林草原专业扑火队员100人，承担着全县城乡火灾扑救、森林草原火灾扑救、抢险救援、社会救助等综合性应急救援任务。近年来随着扑火队伍人数的不断壮大，队员个人防护装备已出现严重缺配，按照每名队员至少配备保障1套个人防护装备，现有装备仅能保障53人，缺配68人，缺配装备1424件（套），导致作战训练存在极大安全风险，为最大限度地发挥专业队伍的专业作用，最大程度地保障一线救援人员生命安全，按照厉行节约的要求和实际的需求以及县财力状况，本着“经济、实用、管用、用得上”原则，参照其他周边县配备情况，征求了相关部门意见建议，并按照7月2日县政府会议要求作了调整优化，经统计需共计43类1424件套抢险救援装备，经核算所需资金2599545元。</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2．项目应实现的具体绩效目标，包括目标的量化、细化情况以及项目实施进度计划等。项目实施周期：</w:t>
      </w:r>
      <w:r>
        <w:rPr>
          <w:rFonts w:ascii="仿宋_GB2312" w:eastAsia="仿宋_GB2312" w:cs="仿宋_GB2312"/>
          <w:sz w:val="32"/>
          <w:szCs w:val="32"/>
        </w:rPr>
        <w:t>20</w:t>
      </w:r>
      <w:r>
        <w:rPr>
          <w:rFonts w:ascii="仿宋_GB2312" w:eastAsia="仿宋_GB2312" w:cs="仿宋_GB2312" w:hint="eastAsia"/>
          <w:sz w:val="32"/>
          <w:szCs w:val="32"/>
        </w:rPr>
        <w:t>22</w:t>
      </w:r>
      <w:r>
        <w:rPr>
          <w:rFonts w:ascii="仿宋_GB2312" w:eastAsia="仿宋_GB2312" w:cs="仿宋_GB2312"/>
          <w:sz w:val="32"/>
          <w:szCs w:val="32"/>
        </w:rPr>
        <w:t>年</w:t>
      </w:r>
      <w:r>
        <w:rPr>
          <w:rFonts w:ascii="仿宋_GB2312" w:eastAsia="仿宋_GB2312" w:cs="仿宋_GB2312" w:hint="eastAsia"/>
          <w:sz w:val="32"/>
          <w:szCs w:val="32"/>
        </w:rPr>
        <w:t>6月—</w:t>
      </w:r>
      <w:r>
        <w:rPr>
          <w:rFonts w:ascii="仿宋_GB2312" w:eastAsia="仿宋_GB2312" w:cs="仿宋_GB2312"/>
          <w:sz w:val="32"/>
          <w:szCs w:val="32"/>
        </w:rPr>
        <w:t>20</w:t>
      </w:r>
      <w:r>
        <w:rPr>
          <w:rFonts w:ascii="仿宋_GB2312" w:eastAsia="仿宋_GB2312" w:cs="仿宋_GB2312" w:hint="eastAsia"/>
          <w:sz w:val="32"/>
          <w:szCs w:val="32"/>
        </w:rPr>
        <w:t>22</w:t>
      </w:r>
      <w:r>
        <w:rPr>
          <w:rFonts w:ascii="仿宋_GB2312" w:eastAsia="仿宋_GB2312" w:cs="仿宋_GB2312"/>
          <w:sz w:val="32"/>
          <w:szCs w:val="32"/>
        </w:rPr>
        <w:t>年</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月，</w:t>
      </w:r>
      <w:r>
        <w:rPr>
          <w:rFonts w:ascii="仿宋_GB2312" w:eastAsia="仿宋_GB2312" w:cs="仿宋_GB2312"/>
          <w:sz w:val="32"/>
          <w:szCs w:val="32"/>
        </w:rPr>
        <w:t>共</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个月。项目进度安排：2022年6月所需物资价格、规格、性能进行市场调研，</w:t>
      </w:r>
      <w:r>
        <w:rPr>
          <w:rFonts w:ascii="仿宋_GB2312" w:eastAsia="仿宋_GB2312" w:cs="仿宋_GB2312"/>
          <w:sz w:val="32"/>
          <w:szCs w:val="32"/>
        </w:rPr>
        <w:t>项目编制等；</w:t>
      </w:r>
      <w:r>
        <w:rPr>
          <w:rFonts w:ascii="仿宋_GB2312" w:eastAsia="仿宋_GB2312" w:cs="仿宋_GB2312" w:hint="eastAsia"/>
          <w:sz w:val="32"/>
          <w:szCs w:val="32"/>
        </w:rPr>
        <w:t>2022年7</w:t>
      </w:r>
      <w:r>
        <w:rPr>
          <w:rFonts w:ascii="仿宋_GB2312" w:eastAsia="仿宋_GB2312" w:cs="仿宋_GB2312"/>
          <w:sz w:val="32"/>
          <w:szCs w:val="32"/>
        </w:rPr>
        <w:t>月</w:t>
      </w:r>
      <w:r>
        <w:rPr>
          <w:rFonts w:ascii="仿宋_GB2312" w:eastAsia="仿宋_GB2312" w:cs="仿宋_GB2312" w:hint="eastAsia"/>
          <w:sz w:val="32"/>
          <w:szCs w:val="32"/>
        </w:rPr>
        <w:t>初报请县政府审议、</w:t>
      </w:r>
      <w:r>
        <w:rPr>
          <w:rFonts w:ascii="仿宋_GB2312" w:eastAsia="仿宋_GB2312" w:cs="仿宋_GB2312" w:hint="eastAsia"/>
          <w:sz w:val="32"/>
          <w:szCs w:val="32"/>
          <w:lang w:val="en-US" w:eastAsia="zh-CN"/>
        </w:rPr>
        <w:t>7月底报县委常委会审议、</w:t>
      </w:r>
      <w:r>
        <w:rPr>
          <w:rFonts w:ascii="仿宋_GB2312" w:eastAsia="仿宋_GB2312" w:cs="仿宋_GB2312" w:hint="eastAsia"/>
          <w:sz w:val="32"/>
          <w:szCs w:val="32"/>
        </w:rPr>
        <w:t>方案优化、方案可行性论证</w:t>
      </w:r>
      <w:r>
        <w:rPr>
          <w:rFonts w:ascii="仿宋_GB2312" w:eastAsia="仿宋_GB2312" w:cs="仿宋_GB2312" w:hint="eastAsia"/>
          <w:sz w:val="32"/>
          <w:szCs w:val="32"/>
          <w:lang w:eastAsia="zh-CN"/>
        </w:rPr>
        <w:t>，</w:t>
      </w:r>
      <w:r>
        <w:rPr>
          <w:rFonts w:ascii="仿宋_GB2312" w:eastAsia="仿宋_GB2312" w:cs="仿宋_GB2312" w:hint="eastAsia"/>
          <w:sz w:val="32"/>
          <w:szCs w:val="32"/>
        </w:rPr>
        <w:t>2022年8</w:t>
      </w:r>
      <w:r>
        <w:rPr>
          <w:rFonts w:ascii="仿宋_GB2312" w:eastAsia="仿宋_GB2312" w:cs="仿宋_GB2312"/>
          <w:sz w:val="32"/>
          <w:szCs w:val="32"/>
        </w:rPr>
        <w:t>月</w:t>
      </w:r>
      <w:r>
        <w:rPr>
          <w:rFonts w:ascii="仿宋_GB2312" w:eastAsia="仿宋_GB2312" w:cs="仿宋_GB2312" w:hint="eastAsia"/>
          <w:sz w:val="32"/>
          <w:szCs w:val="32"/>
        </w:rPr>
        <w:t>项目意向公开；2022年</w:t>
      </w:r>
      <w:r>
        <w:rPr>
          <w:rFonts w:ascii="仿宋_GB2312" w:eastAsia="仿宋_GB2312" w:cs="仿宋_GB2312" w:hint="eastAsia"/>
          <w:sz w:val="32"/>
          <w:szCs w:val="32"/>
          <w:lang w:val="en-US" w:eastAsia="zh-CN"/>
        </w:rPr>
        <w:t>9</w:t>
      </w:r>
      <w:r>
        <w:rPr>
          <w:rFonts w:ascii="仿宋_GB2312" w:eastAsia="仿宋_GB2312" w:cs="仿宋_GB2312"/>
          <w:sz w:val="32"/>
          <w:szCs w:val="32"/>
        </w:rPr>
        <w:t>月</w:t>
      </w:r>
      <w:r>
        <w:rPr>
          <w:rFonts w:ascii="仿宋_GB2312" w:eastAsia="仿宋_GB2312" w:cs="仿宋_GB2312" w:hint="eastAsia"/>
          <w:sz w:val="32"/>
          <w:szCs w:val="32"/>
        </w:rPr>
        <w:t>初挂网采购、2022年</w:t>
      </w:r>
      <w:r>
        <w:rPr>
          <w:rFonts w:ascii="仿宋_GB2312" w:eastAsia="仿宋_GB2312" w:cs="仿宋_GB2312" w:hint="eastAsia"/>
          <w:sz w:val="32"/>
          <w:szCs w:val="32"/>
          <w:lang w:val="en-US" w:eastAsia="zh-CN"/>
        </w:rPr>
        <w:t>9</w:t>
      </w:r>
      <w:r>
        <w:rPr>
          <w:rFonts w:ascii="仿宋_GB2312" w:eastAsia="仿宋_GB2312" w:cs="仿宋_GB2312"/>
          <w:sz w:val="32"/>
          <w:szCs w:val="32"/>
        </w:rPr>
        <w:t>月</w:t>
      </w:r>
      <w:r>
        <w:rPr>
          <w:rFonts w:ascii="仿宋_GB2312" w:eastAsia="仿宋_GB2312" w:cs="仿宋_GB2312" w:hint="eastAsia"/>
          <w:sz w:val="32"/>
          <w:szCs w:val="32"/>
          <w:lang w:eastAsia="zh-CN"/>
        </w:rPr>
        <w:t>下</w:t>
      </w:r>
      <w:r>
        <w:rPr>
          <w:rFonts w:ascii="仿宋_GB2312" w:eastAsia="仿宋_GB2312" w:cs="仿宋_GB2312" w:hint="eastAsia"/>
          <w:sz w:val="32"/>
          <w:szCs w:val="32"/>
        </w:rPr>
        <w:t>旬确定供应商、签订合同；</w:t>
      </w:r>
      <w:r>
        <w:rPr>
          <w:rFonts w:ascii="仿宋_GB2312" w:eastAsia="仿宋_GB2312" w:cs="仿宋_GB2312"/>
          <w:sz w:val="32"/>
          <w:szCs w:val="32"/>
        </w:rPr>
        <w:t>202</w:t>
      </w:r>
      <w:r>
        <w:rPr>
          <w:rFonts w:ascii="仿宋_GB2312" w:eastAsia="仿宋_GB2312" w:cs="仿宋_GB2312" w:hint="eastAsia"/>
          <w:sz w:val="32"/>
          <w:szCs w:val="32"/>
        </w:rPr>
        <w:t>2</w:t>
      </w:r>
      <w:r>
        <w:rPr>
          <w:rFonts w:ascii="仿宋_GB2312" w:eastAsia="仿宋_GB2312" w:cs="仿宋_GB2312"/>
          <w:sz w:val="32"/>
          <w:szCs w:val="32"/>
        </w:rPr>
        <w:t>年月</w:t>
      </w:r>
      <w:r>
        <w:rPr>
          <w:rFonts w:ascii="仿宋_GB2312" w:eastAsia="仿宋_GB2312" w:cs="仿宋_GB2312" w:hint="eastAsia"/>
          <w:sz w:val="32"/>
          <w:szCs w:val="32"/>
          <w:lang w:val="en-US" w:eastAsia="zh-CN"/>
        </w:rPr>
        <w:t>10月、11月</w:t>
      </w:r>
      <w:r>
        <w:rPr>
          <w:rFonts w:ascii="仿宋_GB2312" w:eastAsia="仿宋_GB2312" w:cs="仿宋_GB2312" w:hint="eastAsia"/>
          <w:sz w:val="32"/>
          <w:szCs w:val="32"/>
        </w:rPr>
        <w:t>完成交付、验收、使用</w:t>
      </w:r>
      <w:r>
        <w:rPr>
          <w:rFonts w:ascii="仿宋_GB2312" w:eastAsia="仿宋_GB2312" w:cs="仿宋_GB2312"/>
          <w:sz w:val="32"/>
          <w:szCs w:val="32"/>
        </w:rPr>
        <w:t>。</w:t>
      </w:r>
      <w:r>
        <w:rPr>
          <w:rFonts w:ascii="楷体" w:eastAsia="楷体" w:cs="楷体" w:hint="eastAsia"/>
          <w:b/>
          <w:bCs/>
          <w:sz w:val="32"/>
          <w:szCs w:val="32"/>
        </w:rPr>
        <w:t>运行管理：</w:t>
      </w:r>
      <w:r>
        <w:rPr>
          <w:rFonts w:ascii="仿宋_GB2312" w:eastAsia="仿宋_GB2312" w:cs="仿宋_GB2312" w:hint="eastAsia"/>
          <w:sz w:val="32"/>
          <w:szCs w:val="32"/>
        </w:rPr>
        <w:t xml:space="preserve">项目采购交付使用后，消防救援大队要落实专人，切实加强救援装备管理维护，保证装备处于良好的使用状态，装备处于良好的性能状态，确保各项采购内容的使用寿命，充分发挥资金使用的社会效益、经济效益、生态效益。 </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w:t>
      </w:r>
      <w:r>
        <w:rPr>
          <w:rFonts w:ascii="楷体" w:eastAsia="楷体" w:cs="楷体" w:hint="eastAsia"/>
          <w:kern w:val="2"/>
          <w:sz w:val="32"/>
          <w:szCs w:val="32"/>
          <w:lang w:val="en-US" w:eastAsia="zh-CN"/>
        </w:rPr>
        <w:t>分析评价申报内容是否与实际相符，申报目标是否合理可行。</w:t>
      </w:r>
      <w:r>
        <w:rPr>
          <w:rFonts w:ascii="仿宋_GB2312" w:eastAsia="仿宋_GB2312" w:cs="仿宋_GB2312" w:hint="eastAsia"/>
          <w:kern w:val="2"/>
          <w:sz w:val="32"/>
          <w:szCs w:val="32"/>
          <w:lang w:val="en-US" w:eastAsia="zh-CN"/>
        </w:rPr>
        <w:t>该资金属县财政下达资金，物资共</w:t>
      </w:r>
      <w:r>
        <w:rPr>
          <w:rFonts w:ascii="仿宋_GB2312" w:eastAsia="仿宋_GB2312" w:cs="仿宋_GB2312" w:hint="eastAsia"/>
          <w:sz w:val="32"/>
          <w:szCs w:val="32"/>
        </w:rPr>
        <w:t>计43类1424件套，经核算所需资金</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sz w:val="32"/>
          <w:szCs w:val="32"/>
        </w:rPr>
        <w:t>元</w:t>
      </w:r>
      <w:r>
        <w:rPr>
          <w:rFonts w:ascii="仿宋_GB2312" w:eastAsia="仿宋_GB2312" w:cs="仿宋_GB2312" w:hint="eastAsia"/>
          <w:kern w:val="2"/>
          <w:sz w:val="32"/>
          <w:szCs w:val="32"/>
          <w:lang w:val="en-US" w:eastAsia="zh-CN"/>
        </w:rPr>
        <w:t>，申报资金与实际相符，实施合理可行，资金渠道的合法合规性，政策项目具有公共性，属于公共财政支持范围，具有良好的社会效益、经济效益，资金渠道是符合法律法规规定，条件能够落实。</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b/>
          <w:bCs/>
          <w:kern w:val="2"/>
          <w:sz w:val="32"/>
          <w:szCs w:val="32"/>
          <w:lang w:val="en-US" w:eastAsia="zh-CN"/>
        </w:rPr>
      </w:pPr>
      <w:r>
        <w:rPr>
          <w:rFonts w:ascii="楷体" w:eastAsia="楷体" w:cs="楷体" w:hint="eastAsia"/>
          <w:b/>
          <w:bCs/>
          <w:kern w:val="2"/>
          <w:sz w:val="32"/>
          <w:szCs w:val="32"/>
          <w:lang w:val="en-US" w:eastAsia="zh-CN"/>
        </w:rPr>
        <w:t>（三）项目自评步骤及方法。</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说明项目绩效自评采用的组织实施步骤及方法。该项目申报预算</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kern w:val="2"/>
          <w:sz w:val="32"/>
          <w:szCs w:val="32"/>
          <w:lang w:val="en-US" w:eastAsia="zh-CN"/>
        </w:rPr>
        <w:t>元，本次申报金额为</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kern w:val="2"/>
          <w:sz w:val="32"/>
          <w:szCs w:val="32"/>
          <w:lang w:val="en-US" w:eastAsia="zh-CN"/>
        </w:rPr>
        <w:t>元，资金来源为县级财政资金。本次对项目投入经济性的评估是在项目事前绩效评估、预算测算的基础上，</w:t>
      </w:r>
      <w:r>
        <w:rPr>
          <w:rFonts w:ascii="仿宋_GB2312" w:eastAsia="仿宋_GB2312" w:cs="仿宋_GB2312" w:hint="eastAsia"/>
          <w:sz w:val="32"/>
          <w:szCs w:val="32"/>
        </w:rPr>
        <w:t>本着“经济、实用、管用、用得上”原则，征求了相关部门意见建议，并</w:t>
      </w:r>
      <w:r>
        <w:rPr>
          <w:rFonts w:ascii="仿宋_GB2312" w:eastAsia="仿宋_GB2312" w:cs="仿宋_GB2312" w:hint="eastAsia"/>
          <w:sz w:val="32"/>
          <w:szCs w:val="32"/>
          <w:lang w:eastAsia="zh-CN"/>
        </w:rPr>
        <w:t>召开</w:t>
      </w:r>
      <w:r>
        <w:rPr>
          <w:rFonts w:ascii="仿宋_GB2312" w:eastAsia="仿宋_GB2312" w:cs="仿宋_GB2312" w:hint="eastAsia"/>
          <w:sz w:val="32"/>
          <w:szCs w:val="32"/>
        </w:rPr>
        <w:t>会议作了调整优化，</w:t>
      </w:r>
      <w:r>
        <w:rPr>
          <w:rFonts w:ascii="仿宋_GB2312" w:eastAsia="仿宋_GB2312" w:cs="仿宋_GB2312" w:hint="eastAsia"/>
          <w:sz w:val="32"/>
          <w:szCs w:val="32"/>
          <w:lang w:eastAsia="zh-CN"/>
        </w:rPr>
        <w:t>经政府常务会、县委常委会审议、财政局审核、专家论证、需求编制等。</w:t>
      </w:r>
      <w:r>
        <w:rPr>
          <w:rFonts w:ascii="仿宋_GB2312" w:eastAsia="仿宋_GB2312" w:cs="仿宋_GB2312" w:hint="eastAsia"/>
          <w:kern w:val="2"/>
          <w:sz w:val="32"/>
          <w:szCs w:val="32"/>
          <w:lang w:val="en-US" w:eastAsia="zh-CN"/>
        </w:rPr>
        <w:t>评估认为，该项目任务数量科学合理、预算测算过程较为详细、测算依据基本充分、有一定的经济性。</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黑体" w:eastAsia="黑体" w:cs="黑体" w:hint="eastAsia"/>
          <w:kern w:val="2"/>
          <w:sz w:val="32"/>
          <w:szCs w:val="32"/>
          <w:lang w:val="en-US" w:eastAsia="zh-CN"/>
        </w:rPr>
      </w:pPr>
      <w:r>
        <w:rPr>
          <w:rFonts w:ascii="黑体" w:eastAsia="黑体" w:cs="黑体" w:hint="eastAsia"/>
          <w:kern w:val="2"/>
          <w:sz w:val="32"/>
          <w:szCs w:val="32"/>
          <w:lang w:val="en-US" w:eastAsia="zh-CN"/>
        </w:rPr>
        <w:t>二、项目资金申报及使用情况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（一）项目资金申报及批复情况。</w:t>
      </w:r>
    </w:p>
    <w:p>
      <w:pPr>
        <w:pStyle w:val="40"/>
        <w:keepNext w:val="0"/>
        <w:keepLines w:val="0"/>
        <w:pageBreakBefore w:val="0"/>
        <w:widowControl w:val="0"/>
        <w:kinsoku/>
        <w:wordWrap/>
        <w:overflowPunct/>
        <w:topLinePunct w:val="0"/>
        <w:autoSpaceDE/>
        <w:autoSpaceDN/>
        <w:bidi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Times New Roman" w:eastAsia="仿宋_GB2312" w:hAnsi="Times New Roman" w:hint="eastAsia"/>
          <w:color w:val="0C0C0C"/>
          <w:kern w:val="0"/>
          <w:sz w:val="32"/>
          <w:szCs w:val="32"/>
        </w:rPr>
        <w:t>2022年7月3日</w:t>
      </w:r>
      <w:r>
        <w:rPr>
          <w:rFonts w:ascii="仿宋_GB2312" w:eastAsia="仿宋_GB2312" w:cs="仿宋_GB2312" w:hint="eastAsia"/>
          <w:kern w:val="2"/>
          <w:sz w:val="32"/>
          <w:szCs w:val="32"/>
          <w:lang w:val="en-US" w:eastAsia="zh-CN"/>
        </w:rPr>
        <w:t>县应急管理局拟定</w:t>
      </w:r>
      <w:r>
        <w:rPr>
          <w:rFonts w:ascii="仿宋_GB2312" w:eastAsia="仿宋_GB2312" w:cs="仿宋_GB2312" w:hint="eastAsia"/>
          <w:sz w:val="32"/>
          <w:szCs w:val="32"/>
        </w:rPr>
        <w:t>《</w:t>
      </w:r>
      <w:r>
        <w:rPr>
          <w:rFonts w:ascii="仿宋_GB2312" w:eastAsia="仿宋_GB2312" w:cs="仿宋_GB2312" w:hint="eastAsia"/>
          <w:sz w:val="32"/>
          <w:szCs w:val="32"/>
          <w:lang w:eastAsia="zh-CN"/>
        </w:rPr>
        <w:t>关于</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的请示</w:t>
      </w:r>
      <w:r>
        <w:rPr>
          <w:rFonts w:ascii="仿宋_GB2312" w:eastAsia="仿宋_GB2312" w:cs="仿宋_GB2312" w:hint="eastAsia"/>
          <w:sz w:val="32"/>
          <w:szCs w:val="32"/>
        </w:rPr>
        <w:t>》</w:t>
      </w:r>
      <w:r>
        <w:rPr>
          <w:rFonts w:ascii="仿宋_GB2312" w:eastAsia="仿宋_GB2312" w:cs="仿宋_GB2312" w:hint="eastAsia"/>
          <w:kern w:val="2"/>
          <w:sz w:val="32"/>
          <w:szCs w:val="32"/>
          <w:lang w:val="en-US" w:eastAsia="zh-CN"/>
        </w:rPr>
        <w:t>，</w:t>
      </w:r>
      <w:r>
        <w:rPr>
          <w:rFonts w:ascii="仿宋_GB2312" w:eastAsia="仿宋_GB2312" w:cs="仿宋_GB2312" w:hint="eastAsia"/>
          <w:sz w:val="32"/>
          <w:szCs w:val="32"/>
          <w:lang w:val="en-US" w:eastAsia="zh-CN"/>
        </w:rPr>
        <w:t>2022年7月5日经</w:t>
      </w:r>
      <w:r>
        <w:rPr>
          <w:rFonts w:ascii="仿宋_GB2312" w:eastAsia="仿宋_GB2312" w:cs="仿宋_GB2312" w:hint="eastAsia"/>
          <w:sz w:val="32"/>
          <w:szCs w:val="32"/>
          <w:lang w:eastAsia="zh-CN"/>
        </w:rPr>
        <w:t>十五届县人民政府第</w:t>
      </w:r>
      <w:r>
        <w:rPr>
          <w:rFonts w:ascii="仿宋_GB2312" w:eastAsia="仿宋_GB2312" w:cs="仿宋_GB2312" w:hint="eastAsia"/>
          <w:sz w:val="32"/>
          <w:szCs w:val="32"/>
          <w:lang w:val="en-US" w:eastAsia="zh-CN"/>
        </w:rPr>
        <w:t>15次常务会议审议通过</w:t>
      </w:r>
      <w:r>
        <w:rPr>
          <w:rFonts w:ascii="仿宋_GB2312" w:eastAsia="仿宋_GB2312" w:cs="仿宋_GB2312" w:hint="eastAsia"/>
          <w:sz w:val="32"/>
          <w:szCs w:val="32"/>
        </w:rPr>
        <w:t>《</w:t>
      </w:r>
      <w:r>
        <w:rPr>
          <w:rFonts w:ascii="仿宋_GB2312" w:eastAsia="仿宋_GB2312" w:cs="仿宋_GB2312" w:hint="eastAsia"/>
          <w:sz w:val="32"/>
          <w:szCs w:val="32"/>
          <w:lang w:eastAsia="zh-CN"/>
        </w:rPr>
        <w:t>关于</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的请示</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2022年7月21日经</w:t>
      </w:r>
      <w:r>
        <w:rPr>
          <w:rFonts w:ascii="仿宋_GB2312" w:eastAsia="仿宋_GB2312" w:cs="仿宋_GB2312" w:hint="eastAsia"/>
          <w:sz w:val="32"/>
          <w:szCs w:val="32"/>
          <w:lang w:eastAsia="zh-CN"/>
        </w:rPr>
        <w:t>中共金川县委十三届第</w:t>
      </w:r>
      <w:r>
        <w:rPr>
          <w:rFonts w:ascii="仿宋_GB2312" w:eastAsia="仿宋_GB2312" w:cs="仿宋_GB2312" w:hint="eastAsia"/>
          <w:sz w:val="32"/>
          <w:szCs w:val="32"/>
          <w:lang w:val="en-US" w:eastAsia="zh-CN"/>
        </w:rPr>
        <w:t>38次</w:t>
      </w:r>
      <w:r>
        <w:rPr>
          <w:rFonts w:ascii="仿宋_GB2312" w:eastAsia="仿宋_GB2312" w:cs="仿宋_GB2312" w:hint="eastAsia"/>
          <w:sz w:val="32"/>
          <w:szCs w:val="32"/>
          <w:lang w:eastAsia="zh-CN"/>
        </w:rPr>
        <w:t>常委会</w:t>
      </w:r>
      <w:r>
        <w:rPr>
          <w:rFonts w:ascii="仿宋_GB2312" w:eastAsia="仿宋_GB2312" w:cs="仿宋_GB2312" w:hint="eastAsia"/>
          <w:sz w:val="32"/>
          <w:szCs w:val="32"/>
          <w:lang w:val="en-US" w:eastAsia="zh-CN"/>
        </w:rPr>
        <w:t>审议通过</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w:t>
      </w:r>
      <w:r>
        <w:rPr>
          <w:rFonts w:ascii="仿宋_GB2312" w:eastAsia="仿宋_GB2312" w:cs="仿宋_GB2312" w:hint="eastAsia"/>
          <w:sz w:val="32"/>
          <w:szCs w:val="32"/>
        </w:rPr>
        <w:t>该资金属于县级财政资金，符合财政资金支持方向，按照本次专项资金管理使用规定，主要用于购置通讯设备、抢险救援装备、个人防护装备等支出，重点加强应急救援能力建设。</w:t>
      </w:r>
      <w:r>
        <w:rPr>
          <w:rFonts w:ascii="仿宋_GB2312" w:eastAsia="仿宋_GB2312" w:cs="仿宋_GB2312" w:hint="eastAsia"/>
          <w:kern w:val="2"/>
          <w:sz w:val="32"/>
          <w:szCs w:val="32"/>
          <w:lang w:val="en-US" w:eastAsia="zh-CN"/>
        </w:rPr>
        <w:t>绩效评价其符合资金使用方向、资金性质和相关资金管理办法等相关规定。</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100" w:firstLine="32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1．资金计划。</w:t>
      </w:r>
      <w:r>
        <w:rPr>
          <w:rFonts w:ascii="仿宋_GB2312" w:eastAsia="仿宋_GB2312" w:cs="仿宋_GB2312" w:hint="eastAsia"/>
          <w:sz w:val="32"/>
          <w:szCs w:val="32"/>
          <w:lang w:val="en-US" w:eastAsia="zh-CN"/>
        </w:rPr>
        <w:t>经</w:t>
      </w:r>
      <w:r>
        <w:rPr>
          <w:rFonts w:ascii="仿宋_GB2312" w:eastAsia="仿宋_GB2312" w:cs="仿宋_GB2312" w:hint="eastAsia"/>
          <w:sz w:val="32"/>
          <w:szCs w:val="32"/>
          <w:lang w:eastAsia="zh-CN"/>
        </w:rPr>
        <w:t>十五届县人民政府第</w:t>
      </w:r>
      <w:r>
        <w:rPr>
          <w:rFonts w:ascii="仿宋_GB2312" w:eastAsia="仿宋_GB2312" w:cs="仿宋_GB2312" w:hint="eastAsia"/>
          <w:sz w:val="32"/>
          <w:szCs w:val="32"/>
          <w:lang w:val="en-US" w:eastAsia="zh-CN"/>
        </w:rPr>
        <w:t>15次常务会议</w:t>
      </w:r>
      <w:r>
        <w:rPr>
          <w:rFonts w:ascii="仿宋_GB2312" w:eastAsia="仿宋_GB2312" w:cs="仿宋_GB2312" w:hint="eastAsia"/>
          <w:kern w:val="2"/>
          <w:sz w:val="32"/>
          <w:szCs w:val="32"/>
          <w:lang w:val="en-US" w:eastAsia="zh-CN"/>
        </w:rPr>
        <w:t>、</w:t>
      </w:r>
      <w:r>
        <w:rPr>
          <w:rFonts w:ascii="仿宋_GB2312" w:eastAsia="仿宋_GB2312" w:cs="仿宋_GB2312" w:hint="eastAsia"/>
          <w:sz w:val="32"/>
          <w:szCs w:val="32"/>
          <w:lang w:eastAsia="zh-CN"/>
        </w:rPr>
        <w:t>中共金川县委十三届第</w:t>
      </w:r>
      <w:r>
        <w:rPr>
          <w:rFonts w:ascii="仿宋_GB2312" w:eastAsia="仿宋_GB2312" w:cs="仿宋_GB2312" w:hint="eastAsia"/>
          <w:sz w:val="32"/>
          <w:szCs w:val="32"/>
          <w:lang w:val="en-US" w:eastAsia="zh-CN"/>
        </w:rPr>
        <w:t>38次</w:t>
      </w:r>
      <w:r>
        <w:rPr>
          <w:rFonts w:ascii="仿宋_GB2312" w:eastAsia="仿宋_GB2312" w:cs="仿宋_GB2312" w:hint="eastAsia"/>
          <w:sz w:val="32"/>
          <w:szCs w:val="32"/>
          <w:lang w:eastAsia="zh-CN"/>
        </w:rPr>
        <w:t>常委会</w:t>
      </w:r>
      <w:r>
        <w:rPr>
          <w:rFonts w:ascii="仿宋_GB2312" w:eastAsia="仿宋_GB2312" w:cs="仿宋_GB2312" w:hint="eastAsia"/>
          <w:kern w:val="2"/>
          <w:sz w:val="32"/>
          <w:szCs w:val="32"/>
          <w:lang w:val="en-US" w:eastAsia="zh-CN"/>
        </w:rPr>
        <w:t>通过了</w:t>
      </w:r>
      <w:r>
        <w:rPr>
          <w:rFonts w:ascii="仿宋_GB2312" w:eastAsia="仿宋_GB2312" w:cs="仿宋_GB2312" w:hint="eastAsia"/>
          <w:sz w:val="32"/>
          <w:szCs w:val="32"/>
        </w:rPr>
        <w:t>《金川县急需采购应急救援装备工作方案》</w:t>
      </w:r>
      <w:r>
        <w:rPr>
          <w:rFonts w:ascii="仿宋_GB2312" w:eastAsia="仿宋_GB2312" w:cs="仿宋_GB2312" w:hint="eastAsia"/>
          <w:kern w:val="2"/>
          <w:sz w:val="32"/>
          <w:szCs w:val="32"/>
          <w:lang w:val="en-US" w:eastAsia="zh-CN"/>
        </w:rPr>
        <w:t>，</w:t>
      </w:r>
      <w:r>
        <w:rPr>
          <w:rFonts w:ascii="仿宋_GB2312" w:eastAsia="仿宋_GB2312" w:cs="仿宋_GB2312" w:hint="eastAsia"/>
          <w:sz w:val="32"/>
          <w:szCs w:val="32"/>
        </w:rPr>
        <w:t>经核算所需资金</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r>
        <w:rPr>
          <w:rFonts w:ascii="仿宋_GB2312" w:eastAsia="仿宋_GB2312" w:cs="仿宋_GB2312" w:hint="eastAsia"/>
          <w:kern w:val="2"/>
          <w:sz w:val="32"/>
          <w:szCs w:val="32"/>
          <w:lang w:val="en-US" w:eastAsia="zh-CN"/>
        </w:rPr>
        <w:t>由县财政解决，计划资金</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kern w:val="2"/>
          <w:sz w:val="32"/>
          <w:szCs w:val="32"/>
          <w:lang w:val="en-US" w:eastAsia="zh-CN"/>
        </w:rPr>
        <w:t>元。</w:t>
      </w:r>
    </w:p>
    <w:p>
      <w:pPr>
        <w:keepNext w:val="0"/>
        <w:keepLines w:val="0"/>
        <w:pageBreakBefore w:val="0"/>
        <w:widowControl w:val="0"/>
        <w:kinsoku/>
        <w:wordWrap/>
        <w:overflowPunct/>
        <w:topLinePunct w:val="0"/>
        <w:autoSpaceDE/>
        <w:autoSpaceDN/>
        <w:bidi w:val="0"/>
        <w:adjustRightInd w:val="0"/>
        <w:snapToGrid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2．资金到位。该项目资金实际到位</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kern w:val="2"/>
          <w:sz w:val="32"/>
          <w:szCs w:val="32"/>
          <w:lang w:val="en-US" w:eastAsia="zh-CN"/>
        </w:rPr>
        <w:t>元。依据充分，绩效目标明确，具备实施条件，具有公共性，符合财政资金支持方向等。资金到位情况与资金计划一致，资金到位率100%、到位及时性。</w:t>
      </w:r>
    </w:p>
    <w:p>
      <w:pPr>
        <w:pStyle w:val="18"/>
        <w:keepNext w:val="0"/>
        <w:keepLines w:val="0"/>
        <w:pageBreakBefore w:val="0"/>
        <w:widowControl w:val="0"/>
        <w:kinsoku/>
        <w:wordWrap/>
        <w:overflowPunct/>
        <w:topLinePunct w:val="0"/>
        <w:autoSpaceDE/>
        <w:autoSpaceDN/>
        <w:bidi w:val="0"/>
        <w:adjustRightInd/>
        <w:snapToGrid/>
        <w:spacing w:before="0" w:after="0" w:line="520" w:lineRule="exact"/>
        <w:ind w:leftChars="0" w:left="0"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3．资金使用。</w:t>
      </w:r>
      <w:r>
        <w:rPr>
          <w:rFonts w:ascii="仿宋_GB2312" w:eastAsia="仿宋_GB2312" w:cs="仿宋_GB2312" w:hint="eastAsia"/>
          <w:sz w:val="32"/>
          <w:szCs w:val="32"/>
        </w:rPr>
        <w:t>按照国家省州县工作要求，</w:t>
      </w:r>
      <w:r>
        <w:rPr>
          <w:rFonts w:ascii="仿宋_GB2312" w:eastAsia="仿宋_GB2312" w:cs="仿宋_GB2312" w:hint="eastAsia"/>
          <w:sz w:val="32"/>
          <w:szCs w:val="32"/>
          <w:lang w:eastAsia="zh-CN"/>
        </w:rPr>
        <w:t>为</w:t>
      </w:r>
      <w:r>
        <w:rPr>
          <w:rFonts w:ascii="仿宋_GB2312" w:eastAsia="仿宋_GB2312" w:cs="仿宋_GB2312" w:hint="eastAsia"/>
          <w:sz w:val="32"/>
          <w:szCs w:val="32"/>
        </w:rPr>
        <w:t>加强消防救援队员、扑火队员正规化管理、参照消防救援队员标准配置救援装备器材。</w:t>
      </w:r>
      <w:r>
        <w:rPr>
          <w:rFonts w:ascii="仿宋_GB2312" w:eastAsia="仿宋_GB2312" w:cs="仿宋_GB2312" w:hint="eastAsia"/>
          <w:sz w:val="32"/>
          <w:szCs w:val="32"/>
          <w:lang w:val="en-US" w:eastAsia="zh-CN"/>
        </w:rPr>
        <w:t>2022年7月5日</w:t>
      </w:r>
      <w:r>
        <w:rPr>
          <w:rFonts w:ascii="仿宋_GB2312" w:eastAsia="仿宋_GB2312" w:cs="仿宋_GB2312" w:hint="eastAsia"/>
          <w:sz w:val="32"/>
          <w:szCs w:val="32"/>
          <w:lang w:eastAsia="zh-CN"/>
        </w:rPr>
        <w:t>经十五届县人民政府常务会审议通过</w:t>
      </w:r>
      <w:r>
        <w:rPr>
          <w:rFonts w:ascii="仿宋_GB2312" w:eastAsia="仿宋_GB2312" w:cs="仿宋_GB2312" w:hint="eastAsia"/>
          <w:sz w:val="32"/>
          <w:szCs w:val="32"/>
        </w:rPr>
        <w:t>《金川县急需采购应急救援装备工作方案</w:t>
      </w:r>
      <w:r>
        <w:rPr>
          <w:rFonts w:ascii="仿宋_GB2312" w:eastAsia="仿宋_GB2312" w:cs="仿宋_GB2312" w:hint="eastAsia"/>
          <w:sz w:val="32"/>
          <w:szCs w:val="32"/>
          <w:lang w:eastAsia="zh-CN"/>
        </w:rPr>
        <w:t>（审议稿）</w:t>
      </w:r>
      <w:r>
        <w:rPr>
          <w:rFonts w:ascii="仿宋_GB2312" w:eastAsia="仿宋_GB2312" w:cs="仿宋_GB2312" w:hint="eastAsia"/>
          <w:sz w:val="32"/>
          <w:szCs w:val="32"/>
        </w:rPr>
        <w:t>》，急需采购应急救援装备器材共计43类1424件套，经核算所需资金</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sz w:val="32"/>
          <w:szCs w:val="32"/>
        </w:rPr>
        <w:t>元</w:t>
      </w:r>
      <w:r>
        <w:rPr>
          <w:rFonts w:ascii="仿宋_GB2312" w:eastAsia="仿宋_GB2312" w:cs="仿宋_GB2312" w:hint="eastAsia"/>
          <w:sz w:val="32"/>
          <w:szCs w:val="32"/>
          <w:lang w:eastAsia="zh-CN"/>
        </w:rPr>
        <w:t>，由于解决县政府新招录一批扑火队员被装，经核算资金</w:t>
      </w:r>
      <w:r>
        <w:rPr>
          <w:rFonts w:ascii="仿宋_GB2312" w:eastAsia="仿宋_GB2312" w:cs="仿宋_GB2312" w:hint="eastAsia"/>
          <w:sz w:val="32"/>
          <w:szCs w:val="32"/>
          <w:lang w:val="en-US" w:eastAsia="zh-CN"/>
        </w:rPr>
        <w:t>199500元，但因县财力受限，县政府要求在应急救援装备</w:t>
      </w:r>
      <w:r>
        <w:rPr>
          <w:rFonts w:ascii="仿宋_GB2312" w:eastAsia="仿宋_GB2312" w:cs="仿宋_GB2312"/>
          <w:sz w:val="32"/>
          <w:szCs w:val="32"/>
        </w:rPr>
        <w:t>2</w:t>
      </w:r>
      <w:r>
        <w:rPr>
          <w:rFonts w:ascii="仿宋_GB2312" w:eastAsia="仿宋_GB2312" w:cs="仿宋_GB2312" w:hint="eastAsia"/>
          <w:sz w:val="32"/>
          <w:szCs w:val="32"/>
        </w:rPr>
        <w:t>5995</w:t>
      </w:r>
      <w:r>
        <w:rPr>
          <w:rFonts w:ascii="仿宋_GB2312" w:eastAsia="仿宋_GB2312" w:cs="仿宋_GB2312"/>
          <w:sz w:val="32"/>
          <w:szCs w:val="32"/>
        </w:rPr>
        <w:t>45</w:t>
      </w:r>
      <w:r>
        <w:rPr>
          <w:rFonts w:ascii="仿宋_GB2312" w:eastAsia="仿宋_GB2312" w:cs="仿宋_GB2312" w:hint="eastAsia"/>
          <w:sz w:val="32"/>
          <w:szCs w:val="32"/>
        </w:rPr>
        <w:t>元</w:t>
      </w:r>
      <w:r>
        <w:rPr>
          <w:rFonts w:ascii="仿宋_GB2312" w:eastAsia="仿宋_GB2312" w:cs="仿宋_GB2312" w:hint="eastAsia"/>
          <w:sz w:val="32"/>
          <w:szCs w:val="32"/>
          <w:lang w:eastAsia="zh-CN"/>
        </w:rPr>
        <w:t>中解决，对应急救援装备进行作了优化调整，实际采购</w:t>
      </w:r>
      <w:r>
        <w:rPr>
          <w:rFonts w:ascii="仿宋_GB2312" w:eastAsia="仿宋_GB2312" w:cs="仿宋_GB2312" w:hint="eastAsia"/>
          <w:sz w:val="32"/>
          <w:szCs w:val="32"/>
          <w:lang w:val="en-US" w:eastAsia="zh-CN"/>
        </w:rPr>
        <w:t>80类3700件套</w:t>
      </w:r>
      <w:r>
        <w:rPr>
          <w:rFonts w:ascii="仿宋_GB2312" w:eastAsia="仿宋_GB2312" w:cs="仿宋_GB2312" w:hint="eastAsia"/>
          <w:sz w:val="32"/>
          <w:szCs w:val="32"/>
          <w:lang w:eastAsia="zh-CN"/>
        </w:rPr>
        <w:t>。经政府挂网采购，</w:t>
      </w:r>
      <w:r>
        <w:rPr>
          <w:rFonts w:ascii="仿宋_GB2312" w:eastAsia="仿宋_GB2312" w:cs="仿宋_GB2312" w:hint="eastAsia"/>
          <w:sz w:val="32"/>
          <w:szCs w:val="32"/>
          <w:lang w:val="en-US" w:eastAsia="zh-CN"/>
        </w:rPr>
        <w:t>2022年9月28日确定中标单位成都市清龙商贸有限公司，中标金额2565580元，2022年10月8日与供应商签订采购合同，供应商按照合同约定进行货物交付。</w:t>
      </w:r>
      <w:r>
        <w:rPr>
          <w:rFonts w:ascii="仿宋_GB2312" w:eastAsia="仿宋_GB2312" w:cs="仿宋_GB2312" w:hint="eastAsia"/>
          <w:kern w:val="2"/>
          <w:sz w:val="32"/>
          <w:szCs w:val="32"/>
          <w:lang w:val="en-US" w:eastAsia="zh-CN"/>
        </w:rPr>
        <w:t>项目评价严格执行财务管理制度、财务处理及时、会计核算规范。资金支付范围、支付标准、支付进度、支付依据等是合规合法、与预算相符。</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firstLineChars="200" w:firstLine="640"/>
        <w:textAlignment w:val="auto"/>
        <w:rPr>
          <w:rFonts w:ascii="楷体" w:eastAsia="楷体" w:cs="楷体" w:hint="eastAsia"/>
          <w:kern w:val="2"/>
          <w:sz w:val="32"/>
          <w:szCs w:val="32"/>
          <w:lang w:val="en-US" w:eastAsia="zh-CN"/>
        </w:rPr>
      </w:pPr>
      <w:r>
        <w:rPr>
          <w:rFonts w:ascii="楷体" w:eastAsia="楷体" w:cs="楷体" w:hint="eastAsia"/>
          <w:kern w:val="2"/>
          <w:sz w:val="32"/>
          <w:szCs w:val="32"/>
          <w:lang w:val="en-US" w:eastAsia="zh-CN"/>
        </w:rPr>
        <w:t>（三）项目财务管理情况。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我局加强对项目建设资金使用的监管，定期开展对应急救援装备项目资金使用的稽查，重点检查建设资金是否专账管理、资金使用是否与计划建设内容一致、履约金提取是否符合相关规定、报账凭证是否真实和规范。对发现的问题，及时督促项目单位进行整改，并做好对整改问题的追踪，确保建设资金安全运行。该项目评价严格执行财务管理制度、财务处理及时、会计核算规范。总体评价财务管理制度健全，严格执行财务管理制度，账务处理及时，会计核算规范等。</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三、项目实施及管理情况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（一）项目组织架构及实施流程。</w:t>
      </w:r>
      <w:r>
        <w:rPr>
          <w:rFonts w:ascii="仿宋_GB2312" w:eastAsia="仿宋_GB2312" w:cs="仿宋_GB2312" w:hint="eastAsia"/>
          <w:kern w:val="2"/>
          <w:sz w:val="32"/>
          <w:szCs w:val="32"/>
          <w:lang w:val="en-US" w:eastAsia="zh-CN"/>
        </w:rPr>
        <w:t>市场询价--征求意见--提请政府常务会审议---县委常委会审议--意向公开--需求编制--挂网采购--确定中标供应商--签订合同---物资采购---验收合格---交付消防救援大队</w:t>
      </w:r>
      <w:r>
        <w:rPr>
          <w:rFonts w:ascii="仿宋_GB2312" w:eastAsia="仿宋_GB2312" w:cs="仿宋_GB2312"/>
          <w:kern w:val="2"/>
          <w:sz w:val="32"/>
          <w:szCs w:val="32"/>
          <w:lang w:val="en-US" w:eastAsia="zh-CN"/>
        </w:rPr>
        <w:t>。</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（二）项目管理情况。</w:t>
      </w:r>
      <w:r>
        <w:rPr>
          <w:rFonts w:ascii="仿宋_GB2312" w:eastAsia="仿宋_GB2312" w:cs="仿宋_GB2312" w:hint="eastAsia"/>
          <w:kern w:val="2"/>
          <w:sz w:val="32"/>
          <w:szCs w:val="32"/>
          <w:lang w:val="en-US" w:eastAsia="zh-CN"/>
        </w:rPr>
        <w:t>应急局是该项目实施的责任主体，要将项目实施纳入目标绩效进行考核，严格执行项目政府采购、招投标制，切实构建采购项目质量保证体系，将项目管理的责任落实到岗到人，做到责任到位、措施到位。及时排除、化解影响项目实施的各种制约性因素，确保项目加快实施。对发现的项目管理中存在的问题，要按照合同约定，界定责任，及时处理。</w:t>
      </w:r>
    </w:p>
    <w:p>
      <w:pPr>
        <w:pStyle w:val="40"/>
        <w:keepNext w:val="0"/>
        <w:keepLines w:val="0"/>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（三）项目监管情况。</w:t>
      </w:r>
      <w:r>
        <w:rPr>
          <w:rFonts w:ascii="仿宋_GB2312" w:eastAsia="仿宋_GB2312" w:cs="仿宋_GB2312" w:hint="eastAsia"/>
          <w:sz w:val="32"/>
          <w:szCs w:val="32"/>
        </w:rPr>
        <w:t>主要用于购置通讯设备、抢险救援装备、个人防护装备等支出，重点加强应急救援能力建设。</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所采购的物资装备突出我县抢险救援工作特点，结合县财力状况，急需的物资装备，严格按照政府采购相关法律法规挂网采购，做到公开、公平、公正、透明原则，确定供应商，未出现质疑、投诉、信访等现象，严格按照投标文件以及合同约定，按照物资的规格、型号、品牌、数量等进行交付，确保货物质量，达到了采购的目的，取得了良好的社会效益和经济效益，降低了灾害造成的损失。</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2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四、项目绩效情况</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（一）项目完成情况。</w:t>
      </w:r>
      <w:r>
        <w:rPr>
          <w:rFonts w:ascii="仿宋_GB2312" w:eastAsia="仿宋_GB2312" w:cs="仿宋_GB2312" w:hint="eastAsia"/>
          <w:kern w:val="2"/>
          <w:sz w:val="32"/>
          <w:szCs w:val="32"/>
          <w:lang w:val="en-US" w:eastAsia="zh-CN"/>
        </w:rPr>
        <w:t>该项目共计实际完成80类，与合同目标完成一致，任务量完成与合同一致、质量标准与合同一致、进度与计划一致、厉行节约、严格控制成本。</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（二）项目效益情况。</w:t>
      </w:r>
      <w:r>
        <w:rPr>
          <w:rFonts w:ascii="仿宋_GB2312" w:eastAsia="仿宋_GB2312" w:cs="仿宋_GB2312" w:hint="eastAsia"/>
          <w:kern w:val="2"/>
          <w:sz w:val="32"/>
          <w:szCs w:val="32"/>
          <w:lang w:val="en-US" w:eastAsia="zh-CN"/>
        </w:rPr>
        <w:t>该项目实际</w:t>
      </w:r>
      <w:r>
        <w:rPr>
          <w:rFonts w:ascii="仿宋_GB2312" w:eastAsia="仿宋_GB2312" w:cs="仿宋_GB2312" w:hint="eastAsia"/>
          <w:sz w:val="32"/>
          <w:szCs w:val="32"/>
          <w:lang w:eastAsia="zh-CN"/>
        </w:rPr>
        <w:t>采购</w:t>
      </w:r>
      <w:r>
        <w:rPr>
          <w:rFonts w:ascii="仿宋_GB2312" w:eastAsia="仿宋_GB2312" w:cs="仿宋_GB2312" w:hint="eastAsia"/>
          <w:sz w:val="32"/>
          <w:szCs w:val="32"/>
          <w:lang w:val="en-US" w:eastAsia="zh-CN"/>
        </w:rPr>
        <w:t>80类3700件套</w:t>
      </w:r>
      <w:r>
        <w:rPr>
          <w:rFonts w:ascii="仿宋_GB2312" w:eastAsia="仿宋_GB2312" w:cs="仿宋_GB2312" w:hint="eastAsia"/>
          <w:kern w:val="2"/>
          <w:sz w:val="32"/>
          <w:szCs w:val="32"/>
          <w:lang w:val="en-US" w:eastAsia="zh-CN"/>
        </w:rPr>
        <w:t>，经核算所需资金</w:t>
      </w:r>
      <w:r>
        <w:rPr>
          <w:rFonts w:ascii="仿宋_GB2312" w:eastAsia="仿宋_GB2312" w:cs="仿宋_GB2312" w:hint="eastAsia"/>
          <w:sz w:val="32"/>
          <w:szCs w:val="32"/>
          <w:lang w:val="en-US" w:eastAsia="zh-CN"/>
        </w:rPr>
        <w:t>2565580</w:t>
      </w:r>
      <w:r>
        <w:rPr>
          <w:rFonts w:ascii="仿宋_GB2312" w:eastAsia="仿宋_GB2312" w:cs="仿宋_GB2312" w:hint="eastAsia"/>
          <w:kern w:val="2"/>
          <w:sz w:val="32"/>
          <w:szCs w:val="32"/>
          <w:lang w:val="en-US" w:eastAsia="zh-CN"/>
        </w:rPr>
        <w:t>元，申报预算</w:t>
      </w:r>
      <w:r>
        <w:rPr>
          <w:rFonts w:ascii="仿宋_GB2312" w:eastAsia="仿宋_GB2312" w:cs="仿宋_GB2312" w:hint="eastAsia"/>
          <w:sz w:val="32"/>
          <w:szCs w:val="32"/>
          <w:lang w:val="en-US" w:eastAsia="zh-CN"/>
        </w:rPr>
        <w:t>2565580</w:t>
      </w:r>
      <w:r>
        <w:rPr>
          <w:rFonts w:ascii="仿宋_GB2312" w:eastAsia="仿宋_GB2312" w:cs="仿宋_GB2312" w:hint="eastAsia"/>
          <w:kern w:val="2"/>
          <w:sz w:val="32"/>
          <w:szCs w:val="32"/>
          <w:lang w:val="en-US" w:eastAsia="zh-CN"/>
        </w:rPr>
        <w:t>万元，资金来源县财政资金。本次对项目投入经济性的评估是在项目事前绩效评估、预算测算的基础上，按照厉行节约的要求，结合项目22年开支情况结合22年实际需求、相关费用标准及市场价格水平。评估认为，该项目任务数量科学合理、预算测算过程较为详细、测算依据基本充分、有一定的经济性，该项目的实施，具有良好的经济、社会、生态、可持续效益，进一步减少灾害发生造成的损失，全力确保人民群众生命财产安全，得到社会一致好评。</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Chars="200" w:firstLine="620"/>
        <w:textAlignment w:val="auto"/>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五、评价结论及建议</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kern w:val="2"/>
          <w:sz w:val="32"/>
          <w:szCs w:val="32"/>
          <w:lang w:val="en-US" w:eastAsia="zh-CN"/>
        </w:rPr>
      </w:pPr>
      <w:r>
        <w:rPr>
          <w:rFonts w:ascii="楷体" w:eastAsia="楷体" w:cs="楷体" w:hint="eastAsia"/>
          <w:kern w:val="2"/>
          <w:sz w:val="32"/>
          <w:szCs w:val="32"/>
          <w:lang w:val="en-US" w:eastAsia="zh-CN"/>
        </w:rPr>
        <w:t>（一）评价结论。</w:t>
      </w:r>
      <w:r>
        <w:rPr>
          <w:rFonts w:ascii="仿宋_GB2312" w:eastAsia="仿宋_GB2312" w:cs="仿宋_GB2312" w:hint="eastAsia"/>
          <w:kern w:val="2"/>
          <w:sz w:val="32"/>
          <w:szCs w:val="32"/>
          <w:lang w:val="en-US" w:eastAsia="zh-CN"/>
        </w:rPr>
        <w:t>应急救援装备物资预算资金</w:t>
      </w:r>
      <w:r>
        <w:rPr>
          <w:rFonts w:ascii="仿宋_GB2312" w:eastAsia="仿宋_GB2312" w:cs="仿宋_GB2312" w:hint="eastAsia"/>
          <w:sz w:val="32"/>
          <w:szCs w:val="32"/>
          <w:lang w:val="en-US" w:eastAsia="zh-CN"/>
        </w:rPr>
        <w:t>2565580</w:t>
      </w:r>
      <w:r>
        <w:rPr>
          <w:rFonts w:ascii="仿宋_GB2312" w:eastAsia="仿宋_GB2312" w:cs="仿宋_GB2312" w:hint="eastAsia"/>
          <w:kern w:val="2"/>
          <w:sz w:val="32"/>
          <w:szCs w:val="32"/>
          <w:lang w:val="en-US" w:eastAsia="zh-CN"/>
        </w:rPr>
        <w:t>元已下达，该项目立项必要性、依据充分，绩效目标明确，具备实施条件，具有公共性，符合财政资金支持方向等。。</w:t>
      </w:r>
    </w:p>
    <w:p>
      <w:pPr>
        <w:pStyle w:val="2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ind w:left="0" w:firstLine="640"/>
        <w:textAlignment w:val="auto"/>
        <w:rPr>
          <w:rFonts w:ascii="仿宋_GB2312" w:eastAsia="仿宋_GB2312" w:cs="仿宋_GB2312" w:hint="eastAsia"/>
          <w:sz w:val="32"/>
          <w:szCs w:val="32"/>
        </w:rPr>
      </w:pPr>
      <w:r>
        <w:rPr>
          <w:rFonts w:ascii="楷体" w:eastAsia="楷体" w:cs="楷体" w:hint="eastAsia"/>
          <w:kern w:val="2"/>
          <w:sz w:val="32"/>
          <w:szCs w:val="32"/>
          <w:lang w:val="en-US" w:eastAsia="zh-CN"/>
        </w:rPr>
        <w:t>（二）存在的问题。</w:t>
      </w:r>
      <w:r>
        <w:rPr>
          <w:rFonts w:ascii="仿宋_GB2312" w:eastAsia="仿宋_GB2312" w:cs="仿宋_GB2312" w:hint="eastAsia"/>
          <w:sz w:val="32"/>
          <w:szCs w:val="32"/>
        </w:rPr>
        <w:t>我县是全省林业大县，属森林火险高危区，地形地貌复杂，山高林密，植被类型丰富，冬春气候干燥多风，极端干旱天气增多，森林草原防灭火形势严峻，加之我县位于青藏高原龙门上断裂带，属于地震灾害频发地区，近年来我县汛期地质灾害频发多发，在应对突发灾害时，暴露出我县救援装备供给矛盾突出，现实需求严重短缺不足等问题，防灾减灾任务繁重而艰巨。随着全县社会经济事业加快发展，城乡消防、特别是高层建筑救援压力增大，应急管理工作任重道远。</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640"/>
        <w:textAlignment w:val="auto"/>
        <w:rPr>
          <w:rFonts w:ascii="仿宋_GB2312" w:eastAsia="仿宋_GB2312" w:cs="仿宋_GB2312" w:hint="eastAsia"/>
          <w:kern w:val="0"/>
          <w:sz w:val="32"/>
          <w:szCs w:val="32"/>
          <w:lang w:val="en-US" w:eastAsia="zh-CN"/>
        </w:rPr>
      </w:pPr>
      <w:r>
        <w:rPr>
          <w:rFonts w:ascii="楷体" w:eastAsia="楷体" w:cs="楷体" w:hint="eastAsia"/>
          <w:kern w:val="2"/>
          <w:sz w:val="32"/>
          <w:szCs w:val="32"/>
          <w:lang w:val="en-US" w:eastAsia="zh-CN"/>
        </w:rPr>
        <w:t>（三）相关建议。</w:t>
      </w:r>
      <w:r>
        <w:rPr>
          <w:rFonts w:ascii="仿宋_GB2312" w:eastAsia="仿宋_GB2312" w:cs="仿宋_GB2312" w:hint="eastAsia"/>
          <w:kern w:val="0"/>
          <w:sz w:val="32"/>
          <w:szCs w:val="32"/>
          <w:lang w:val="en-US" w:eastAsia="zh-CN"/>
        </w:rPr>
        <w:t>一是进一步科学合理做好应急物资储备。各乡镇、相关部门要结合中央、省、州自然灾害物资储备工作规划要求，针对我县处置实发事件的特点、结合本辖区本部门实际，定期对应急物资储备情况进行统计核实、严禁挤占挪用，对需完善补给的物资种类、数量、标准，进行调研论证，确保“实用、管用、用得上”，拟定采购需求，切实提高物资使用的经济效率。二是进一步严格细致做好应急物资储备管理。实现乡镇与部门、部门与部门应急物资互通互联和应急物资的动态管理，切实掌握应急物资“有什么、有多少、在哪里、如何调”等情况，规范物资采购、入库、出库、使用各环节监管，做到家底清楚、心中有数，同时对消耗的物资要进行及时补给，提高物资使用的社会效率。三是进一步严格责任做好应急通</w:t>
      </w:r>
      <w:r>
        <w:rPr>
          <w:rFonts w:ascii="仿宋_GB2312" w:eastAsia="仿宋_GB2312" w:cs="仿宋_GB2312"/>
          <w:kern w:val="0"/>
          <w:sz w:val="32"/>
          <w:szCs w:val="32"/>
          <w:lang w:val="en-US" w:eastAsia="zh-CN"/>
        </w:rPr>
        <w:t>信</w:t>
      </w:r>
      <w:bookmarkStart w:id="61" w:name="_GoBack"/>
      <w:bookmarkEnd w:id="61"/>
      <w:r>
        <w:rPr>
          <w:rFonts w:ascii="仿宋_GB2312" w:eastAsia="仿宋_GB2312" w:cs="仿宋_GB2312" w:hint="eastAsia"/>
          <w:kern w:val="0"/>
          <w:sz w:val="32"/>
          <w:szCs w:val="32"/>
          <w:lang w:val="en-US" w:eastAsia="zh-CN"/>
        </w:rPr>
        <w:t>保障能力。县境内运营的电信公司、移动公司、联通公司、电力企业要充实运营抢险力量，对各基站、线路、设备进行及时维护，特别要保障通讯基站供电设备，确保在汛期、特别在突发情况时全县的通讯网络畅通，切实提高应急响应能力。四进一步统筹力量做好应急准备。进一步摸清县境内施工单位运输车辆、抢险救援装备种类和数量，与县境内15家在建国有施工单位签订应急抢险合同、在突发事故发生时，就近紧急调动装载机、挖掘机、推土机等大型机械和救援队伍力量，实行联防联动联治，切实提高处突效率。五进一步加大投入做好经费保障。我县自然灾害频发，备灾储备不足，建议由县财政适当增加应急抢险备灾预算资金，切实提高备灾储备能力。</w:t>
      </w:r>
    </w:p>
    <w:p>
      <w:pPr>
        <w:keepNext w:val="0"/>
        <w:keepLines w:val="0"/>
        <w:pageBreakBefore w:val="0"/>
        <w:widowControl w:val="0"/>
        <w:kinsoku/>
        <w:wordWrap/>
        <w:overflowPunct/>
        <w:topLinePunct w:val="0"/>
        <w:autoSpaceDE/>
        <w:autoSpaceDN/>
        <w:bidi w:val="0"/>
        <w:adjustRightInd/>
        <w:snapToGrid/>
        <w:spacing w:line="500" w:lineRule="exact"/>
        <w:ind w:firstLineChars="400" w:firstLine="1280"/>
        <w:textAlignment w:val="auto"/>
        <w:rPr>
          <w:rFonts w:ascii="仿宋_GB2312" w:eastAsia="仿宋_GB2312" w:cs="仿宋_GB2312" w:hint="eastAsia"/>
          <w:kern w:val="0"/>
          <w:sz w:val="32"/>
          <w:szCs w:val="32"/>
          <w:lang w:val="en-US" w:eastAsia="zh-CN"/>
        </w:rPr>
      </w:pPr>
    </w:p>
    <w:p>
      <w:pPr>
        <w:pStyle w:val="1"/>
        <w:rPr>
          <w:rFonts w:hint="eastAsia"/>
        </w:rPr>
      </w:pPr>
    </w:p>
    <w:p>
      <w:pPr>
        <w:pStyle w:val="1"/>
        <w:rPr>
          <w:rFonts w:hint="eastAsia"/>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59"/>
    </w:p>
    <w:p>
      <w:pPr>
        <w:pStyle w:val="25"/>
        <w:tabs>
          <w:tab w:val="clear" w:pos="8296"/>
          <w:tab w:val="left" w:pos="221"/>
        </w:tabs>
        <w:ind w:leftChars="0" w:left="0" w:firstLine="0"/>
        <w:jc w:val="left"/>
        <w:rPr>
          <w:rFonts w:ascii="仿宋" w:eastAsia="仿宋" w:cs="Times New Roman" w:hint="eastAsia"/>
          <w:b w:val="0"/>
          <w:bCs/>
          <w:color w:val="000000"/>
          <w:kern w:val="2"/>
          <w:sz w:val="32"/>
          <w:szCs w:val="32"/>
          <w:lang w:val="en-US" w:eastAsia="zh-CN" w:bidi="ar-SA"/>
        </w:rPr>
      </w:pPr>
      <w:bookmarkEnd w:id="60"/>
    </w:p>
    <w:p>
      <w:pPr>
        <w:pStyle w:val="25"/>
        <w:tabs>
          <w:tab w:val="clear" w:pos="8296"/>
          <w:tab w:val="left" w:pos="221"/>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一、</w:t>
      </w:r>
      <w:r>
        <w:rPr>
          <w:rFonts w:ascii="仿宋" w:eastAsia="仿宋" w:cs="Times New Roman" w:hint="eastAsia"/>
          <w:b w:val="0"/>
          <w:bCs/>
          <w:color w:val="000000"/>
          <w:kern w:val="2"/>
          <w:sz w:val="32"/>
          <w:szCs w:val="32"/>
          <w:lang w:val="en-US" w:eastAsia="zh-CN" w:bidi="ar-SA"/>
        </w:rPr>
        <w:fldChar w:fldCharType="begin"/>
      </w:r>
      <w:r>
        <w:instrText>HYPERLINK  \l "_Toc15396619"</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收入支出决算总表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二、</w:t>
      </w:r>
      <w:r>
        <w:rPr>
          <w:rFonts w:ascii="仿宋" w:eastAsia="仿宋" w:cs="Times New Roman" w:hint="eastAsia"/>
          <w:b w:val="0"/>
          <w:bCs/>
          <w:color w:val="000000"/>
          <w:kern w:val="2"/>
          <w:sz w:val="32"/>
          <w:szCs w:val="32"/>
          <w:lang w:val="en-US" w:eastAsia="zh-CN" w:bidi="ar-SA"/>
        </w:rPr>
        <w:fldChar w:fldCharType="begin"/>
      </w:r>
      <w:r>
        <w:instrText>HYPERLINK  \l "_Toc15396620"</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收入决算表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三、</w:t>
      </w:r>
      <w:r>
        <w:rPr>
          <w:rFonts w:ascii="仿宋" w:eastAsia="仿宋" w:cs="Times New Roman" w:hint="eastAsia"/>
          <w:b w:val="0"/>
          <w:bCs/>
          <w:color w:val="000000"/>
          <w:kern w:val="2"/>
          <w:sz w:val="32"/>
          <w:szCs w:val="32"/>
          <w:lang w:val="en-US" w:eastAsia="zh-CN" w:bidi="ar-SA"/>
        </w:rPr>
        <w:fldChar w:fldCharType="begin"/>
      </w:r>
      <w:r>
        <w:instrText>HYPERLINK  \l "_Toc15396621"</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支出决算表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四、财政拨款收入</w:t>
      </w:r>
      <w:r>
        <w:rPr>
          <w:rFonts w:ascii="仿宋" w:eastAsia="仿宋" w:cs="Times New Roman" w:hint="eastAsia"/>
          <w:b w:val="0"/>
          <w:bCs/>
          <w:color w:val="000000"/>
          <w:kern w:val="2"/>
          <w:sz w:val="32"/>
          <w:szCs w:val="32"/>
          <w:lang w:val="en-US" w:eastAsia="zh-CN" w:bidi="ar-SA"/>
        </w:rPr>
        <w:fldChar w:fldCharType="begin"/>
      </w:r>
      <w:r>
        <w:instrText>HYPERLINK  \l "_Toc15396622"</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支出决算总表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五、财政拨款</w:t>
      </w:r>
      <w:r>
        <w:rPr>
          <w:rFonts w:ascii="仿宋" w:eastAsia="仿宋" w:cs="Times New Roman" w:hint="eastAsia"/>
          <w:b w:val="0"/>
          <w:bCs/>
          <w:color w:val="000000"/>
          <w:kern w:val="2"/>
          <w:sz w:val="32"/>
          <w:szCs w:val="32"/>
          <w:lang w:val="en-US" w:eastAsia="zh-CN" w:bidi="ar-SA"/>
        </w:rPr>
        <w:fldChar w:fldCharType="begin"/>
      </w:r>
      <w:r>
        <w:instrText>HYPERLINK  \l "_Toc15396623"</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支出决算明细表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六、</w:t>
      </w:r>
      <w:r>
        <w:rPr>
          <w:rFonts w:ascii="仿宋" w:eastAsia="仿宋" w:cs="Times New Roman" w:hint="eastAsia"/>
          <w:b w:val="0"/>
          <w:bCs/>
          <w:color w:val="000000"/>
          <w:kern w:val="2"/>
          <w:sz w:val="32"/>
          <w:szCs w:val="32"/>
          <w:lang w:val="en-US" w:eastAsia="zh-CN" w:bidi="ar-SA"/>
        </w:rPr>
        <w:fldChar w:fldCharType="begin"/>
      </w:r>
      <w:r>
        <w:instrText>HYPERLINK  \l "_Toc15396625"</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一般公共预算财政拨款支出决算表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七、</w:t>
      </w:r>
      <w:r>
        <w:rPr>
          <w:rFonts w:ascii="仿宋" w:eastAsia="仿宋" w:cs="Times New Roman" w:hint="eastAsia"/>
          <w:b w:val="0"/>
          <w:bCs/>
          <w:color w:val="000000"/>
          <w:kern w:val="2"/>
          <w:sz w:val="32"/>
          <w:szCs w:val="32"/>
          <w:lang w:val="en-US" w:eastAsia="zh-CN" w:bidi="ar-SA"/>
        </w:rPr>
        <w:fldChar w:fldCharType="begin"/>
      </w:r>
      <w:r>
        <w:instrText>HYPERLINK  \l "_Toc15396626"</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一般公共预算财政拨款支出决算明细表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八、</w:t>
      </w:r>
      <w:r>
        <w:rPr>
          <w:rFonts w:ascii="仿宋" w:eastAsia="仿宋" w:cs="Times New Roman" w:hint="eastAsia"/>
          <w:b w:val="0"/>
          <w:bCs/>
          <w:color w:val="000000"/>
          <w:kern w:val="2"/>
          <w:sz w:val="32"/>
          <w:szCs w:val="32"/>
          <w:lang w:val="en-US" w:eastAsia="zh-CN" w:bidi="ar-SA"/>
        </w:rPr>
        <w:fldChar w:fldCharType="begin"/>
      </w:r>
      <w:r>
        <w:instrText>HYPERLINK  \l "_Toc15396626"</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一般公共预算财政拨款支出决算明细表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九、一般公共预算财政拨款项目支出决算表</w:t>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w:t>
      </w:r>
      <w:r>
        <w:rPr>
          <w:rFonts w:ascii="仿宋" w:eastAsia="仿宋" w:cs="Times New Roman" w:hint="eastAsia"/>
          <w:b w:val="0"/>
          <w:bCs/>
          <w:color w:val="000000"/>
          <w:kern w:val="2"/>
          <w:sz w:val="32"/>
          <w:szCs w:val="32"/>
          <w:lang w:val="en-US" w:eastAsia="zh-CN" w:bidi="ar-SA"/>
        </w:rPr>
        <w:fldChar w:fldCharType="begin"/>
      </w:r>
      <w:r>
        <w:instrText>HYPERLINK  \l "_Toc15396627"</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政府性基金预算财政拨款收入支出决算表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十一、</w:t>
      </w:r>
      <w:r>
        <w:rPr>
          <w:rFonts w:ascii="仿宋" w:eastAsia="仿宋" w:cs="Times New Roman" w:hint="eastAsia"/>
          <w:b w:val="0"/>
          <w:bCs/>
          <w:color w:val="000000"/>
          <w:kern w:val="2"/>
          <w:sz w:val="32"/>
          <w:szCs w:val="32"/>
          <w:lang w:val="en-US" w:eastAsia="zh-CN" w:bidi="ar-SA"/>
        </w:rPr>
        <w:fldChar w:fldCharType="begin"/>
      </w:r>
      <w:r>
        <w:instrText>HYPERLINK  \l "_Toc15396629"</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国有资本经营预算财政拨款收入支出决算表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十二、</w:t>
      </w:r>
      <w:r>
        <w:rPr>
          <w:rFonts w:ascii="仿宋" w:eastAsia="仿宋" w:cs="Times New Roman" w:hint="eastAsia"/>
          <w:b w:val="0"/>
          <w:bCs/>
          <w:color w:val="000000"/>
          <w:kern w:val="2"/>
          <w:sz w:val="32"/>
          <w:szCs w:val="32"/>
          <w:lang w:val="en-US" w:eastAsia="zh-CN" w:bidi="ar-SA"/>
        </w:rPr>
        <w:fldChar w:fldCharType="begin"/>
      </w:r>
      <w:r>
        <w:instrText>HYPERLINK  \l "_Toc15396629"</w:instrText>
      </w:r>
      <w:r>
        <w:rPr>
          <w:rFonts w:ascii="仿宋" w:eastAsia="仿宋" w:cs="Times New Roman" w:hint="eastAsia"/>
          <w:b w:val="0"/>
          <w:bCs/>
          <w:color w:val="000000"/>
          <w:kern w:val="2"/>
          <w:sz w:val="32"/>
          <w:szCs w:val="32"/>
          <w:lang w:val="en-US" w:eastAsia="zh-CN" w:bidi="ar-SA"/>
        </w:rPr>
        <w:fldChar w:fldCharType="separate"/>
      </w:r>
      <w:r>
        <w:rPr>
          <w:rFonts w:ascii="仿宋" w:eastAsia="仿宋" w:cs="Times New Roman" w:hint="eastAsia"/>
          <w:b w:val="0"/>
          <w:bCs/>
          <w:color w:val="000000"/>
          <w:kern w:val="2"/>
          <w:sz w:val="32"/>
          <w:szCs w:val="32"/>
          <w:lang w:val="en-US" w:eastAsia="zh-CN" w:bidi="ar-SA"/>
        </w:rPr>
        <w:t>国有资本经营预算财政拨款支出决算表</w:t>
      </w:r>
      <w:r>
        <w:rPr>
          <w:rFonts w:ascii="仿宋" w:eastAsia="仿宋" w:cs="Times New Roman" w:hint="eastAsia"/>
          <w:b w:val="0"/>
          <w:bCs/>
          <w:color w:val="000000"/>
          <w:kern w:val="2"/>
          <w:sz w:val="32"/>
          <w:szCs w:val="32"/>
          <w:lang w:val="en-US" w:eastAsia="zh-CN" w:bidi="ar-SA"/>
        </w:rPr>
        <w:fldChar w:fldCharType="end"/>
      </w:r>
    </w:p>
    <w:p>
      <w:pPr>
        <w:pStyle w:val="25"/>
        <w:tabs>
          <w:tab w:val="right" w:leader="dot" w:pos="8296"/>
        </w:tabs>
        <w:ind w:leftChars="0" w:left="0" w:firstLine="0"/>
        <w:jc w:val="left"/>
        <w:rPr>
          <w:rFonts w:ascii="仿宋" w:eastAsia="仿宋" w:cs="Times New Roman"/>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十三、财政拨款“三公”经费支出决算表</w:t>
      </w:r>
    </w:p>
    <w:p>
      <w:pPr>
        <w:rPr>
          <w:rFonts w:hint="eastAsia"/>
        </w:rPr>
      </w:pPr>
    </w:p>
    <w:p>
      <w:pPr>
        <w:rPr>
          <w:rFonts w:hint="eastAsia"/>
        </w:rPr>
      </w:pPr>
    </w:p>
    <w:p/>
    <w:p/>
    <w:sectPr>
      <w:headerReference w:type="default" r:id="rId2"/>
      <w:footerReference w:type="default" r:id="rId3"/>
      <w:pgSz w:w="11906" w:h="16838"/>
      <w:pgMar w:top="1440" w:right="1576" w:bottom="1440" w:left="1576" w:header="851" w:footer="992" w:gutter="0"/>
      <w:pgNumType w:start="1"/>
      <w:titlePg/>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楷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panose1 w:val="02010600030101010101"/>
    <w:charset w:val="50"/>
    <w:family w:val="auto"/>
    <w:pitch w:val="variable"/>
    <w:sig w:usb0="00000003" w:usb1="288F0000" w:usb2="0000000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18917683"/>
      <w:docPartList>
        <w:docPartGallery w:val="autotext"/>
      </w:docPartList>
    </w:sdtPr>
    <w:sdtContent>
      <w:p>
        <w:pPr>
          <w:pStyle w:val="21"/>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F6FAC4D"/>
    <w:multiLevelType w:val="singleLevel"/>
    <w:tmpl w:val="DF6FAC4D"/>
    <w:lvl w:ilvl="0">
      <w:start w:val="3"/>
      <w:numFmt w:val="decimal"/>
      <w:lvlRestart w:val="0"/>
      <w:suff w:val="nothing"/>
      <w:lvlText w:val="%1、"/>
      <w:lvlJc w:val="left"/>
      <w:pPr>
        <w:ind w:left="-10" w:firstLine="10"/>
      </w:pPr>
      <w:rPr>
        <w:rFonts w:hint="default"/>
        <w:b/>
        <w:bCs/>
      </w:rPr>
    </w:lvl>
  </w:abstractNum>
  <w:abstractNum w:abstractNumId="1">
    <w:nsid w:val="C5BA9017"/>
    <w:multiLevelType w:val="singleLevel"/>
    <w:tmpl w:val="C5BA9017"/>
    <w:lvl w:ilvl="0">
      <w:start w:val="1"/>
      <w:numFmt w:val="decimal"/>
      <w:lvlRestart w:val="0"/>
      <w:suff w:val="nothing"/>
      <w:lvlText w:val="（%1）"/>
      <w:lvlJc w:val="left"/>
      <w:pPr>
        <w:ind w:left="-2" w:firstLine="2"/>
      </w:pPr>
    </w:lvl>
  </w:abstractNum>
  <w:abstractNum w:abstractNumId="2">
    <w:nsid w:val="5FD7E5F5"/>
    <w:multiLevelType w:val="singleLevel"/>
    <w:tmpl w:val="5FD7E5F5"/>
    <w:lvl w:ilvl="0">
      <w:start w:val="1"/>
      <w:numFmt w:val="decimal"/>
      <w:lvlRestart w:val="0"/>
      <w:suff w:val="nothing"/>
      <w:lvlText w:val="（%1）"/>
      <w:lvlJc w:val="left"/>
      <w:pPr>
        <w:ind w:left="0" w:hanging="0"/>
      </w:pPr>
    </w:lvl>
  </w:abstractNum>
  <w:abstractNum w:abstractNumId="3">
    <w:nsid w:val="DFDEA05B"/>
    <w:multiLevelType w:val="singleLevel"/>
    <w:tmpl w:val="DFDEA05B"/>
    <w:lvl w:ilvl="0">
      <w:start w:val="1"/>
      <w:numFmt w:val="decimal"/>
      <w:lvlRestart w:val="0"/>
      <w:suff w:val="nothing"/>
      <w:lvlText w:val="（%1）"/>
      <w:lvlJc w:val="left"/>
      <w:pPr>
        <w:ind w:left="0" w:hanging="0"/>
      </w:pPr>
    </w:lvl>
  </w:abstractNum>
  <w:abstractNum w:abstractNumId="4">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6">
    <w:nsid w:val="CF092B84"/>
    <w:multiLevelType w:val="multilevel"/>
    <w:tmpl w:val="CF092B84"/>
    <w:lvl w:ilvl="0">
      <w:start w:val="2"/>
      <w:numFmt w:val="chineseCountingThousand"/>
      <w:lvlRestart w:val="0"/>
      <w:suff w:val="nothing"/>
      <w:lvlText w:val="（%1）"/>
      <w:lvlJc w:val="left"/>
      <w:pPr>
        <w:ind w:left="0" w:hanging="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A6E9B2D1"/>
    <w:multiLevelType w:val="multilevel"/>
    <w:tmpl w:val="A6E9B2D1"/>
    <w:lvl w:ilvl="0">
      <w:start w:val="3"/>
      <w:numFmt w:val="chineseCounting"/>
      <w:lvlRestart w:val="0"/>
      <w:suff w:val="nothing"/>
      <w:lvlText w:val="%1、"/>
      <w:lvlJc w:val="left"/>
      <w:pPr>
        <w:ind w:left="0" w:hanging="0"/>
      </w:pPr>
      <w:rPr>
        <w:rFonts w:ascii="宋体" w:hAnsi="宋体" w:eastAsia="宋体" w:cs="宋体" w:hint="eastAsia"/>
      </w:rPr>
    </w:lvl>
    <w:lvl w:ilvl="1">
      <w:start w:val="1"/>
      <w:numFmt w:val="decimal"/>
      <w:lvlText w:val="%2."/>
      <w:lvlJc w:val="left"/>
      <w:pPr>
        <w:ind w:left="1440" w:firstLine="65176"/>
      </w:pPr>
    </w:lvl>
    <w:lvl w:ilvl="2">
      <w:start w:val="1"/>
      <w:numFmt w:val="decimal"/>
      <w:lvlText w:val="%3."/>
      <w:lvlJc w:val="left"/>
      <w:pPr>
        <w:ind w:left="2160" w:firstLine="65176"/>
      </w:pPr>
    </w:lvl>
    <w:lvl w:ilvl="3">
      <w:start w:val="1"/>
      <w:numFmt w:val="decimal"/>
      <w:lvlText w:val="%4."/>
      <w:lvlJc w:val="left"/>
      <w:pPr>
        <w:ind w:left="2880" w:firstLine="65176"/>
      </w:pPr>
    </w:lvl>
    <w:lvl w:ilvl="4">
      <w:start w:val="1"/>
      <w:numFmt w:val="decimal"/>
      <w:lvlText w:val="%5."/>
      <w:lvlJc w:val="left"/>
      <w:pPr>
        <w:ind w:left="3600" w:firstLine="65176"/>
      </w:pPr>
    </w:lvl>
    <w:lvl w:ilvl="5">
      <w:start w:val="1"/>
      <w:numFmt w:val="decimal"/>
      <w:lvlText w:val="%6."/>
      <w:lvlJc w:val="left"/>
      <w:pPr>
        <w:ind w:left="4320" w:firstLine="65176"/>
      </w:pPr>
    </w:lvl>
    <w:lvl w:ilvl="6">
      <w:start w:val="1"/>
      <w:numFmt w:val="decimal"/>
      <w:lvlText w:val="%7."/>
      <w:lvlJc w:val="left"/>
      <w:pPr>
        <w:ind w:left="5040" w:firstLine="65176"/>
      </w:pPr>
    </w:lvl>
    <w:lvl w:ilvl="7">
      <w:start w:val="1"/>
      <w:numFmt w:val="decimal"/>
      <w:lvlText w:val="%8."/>
      <w:lvlJc w:val="left"/>
      <w:pPr>
        <w:ind w:left="5760" w:firstLine="65176"/>
      </w:pPr>
    </w:lvl>
    <w:lvl w:ilvl="8">
      <w:start w:val="1"/>
      <w:numFmt w:val="decimal"/>
      <w:lvlText w:val="%9."/>
      <w:lvlJc w:val="left"/>
      <w:pPr>
        <w:ind w:left="6480" w:firstLine="65176"/>
      </w:pPr>
    </w:lvl>
  </w:abstractNum>
  <w:abstractNum w:abstractNumId="8">
    <w:nsid w:val="D37B6F00"/>
    <w:multiLevelType w:val="singleLevel"/>
    <w:tmpl w:val="D37B6F00"/>
    <w:lvl w:ilvl="0">
      <w:start w:val="1"/>
      <w:numFmt w:val="chineseCounting"/>
      <w:lvlRestart w:val="0"/>
      <w:suff w:val="nothing"/>
      <w:lvlText w:val="（%1）"/>
      <w:lvlJc w:val="left"/>
      <w:pPr>
        <w:ind w:left="-15" w:firstLine="15"/>
      </w:pPr>
      <w:rPr>
        <w:rFonts w:hint="eastAsia"/>
      </w:rPr>
    </w:lvl>
  </w:abstractNum>
  <w:abstractNum w:abstractNumId="9">
    <w:nsid w:val="BF6EAA8B"/>
    <w:multiLevelType w:val="singleLevel"/>
    <w:tmpl w:val="BF6EAA8B"/>
    <w:lvl w:ilvl="0">
      <w:start w:val="1"/>
      <w:numFmt w:val="decimal"/>
      <w:lvlRestart w:val="0"/>
      <w:pStyle w:val="15"/>
      <w:lvlText w:val="%1."/>
      <w:lvlJc w:val="left"/>
      <w:pPr>
        <w:ind w:left="36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djM2NiZjJhNjU1YTBhYzIzM2RhYjI4OWNiZTM2Z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w:basedOn w:val="0"/>
    <w:pPr>
      <w:numPr>
        <w:ilvl w:val="0"/>
        <w:numId w:val="10"/>
      </w:numPr>
    </w:p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widowControl/>
      <w:spacing w:before="100" w:beforeAutospacing="1" w:after="100" w:afterAutospacing="1"/>
      <w:jc w:val="left"/>
    </w:pPr>
    <w:rPr>
      <w:rFonts w:ascii="宋体" w:cs="宋体"/>
      <w:kern w:val="0"/>
      <w:sz w:val="24"/>
    </w:rPr>
  </w:style>
  <w:style w:type="paragraph" w:styleId="18">
    <w:name w:val="Body Text First Indent 2"/>
    <w:basedOn w:val="17"/>
    <w:next w:val="0"/>
    <w:pPr>
      <w:widowControl w:val="0"/>
      <w:spacing w:before="0" w:beforeAutospacing="0" w:after="120" w:afterAutospacing="0"/>
      <w:ind w:leftChars="200" w:left="200" w:right="0" w:firstLineChars="200" w:firstLine="200"/>
      <w:jc w:val="both"/>
    </w:pPr>
    <w:rPr>
      <w:rFonts w:ascii="Times New Roman" w:eastAsia="宋体" w:cs="Times New Roman" w:hAnsi="Times New Roman"/>
      <w:kern w:val="2"/>
      <w:sz w:val="21"/>
      <w:szCs w:val="24"/>
      <w:lang w:val="en-US" w:eastAsia="zh-CN"/>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able of figures"/>
    <w:basedOn w:val="0"/>
    <w:next w:val="0"/>
    <w:pPr>
      <w:widowControl w:val="0"/>
      <w:spacing w:before="100" w:beforeAutospacing="1" w:after="100" w:afterAutospacing="1"/>
      <w:ind w:leftChars="200" w:left="400" w:right="0" w:hangingChars="200" w:hanging="200"/>
      <w:jc w:val="both"/>
    </w:pPr>
    <w:rPr>
      <w:rFonts w:ascii="Times New Roman" w:eastAsia="宋体" w:cs="Times New Roman" w:hAnsi="Times New Roman"/>
      <w:kern w:val="2"/>
      <w:sz w:val="21"/>
      <w:szCs w:val="24"/>
      <w:lang w:val="en-US" w:eastAsia="zh-CN" w:bidi="ar-SA"/>
    </w:rPr>
  </w:style>
  <w:style w:type="paragraph" w:styleId="25">
    <w:name w:val="toc 2"/>
    <w:basedOn w:val="0"/>
    <w:next w:val="0"/>
    <w:pPr>
      <w:tabs>
        <w:tab w:val="right" w:leader="dot" w:pos="8296"/>
      </w:tabs>
      <w:ind w:leftChars="200" w:left="200"/>
    </w:pPr>
  </w:style>
  <w:style w:type="paragraph" w:styleId="26">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7">
    <w:name w:val="Normal (Web)"/>
    <w:basedOn w:val="0"/>
    <w:pPr>
      <w:widowControl/>
      <w:jc w:val="left"/>
    </w:pPr>
    <w:rPr>
      <w:rFonts w:ascii="宋体" w:cs="宋体"/>
      <w:kern w:val="0"/>
      <w:sz w:val="24"/>
      <w:szCs w:val="24"/>
    </w:rPr>
  </w:style>
  <w:style w:type="paragraph" w:styleId="28">
    <w:name w:val="Title"/>
    <w:basedOn w:val="0"/>
    <w:pPr>
      <w:widowControl w:val="0"/>
      <w:suppressAutoHyphens/>
      <w:bidi w:val="0"/>
      <w:spacing w:before="240" w:after="60"/>
      <w:jc w:val="center"/>
      <w:textAlignment w:val="baseline"/>
    </w:pPr>
    <w:rPr>
      <w:rFonts w:ascii="Arial" w:eastAsia="宋体" w:cs="Arial" w:hAnsi="Arial"/>
      <w:b/>
      <w:bCs/>
      <w:color w:val="000000"/>
      <w:kern w:val="2"/>
      <w:sz w:val="32"/>
      <w:szCs w:val="32"/>
      <w:lang w:val="en-US" w:eastAsia="zh-CN" w:bidi="ar-SA"/>
    </w:rPr>
  </w:style>
  <w:style w:type="character" w:styleId="29">
    <w:name w:val="Strong"/>
    <w:basedOn w:val="10"/>
    <w:rPr>
      <w:b/>
    </w:rPr>
  </w:style>
  <w:style w:type="character" w:styleId="30">
    <w:name w:val="Hyperlink"/>
    <w:basedOn w:val="10"/>
    <w:rPr>
      <w:color w:val="0000FF"/>
      <w:u w:val="single"/>
    </w:rPr>
  </w:style>
  <w:style w:type="paragraph" w:customStyle="1" w:styleId="31">
    <w:name w:val="Body Text First Indent 2"/>
    <w:basedOn w:val="17"/>
    <w:pPr>
      <w:widowControl w:val="0"/>
      <w:spacing w:before="0" w:beforeAutospacing="0" w:after="120" w:afterAutospacing="0"/>
      <w:ind w:leftChars="200" w:left="200" w:firstLineChars="200" w:firstLine="200"/>
      <w:jc w:val="both"/>
    </w:pPr>
    <w:rPr>
      <w:rFonts w:ascii="Times New Roman" w:cs="Times New Roman" w:hAnsi="Times New Roman"/>
      <w:kern w:val="2"/>
      <w:sz w:val="21"/>
      <w:szCs w:val="21"/>
    </w:rPr>
  </w:style>
  <w:style w:type="character" w:customStyle="1" w:styleId="32">
    <w:name w:val="Header Char"/>
    <w:basedOn w:val="10"/>
    <w:rPr>
      <w:rFonts w:ascii="Times New Roman" w:hAnsi="Times New Roman"/>
      <w:sz w:val="18"/>
      <w:szCs w:val="18"/>
    </w:rPr>
  </w:style>
  <w:style w:type="character" w:customStyle="1" w:styleId="33">
    <w:name w:val="Footer Char"/>
    <w:basedOn w:val="10"/>
    <w:rPr>
      <w:rFonts w:ascii="Times New Roman" w:hAnsi="Times New Roman"/>
      <w:sz w:val="18"/>
      <w:szCs w:val="18"/>
    </w:rPr>
  </w:style>
  <w:style w:type="character" w:customStyle="1" w:styleId="34">
    <w:name w:val="Body Text Char"/>
    <w:basedOn w:val="10"/>
    <w:rPr>
      <w:rFonts w:ascii="Times New Roman" w:hAnsi="Times New Roman"/>
      <w:szCs w:val="24"/>
    </w:rPr>
  </w:style>
  <w:style w:type="paragraph" w:customStyle="1" w:styleId="35">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6">
    <w:name w:val="List Paragraph"/>
    <w:basedOn w:val="0"/>
    <w:pPr>
      <w:ind w:firstLineChars="200" w:firstLine="200"/>
    </w:pPr>
  </w:style>
  <w:style w:type="paragraph" w:customStyle="1" w:styleId="37">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8">
    <w:name w:val="正文1"/>
    <w:pPr>
      <w:widowControl w:val="0"/>
      <w:suppressAutoHyphens w:val="0"/>
      <w:bidi w:val="0"/>
      <w:jc w:val="both"/>
    </w:pPr>
    <w:rPr>
      <w:rFonts w:ascii="Calibri" w:eastAsia="宋体" w:cs="Times New Roman" w:hAnsi="Calibri"/>
      <w:color w:val="auto"/>
      <w:kern w:val="2"/>
      <w:sz w:val="21"/>
      <w:szCs w:val="24"/>
      <w:lang w:val="en-US" w:eastAsia="zh-CN" w:bidi="ar-SA"/>
    </w:rPr>
  </w:style>
  <w:style w:type="paragraph" w:customStyle="1" w:styleId="39">
    <w:name w:val="ToCaption"/>
    <w:basedOn w:val="0"/>
    <w:next w:val="0"/>
    <w:pPr>
      <w:spacing w:before="100" w:beforeAutospacing="1" w:after="100" w:afterAutospacing="1"/>
      <w:ind w:leftChars="200" w:left="400" w:right="0" w:hangingChars="200" w:hanging="200"/>
      <w:jc w:val="both"/>
      <w:textAlignment w:val="baseline"/>
    </w:pPr>
    <w:rPr>
      <w:rFonts w:ascii="Times New Roman" w:eastAsia="宋体" w:hAnsi="Times New Roman"/>
      <w:kern w:val="2"/>
      <w:sz w:val="21"/>
      <w:szCs w:val="24"/>
      <w:lang w:val="en-US" w:eastAsia="zh-CN" w:bidi="ar-SA"/>
    </w:rPr>
  </w:style>
  <w:style w:type="paragraph" w:customStyle="1" w:styleId="40">
    <w:name w:val="标"/>
    <w:basedOn w:val="0"/>
    <w:pPr>
      <w:spacing w:line="300" w:lineRule="auto"/>
      <w:ind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chart" Target="charts/chart8.xml"/><Relationship Id="rId12" Type="http://schemas.openxmlformats.org/officeDocument/2006/relationships/chart" Target="charts/chart9.xml"/><Relationship Id="rId13" Type="http://schemas.openxmlformats.org/officeDocument/2006/relationships/chart" Target="charts/chart10.xml"/><Relationship Id="rId14" Type="http://schemas.openxmlformats.org/officeDocument/2006/relationships/chart" Target="charts/chart11.xml"/><Relationship Id="rId15" Type="http://schemas.openxmlformats.org/officeDocument/2006/relationships/chart" Target="charts/chart12.xml"/><Relationship Id="rId16" Type="http://schemas.openxmlformats.org/officeDocument/2006/relationships/chart" Target="charts/chart13.xml"/><Relationship Id="rId17" Type="http://schemas.openxmlformats.org/officeDocument/2006/relationships/chart" Target="charts/chart14.xml"/><Relationship Id="rId18" Type="http://schemas.openxmlformats.org/officeDocument/2006/relationships/chart" Target="charts/chart15.xml"/><Relationship Id="rId19" Type="http://schemas.openxmlformats.org/officeDocument/2006/relationships/chart" Target="charts/chart16.xml"/><Relationship Id="rId20" Type="http://schemas.openxmlformats.org/officeDocument/2006/relationships/chart" Target="charts/chart17.xml"/><Relationship Id="rId21" Type="http://schemas.openxmlformats.org/officeDocument/2006/relationships/styles" Target="styles.xml"/><Relationship Id="rId22" Type="http://schemas.openxmlformats.org/officeDocument/2006/relationships/numbering" Target="numbering.xml"/><Relationship Id="rId2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char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char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char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char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char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char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char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char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char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收入占比情况</a:t>
            </a:r>
          </a:p>
        </c:rich>
      </c:tx>
      <c:layout>
        <c:manualLayout>
          <c:xMode val="edge"/>
          <c:yMode val="edge"/>
          <c:x val="0.35575"/>
          <c:y val="0.04305986"/>
        </c:manualLayout>
      </c:layout>
      <c:overlay val="0"/>
      <c:spPr>
        <a:noFill/>
        <a:ln>
          <a:noFill/>
        </a:ln>
      </c:spPr>
    </c:title>
    <c:autoTitleDeleted val="0"/>
    <c:plotArea>
      <c:layout>
        <c:manualLayout>
          <c:layoutTarget val="inner"/>
          <c:xMode val="edge"/>
          <c:yMode val="edge"/>
          <c:x val="0.038"/>
          <c:y val="0.22533333"/>
          <c:w val="0.61025"/>
          <c:h val="0.7696667"/>
        </c:manualLayout>
      </c:layout>
      <c:pieChart>
        <c:varyColors val="1"/>
        <c:ser>
          <c:idx val="0"/>
          <c:order val="0"/>
          <c:tx>
            <c:strRef>
              <c:f>'Sheet1'!$B$1</c:f>
              <c:strCache>
                <c:ptCount val="1"/>
                <c:pt idx="0">
                  <c:v>收入占比情况</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0012232"/>
                  <c:y val="-0.2504160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84.42</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9.96</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2"/>
              <c:layout>
                <c:manualLayout>
                  <c:x val="0.044297684"/>
                  <c:y val="0.04452508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5.61</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Ref>
              <c:f>'Sheet1'!$A$2:$A$4</c:f>
              <c:strCache>
                <c:ptCount val="3"/>
                <c:pt idx="0">
                  <c:v>金川县应急管理局</c:v>
                </c:pt>
                <c:pt idx="1">
                  <c:v>金川县应急管理保障中心</c:v>
                </c:pt>
                <c:pt idx="2">
                  <c:v>金川县综合应急救援服务工作中心</c:v>
                </c:pt>
              </c:strCache>
            </c:strRef>
          </c:cat>
          <c:val>
            <c:numRef>
              <c:f>'Sheet1'!$B$2:$B$4</c:f>
              <c:numCache>
                <c:formatCode>General</c:formatCode>
                <c:ptCount val="3"/>
                <c:pt idx="0">
                  <c:v>84.42</c:v>
                </c:pt>
                <c:pt idx="1">
                  <c:v>9.96</c:v>
                </c:pt>
                <c:pt idx="2">
                  <c:v>5.61</c:v>
                </c:pt>
              </c:numCache>
            </c:numRef>
          </c:val>
        </c:ser>
        <c:firstSliceAng val="0"/>
      </c:pieChart>
      <c:spPr>
        <a:noFill/>
        <a:ln>
          <a:noFill/>
        </a:ln>
      </c:spPr>
    </c:plotArea>
    <c:legend>
      <c:legendPos val="r"/>
      <c:layout>
        <c:manualLayout>
          <c:xMode val="edge"/>
          <c:yMode val="edge"/>
          <c:x val="0.64975"/>
          <c:y val="0.121083334"/>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财政拨款支出决算占比情况</a:t>
            </a:r>
          </a:p>
        </c:rich>
      </c:tx>
      <c:layout>
        <c:manualLayout>
          <c:xMode val="edge"/>
          <c:yMode val="edge"/>
          <c:x val="0.22675"/>
          <c:y val="0.042"/>
        </c:manualLayout>
      </c:layout>
      <c:overlay val="0"/>
      <c:spPr>
        <a:noFill/>
        <a:ln>
          <a:noFill/>
        </a:ln>
      </c:spPr>
    </c:title>
    <c:autoTitleDeleted val="1"/>
    <c:plotArea>
      <c:layout>
        <c:manualLayout>
          <c:layoutTarget val="inner"/>
          <c:xMode val="edge"/>
          <c:yMode val="edge"/>
          <c:x val="0.038"/>
          <c:y val="0.22533333"/>
          <c:w val="0.61025"/>
          <c:h val="0.7696667"/>
        </c:manualLayout>
      </c:layout>
      <c:pieChart>
        <c:varyColors val="1"/>
        <c:ser>
          <c:idx val="0"/>
          <c:order val="0"/>
          <c:tx>
            <c:strRef>
              <c:f>'Sheet1 (10)'!$B$1</c:f>
              <c:strCache>
                <c:ptCount val="1"/>
                <c:pt idx="0">
                  <c:v>收入占比情况</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0012232"/>
                  <c:y val="-0.2504160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84.42</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9.96</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2"/>
              <c:layout>
                <c:manualLayout>
                  <c:x val="0.044297684"/>
                  <c:y val="0.04452508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5.61</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Ref>
              <c:f>'Sheet1 (10)'!$A$2:$A$4</c:f>
              <c:strCache>
                <c:ptCount val="3"/>
                <c:pt idx="0">
                  <c:v>金川县应急管理局</c:v>
                </c:pt>
                <c:pt idx="1">
                  <c:v>金川县应急管理保障中心</c:v>
                </c:pt>
                <c:pt idx="2">
                  <c:v>金川县综合应急救援服务工作中心</c:v>
                </c:pt>
              </c:strCache>
            </c:strRef>
          </c:cat>
          <c:val>
            <c:numRef>
              <c:f>'Sheet1 (10)'!$B$2:$B$4</c:f>
              <c:numCache>
                <c:formatCode>General</c:formatCode>
                <c:ptCount val="3"/>
                <c:pt idx="0">
                  <c:v>84.42</c:v>
                </c:pt>
                <c:pt idx="1">
                  <c:v>9.96</c:v>
                </c:pt>
                <c:pt idx="2">
                  <c:v>5.61</c:v>
                </c:pt>
              </c:numCache>
            </c:numRef>
          </c:val>
        </c:ser>
        <c:firstSliceAng val="0"/>
      </c:pieChart>
      <c:spPr>
        <a:noFill/>
        <a:ln>
          <a:noFill/>
        </a:ln>
      </c:spPr>
    </c:plotArea>
    <c:legend>
      <c:legendPos val="r"/>
      <c:layout>
        <c:manualLayout>
          <c:xMode val="edge"/>
          <c:yMode val="edge"/>
          <c:x val="0.64075"/>
          <c:y val="0.17908333"/>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财政拨款收、支决算总体变动情况</a:t>
            </a:r>
          </a:p>
        </c:rich>
      </c:tx>
      <c:layout>
        <c:manualLayout>
          <c:xMode val="edge"/>
          <c:yMode val="edge"/>
          <c:x val="0.21606787"/>
          <c:y val="0.038726334"/>
        </c:manualLayout>
      </c:layout>
      <c:overlay val="0"/>
      <c:spPr>
        <a:noFill/>
        <a:ln>
          <a:noFill/>
        </a:ln>
      </c:spPr>
    </c:title>
    <c:autoTitleDeleted val="1"/>
    <c:plotArea>
      <c:layout>
        <c:manualLayout>
          <c:layoutTarget val="inner"/>
          <c:xMode val="edge"/>
          <c:yMode val="edge"/>
          <c:x val="0.05985351"/>
          <c:y val="0.19832179"/>
          <c:w val="0.87405187"/>
          <c:h val="0.5316729"/>
        </c:manualLayout>
      </c:layout>
      <c:barChart>
        <c:barDir val="col"/>
        <c:grouping val="clustered"/>
        <c:varyColors val="0"/>
        <c:ser>
          <c:idx val="0"/>
          <c:order val="0"/>
          <c:tx>
            <c:strRef>
              <c:f>'Sheet1 (11)'!$A$2</c:f>
              <c:strCache>
                <c:ptCount val="1"/>
                <c:pt idx="0">
                  <c:v>2021</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(11)'!$B$1:$C$1</c:f>
              <c:strCache>
                <c:ptCount val="2"/>
                <c:pt idx="0">
                  <c:v>一般公共预算财政拨款收入</c:v>
                </c:pt>
                <c:pt idx="1">
                  <c:v>一般公共预算财政拨款支出</c:v>
                </c:pt>
              </c:strCache>
            </c:strRef>
          </c:cat>
          <c:val>
            <c:numRef>
              <c:f>'Sheet1 (11)'!$B$2:$C$2</c:f>
              <c:numCache>
                <c:formatCode>General</c:formatCode>
                <c:ptCount val="2"/>
                <c:pt idx="0">
                  <c:v>983.27</c:v>
                </c:pt>
                <c:pt idx="1">
                  <c:v>1633.03</c:v>
                </c:pt>
              </c:numCache>
            </c:numRef>
          </c:val>
        </c:ser>
        <c:ser>
          <c:idx val="1"/>
          <c:order val="1"/>
          <c:tx>
            <c:strRef>
              <c:f>'Sheet1 (11)'!$A$3</c:f>
              <c:strCache>
                <c:ptCount val="1"/>
                <c:pt idx="0">
                  <c:v>2022</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(11)'!$B$1:$C$1</c:f>
              <c:strCache>
                <c:ptCount val="2"/>
                <c:pt idx="0">
                  <c:v>一般公共预算财政拨款收入</c:v>
                </c:pt>
                <c:pt idx="1">
                  <c:v>一般公共预算财政拨款支出</c:v>
                </c:pt>
              </c:strCache>
            </c:strRef>
          </c:cat>
          <c:val>
            <c:numRef>
              <c:f>'Sheet1 (11)'!$B$3:$C$3</c:f>
              <c:numCache>
                <c:formatCode>General</c:formatCode>
                <c:ptCount val="2"/>
                <c:pt idx="0">
                  <c:v>2059.87</c:v>
                </c:pt>
                <c:pt idx="1">
                  <c:v>2059.87</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一般公共预算财政拨款支出决算变动情况</a:t>
            </a:r>
          </a:p>
        </c:rich>
      </c:tx>
      <c:layout>
        <c:manualLayout>
          <c:xMode val="edge"/>
          <c:yMode val="edge"/>
          <c:x val="0.113970585"/>
          <c:y val="0.042090494"/>
        </c:manualLayout>
      </c:layout>
      <c:overlay val="0"/>
      <c:spPr>
        <a:noFill/>
        <a:ln>
          <a:noFill/>
        </a:ln>
      </c:spPr>
    </c:title>
    <c:autoTitleDeleted val="1"/>
    <c:plotArea>
      <c:layout>
        <c:manualLayout>
          <c:layoutTarget val="inner"/>
          <c:xMode val="edge"/>
          <c:yMode val="edge"/>
          <c:x val="0.0944853"/>
          <c:y val="0.170027"/>
          <c:w val="0.92429096"/>
          <c:h val="0.62763304"/>
        </c:manualLayout>
      </c:layout>
      <c:barChart>
        <c:barDir val="col"/>
        <c:grouping val="clustered"/>
        <c:varyColors val="0"/>
        <c:ser>
          <c:idx val="0"/>
          <c:order val="0"/>
          <c:tx>
            <c:strRef>
              <c:f>'Sheet1 (12)'!$B$1</c:f>
              <c:strCache>
                <c:ptCount val="1"/>
                <c:pt idx="0">
                  <c:v>一般公共预算财政拨款支出决算变动情况</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(12)'!$A$2:$A$3</c:f>
              <c:numCache>
                <c:ptCount val="2"/>
                <c:pt idx="0">
                  <c:v>2021</c:v>
                </c:pt>
                <c:pt idx="1">
                  <c:v>2022</c:v>
                </c:pt>
              </c:numCache>
            </c:numRef>
          </c:cat>
          <c:val>
            <c:numRef>
              <c:f>'Sheet1 (12)'!$B$2:$B$3</c:f>
              <c:numCache>
                <c:formatCode>General</c:formatCode>
                <c:ptCount val="2"/>
                <c:pt idx="0">
                  <c:v>1633.03</c:v>
                </c:pt>
                <c:pt idx="1">
                  <c:v>2059.87</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Times New Roman"/>
                <a:ea typeface="宋体"/>
                <a:cs typeface="Arial"/>
              </a:defRPr>
            </a:pPr>
            <a:endParaRPr lang="zh-CN"/>
          </a:p>
        </c:txPr>
        <c:crossesAt val="1.0"/>
        <c:crossBetween val="between"/>
        <c:crossAx val="0"/>
      </c:valAx>
      <c:spPr>
        <a:noFill/>
        <a:ln>
          <a:noFill/>
        </a:ln>
      </c:spPr>
    </c:plotArea>
    <c:legend>
      <c:legendPos val="b"/>
      <c:layout>
        <c:manualLayout>
          <c:xMode val="edge"/>
          <c:yMode val="edge"/>
          <c:x val="0.32943803"/>
          <c:y val="0.8874419"/>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一般公共预算财政拨款总支出决算结构</a:t>
            </a:r>
          </a:p>
        </c:rich>
      </c:tx>
      <c:layout>
        <c:manualLayout>
          <c:xMode val="edge"/>
          <c:yMode val="edge"/>
          <c:x val="0.12974122"/>
          <c:y val="0.05605308"/>
        </c:manualLayout>
      </c:layout>
      <c:overlay val="0"/>
      <c:spPr>
        <a:noFill/>
        <a:ln>
          <a:noFill/>
        </a:ln>
      </c:spPr>
    </c:title>
    <c:autoTitleDeleted val="1"/>
    <c:plotArea>
      <c:layout>
        <c:manualLayout>
          <c:layoutTarget val="inner"/>
          <c:xMode val="edge"/>
          <c:yMode val="edge"/>
          <c:x val="0.04182914"/>
          <c:y val="0.31133178"/>
          <c:w val="0.5756824"/>
          <c:h val="0.6697819"/>
        </c:manualLayout>
      </c:layout>
      <c:pieChart>
        <c:varyColors val="1"/>
        <c:ser>
          <c:idx val="0"/>
          <c:order val="0"/>
          <c:tx>
            <c:strRef>
              <c:f>'Sheet1 (13)'!$B$1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07441988"/>
                  <c:y val="-0.02035850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1.73, 0</a:t>
                    </a:r>
                    <a:r>
                      <a:rPr lang="zh-CN" sz="1000" b="1" i="0" u="none" strike="noStrike" baseline="0">
                        <a:solidFill>
                          <a:srgbClr val="FFFFFF"/>
                        </a:solidFill>
                        <a:latin typeface="Times New Roman"/>
                        <a:ea typeface="宋体"/>
                        <a:cs typeface="Arial"/>
                      </a:rPr>
                      <a:t>.08</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22525853"/>
                  <c:y val="-0.12141442"/>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64.6, 3</a:t>
                    </a:r>
                    <a:r>
                      <a:rPr lang="zh-CN" sz="1000" b="1" i="0" u="none" strike="noStrike" baseline="0">
                        <a:solidFill>
                          <a:srgbClr val="FFFFFF"/>
                        </a:solidFill>
                        <a:latin typeface="Times New Roman"/>
                        <a:ea typeface="宋体"/>
                        <a:cs typeface="Arial"/>
                      </a:rPr>
                      <a:t>.14</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2"/>
              <c:layout>
                <c:manualLayout>
                  <c:x val="0.041686263"/>
                  <c:y val="-0.054860093"/>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25.83, 1</a:t>
                    </a:r>
                    <a:r>
                      <a:rPr lang="zh-CN" sz="1000" b="1" i="0" u="none" strike="noStrike" baseline="0">
                        <a:solidFill>
                          <a:srgbClr val="FFFFFF"/>
                        </a:solidFill>
                        <a:latin typeface="Times New Roman"/>
                        <a:ea typeface="宋体"/>
                        <a:cs typeface="Arial"/>
                      </a:rPr>
                      <a:t>.25</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3"/>
              <c:layout>
                <c:manualLayout>
                  <c:x val="0.103117086"/>
                  <c:y val="0.030560018"/>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38.96,</a:t>
                    </a:r>
                    <a:r>
                      <a:rPr lang="zh-CN" sz="1000" b="1" i="0" u="none" strike="noStrike" baseline="0">
                        <a:solidFill>
                          <a:srgbClr val="FFFFFF"/>
                        </a:solidFill>
                        <a:latin typeface="Times New Roman"/>
                        <a:ea typeface="宋体"/>
                        <a:cs typeface="Arial"/>
                      </a:rPr>
                      <a:t>1.89</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4"/>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1928.75, </a:t>
                    </a:r>
                    <a:r>
                      <a:rPr lang="zh-CN" sz="1000" b="1" i="0" u="none" strike="noStrike" baseline="0">
                        <a:solidFill>
                          <a:srgbClr val="FFFFFF"/>
                        </a:solidFill>
                        <a:latin typeface="Times New Roman"/>
                        <a:ea typeface="宋体"/>
                        <a:cs typeface="Arial"/>
                      </a:rPr>
                      <a:t>93.63</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(13)'!$A$2:$A$6</c:f>
              <c:strCache>
                <c:ptCount val="5"/>
                <c:pt idx="0">
                  <c:v>教育支出</c:v>
                </c:pt>
                <c:pt idx="1">
                  <c:v>社会保障和就业支出</c:v>
                </c:pt>
                <c:pt idx="2">
                  <c:v>卫生健康支出</c:v>
                </c:pt>
                <c:pt idx="3">
                  <c:v>住房保障支出</c:v>
                </c:pt>
                <c:pt idx="4">
                  <c:v>灾害防治及应急管理支出</c:v>
                </c:pt>
              </c:strCache>
            </c:strRef>
          </c:cat>
          <c:val>
            <c:numRef>
              <c:f>'Sheet1 (13)'!$B$2:$B$6</c:f>
              <c:numCache>
                <c:formatCode>General</c:formatCode>
                <c:ptCount val="5"/>
                <c:pt idx="0">
                  <c:v>1.73</c:v>
                </c:pt>
                <c:pt idx="1">
                  <c:v>64.6</c:v>
                </c:pt>
                <c:pt idx="2">
                  <c:v>25.83</c:v>
                </c:pt>
                <c:pt idx="3">
                  <c:v>38.96</c:v>
                </c:pt>
                <c:pt idx="4">
                  <c:v>1928.75</c:v>
                </c:pt>
              </c:numCache>
            </c:numRef>
          </c:val>
        </c:ser>
        <c:firstSliceAng val="0"/>
      </c:pieChart>
      <c:spPr>
        <a:noFill/>
        <a:ln>
          <a:noFill/>
        </a:ln>
      </c:spPr>
    </c:plotArea>
    <c:legend>
      <c:legendPos val="r"/>
      <c:layout>
        <c:manualLayout>
          <c:xMode val="edge"/>
          <c:yMode val="edge"/>
          <c:x val="0.7242113"/>
          <c:y val="0.19304906"/>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一般公共预算财政拨款支出决算结构</a:t>
            </a:r>
          </a:p>
        </c:rich>
      </c:tx>
      <c:layout>
        <c:manualLayout>
          <c:xMode val="edge"/>
          <c:yMode val="edge"/>
          <c:x val="0.12974122"/>
          <c:y val="0.05605308"/>
        </c:manualLayout>
      </c:layout>
      <c:overlay val="0"/>
      <c:spPr>
        <a:noFill/>
        <a:ln>
          <a:noFill/>
        </a:ln>
      </c:spPr>
    </c:title>
    <c:autoTitleDeleted val="1"/>
    <c:plotArea>
      <c:layout>
        <c:manualLayout>
          <c:layoutTarget val="inner"/>
          <c:xMode val="edge"/>
          <c:yMode val="edge"/>
          <c:x val="0.04182914"/>
          <c:y val="0.31133178"/>
          <c:w val="0.5756824"/>
          <c:h val="0.6697819"/>
        </c:manualLayout>
      </c:layout>
      <c:pieChart>
        <c:varyColors val="1"/>
        <c:ser>
          <c:idx val="0"/>
          <c:order val="0"/>
          <c:tx>
            <c:strRef>
              <c:f>'Sheet1 (14)'!$B$1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07441988"/>
                  <c:y val="-0.02035850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0.58</a:t>
                    </a:r>
                    <a:r>
                      <a:rPr lang="zh-CN" sz="1000" b="1" i="0" u="none" strike="noStrike" baseline="0">
                        <a:solidFill>
                          <a:srgbClr val="FFFFFF"/>
                        </a:solidFill>
                        <a:latin typeface="Times New Roman"/>
                        <a:ea typeface="宋体"/>
                        <a:cs typeface="Arial"/>
                      </a:rPr>
                      <a:t>, 0</a:t>
                    </a:r>
                    <a:r>
                      <a:rPr lang="zh-CN" sz="1000" b="1" i="0" u="none" strike="noStrike" baseline="0">
                        <a:solidFill>
                          <a:srgbClr val="FFFFFF"/>
                        </a:solidFill>
                        <a:latin typeface="Times New Roman"/>
                        <a:ea typeface="宋体"/>
                        <a:cs typeface="Arial"/>
                      </a:rPr>
                      <a:t>.28</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22525853"/>
                  <c:y val="-0.12141442"/>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23.40</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11.40</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2"/>
              <c:layout>
                <c:manualLayout>
                  <c:x val="0.041686263"/>
                  <c:y val="-0.054860093"/>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9.11</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4.44</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3"/>
              <c:layout>
                <c:manualLayout>
                  <c:x val="0.103117086"/>
                  <c:y val="0.030560018"/>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14.07</a:t>
                    </a:r>
                    <a:r>
                      <a:rPr lang="zh-CN" sz="1000" b="1" i="0" u="none" strike="noStrike" baseline="0">
                        <a:solidFill>
                          <a:srgbClr val="FFFFFF"/>
                        </a:solidFill>
                        <a:latin typeface="Times New Roman"/>
                        <a:ea typeface="宋体"/>
                        <a:cs typeface="Arial"/>
                      </a:rPr>
                      <a:t>,</a:t>
                    </a:r>
                    <a:r>
                      <a:rPr lang="zh-CN" sz="1000" b="1" i="0" u="none" strike="noStrike" baseline="0">
                        <a:solidFill>
                          <a:srgbClr val="FFFFFF"/>
                        </a:solidFill>
                        <a:latin typeface="Times New Roman"/>
                        <a:ea typeface="宋体"/>
                        <a:cs typeface="Arial"/>
                      </a:rPr>
                      <a:t>6.86</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4"/>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158.09</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77.02</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(14)'!$A$2:$A$6</c:f>
              <c:strCache>
                <c:ptCount val="5"/>
                <c:pt idx="0">
                  <c:v>教育支出</c:v>
                </c:pt>
                <c:pt idx="1">
                  <c:v>社会保障和就业支出</c:v>
                </c:pt>
                <c:pt idx="2">
                  <c:v>卫生健康支出</c:v>
                </c:pt>
                <c:pt idx="3">
                  <c:v>住房保障支出</c:v>
                </c:pt>
                <c:pt idx="4">
                  <c:v>灾害防治及应急管理支出</c:v>
                </c:pt>
              </c:strCache>
            </c:strRef>
          </c:cat>
          <c:val>
            <c:numRef>
              <c:f>'Sheet1 (14)'!$B$2:$B$6</c:f>
              <c:numCache>
                <c:formatCode>General</c:formatCode>
                <c:ptCount val="5"/>
                <c:pt idx="0">
                  <c:v>1.73</c:v>
                </c:pt>
                <c:pt idx="1">
                  <c:v>64.6</c:v>
                </c:pt>
                <c:pt idx="2">
                  <c:v>25.83</c:v>
                </c:pt>
                <c:pt idx="3">
                  <c:v>38.96</c:v>
                </c:pt>
                <c:pt idx="4">
                  <c:v>1928.75</c:v>
                </c:pt>
              </c:numCache>
            </c:numRef>
          </c:val>
        </c:ser>
        <c:firstSliceAng val="0"/>
      </c:pieChart>
      <c:spPr>
        <a:noFill/>
        <a:ln>
          <a:noFill/>
        </a:ln>
      </c:spPr>
    </c:plotArea>
    <c:legend>
      <c:legendPos val="r"/>
      <c:layout>
        <c:manualLayout>
          <c:xMode val="edge"/>
          <c:yMode val="edge"/>
          <c:x val="0.7242113"/>
          <c:y val="0.19304906"/>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一般公共预算财政拨款支出决算结构</a:t>
            </a:r>
          </a:p>
        </c:rich>
      </c:tx>
      <c:layout>
        <c:manualLayout>
          <c:xMode val="edge"/>
          <c:yMode val="edge"/>
          <c:x val="0.12974122"/>
          <c:y val="0.05605308"/>
        </c:manualLayout>
      </c:layout>
      <c:overlay val="0"/>
      <c:spPr>
        <a:noFill/>
        <a:ln>
          <a:noFill/>
        </a:ln>
      </c:spPr>
    </c:title>
    <c:autoTitleDeleted val="1"/>
    <c:plotArea>
      <c:layout>
        <c:manualLayout>
          <c:layoutTarget val="inner"/>
          <c:xMode val="edge"/>
          <c:yMode val="edge"/>
          <c:x val="0.04182914"/>
          <c:y val="0.31133178"/>
          <c:w val="0.5756824"/>
          <c:h val="0.6697819"/>
        </c:manualLayout>
      </c:layout>
      <c:pieChart>
        <c:varyColors val="1"/>
        <c:ser>
          <c:idx val="0"/>
          <c:order val="0"/>
          <c:tx>
            <c:strRef>
              <c:f>'Sheet1 (15)'!$B$1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07441988"/>
                  <c:y val="-0.02035850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0.65</a:t>
                    </a:r>
                    <a:r>
                      <a:rPr lang="zh-CN" sz="1000" b="1" i="0" u="none" strike="noStrike" baseline="0">
                        <a:solidFill>
                          <a:srgbClr val="FFFFFF"/>
                        </a:solidFill>
                        <a:latin typeface="Times New Roman"/>
                        <a:ea typeface="宋体"/>
                        <a:cs typeface="Arial"/>
                      </a:rPr>
                      <a:t>, 0</a:t>
                    </a:r>
                    <a:r>
                      <a:rPr lang="zh-CN" sz="1000" b="1" i="0" u="none" strike="noStrike" baseline="0">
                        <a:solidFill>
                          <a:srgbClr val="FFFFFF"/>
                        </a:solidFill>
                        <a:latin typeface="Times New Roman"/>
                        <a:ea typeface="宋体"/>
                        <a:cs typeface="Arial"/>
                      </a:rPr>
                      <a:t>.04</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22525853"/>
                  <c:y val="-0.12141442"/>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28.84</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1.66</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2"/>
              <c:layout>
                <c:manualLayout>
                  <c:x val="0.041686263"/>
                  <c:y val="-0.054860093"/>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11.71</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0.67</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3"/>
              <c:layout>
                <c:manualLayout>
                  <c:x val="0.103117086"/>
                  <c:y val="0.030560018"/>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17.59</a:t>
                    </a:r>
                    <a:r>
                      <a:rPr lang="zh-CN" sz="1000" b="1" i="0" u="none" strike="noStrike" baseline="0">
                        <a:solidFill>
                          <a:srgbClr val="FFFFFF"/>
                        </a:solidFill>
                        <a:latin typeface="Times New Roman"/>
                        <a:ea typeface="宋体"/>
                        <a:cs typeface="Arial"/>
                      </a:rPr>
                      <a:t>,</a:t>
                    </a:r>
                    <a:r>
                      <a:rPr lang="zh-CN" sz="1000" b="1" i="0" u="none" strike="noStrike" baseline="0">
                        <a:solidFill>
                          <a:srgbClr val="FFFFFF"/>
                        </a:solidFill>
                        <a:latin typeface="Times New Roman"/>
                        <a:ea typeface="宋体"/>
                        <a:cs typeface="Arial"/>
                      </a:rPr>
                      <a:t>1.01</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4"/>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1680.25</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96.62</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(15)'!$A$2:$A$6</c:f>
              <c:strCache>
                <c:ptCount val="5"/>
                <c:pt idx="0">
                  <c:v>教育支出</c:v>
                </c:pt>
                <c:pt idx="1">
                  <c:v>社会保障和就业支出</c:v>
                </c:pt>
                <c:pt idx="2">
                  <c:v>卫生健康支出</c:v>
                </c:pt>
                <c:pt idx="3">
                  <c:v>住房保障支出</c:v>
                </c:pt>
                <c:pt idx="4">
                  <c:v>灾害防治及应急管理支出</c:v>
                </c:pt>
              </c:strCache>
            </c:strRef>
          </c:cat>
          <c:val>
            <c:numRef>
              <c:f>'Sheet1 (15)'!$B$2:$B$6</c:f>
              <c:numCache>
                <c:formatCode>General</c:formatCode>
                <c:ptCount val="5"/>
                <c:pt idx="0">
                  <c:v>0.65</c:v>
                </c:pt>
                <c:pt idx="1">
                  <c:v>28.84</c:v>
                </c:pt>
                <c:pt idx="2">
                  <c:v>11.71</c:v>
                </c:pt>
                <c:pt idx="3">
                  <c:v>17.59</c:v>
                </c:pt>
                <c:pt idx="4">
                  <c:v>1680.25</c:v>
                </c:pt>
              </c:numCache>
            </c:numRef>
          </c:val>
        </c:ser>
        <c:firstSliceAng val="0"/>
      </c:pieChart>
      <c:spPr>
        <a:noFill/>
        <a:ln>
          <a:noFill/>
        </a:ln>
      </c:spPr>
    </c:plotArea>
    <c:legend>
      <c:legendPos val="r"/>
      <c:layout>
        <c:manualLayout>
          <c:xMode val="edge"/>
          <c:yMode val="edge"/>
          <c:x val="0.7242113"/>
          <c:y val="0.19304906"/>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一般公共预算财政拨款支出决算结构</a:t>
            </a:r>
          </a:p>
        </c:rich>
      </c:tx>
      <c:layout>
        <c:manualLayout>
          <c:xMode val="edge"/>
          <c:yMode val="edge"/>
          <c:x val="0.12974122"/>
          <c:y val="0.05605308"/>
        </c:manualLayout>
      </c:layout>
      <c:overlay val="0"/>
      <c:spPr>
        <a:noFill/>
        <a:ln>
          <a:noFill/>
        </a:ln>
      </c:spPr>
    </c:title>
    <c:autoTitleDeleted val="1"/>
    <c:plotArea>
      <c:layout>
        <c:manualLayout>
          <c:layoutTarget val="inner"/>
          <c:xMode val="edge"/>
          <c:yMode val="edge"/>
          <c:x val="0.04182914"/>
          <c:y val="0.31133178"/>
          <c:w val="0.5756824"/>
          <c:h val="0.6697819"/>
        </c:manualLayout>
      </c:layout>
      <c:pieChart>
        <c:varyColors val="1"/>
        <c:ser>
          <c:idx val="0"/>
          <c:order val="0"/>
          <c:tx>
            <c:strRef>
              <c:f>'Sheet1 (16)'!$B$1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07441988"/>
                  <c:y val="-0.02035850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0.05</a:t>
                    </a:r>
                    <a:r>
                      <a:rPr lang="zh-CN" sz="1000" b="1" i="0" u="none" strike="noStrike" baseline="0">
                        <a:solidFill>
                          <a:srgbClr val="FFFFFF"/>
                        </a:solidFill>
                        <a:latin typeface="Times New Roman"/>
                        <a:ea typeface="宋体"/>
                        <a:cs typeface="Arial"/>
                      </a:rPr>
                      <a:t>, 0</a:t>
                    </a:r>
                    <a:r>
                      <a:rPr lang="zh-CN" sz="1000" b="1" i="0" u="none" strike="noStrike" baseline="0">
                        <a:solidFill>
                          <a:srgbClr val="FFFFFF"/>
                        </a:solidFill>
                        <a:latin typeface="Times New Roman"/>
                        <a:ea typeface="宋体"/>
                        <a:cs typeface="Arial"/>
                      </a:rPr>
                      <a:t>.43</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22525853"/>
                  <c:y val="-0.12141442"/>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12.36</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10.69</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2"/>
              <c:layout>
                <c:manualLayout>
                  <c:x val="0.041686263"/>
                  <c:y val="-0.054860093"/>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5.01</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4.34</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3"/>
              <c:layout>
                <c:manualLayout>
                  <c:x val="0.103117086"/>
                  <c:y val="0.030560018"/>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7.29</a:t>
                    </a:r>
                    <a:r>
                      <a:rPr lang="zh-CN" sz="1000" b="1" i="0" u="none" strike="noStrike" baseline="0">
                        <a:solidFill>
                          <a:srgbClr val="FFFFFF"/>
                        </a:solidFill>
                        <a:latin typeface="Times New Roman"/>
                        <a:ea typeface="宋体"/>
                        <a:cs typeface="Arial"/>
                      </a:rPr>
                      <a:t>,</a:t>
                    </a:r>
                    <a:r>
                      <a:rPr lang="zh-CN" sz="1000" b="1" i="0" u="none" strike="noStrike" baseline="0">
                        <a:solidFill>
                          <a:srgbClr val="FFFFFF"/>
                        </a:solidFill>
                        <a:latin typeface="Times New Roman"/>
                        <a:ea typeface="宋体"/>
                        <a:cs typeface="Arial"/>
                      </a:rPr>
                      <a:t>6.31</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4"/>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90.41</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78.23</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(16)'!$A$2:$A$6</c:f>
              <c:strCache>
                <c:ptCount val="5"/>
                <c:pt idx="0">
                  <c:v>教育支出</c:v>
                </c:pt>
                <c:pt idx="1">
                  <c:v>社会保障和就业支出</c:v>
                </c:pt>
                <c:pt idx="2">
                  <c:v>卫生健康支出</c:v>
                </c:pt>
                <c:pt idx="3">
                  <c:v>住房保障支出</c:v>
                </c:pt>
                <c:pt idx="4">
                  <c:v>灾害防治及应急管理支出</c:v>
                </c:pt>
              </c:strCache>
            </c:strRef>
          </c:cat>
          <c:val>
            <c:numRef>
              <c:f>'Sheet1 (16)'!$B$2:$B$6</c:f>
              <c:numCache>
                <c:formatCode>General</c:formatCode>
                <c:ptCount val="5"/>
                <c:pt idx="0">
                  <c:v>1.73</c:v>
                </c:pt>
                <c:pt idx="1">
                  <c:v>64.6</c:v>
                </c:pt>
                <c:pt idx="2">
                  <c:v>25.83</c:v>
                </c:pt>
                <c:pt idx="3">
                  <c:v>38.96</c:v>
                </c:pt>
                <c:pt idx="4">
                  <c:v>1928.75</c:v>
                </c:pt>
              </c:numCache>
            </c:numRef>
          </c:val>
        </c:ser>
        <c:firstSliceAng val="0"/>
      </c:pieChart>
      <c:spPr>
        <a:noFill/>
        <a:ln>
          <a:noFill/>
        </a:ln>
      </c:spPr>
    </c:plotArea>
    <c:legend>
      <c:legendPos val="r"/>
      <c:layout>
        <c:manualLayout>
          <c:xMode val="edge"/>
          <c:yMode val="edge"/>
          <c:x val="0.7242113"/>
          <c:y val="0.19304906"/>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“三公”经费财政拨款支出结构</a:t>
            </a:r>
          </a:p>
        </c:rich>
      </c:tx>
      <c:layout>
        <c:manualLayout>
          <c:xMode val="edge"/>
          <c:yMode val="edge"/>
          <c:x val="0.27009767"/>
          <c:y val="0.0073511396"/>
        </c:manualLayout>
      </c:layout>
      <c:overlay val="0"/>
      <c:spPr>
        <a:noFill/>
        <a:ln>
          <a:noFill/>
        </a:ln>
      </c:spPr>
    </c:title>
    <c:autoTitleDeleted val="1"/>
    <c:plotArea>
      <c:layout>
        <c:manualLayout>
          <c:layoutTarget val="inner"/>
          <c:xMode val="edge"/>
          <c:yMode val="edge"/>
          <c:x val="0.032056097"/>
          <c:y val="0.21559522"/>
          <c:w val="0.6225895"/>
          <c:h val="0.7536055"/>
        </c:manualLayout>
      </c:layout>
      <c:pieChart>
        <c:varyColors val="1"/>
        <c:ser>
          <c:idx val="0"/>
          <c:order val="0"/>
          <c:tx>
            <c:strRef>
              <c:f>'Sheet1 (17)'!$B$1</c:f>
              <c:strCache>
                <c:ptCount val="1"/>
                <c:pt idx="0">
                  <c:v>“三公”经费财政拨款支出结构</c:v>
                </c:pt>
              </c:strCache>
            </c:strRef>
          </c:tx>
          <c:spPr>
            <a:ln>
              <a:noFill/>
            </a:ln>
          </c:spPr>
          <c:dPt>
            <c:idx val="0"/>
            <c:bubble3D val="0"/>
            <c:explosion val="0"/>
            <c:spPr>
              <a:solidFill>
                <a:srgbClr val="4F81BD"/>
              </a:solidFill>
              <a:ln>
                <a:noFill/>
              </a:ln>
              <a:effectLst>
                <a:outerShdw dist="35921" dir="2700000" algn="br">
                  <a:srgbClr val="000000"/>
                </a:outerShdw>
              </a:effectLst>
            </c:spPr>
          </c:dPt>
          <c:dPt>
            <c:idx val="1"/>
            <c:bubble3D val="0"/>
            <c:explosion val="0"/>
            <c:spPr>
              <a:solidFill>
                <a:srgbClr val="C0504D"/>
              </a:solidFill>
              <a:ln>
                <a:noFill/>
              </a:ln>
              <a:effectLst>
                <a:outerShdw dist="35921" dir="2700000" algn="br">
                  <a:srgbClr val="000000"/>
                </a:outerShdw>
              </a:effectLst>
            </c:spPr>
          </c:dPt>
          <c:dPt>
            <c:idx val="2"/>
            <c:bubble3D val="0"/>
            <c:explosion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2"/>
              <c:layout>
                <c:manualLayout>
                  <c:x val="0.07813595"/>
                  <c:y val="0.072993405"/>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(17)'!$A$2:$A$4</c:f>
              <c:strCache>
                <c:ptCount val="3"/>
                <c:pt idx="0">
                  <c:v>因公出国（境）费</c:v>
                </c:pt>
                <c:pt idx="1">
                  <c:v>公务用车购置及运行维护费</c:v>
                </c:pt>
                <c:pt idx="2">
                  <c:v>公务接待费</c:v>
                </c:pt>
              </c:strCache>
            </c:strRef>
          </c:cat>
          <c:val>
            <c:numRef>
              <c:f>'Sheet1 (17)'!$B$2:$B$4</c:f>
              <c:numCache>
                <c:formatCode>General</c:formatCode>
                <c:ptCount val="3"/>
                <c:pt idx="0">
                  <c:v>0.0</c:v>
                </c:pt>
                <c:pt idx="1">
                  <c:v>31.81</c:v>
                </c:pt>
                <c:pt idx="2">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支出占比情况</a:t>
            </a:r>
          </a:p>
        </c:rich>
      </c:tx>
      <c:layout>
        <c:manualLayout>
          <c:xMode val="edge"/>
          <c:yMode val="edge"/>
          <c:x val="0.35575"/>
          <c:y val="0.038"/>
        </c:manualLayout>
      </c:layout>
      <c:overlay val="0"/>
      <c:spPr>
        <a:noFill/>
        <a:ln>
          <a:noFill/>
        </a:ln>
      </c:spPr>
    </c:title>
    <c:autoTitleDeleted val="1"/>
    <c:plotArea>
      <c:layout>
        <c:manualLayout>
          <c:layoutTarget val="inner"/>
          <c:xMode val="edge"/>
          <c:yMode val="edge"/>
          <c:x val="0.038"/>
          <c:y val="0.22533333"/>
          <c:w val="0.61025"/>
          <c:h val="0.7696667"/>
        </c:manualLayout>
      </c:layout>
      <c:pieChart>
        <c:varyColors val="1"/>
        <c:ser>
          <c:idx val="0"/>
          <c:order val="0"/>
          <c:tx>
            <c:strRef>
              <c:f>'Sheet1 (2)'!$B$1</c:f>
              <c:strCache>
                <c:ptCount val="1"/>
                <c:pt idx="0">
                  <c:v>收入占比情况</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0012232"/>
                  <c:y val="-0.2504160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84.42</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9.96</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2"/>
              <c:layout>
                <c:manualLayout>
                  <c:x val="0.044297684"/>
                  <c:y val="0.04452508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5.61</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Ref>
              <c:f>'Sheet1 (2)'!$A$2:$A$4</c:f>
              <c:strCache>
                <c:ptCount val="3"/>
                <c:pt idx="0">
                  <c:v>金川县应急管理局</c:v>
                </c:pt>
                <c:pt idx="1">
                  <c:v>金川县应急管理保障中心</c:v>
                </c:pt>
                <c:pt idx="2">
                  <c:v>金川县综合应急救援服务工作中心</c:v>
                </c:pt>
              </c:strCache>
            </c:strRef>
          </c:cat>
          <c:val>
            <c:numRef>
              <c:f>'Sheet1 (2)'!$B$2:$B$4</c:f>
              <c:numCache>
                <c:formatCode>General</c:formatCode>
                <c:ptCount val="3"/>
                <c:pt idx="0">
                  <c:v>84.42</c:v>
                </c:pt>
                <c:pt idx="1">
                  <c:v>9.96</c:v>
                </c:pt>
                <c:pt idx="2">
                  <c:v>5.61</c:v>
                </c:pt>
              </c:numCache>
            </c:numRef>
          </c:val>
        </c:ser>
        <c:firstSliceAng val="0"/>
      </c:pieChart>
      <c:spPr>
        <a:noFill/>
        <a:ln>
          <a:noFill/>
        </a:ln>
      </c:spPr>
    </c:plotArea>
    <c:legend>
      <c:legendPos val="r"/>
      <c:layout>
        <c:manualLayout>
          <c:xMode val="edge"/>
          <c:yMode val="edge"/>
          <c:x val="0.64975"/>
          <c:y val="0.121083334"/>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收、支决算总体情况结构图</a:t>
            </a:r>
          </a:p>
        </c:rich>
      </c:tx>
      <c:layout>
        <c:manualLayout>
          <c:xMode val="edge"/>
          <c:yMode val="edge"/>
          <c:x val="0.2245"/>
          <c:y val="0.04941322"/>
        </c:manualLayout>
      </c:layout>
      <c:overlay val="0"/>
      <c:spPr>
        <a:noFill/>
        <a:ln>
          <a:noFill/>
        </a:ln>
      </c:spPr>
    </c:title>
    <c:autoTitleDeleted val="1"/>
    <c:plotArea>
      <c:layout>
        <c:manualLayout>
          <c:layoutTarget val="inner"/>
          <c:xMode val="edge"/>
          <c:yMode val="edge"/>
          <c:x val="0.0348773"/>
          <c:y val="0.21370625"/>
          <c:w val="0.9283727"/>
          <c:h val="0.63030434"/>
        </c:manualLayout>
      </c:layout>
      <c:barChart>
        <c:barDir val="col"/>
        <c:grouping val="clustered"/>
        <c:varyColors val="0"/>
        <c:ser>
          <c:idx val="0"/>
          <c:order val="0"/>
          <c:tx>
            <c:strRef>
              <c:f>'Sheet1 (3)'!$B$1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
              <c:idx val="0"/>
              <c:numFmt formatCode="General" sourceLinked="0"/>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dLblPos val="inEnd"/>
              <c:showLegendKey val="1"/>
              <c:showVal val="1"/>
              <c:showCatName val="1"/>
              <c:showSerName val="1"/>
              <c:showPercent val="1"/>
              <c:showBubbleSize val="1"/>
            </c:dLbl>
            <c:dLbl>
              <c:idx val="1"/>
              <c:numFmt formatCode="General" sourceLinked="0"/>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dLblPos val="inEnd"/>
              <c:showLegendKey val="1"/>
              <c:showVal val="1"/>
              <c:showCatName val="1"/>
              <c:showSerName val="1"/>
              <c:showPercent val="1"/>
              <c:showBubbleSize val="1"/>
            </c:dLbl>
            <c:dLblPos val="inEnd"/>
            <c:showLegendKey val="0"/>
            <c:showVal val="1"/>
            <c:showCatName val="0"/>
            <c:showSerName val="0"/>
            <c:showPercent val="0"/>
            <c:showBubbleSize val="0"/>
            <c:showLeaderLines val="0"/>
          </c:dLbls>
          <c:cat>
            <c:numRef>
              <c:f>'Sheet1 (3)'!$A$2:$A$3</c:f>
              <c:numCache>
                <c:ptCount val="2"/>
                <c:pt idx="0">
                  <c:v>2021</c:v>
                </c:pt>
                <c:pt idx="1">
                  <c:v>2022</c:v>
                </c:pt>
              </c:numCache>
            </c:numRef>
          </c:cat>
          <c:val>
            <c:numRef>
              <c:f>'Sheet1 (3)'!$B$2:$B$3</c:f>
              <c:numCache>
                <c:formatCode>General</c:formatCode>
                <c:ptCount val="2"/>
                <c:pt idx="0">
                  <c:v>983.27</c:v>
                </c:pt>
                <c:pt idx="1">
                  <c:v>2059.87</c:v>
                </c:pt>
              </c:numCache>
            </c:numRef>
          </c:val>
        </c:ser>
        <c:ser>
          <c:idx val="1"/>
          <c:order val="1"/>
          <c:tx>
            <c:strRef>
              <c:f>'Sheet1 (3)'!$C$1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
              <c:idx val="0"/>
              <c:numFmt formatCode="General" sourceLinked="0"/>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dLblPos val="inEnd"/>
              <c:showLegendKey val="1"/>
              <c:showVal val="1"/>
              <c:showCatName val="1"/>
              <c:showSerName val="1"/>
              <c:showPercent val="1"/>
              <c:showBubbleSize val="1"/>
            </c:dLbl>
            <c:dLbl>
              <c:idx val="1"/>
              <c:numFmt formatCode="General" sourceLinked="0"/>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dLblPos val="inEnd"/>
              <c:showLegendKey val="1"/>
              <c:showVal val="1"/>
              <c:showCatName val="1"/>
              <c:showSerName val="1"/>
              <c:showPercent val="1"/>
              <c:showBubbleSize val="1"/>
            </c:dLbl>
            <c:dLblPos val="inEnd"/>
            <c:showLegendKey val="0"/>
            <c:showVal val="1"/>
            <c:showCatName val="0"/>
            <c:showSerName val="0"/>
            <c:showPercent val="0"/>
            <c:showBubbleSize val="0"/>
            <c:showLeaderLines val="0"/>
          </c:dLbls>
          <c:cat>
            <c:numRef>
              <c:f>'Sheet1 (3)'!$A$2:$A$3</c:f>
              <c:numCache>
                <c:ptCount val="2"/>
                <c:pt idx="0">
                  <c:v>2021</c:v>
                </c:pt>
                <c:pt idx="1">
                  <c:v>2022</c:v>
                </c:pt>
              </c:numCache>
            </c:numRef>
          </c:cat>
          <c:val>
            <c:numRef>
              <c:f>'Sheet1 (3)'!$C$2:$C$3</c:f>
              <c:numCache>
                <c:formatCode>General</c:formatCode>
                <c:ptCount val="2"/>
                <c:pt idx="0">
                  <c:v>1633.03</c:v>
                </c:pt>
                <c:pt idx="1">
                  <c:v>2059.87</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收入决算结构图</a:t>
            </a:r>
          </a:p>
        </c:rich>
      </c:tx>
      <c:layout>
        <c:manualLayout>
          <c:xMode val="edge"/>
          <c:yMode val="edge"/>
          <c:x val="0.32882196"/>
          <c:y val="0.071291685"/>
        </c:manualLayout>
      </c:layout>
      <c:overlay val="0"/>
      <c:spPr>
        <a:noFill/>
        <a:ln>
          <a:noFill/>
        </a:ln>
      </c:spPr>
    </c:title>
    <c:autoTitleDeleted val="1"/>
    <c:plotArea>
      <c:layout>
        <c:manualLayout>
          <c:layoutTarget val="inner"/>
          <c:xMode val="edge"/>
          <c:yMode val="edge"/>
          <c:x val="0.072712846"/>
          <c:y val="0.21903381"/>
          <c:w val="0.6347995"/>
          <c:h val="0.7069856"/>
        </c:manualLayout>
      </c:layout>
      <c:pieChart>
        <c:varyColors val="1"/>
        <c:ser>
          <c:idx val="0"/>
          <c:order val="0"/>
          <c:tx>
            <c:strRef>
              <c:f>'Sheet1 (4)'!$B$1</c:f>
              <c:strCache>
                <c:ptCount val="1"/>
                <c:pt idx="0">
                  <c:v>收入决算结构图</c:v>
                </c:pt>
              </c:strCache>
            </c:strRef>
          </c:tx>
          <c:spPr>
            <a:ln>
              <a:noFill/>
            </a:ln>
          </c:spPr>
          <c:dPt>
            <c:idx val="0"/>
            <c:bubble3D val="0"/>
            <c:explosion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Pos val="ctr"/>
            <c:showLegendKey val="0"/>
            <c:showVal val="1"/>
            <c:showCatName val="0"/>
            <c:showSerName val="0"/>
            <c:showPercent val="1"/>
            <c:showBubbleSize val="0"/>
            <c:showLeaderLines val="1"/>
          </c:dLbls>
          <c:cat>
            <c:strRef>
              <c:f>'Sheet1 (4)'!$A$2:$A$3</c:f>
              <c:strCache>
                <c:ptCount val="2"/>
                <c:pt idx="0">
                  <c:v>一般公共预算财政拨款收入</c:v>
                </c:pt>
              </c:strCache>
            </c:strRef>
          </c:cat>
          <c:val>
            <c:numRef>
              <c:f>'Sheet1 (4)'!$B$2:$B$3</c:f>
              <c:numCache>
                <c:formatCode>General</c:formatCode>
                <c:ptCount val="2"/>
                <c:pt idx="0">
                  <c:v>2059.87</c:v>
                </c:pt>
              </c:numCache>
            </c:numRef>
          </c:val>
        </c:ser>
        <c:firstSliceAng val="0"/>
      </c:pieChart>
      <c:spPr>
        <a:noFill/>
        <a:ln>
          <a:noFill/>
        </a:ln>
      </c:spPr>
    </c:plotArea>
    <c:legend>
      <c:legendPos val="r"/>
      <c:layout>
        <c:manualLayout>
          <c:xMode val="edge"/>
          <c:yMode val="edge"/>
          <c:x val="0.68433094"/>
          <c:y val="0.21818705"/>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Entry>
        <c:idx val="1"/>
        <c:delete val="1"/>
      </c:legendEntry>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支出决算结构图</a:t>
            </a:r>
          </a:p>
        </c:rich>
      </c:tx>
      <c:layout>
        <c:manualLayout>
          <c:xMode val="edge"/>
          <c:yMode val="edge"/>
          <c:x val="0.3662652"/>
          <c:y val="0.063198075"/>
        </c:manualLayout>
      </c:layout>
      <c:overlay val="0"/>
      <c:spPr>
        <a:noFill/>
        <a:ln>
          <a:noFill/>
        </a:ln>
      </c:spPr>
    </c:title>
    <c:autoTitleDeleted val="1"/>
    <c:plotArea>
      <c:layout/>
      <c:pieChart>
        <c:varyColors val="1"/>
        <c:ser>
          <c:idx val="0"/>
          <c:order val="0"/>
          <c:tx>
            <c:strRef>
              <c:f>'Sheet1 (5)'!$B$1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575.33, </a:t>
                    </a:r>
                    <a:r>
                      <a:rPr lang="zh-CN" sz="1000" b="1" i="0" u="none" strike="noStrike" baseline="0">
                        <a:solidFill>
                          <a:srgbClr val="FFFFFF"/>
                        </a:solidFill>
                        <a:latin typeface="Times New Roman"/>
                        <a:ea typeface="宋体"/>
                        <a:cs typeface="Arial"/>
                      </a:rPr>
                      <a:t>27.93</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1484.53, 72</a:t>
                    </a:r>
                    <a:r>
                      <a:rPr lang="zh-CN" sz="1000" b="1" i="0" u="none" strike="noStrike" baseline="0">
                        <a:solidFill>
                          <a:srgbClr val="FFFFFF"/>
                        </a:solidFill>
                        <a:latin typeface="Times New Roman"/>
                        <a:ea typeface="宋体"/>
                        <a:cs typeface="Arial"/>
                      </a:rPr>
                      <a:t>.07</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(5)'!$A$2:$A$3</c:f>
              <c:strCache>
                <c:ptCount val="2"/>
                <c:pt idx="0">
                  <c:v>基本支出</c:v>
                </c:pt>
                <c:pt idx="1">
                  <c:v>项目支出</c:v>
                </c:pt>
              </c:strCache>
            </c:strRef>
          </c:cat>
          <c:val>
            <c:numRef>
              <c:f>'Sheet1 (5)'!$B$2:$B$3</c:f>
              <c:numCache>
                <c:formatCode>General</c:formatCode>
                <c:ptCount val="2"/>
                <c:pt idx="0">
                  <c:v>575.33</c:v>
                </c:pt>
                <c:pt idx="1">
                  <c:v>1484.53</c:v>
                </c:pt>
              </c:numCache>
            </c:numRef>
          </c:val>
        </c:ser>
        <c:firstSliceAng val="0"/>
      </c:pieChart>
      <c:spPr>
        <a:noFill/>
        <a:ln>
          <a:noFill/>
        </a:ln>
      </c:spPr>
    </c:plotArea>
    <c:legend>
      <c:legendPos val="r"/>
      <c:layout>
        <c:manualLayout>
          <c:xMode val="edge"/>
          <c:yMode val="edge"/>
          <c:x val="0.77826566"/>
          <c:y val="0.17651758"/>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支出决算结构图</a:t>
            </a:r>
          </a:p>
        </c:rich>
      </c:tx>
      <c:layout>
        <c:manualLayout>
          <c:xMode val="edge"/>
          <c:yMode val="edge"/>
          <c:x val="0.3677288"/>
          <c:y val="0.074250564"/>
        </c:manualLayout>
      </c:layout>
      <c:overlay val="0"/>
      <c:spPr>
        <a:noFill/>
        <a:ln>
          <a:noFill/>
        </a:ln>
      </c:spPr>
    </c:title>
    <c:autoTitleDeleted val="1"/>
    <c:plotArea>
      <c:layout>
        <c:manualLayout>
          <c:layoutTarget val="inner"/>
          <c:xMode val="edge"/>
          <c:yMode val="edge"/>
          <c:x val="0.0148157375"/>
          <c:y val="0.19705307"/>
          <c:w val="0.77191234"/>
          <c:h val="0.7974436"/>
        </c:manualLayout>
      </c:layout>
      <c:pieChart>
        <c:varyColors val="1"/>
        <c:ser>
          <c:idx val="0"/>
          <c:order val="0"/>
          <c:tx>
            <c:strRef>
              <c:f>'Sheet1 (6)'!$B$1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8027605"/>
                  <c:y val="-0.4215466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204.67</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99.72</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029222046"/>
                  <c:y val="0.08079511"/>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0.58</a:t>
                    </a:r>
                    <a:r>
                      <a:rPr lang="zh-CN" sz="1000" b="1" i="0" u="none" strike="noStrike" baseline="0">
                        <a:solidFill>
                          <a:srgbClr val="FFFFFF"/>
                        </a:solidFill>
                        <a:latin typeface="Times New Roman"/>
                        <a:ea typeface="宋体"/>
                        <a:cs typeface="Arial"/>
                      </a:rPr>
                      <a:t>,</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0.28</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(6)'!$A$2:$A$3</c:f>
              <c:strCache>
                <c:ptCount val="2"/>
                <c:pt idx="0">
                  <c:v>基本支出</c:v>
                </c:pt>
                <c:pt idx="1">
                  <c:v>项目支出</c:v>
                </c:pt>
              </c:strCache>
            </c:strRef>
          </c:cat>
          <c:val>
            <c:numRef>
              <c:f>'Sheet1 (6)'!$B$2:$B$3</c:f>
              <c:numCache>
                <c:formatCode>General</c:formatCode>
                <c:ptCount val="2"/>
                <c:pt idx="0">
                  <c:v>204.67</c:v>
                </c:pt>
                <c:pt idx="1">
                  <c:v>0.58</c:v>
                </c:pt>
              </c:numCache>
            </c:numRef>
          </c:val>
        </c:ser>
        <c:firstSliceAng val="0"/>
      </c:pieChart>
      <c:spPr>
        <a:noFill/>
        <a:ln>
          <a:noFill/>
        </a:ln>
      </c:spPr>
    </c:plotArea>
    <c:legend>
      <c:legendPos val="r"/>
      <c:layout>
        <c:manualLayout>
          <c:xMode val="edge"/>
          <c:yMode val="edge"/>
          <c:x val="0.7929016"/>
          <c:y val="0.21090448"/>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支出决算结构图</a:t>
            </a:r>
          </a:p>
        </c:rich>
      </c:tx>
      <c:layout>
        <c:manualLayout>
          <c:xMode val="edge"/>
          <c:yMode val="edge"/>
          <c:x val="0.36480162"/>
          <c:y val="0.053199034"/>
        </c:manualLayout>
      </c:layout>
      <c:overlay val="0"/>
      <c:spPr>
        <a:noFill/>
        <a:ln>
          <a:noFill/>
        </a:ln>
      </c:spPr>
    </c:title>
    <c:autoTitleDeleted val="1"/>
    <c:plotArea>
      <c:layout>
        <c:manualLayout>
          <c:layoutTarget val="inner"/>
          <c:xMode val="edge"/>
          <c:yMode val="edge"/>
          <c:x val="0.025368948"/>
          <c:y val="0.19699249"/>
          <c:w val="0.80802536"/>
          <c:h val="0.7973684"/>
        </c:manualLayout>
      </c:layout>
      <c:pieChart>
        <c:varyColors val="1"/>
        <c:ser>
          <c:idx val="0"/>
          <c:order val="0"/>
          <c:tx>
            <c:strRef>
              <c:f>'Sheet1 (7)'!$B$1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255.59</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14.70</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1483.45</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85.30</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(7)'!$A$2:$A$3</c:f>
              <c:strCache>
                <c:ptCount val="2"/>
                <c:pt idx="0">
                  <c:v>基本支出</c:v>
                </c:pt>
                <c:pt idx="1">
                  <c:v>项目支出</c:v>
                </c:pt>
              </c:strCache>
            </c:strRef>
          </c:cat>
          <c:val>
            <c:numRef>
              <c:f>'Sheet1 (7)'!$B$2:$B$3</c:f>
              <c:numCache>
                <c:formatCode>General</c:formatCode>
                <c:ptCount val="2"/>
                <c:pt idx="0">
                  <c:v>255.59</c:v>
                </c:pt>
                <c:pt idx="1">
                  <c:v>1483.45</c:v>
                </c:pt>
              </c:numCache>
            </c:numRef>
          </c:val>
        </c:ser>
        <c:firstSliceAng val="0"/>
      </c:pieChart>
      <c:spPr>
        <a:noFill/>
        <a:ln>
          <a:noFill/>
        </a:ln>
      </c:spPr>
    </c:plotArea>
    <c:legend>
      <c:legendPos val="r"/>
      <c:layout>
        <c:manualLayout>
          <c:xMode val="edge"/>
          <c:yMode val="edge"/>
          <c:x val="0.7855836"/>
          <c:y val="0.15037593"/>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支出决算结构图</a:t>
            </a:r>
          </a:p>
        </c:rich>
      </c:tx>
      <c:layout>
        <c:manualLayout>
          <c:xMode val="edge"/>
          <c:yMode val="edge"/>
          <c:x val="0.3677288"/>
          <c:y val="0.074250564"/>
        </c:manualLayout>
      </c:layout>
      <c:overlay val="0"/>
      <c:spPr>
        <a:noFill/>
        <a:ln>
          <a:noFill/>
        </a:ln>
      </c:spPr>
    </c:title>
    <c:autoTitleDeleted val="1"/>
    <c:plotArea>
      <c:layout>
        <c:manualLayout>
          <c:layoutTarget val="inner"/>
          <c:xMode val="edge"/>
          <c:yMode val="edge"/>
          <c:x val="0.0148157375"/>
          <c:y val="0.19705307"/>
          <c:w val="0.77191234"/>
          <c:h val="0.7974436"/>
        </c:manualLayout>
      </c:layout>
      <c:pieChart>
        <c:varyColors val="1"/>
        <c:ser>
          <c:idx val="0"/>
          <c:order val="0"/>
          <c:tx>
            <c:strRef>
              <c:f>'Sheet1 (8)'!$B$1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8027605"/>
                  <c:y val="-0.4215466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115.07</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99.57</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
              <c:idx val="1"/>
              <c:layout>
                <c:manualLayout>
                  <c:x val="0.0029222046"/>
                  <c:y val="0.08079511"/>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0.50</a:t>
                    </a:r>
                    <a:r>
                      <a:rPr lang="zh-CN" sz="1000" b="1" i="0" u="none" strike="noStrike" baseline="0">
                        <a:solidFill>
                          <a:srgbClr val="FFFFFF"/>
                        </a:solidFill>
                        <a:latin typeface="Times New Roman"/>
                        <a:ea typeface="宋体"/>
                        <a:cs typeface="Arial"/>
                      </a:rPr>
                      <a:t>,</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 </a:t>
                    </a:r>
                    <a:r>
                      <a:rPr lang="zh-CN" sz="1000" b="1" i="0" u="none" strike="noStrike" baseline="0">
                        <a:solidFill>
                          <a:srgbClr val="FFFFFF"/>
                        </a:solidFill>
                        <a:latin typeface="Times New Roman"/>
                        <a:ea typeface="宋体"/>
                        <a:cs typeface="Arial"/>
                      </a:rPr>
                      <a:t>0.43</a:t>
                    </a:r>
                    <a:r>
                      <a:rPr lang="zh-CN" sz="1000" b="1" i="0" u="none" strike="noStrike" baseline="0">
                        <a:solidFill>
                          <a:srgbClr val="FFFFFF"/>
                        </a:solidFill>
                        <a:latin typeface="Times New Roman"/>
                        <a:ea typeface="宋体"/>
                        <a:cs typeface="Arial"/>
                      </a:rPr>
                      <a:t>%</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(8)'!$A$2:$A$3</c:f>
              <c:strCache>
                <c:ptCount val="2"/>
                <c:pt idx="0">
                  <c:v>基本支出</c:v>
                </c:pt>
                <c:pt idx="1">
                  <c:v>项目支出</c:v>
                </c:pt>
              </c:strCache>
            </c:strRef>
          </c:cat>
          <c:val>
            <c:numRef>
              <c:f>'Sheet1 (8)'!$B$2:$B$3</c:f>
              <c:numCache>
                <c:formatCode>General</c:formatCode>
                <c:ptCount val="2"/>
                <c:pt idx="0">
                  <c:v>204.67</c:v>
                </c:pt>
                <c:pt idx="1">
                  <c:v>0.58</c:v>
                </c:pt>
              </c:numCache>
            </c:numRef>
          </c:val>
        </c:ser>
        <c:firstSliceAng val="0"/>
      </c:pieChart>
      <c:spPr>
        <a:noFill/>
        <a:ln>
          <a:noFill/>
        </a:ln>
      </c:spPr>
    </c:plotArea>
    <c:legend>
      <c:legendPos val="r"/>
      <c:layout>
        <c:manualLayout>
          <c:xMode val="edge"/>
          <c:yMode val="edge"/>
          <c:x val="0.7929016"/>
          <c:y val="0.21090448"/>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财政拨款收入决算占比情况</a:t>
            </a:r>
          </a:p>
        </c:rich>
      </c:tx>
      <c:layout>
        <c:manualLayout>
          <c:xMode val="edge"/>
          <c:yMode val="edge"/>
          <c:x val="0.20425"/>
          <c:y val="0.050888926"/>
        </c:manualLayout>
      </c:layout>
      <c:overlay val="0"/>
      <c:spPr>
        <a:noFill/>
        <a:ln>
          <a:noFill/>
        </a:ln>
      </c:spPr>
    </c:title>
    <c:autoTitleDeleted val="1"/>
    <c:plotArea>
      <c:layout>
        <c:manualLayout>
          <c:layoutTarget val="inner"/>
          <c:xMode val="edge"/>
          <c:yMode val="edge"/>
          <c:x val="0.038"/>
          <c:y val="0.22533333"/>
          <c:w val="0.61025"/>
          <c:h val="0.7696667"/>
        </c:manualLayout>
      </c:layout>
      <c:pieChart>
        <c:varyColors val="1"/>
        <c:ser>
          <c:idx val="0"/>
          <c:order val="0"/>
          <c:tx>
            <c:strRef>
              <c:f>'Sheet1 (9)'!$B$1</c:f>
              <c:strCache>
                <c:ptCount val="1"/>
                <c:pt idx="0">
                  <c:v>收入占比情况</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
              <c:idx val="0"/>
              <c:layout>
                <c:manualLayout>
                  <c:x val="-0.10012232"/>
                  <c:y val="-0.25041604"/>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84.42</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ctr"/>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9.96</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
              <c:idx val="2"/>
              <c:layout>
                <c:manualLayout>
                  <c:x val="0.044297684"/>
                  <c:y val="0.044525087"/>
                </c:manualLayout>
              </c:layout>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dLblPos val="bestFit"/>
              <c:tx>
                <c:rich>
                  <a:bodyPr vert="horz"/>
                  <a:lstStyle/>
                  <a:p>
                    <a:pPr>
                      <a:defRPr sz="1000" b="1" i="0" u="none" strike="noStrike" baseline="0">
                        <a:solidFill>
                          <a:srgbClr val="FFFFFF"/>
                        </a:solidFill>
                        <a:latin typeface="Times New Roman"/>
                        <a:ea typeface="宋体"/>
                        <a:cs typeface="Arial"/>
                      </a:defRPr>
                    </a:pPr>
                    <a:r>
                      <a:rPr lang="zh-CN" sz="1000" b="1" i="0" u="none" strike="noStrike" baseline="0">
                        <a:solidFill>
                          <a:srgbClr val="FFFFFF"/>
                        </a:solidFill>
                        <a:latin typeface="Times New Roman"/>
                        <a:ea typeface="宋体"/>
                        <a:cs typeface="Arial"/>
                      </a:rPr>
                      <a:t>5.61</a:t>
                    </a:r>
                    <a:r>
                      <a:rPr lang="zh-CN" sz="1000" b="1" i="0" u="none" strike="noStrike" baseline="0">
                        <a:solidFill>
                          <a:srgbClr val="FFFFFF"/>
                        </a:solidFill>
                        <a:latin typeface="Times New Roman"/>
                        <a:ea typeface="宋体"/>
                        <a:cs typeface="Arial"/>
                      </a:rPr>
                      <a:t>%</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Ref>
              <c:f>'Sheet1 (9)'!$A$2:$A$4</c:f>
              <c:strCache>
                <c:ptCount val="3"/>
                <c:pt idx="0">
                  <c:v>金川县应急管理局</c:v>
                </c:pt>
                <c:pt idx="1">
                  <c:v>金川县应急管理保障中心</c:v>
                </c:pt>
                <c:pt idx="2">
                  <c:v>金川县综合应急救援服务工作中心</c:v>
                </c:pt>
              </c:strCache>
            </c:strRef>
          </c:cat>
          <c:val>
            <c:numRef>
              <c:f>'Sheet1 (9)'!$B$2:$B$4</c:f>
              <c:numCache>
                <c:formatCode>General</c:formatCode>
                <c:ptCount val="3"/>
                <c:pt idx="0">
                  <c:v>84.42</c:v>
                </c:pt>
                <c:pt idx="1">
                  <c:v>9.96</c:v>
                </c:pt>
                <c:pt idx="2">
                  <c:v>5.61</c:v>
                </c:pt>
              </c:numCache>
            </c:numRef>
          </c:val>
        </c:ser>
        <c:firstSliceAng val="0"/>
      </c:pieChart>
      <c:spPr>
        <a:noFill/>
        <a:ln>
          <a:noFill/>
        </a:ln>
      </c:spPr>
    </c:plotArea>
    <c:legend>
      <c:legendPos val="r"/>
      <c:layout>
        <c:manualLayout>
          <c:xMode val="edge"/>
          <c:yMode val="edge"/>
          <c:x val="0.65275"/>
          <c:y val="0.16218592"/>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TotalTime>
  <Application>Yozo_Office27021597764231179</Application>
  <Pages>63</Pages>
  <Words>26310</Words>
  <Characters>29555</Characters>
  <Lines>1292</Lines>
  <Paragraphs>370</Paragraphs>
  <CharactersWithSpaces>29653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2023-08-25T07:35:52Z</cp:lastPrinted>
  <dcterms:created xsi:type="dcterms:W3CDTF">2019-08-03T09:14:00Z</dcterms:created>
  <dcterms:modified xsi:type="dcterms:W3CDTF">2023-08-30T09:07:51Z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2052-11.1.0.9912</vt:lpwstr>
  </property>
  <property fmtid="{D5CDD505-2E9C-101B-9397-08002B2CF9AE}" pid="3" name="ICV">
    <vt:lpwstr>7446358C982B43FBBF5486ACE152A102</vt:lpwstr>
  </property>
</Properties>
</file>