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193"/>
      <w:bookmarkStart w:id="3" w:name="_Toc15396475"/>
      <w:bookmarkStart w:id="4" w:name="_Toc15396597"/>
      <w:bookmarkStart w:id="5" w:name="_Toc15377425"/>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方正小标宋简体" w:eastAsia="方正小标宋简体" w:cs="方正小标宋简体"/>
          <w:color w:val="000000"/>
          <w:sz w:val="72"/>
          <w:szCs w:val="72"/>
        </w:rPr>
      </w:pPr>
      <w:bookmarkStart w:id="6" w:name="_Toc20266"/>
      <w:bookmarkStart w:id="7" w:name="_Toc28892"/>
      <w:bookmarkStart w:id="8" w:name="_Toc15964"/>
      <w:r>
        <w:rPr>
          <w:rFonts w:hint="eastAsia" w:ascii="方正小标宋简体" w:hAnsi="方正小标宋简体" w:eastAsia="方正小标宋简体" w:cs="方正小标宋简体"/>
          <w:color w:val="000000"/>
          <w:sz w:val="72"/>
          <w:szCs w:val="72"/>
        </w:rPr>
        <w:t>金川县</w:t>
      </w:r>
      <w:bookmarkEnd w:id="6"/>
      <w:bookmarkEnd w:id="7"/>
      <w:bookmarkStart w:id="9" w:name="_Toc16040"/>
      <w:bookmarkStart w:id="10" w:name="_Toc32513"/>
      <w:r>
        <w:rPr>
          <w:rFonts w:hint="eastAsia" w:ascii="方正小标宋简体" w:hAnsi="方正小标宋简体" w:eastAsia="方正小标宋简体" w:cs="方正小标宋简体"/>
          <w:color w:val="000000"/>
          <w:sz w:val="72"/>
          <w:szCs w:val="72"/>
        </w:rPr>
        <w:t>应急管理局</w:t>
      </w:r>
    </w:p>
    <w:p>
      <w:pPr>
        <w:adjustRightInd w:val="0"/>
        <w:snapToGrid w:val="0"/>
        <w:spacing w:line="360" w:lineRule="auto"/>
        <w:jc w:val="center"/>
        <w:outlineLvl w:val="0"/>
        <w:rPr>
          <w:rFonts w:ascii="方正小标宋简体" w:hAnsi="方正小标宋简体" w:eastAsia="方正小标宋简体" w:cs="方正小标宋简体"/>
          <w:color w:val="000000"/>
          <w:sz w:val="72"/>
          <w:szCs w:val="72"/>
        </w:rPr>
      </w:pPr>
      <w:r>
        <w:rPr>
          <w:rFonts w:hint="eastAsia" w:ascii="方正小标宋简体" w:hAnsi="方正小标宋简体" w:eastAsia="方正小标宋简体" w:cs="方正小标宋简体"/>
          <w:color w:val="000000"/>
          <w:sz w:val="72"/>
          <w:szCs w:val="72"/>
        </w:rPr>
        <w:t>部门决算</w:t>
      </w:r>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2"/>
      </w:pPr>
      <w:r>
        <w:rPr>
          <w:rFonts w:hint="eastAsia"/>
        </w:rPr>
        <w:t>公开时间：2021年8月3日</w:t>
      </w:r>
    </w:p>
    <w:p/>
    <w:p/>
    <w:p/>
    <w:p/>
    <w:p>
      <w:pPr>
        <w:pStyle w:val="12"/>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3"/>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6</w:t>
      </w:r>
      <w:r>
        <w:rPr>
          <w:rFonts w:hint="eastAsia"/>
        </w:rPr>
        <w:fldChar w:fldCharType="end"/>
      </w:r>
    </w:p>
    <w:p>
      <w:pPr>
        <w:pStyle w:val="13"/>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3"/>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3"/>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3"/>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3"/>
        <w:ind w:left="420"/>
      </w:pPr>
      <w:r>
        <w:rPr>
          <w:rStyle w:val="18"/>
          <w:rFonts w:hint="eastAsia" w:ascii="仿宋" w:eastAsia="仿宋"/>
          <w:bCs/>
          <w:sz w:val="28"/>
          <w:szCs w:val="28"/>
        </w:rPr>
        <w:t>十、预算绩效情况说明..................................14</w:t>
      </w:r>
    </w:p>
    <w:p>
      <w:pPr>
        <w:pStyle w:val="13"/>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6</w:t>
      </w:r>
    </w:p>
    <w:p>
      <w:pPr>
        <w:pStyle w:val="12"/>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0</w:t>
      </w:r>
    </w:p>
    <w:p>
      <w:pPr>
        <w:pStyle w:val="13"/>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0</w:t>
      </w:r>
    </w:p>
    <w:p>
      <w:pPr>
        <w:pStyle w:val="12"/>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3</w:t>
      </w:r>
      <w:r>
        <w:rPr>
          <w:rFonts w:hint="eastAsia"/>
        </w:rPr>
        <w:fldChar w:fldCharType="end"/>
      </w:r>
      <w:r>
        <w:rPr>
          <w:rFonts w:hint="eastAsia"/>
        </w:rPr>
        <w:t>0</w:t>
      </w:r>
    </w:p>
    <w:p>
      <w:pPr>
        <w:pStyle w:val="13"/>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30</w:t>
      </w:r>
    </w:p>
    <w:p>
      <w:pPr>
        <w:pStyle w:val="13"/>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pStyle w:val="13"/>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0</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1" w:name="_Toc15377196"/>
      <w:bookmarkStart w:id="12" w:name="_Toc15396599"/>
      <w:r>
        <w:rPr>
          <w:rFonts w:ascii="黑体" w:eastAsia="黑体"/>
          <w:b/>
        </w:rPr>
        <w:br w:type="page"/>
      </w:r>
    </w:p>
    <w:p>
      <w:pPr>
        <w:pStyle w:val="4"/>
        <w:jc w:val="center"/>
        <w:rPr>
          <w:rFonts w:ascii="黑体" w:eastAsia="黑体"/>
          <w:color w:val="000000"/>
          <w:sz w:val="32"/>
          <w:szCs w:val="32"/>
        </w:rPr>
      </w:pPr>
      <w:r>
        <w:rPr>
          <w:rFonts w:hint="eastAsia" w:ascii="黑体" w:eastAsia="黑体"/>
          <w:b w:val="0"/>
        </w:rPr>
        <w:t xml:space="preserve">第一部分 </w:t>
      </w:r>
      <w:r>
        <w:rPr>
          <w:rStyle w:val="19"/>
          <w:rFonts w:hint="eastAsia" w:ascii="黑体" w:eastAsia="黑体"/>
          <w:b w:val="0"/>
          <w:bCs w:val="0"/>
        </w:rPr>
        <w:t>部门概况</w:t>
      </w:r>
      <w:bookmarkEnd w:id="11"/>
      <w:bookmarkEnd w:id="12"/>
    </w:p>
    <w:p>
      <w:pPr>
        <w:pStyle w:val="5"/>
        <w:spacing w:before="0" w:after="0" w:line="240" w:lineRule="auto"/>
        <w:ind w:left="638" w:leftChars="304"/>
        <w:rPr>
          <w:rStyle w:val="20"/>
          <w:rFonts w:ascii="黑体" w:eastAsia="黑体"/>
          <w:b w:val="0"/>
          <w:bCs w:val="0"/>
        </w:rPr>
      </w:pPr>
      <w:bookmarkStart w:id="13" w:name="_Toc15377197"/>
      <w:bookmarkStart w:id="14" w:name="_Toc15396600"/>
      <w:r>
        <w:rPr>
          <w:rFonts w:hint="eastAsia" w:ascii="黑体" w:eastAsia="黑体"/>
          <w:b w:val="0"/>
          <w:color w:val="000000"/>
        </w:rPr>
        <w:t>一、基</w:t>
      </w:r>
      <w:r>
        <w:rPr>
          <w:rStyle w:val="20"/>
          <w:rFonts w:hint="eastAsia" w:ascii="黑体" w:eastAsia="黑体"/>
          <w:b w:val="0"/>
          <w:bCs w:val="0"/>
        </w:rPr>
        <w:t>本职能及主要工作</w:t>
      </w:r>
      <w:bookmarkEnd w:id="13"/>
      <w:bookmarkEnd w:id="14"/>
      <w:bookmarkStart w:id="15" w:name="_Toc15378445"/>
      <w:bookmarkStart w:id="16" w:name="_Toc15377198"/>
    </w:p>
    <w:p>
      <w:pPr>
        <w:pStyle w:val="5"/>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5"/>
      <w:bookmarkEnd w:id="16"/>
      <w:bookmarkStart w:id="17" w:name="_Toc15377199"/>
      <w:bookmarkStart w:id="18" w:name="_Toc15378446"/>
    </w:p>
    <w:p>
      <w:pPr>
        <w:widowControl/>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单位负责应急管理工作，组织和指导各乡（镇）、县级各部门（单位）应对安全生产类、自然灾害类等突发事件和综合防灾减灾救灾工作。负责安全生产综合监督管理和工矿商贸安全生产监督管理工作。拟订应急管理、安全生产等有关规范性文件，组织编制应急体系建设、安全生产和综合防灾减灾规划。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牵头建立统一的应急管理信息系统，负责信息传输渠道的规划和布局，建立监测预警和灾情报告制度，健全自然灾害信息资源获取和共享机制，依法统一发布灾情。负责组织、指导、协调安全生产类、自然灾害类等突发事件应急救援，承担全县应对较大及以上灾害指挥部工作，综合研判突发事件发展态势并提出应对建议，负责组织较大及以上灾害应急处置工作。统一协调指挥各类应急专业队伍，建立应急协调联动机制，推进指挥平台对接。按照国家、省、州相关政策和规定负责消防、森林和草原火灾扑救、抗洪抢险、地震和地质灾害救援、生产安全事故救援等专业应急救援力量建设，依法依规统筹指导全县社会应急救援力量和应急保障能力建设。按照国家、省、州相关政策和县委、县政府相关规定负责消防工作，组织和指导消防监督、火灾预防、火灾扑救等工作。负责自然灾害综合监测预警工作，承担自然灾害综合风险评估工作，指导协调森林和草原火灾、水旱灾害、地震和地质灾害等防治工作。负责组织、协调灾害救助工作，组织和指导灾情核查、损失评估、救灾捐赠工作，管理、分配中央、省、州下拨及县级救灾款物并监督使用。依法承担县政府安全生产综合监督管理责任，指导协调、监督检查各乡（镇）和各部门（单位）安全生产工作，组织开展安全生产巡查、督查、考核工作。负责应急管理、安全生产宣传教育和培训工作，组织和指导应急管理、安全生产的科学技术推广应用和信息化建设工作。负责职责范围内的职业健康、生态环境保护、公共机构节能减排、审批服务便民化工作。完成县委、县政府交办的其他任务。</w:t>
      </w:r>
    </w:p>
    <w:p>
      <w:pPr>
        <w:pStyle w:val="5"/>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7"/>
      <w:bookmarkEnd w:id="18"/>
    </w:p>
    <w:p>
      <w:pPr>
        <w:widowControl/>
        <w:spacing w:line="360" w:lineRule="auto"/>
        <w:ind w:firstLine="640" w:firstLineChars="200"/>
        <w:jc w:val="left"/>
        <w:rPr>
          <w:rFonts w:ascii="仿宋_GB2312" w:hAnsi="仿宋_GB2312" w:eastAsia="仿宋_GB2312" w:cs="仿宋_GB2312"/>
          <w:kern w:val="0"/>
          <w:sz w:val="32"/>
          <w:szCs w:val="32"/>
        </w:rPr>
      </w:pPr>
      <w:bookmarkStart w:id="19" w:name="_Toc15396601"/>
      <w:bookmarkStart w:id="20" w:name="_Toc15377200"/>
      <w:r>
        <w:rPr>
          <w:rFonts w:hint="eastAsia" w:ascii="仿宋_GB2312" w:hAnsi="仿宋_GB2312" w:eastAsia="仿宋_GB2312" w:cs="仿宋_GB2312"/>
          <w:kern w:val="0"/>
          <w:sz w:val="32"/>
          <w:szCs w:val="32"/>
        </w:rPr>
        <w:t>（1）安全生产开展情况：一是坚持思想引领，落实上级精神。二是强化清单管理，完善责任体系。三是把握关键重点，筑牢安全生产底线。</w:t>
      </w:r>
    </w:p>
    <w:p>
      <w:pPr>
        <w:widowControl/>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（2）森林草原防灭火工作开展情况：一是强化思想认识。二是深入开展排查整治。三是加快项目建设。</w:t>
      </w:r>
    </w:p>
    <w:p>
      <w:pPr>
        <w:widowControl/>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（3）防灾减灾工作开展情况：一是强化物资储备。二是抓好入汛前隐患排查。三是扎实开展地质灾害专项整治。四是积极争取专项资金。五是突出以人为本、全力做好汛期防灾减灾工作。</w:t>
      </w:r>
    </w:p>
    <w:p>
      <w:pPr>
        <w:widowControl/>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（4）应急管理工作开展情况：一是狠抓机制建设。二是提升处置能力。三是做实做细应急演练。四是加强预警监测值守。</w:t>
      </w:r>
    </w:p>
    <w:p>
      <w:pPr>
        <w:widowControl/>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（5）廉政建设：理清工作思路，抓好“一岗双责”；严格党内监督，强化执纪问责；强化作风建设，促进各项权力规范运行。</w:t>
      </w:r>
    </w:p>
    <w:p>
      <w:pPr>
        <w:spacing w:line="578" w:lineRule="exact"/>
        <w:ind w:firstLine="640" w:firstLineChars="200"/>
        <w:rPr>
          <w:rStyle w:val="20"/>
          <w:b w:val="0"/>
          <w:bCs w:val="0"/>
        </w:rPr>
      </w:pPr>
      <w:r>
        <w:rPr>
          <w:rStyle w:val="20"/>
          <w:rFonts w:hint="eastAsia" w:ascii="黑体" w:eastAsia="黑体"/>
          <w:b w:val="0"/>
          <w:bCs w:val="0"/>
        </w:rPr>
        <w:t>二、机构设置</w:t>
      </w:r>
      <w:bookmarkEnd w:id="19"/>
      <w:bookmarkEnd w:id="20"/>
    </w:p>
    <w:p>
      <w:pPr>
        <w:widowControl/>
        <w:spacing w:line="360" w:lineRule="auto"/>
        <w:ind w:firstLine="640" w:firstLineChars="200"/>
        <w:jc w:val="left"/>
        <w:rPr>
          <w:rFonts w:hint="eastAsia" w:ascii="仿宋_GB2312" w:hAnsi="仿宋_GB2312" w:eastAsia="仿宋_GB2312" w:cs="仿宋_GB2312"/>
          <w:kern w:val="0"/>
          <w:sz w:val="32"/>
          <w:szCs w:val="32"/>
        </w:rPr>
      </w:pPr>
      <w:bookmarkStart w:id="21" w:name="_Toc15396602"/>
      <w:bookmarkStart w:id="22" w:name="_Toc15377204"/>
      <w:r>
        <w:rPr>
          <w:rFonts w:hint="eastAsia" w:ascii="仿宋_GB2312" w:hAnsi="仿宋_GB2312" w:eastAsia="仿宋_GB2312" w:cs="仿宋_GB2312"/>
          <w:kern w:val="0"/>
          <w:sz w:val="32"/>
          <w:szCs w:val="32"/>
        </w:rPr>
        <w:t>本单位2020年有一个行政核算机构，与2019年一致。</w:t>
      </w:r>
    </w:p>
    <w:p>
      <w:pPr>
        <w:spacing w:line="578" w:lineRule="exact"/>
        <w:ind w:firstLine="640" w:firstLineChars="200"/>
        <w:rPr>
          <w:rFonts w:ascii="仿宋" w:hAnsi="仿宋" w:eastAsia="仿宋" w:cs="仿宋"/>
          <w:color w:val="000000" w:themeColor="text1"/>
          <w:spacing w:val="-14"/>
          <w:sz w:val="32"/>
          <w:szCs w:val="32"/>
        </w:rPr>
      </w:pPr>
      <w:r>
        <w:rPr>
          <w:rFonts w:hint="eastAsia" w:ascii="仿宋" w:hAnsi="仿宋" w:eastAsia="仿宋" w:cs="仿宋"/>
          <w:color w:val="000000" w:themeColor="text1"/>
          <w:kern w:val="0"/>
          <w:sz w:val="32"/>
          <w:szCs w:val="32"/>
        </w:rPr>
        <w:t>金川县应急管理局是</w:t>
      </w:r>
      <w:r>
        <w:rPr>
          <w:rFonts w:hint="eastAsia" w:ascii="仿宋" w:hAnsi="仿宋" w:eastAsia="仿宋" w:cs="仿宋"/>
          <w:color w:val="000000" w:themeColor="text1"/>
          <w:spacing w:val="-14"/>
          <w:sz w:val="32"/>
          <w:szCs w:val="32"/>
        </w:rPr>
        <w:t>独立编制单位机构数为 1个，财政供养人员编制为17名，其中行政编制 8名，行政工勤编制1 名，事业编制 2名，参照公务员法管理人员编制 6人。</w:t>
      </w:r>
    </w:p>
    <w:p>
      <w:pPr>
        <w:pStyle w:val="2"/>
      </w:pPr>
    </w:p>
    <w:p>
      <w:pPr>
        <w:pStyle w:val="4"/>
        <w:ind w:right="440"/>
        <w:jc w:val="right"/>
      </w:pPr>
      <w:r>
        <w:rPr>
          <w:rFonts w:hint="eastAsia" w:ascii="黑体" w:eastAsia="黑体"/>
          <w:b w:val="0"/>
          <w:color w:val="000000"/>
        </w:rPr>
        <w:t>第二部分</w:t>
      </w:r>
      <w:r>
        <w:rPr>
          <w:rFonts w:hint="eastAsia" w:ascii="黑体" w:eastAsia="黑体"/>
          <w:color w:val="000000"/>
        </w:rPr>
        <w:t xml:space="preserve"> </w:t>
      </w:r>
      <w:r>
        <w:rPr>
          <w:rStyle w:val="19"/>
          <w:rFonts w:hint="eastAsia" w:ascii="黑体" w:eastAsia="黑体"/>
          <w:b w:val="0"/>
          <w:bCs w:val="0"/>
        </w:rPr>
        <w:t>2020年度部门决算情况说明</w:t>
      </w:r>
      <w:bookmarkEnd w:id="21"/>
      <w:bookmarkEnd w:id="22"/>
    </w:p>
    <w:p>
      <w:pPr>
        <w:pStyle w:val="25"/>
        <w:ind w:firstLine="640"/>
        <w:outlineLvl w:val="1"/>
        <w:rPr>
          <w:rStyle w:val="20"/>
          <w:rFonts w:ascii="黑体" w:eastAsia="黑体"/>
          <w:b w:val="0"/>
        </w:rPr>
      </w:pPr>
      <w:bookmarkStart w:id="23" w:name="_Toc15396603"/>
      <w:bookmarkStart w:id="24" w:name="_Toc15377205"/>
      <w:r>
        <w:rPr>
          <w:rFonts w:hint="eastAsia" w:ascii="黑体" w:eastAsia="黑体"/>
          <w:color w:val="000000"/>
          <w:sz w:val="32"/>
          <w:szCs w:val="32"/>
        </w:rPr>
        <w:t>一、收</w:t>
      </w:r>
      <w:r>
        <w:rPr>
          <w:rStyle w:val="20"/>
          <w:rFonts w:hint="eastAsia" w:ascii="黑体" w:eastAsia="黑体"/>
          <w:b w:val="0"/>
        </w:rPr>
        <w:t>入支出决算总体情况说明</w:t>
      </w:r>
      <w:bookmarkEnd w:id="23"/>
      <w:bookmarkEnd w:id="24"/>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2020年度总收入1530.79万元，较上年收入增加656.35万元，增加75.06%。增加的主要原因是2020年更加规范财务核算，机构改革后人员增加，当年部门预算安排项目经费增加。</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2020年总支出845.23万元，较上年支出增加528.54万元，增加166.90%。主要原因一是项目支出及基本支出增加；二是2020年支出包含了上年结转项目。</w:t>
      </w:r>
    </w:p>
    <w:p>
      <w:pPr>
        <w:spacing w:line="600" w:lineRule="exact"/>
        <w:ind w:firstLine="640" w:firstLineChars="200"/>
        <w:rPr>
          <w:rStyle w:val="20"/>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345690"/>
            <wp:effectExtent l="5080" t="4445" r="20320" b="12065"/>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5" w:name="_Toc15396604"/>
      <w:bookmarkStart w:id="26" w:name="_Toc15377206"/>
      <w:r>
        <w:rPr>
          <w:rFonts w:hint="eastAsia" w:ascii="黑体" w:eastAsia="黑体"/>
          <w:color w:val="000000"/>
          <w:sz w:val="32"/>
          <w:szCs w:val="32"/>
        </w:rPr>
        <w:t>二、收入决</w:t>
      </w:r>
      <w:r>
        <w:rPr>
          <w:rStyle w:val="20"/>
          <w:rFonts w:hint="eastAsia" w:ascii="黑体" w:eastAsia="黑体"/>
          <w:b w:val="0"/>
        </w:rPr>
        <w:t>算情况说明</w:t>
      </w:r>
      <w:bookmarkEnd w:id="25"/>
      <w:bookmarkEnd w:id="26"/>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2020年总收入1530.79万元，其中：一般公共预算财政拨款收入1530.79万元，占100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；上级补助收入0万元，占0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20"/>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5715</wp:posOffset>
            </wp:positionH>
            <wp:positionV relativeFrom="paragraph">
              <wp:posOffset>83185</wp:posOffset>
            </wp:positionV>
            <wp:extent cx="5240655" cy="2487930"/>
            <wp:effectExtent l="4445" t="4445" r="12700" b="22225"/>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7" w:name="_Toc15396605"/>
      <w:bookmarkStart w:id="28" w:name="_Toc15377207"/>
      <w:r>
        <w:rPr>
          <w:rFonts w:hint="eastAsia" w:ascii="黑体" w:eastAsia="黑体"/>
          <w:color w:val="000000"/>
          <w:sz w:val="32"/>
          <w:szCs w:val="32"/>
        </w:rPr>
        <w:t>三、支出决</w:t>
      </w:r>
      <w:r>
        <w:rPr>
          <w:rStyle w:val="20"/>
          <w:rFonts w:hint="eastAsia" w:ascii="黑体" w:eastAsia="黑体"/>
          <w:b w:val="0"/>
        </w:rPr>
        <w:t>算情况说明</w:t>
      </w:r>
      <w:bookmarkEnd w:id="27"/>
      <w:bookmarkEnd w:id="28"/>
    </w:p>
    <w:p>
      <w:pPr>
        <w:spacing w:line="600" w:lineRule="exact"/>
        <w:ind w:firstLine="640"/>
        <w:rPr>
          <w:rFonts w:ascii="仿宋_GB2312" w:eastAsia="仿宋_GB2312"/>
          <w:color w:val="FF0000"/>
          <w:sz w:val="32"/>
          <w:szCs w:val="32"/>
        </w:rPr>
      </w:pPr>
      <w:r>
        <w:rPr>
          <w:rFonts w:hint="eastAsia" w:ascii="仿宋" w:eastAsia="仿宋"/>
          <w:color w:val="000000"/>
          <w:sz w:val="32"/>
          <w:szCs w:val="32"/>
        </w:rPr>
        <w:t>2020年本年总支出</w:t>
      </w:r>
      <w:r>
        <w:rPr>
          <w:rFonts w:hint="eastAsia" w:ascii="仿宋_GB2312" w:eastAsia="仿宋_GB2312"/>
          <w:spacing w:val="-2"/>
          <w:sz w:val="32"/>
          <w:szCs w:val="32"/>
        </w:rPr>
        <w:t>845.23</w:t>
      </w:r>
      <w:r>
        <w:rPr>
          <w:rFonts w:hint="eastAsia" w:ascii="仿宋" w:eastAsia="仿宋"/>
          <w:color w:val="000000"/>
          <w:sz w:val="32"/>
          <w:szCs w:val="32"/>
        </w:rPr>
        <w:t>万元，其中：基本支出318.87万元，占37.73%；项目支出526.36万元，占62.27%；上缴</w:t>
      </w: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112395</wp:posOffset>
            </wp:positionH>
            <wp:positionV relativeFrom="paragraph">
              <wp:posOffset>822325</wp:posOffset>
            </wp:positionV>
            <wp:extent cx="5061585" cy="2412365"/>
            <wp:effectExtent l="4445" t="4445" r="20320" b="2159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color w:val="000000"/>
          <w:sz w:val="32"/>
          <w:szCs w:val="32"/>
        </w:rPr>
        <w:t>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20"/>
          <w:rFonts w:ascii="黑体" w:eastAsia="黑体"/>
          <w:b w:val="0"/>
        </w:rPr>
      </w:pPr>
      <w:bookmarkStart w:id="29" w:name="_Toc15396606"/>
      <w:bookmarkStart w:id="30" w:name="_Toc15377208"/>
      <w:r>
        <w:rPr>
          <w:rFonts w:hint="eastAsia" w:ascii="黑体" w:eastAsia="黑体"/>
          <w:color w:val="000000"/>
          <w:sz w:val="32"/>
          <w:szCs w:val="32"/>
        </w:rPr>
        <w:t>四、财</w:t>
      </w:r>
      <w:r>
        <w:rPr>
          <w:rStyle w:val="20"/>
          <w:rFonts w:hint="eastAsia" w:ascii="黑体" w:eastAsia="黑体"/>
          <w:b w:val="0"/>
        </w:rPr>
        <w:t>政拨款收入支出决算总体情况说明</w:t>
      </w:r>
      <w:bookmarkEnd w:id="29"/>
      <w:bookmarkEnd w:id="30"/>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27305</wp:posOffset>
            </wp:positionH>
            <wp:positionV relativeFrom="paragraph">
              <wp:posOffset>2070100</wp:posOffset>
            </wp:positionV>
            <wp:extent cx="5080000" cy="2299970"/>
            <wp:effectExtent l="4445" t="4445" r="20955" b="1968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2020年财政拨款收入1530.79万元。与2019年相比，一般公共预算财政拨款收入较上年</w:t>
      </w:r>
      <w:r>
        <w:rPr>
          <w:rFonts w:hint="eastAsia" w:ascii="仿宋_GB2312" w:eastAsia="仿宋_GB2312"/>
          <w:color w:val="000000"/>
          <w:spacing w:val="-2"/>
          <w:sz w:val="32"/>
          <w:szCs w:val="32"/>
        </w:rPr>
        <w:t>增加656.35</w:t>
      </w:r>
      <w:r>
        <w:rPr>
          <w:rFonts w:hint="eastAsia" w:ascii="仿宋" w:eastAsia="仿宋"/>
          <w:color w:val="000000"/>
          <w:sz w:val="32"/>
          <w:szCs w:val="32"/>
        </w:rPr>
        <w:t>万元，</w:t>
      </w:r>
      <w:r>
        <w:rPr>
          <w:rFonts w:hint="eastAsia" w:ascii="仿宋_GB2312" w:eastAsia="仿宋_GB2312"/>
          <w:color w:val="000000"/>
          <w:spacing w:val="-2"/>
          <w:sz w:val="32"/>
          <w:szCs w:val="32"/>
        </w:rPr>
        <w:t>增加75.06%</w:t>
      </w:r>
      <w:r>
        <w:rPr>
          <w:rFonts w:hint="eastAsia" w:ascii="仿宋" w:eastAsia="仿宋"/>
          <w:color w:val="000000"/>
          <w:sz w:val="32"/>
          <w:szCs w:val="32"/>
        </w:rPr>
        <w:t>。</w:t>
      </w:r>
      <w:r>
        <w:rPr>
          <w:rFonts w:hint="eastAsia" w:ascii="仿宋_GB2312" w:eastAsia="仿宋_GB2312"/>
          <w:color w:val="000000"/>
          <w:spacing w:val="-2"/>
          <w:sz w:val="32"/>
          <w:szCs w:val="32"/>
        </w:rPr>
        <w:t>增加的主要原因是2020年更加规范财务核算，机构改革后人员增加，当年部门预算安排项目经费增加。</w:t>
      </w:r>
      <w:r>
        <w:rPr>
          <w:rFonts w:hint="eastAsia" w:ascii="仿宋" w:eastAsia="仿宋"/>
          <w:color w:val="000000"/>
          <w:sz w:val="32"/>
          <w:szCs w:val="32"/>
        </w:rPr>
        <w:t>2020年财政拨款支出845.23万元，</w:t>
      </w:r>
      <w:r>
        <w:rPr>
          <w:rFonts w:hint="eastAsia" w:ascii="仿宋" w:eastAsia="仿宋"/>
          <w:sz w:val="32"/>
          <w:szCs w:val="32"/>
        </w:rPr>
        <w:t>较上年支出</w:t>
      </w:r>
      <w:r>
        <w:rPr>
          <w:rFonts w:hint="eastAsia" w:ascii="仿宋_GB2312" w:eastAsia="仿宋_GB2312"/>
          <w:spacing w:val="-2"/>
          <w:sz w:val="32"/>
          <w:szCs w:val="32"/>
        </w:rPr>
        <w:t>增加528.54</w:t>
      </w:r>
      <w:r>
        <w:rPr>
          <w:rFonts w:hint="eastAsia" w:ascii="仿宋" w:eastAsia="仿宋"/>
          <w:sz w:val="32"/>
          <w:szCs w:val="32"/>
        </w:rPr>
        <w:t>万元，</w:t>
      </w:r>
      <w:r>
        <w:rPr>
          <w:rFonts w:hint="eastAsia" w:ascii="仿宋_GB2312" w:eastAsia="仿宋_GB2312"/>
          <w:spacing w:val="-2"/>
          <w:sz w:val="32"/>
          <w:szCs w:val="32"/>
        </w:rPr>
        <w:t>增加166.90%。</w:t>
      </w:r>
    </w:p>
    <w:p>
      <w:pPr>
        <w:spacing w:line="600" w:lineRule="exact"/>
        <w:ind w:firstLine="640" w:firstLineChars="200"/>
        <w:rPr>
          <w:rStyle w:val="20"/>
          <w:rFonts w:ascii="黑体" w:eastAsia="黑体"/>
          <w:b w:val="0"/>
        </w:rPr>
      </w:pPr>
      <w:bookmarkStart w:id="31" w:name="_Toc15396607"/>
      <w:bookmarkStart w:id="32"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1"/>
      <w:bookmarkEnd w:id="32"/>
    </w:p>
    <w:p>
      <w:pPr>
        <w:spacing w:line="600" w:lineRule="exact"/>
        <w:ind w:firstLine="643" w:firstLineChars="200"/>
        <w:outlineLvl w:val="2"/>
        <w:rPr>
          <w:rFonts w:ascii="仿宋" w:eastAsia="仿宋"/>
          <w:b/>
          <w:color w:val="000000"/>
          <w:sz w:val="32"/>
          <w:szCs w:val="32"/>
        </w:rPr>
      </w:pPr>
      <w:bookmarkStart w:id="33" w:name="_Toc15377210"/>
      <w:r>
        <w:rPr>
          <w:rFonts w:hint="eastAsia" w:ascii="仿宋" w:eastAsia="仿宋"/>
          <w:b/>
          <w:color w:val="000000"/>
          <w:sz w:val="32"/>
          <w:szCs w:val="32"/>
        </w:rPr>
        <w:t>（一）一般公共预算财政拨款支出决算总体情况</w:t>
      </w:r>
      <w:bookmarkEnd w:id="33"/>
    </w:p>
    <w:p>
      <w:pPr>
        <w:snapToGrid w:val="0"/>
        <w:spacing w:line="520" w:lineRule="exact"/>
        <w:ind w:firstLine="640" w:firstLineChars="200"/>
        <w:rPr>
          <w:rFonts w:ascii="仿宋_GB2312" w:eastAsia="仿宋_GB2312"/>
          <w:spacing w:val="-2"/>
          <w:sz w:val="32"/>
          <w:szCs w:val="32"/>
        </w:rPr>
      </w:pPr>
      <w:r>
        <w:rPr>
          <w:rFonts w:hint="eastAsia" w:ascii="仿宋" w:eastAsia="仿宋"/>
          <w:color w:val="000000"/>
          <w:sz w:val="32"/>
          <w:szCs w:val="32"/>
        </w:rPr>
        <w:t>2020年</w:t>
      </w:r>
      <w:r>
        <w:rPr>
          <w:rFonts w:hint="eastAsia" w:ascii="仿宋_GB2312" w:eastAsia="仿宋_GB2312"/>
          <w:spacing w:val="-2"/>
          <w:sz w:val="32"/>
          <w:szCs w:val="32"/>
        </w:rPr>
        <w:t>一般公共预算财政拨款支出845.23万元，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。与2019年相比，一般公共预算财政拨款</w:t>
      </w:r>
      <w:r>
        <w:rPr>
          <w:rFonts w:hint="eastAsia" w:ascii="仿宋_GB2312" w:eastAsia="仿宋_GB2312"/>
          <w:spacing w:val="-2"/>
          <w:sz w:val="32"/>
          <w:szCs w:val="32"/>
        </w:rPr>
        <w:t>支出增加528.54万元，增加166.90%。主要原因一是当年安排部门预算项目经费及基本支出较上年有所增加；二是2020年财政拨款支出包含了上年结转项目。</w:t>
      </w:r>
    </w:p>
    <w:p>
      <w:pPr>
        <w:snapToGrid w:val="0"/>
        <w:spacing w:line="520" w:lineRule="exact"/>
        <w:ind w:firstLine="640" w:firstLineChars="200"/>
        <w:rPr>
          <w:rFonts w:ascii="仿宋" w:eastAsia="仿宋"/>
          <w:b/>
          <w:color w:val="000000"/>
          <w:sz w:val="32"/>
          <w:szCs w:val="32"/>
        </w:rPr>
      </w:pPr>
      <w:bookmarkStart w:id="34" w:name="_Toc15377211"/>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243840</wp:posOffset>
            </wp:positionH>
            <wp:positionV relativeFrom="paragraph">
              <wp:posOffset>40640</wp:posOffset>
            </wp:positionV>
            <wp:extent cx="4836160" cy="2047875"/>
            <wp:effectExtent l="4445" t="4445" r="17145" b="508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b/>
          <w:color w:val="000000"/>
          <w:sz w:val="32"/>
          <w:szCs w:val="32"/>
        </w:rPr>
        <w:t>（二）一般公共预算财政拨款支出决算结构情况</w:t>
      </w:r>
      <w:bookmarkEnd w:id="34"/>
    </w:p>
    <w:p>
      <w:pPr>
        <w:spacing w:line="600" w:lineRule="exact"/>
        <w:ind w:firstLine="640"/>
        <w:rPr>
          <w:rFonts w:ascii="仿宋" w:eastAsia="仿宋"/>
          <w:b/>
          <w:color w:val="000000"/>
          <w:sz w:val="32"/>
          <w:szCs w:val="32"/>
        </w:rPr>
      </w:pPr>
      <w:r>
        <w:rPr>
          <w:rFonts w:hint="eastAsia" w:ascii="仿宋" w:eastAsia="仿宋"/>
          <w:color w:val="000000"/>
          <w:sz w:val="32"/>
          <w:szCs w:val="32"/>
        </w:rPr>
        <w:t>2020年一般公共预算财政拨款支出845.23万元，主要用于以下方面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 w:eastAsia="仿宋"/>
          <w:color w:val="000000"/>
          <w:sz w:val="32"/>
          <w:szCs w:val="32"/>
        </w:rPr>
        <w:t>37.36万元，占4.42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15.84万元，占1.87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26.37万元，占3.12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灾害防治及应急管理支出</w:t>
      </w:r>
      <w:r>
        <w:rPr>
          <w:rFonts w:hint="eastAsia" w:ascii="仿宋" w:eastAsia="仿宋"/>
          <w:color w:val="000000"/>
          <w:sz w:val="32"/>
          <w:szCs w:val="32"/>
        </w:rPr>
        <w:t>356.24万元，占42.15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其他支出</w:t>
      </w:r>
      <w:r>
        <w:rPr>
          <w:rFonts w:hint="eastAsia" w:ascii="仿宋" w:eastAsia="仿宋"/>
          <w:color w:val="000000"/>
          <w:sz w:val="32"/>
          <w:szCs w:val="32"/>
        </w:rPr>
        <w:t>409.42万元，占48.44</w:t>
      </w:r>
      <w:r>
        <w:rPr>
          <w:rFonts w:ascii="仿宋" w:eastAsia="仿宋"/>
          <w:color w:val="000000"/>
          <w:sz w:val="32"/>
          <w:szCs w:val="32"/>
        </w:rPr>
        <w:t>%</w:t>
      </w:r>
      <w:r>
        <w:rPr>
          <w:rFonts w:hint="eastAsia" w:ascii="仿宋" w:eastAsia="仿宋"/>
          <w:color w:val="000000"/>
          <w:sz w:val="32"/>
          <w:szCs w:val="32"/>
        </w:rPr>
        <w:t>。</w:t>
      </w:r>
      <w:bookmarkStart w:id="35" w:name="_Toc15377213"/>
      <w:bookmarkStart w:id="36" w:name="_Toc15377444"/>
      <w:bookmarkStart w:id="37" w:name="_Toc15378460"/>
    </w:p>
    <w:p>
      <w:pPr>
        <w:spacing w:line="600" w:lineRule="exact"/>
        <w:ind w:firstLine="640" w:firstLineChars="200"/>
        <w:outlineLvl w:val="2"/>
        <w:rPr>
          <w:rFonts w:ascii="仿宋" w:eastAsia="仿宋"/>
          <w:b/>
          <w:color w:val="000000"/>
          <w:sz w:val="32"/>
          <w:szCs w:val="32"/>
        </w:rPr>
      </w:pPr>
      <w:bookmarkStart w:id="38" w:name="_Toc15377212"/>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187960</wp:posOffset>
            </wp:positionH>
            <wp:positionV relativeFrom="paragraph">
              <wp:posOffset>23495</wp:posOffset>
            </wp:positionV>
            <wp:extent cx="4847590" cy="2458085"/>
            <wp:effectExtent l="4445" t="5080" r="5715" b="1333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b/>
          <w:color w:val="000000"/>
          <w:sz w:val="32"/>
          <w:szCs w:val="32"/>
        </w:rPr>
        <w:t>（三）一般公共预算财政拨款支出决算具体情况</w:t>
      </w:r>
      <w:bookmarkEnd w:id="38"/>
    </w:p>
    <w:p>
      <w:pPr>
        <w:spacing w:line="600" w:lineRule="exact"/>
        <w:ind w:firstLine="640"/>
        <w:outlineLvl w:val="2"/>
        <w:rPr>
          <w:rFonts w:ascii="仿宋" w:eastAsia="仿宋"/>
          <w:bCs/>
          <w:color w:val="FF0000"/>
          <w:sz w:val="32"/>
          <w:szCs w:val="32"/>
        </w:rPr>
      </w:pPr>
      <w:r>
        <w:rPr>
          <w:rFonts w:hint="eastAsia" w:ascii="仿宋" w:eastAsia="仿宋"/>
          <w:bCs/>
          <w:color w:val="000000"/>
          <w:sz w:val="32"/>
          <w:szCs w:val="32"/>
        </w:rPr>
        <w:t xml:space="preserve">   </w:t>
      </w:r>
      <w:bookmarkEnd w:id="35"/>
      <w:bookmarkEnd w:id="36"/>
      <w:bookmarkEnd w:id="37"/>
      <w:r>
        <w:rPr>
          <w:rFonts w:hint="eastAsia" w:ascii="仿宋" w:eastAsia="仿宋"/>
          <w:bCs/>
          <w:color w:val="000000"/>
          <w:sz w:val="32"/>
          <w:szCs w:val="32"/>
        </w:rPr>
        <w:t>2020年一般公共预算数为1872.43万元，支出决算数为845.23万元，完</w:t>
      </w:r>
      <w:r>
        <w:rPr>
          <w:rStyle w:val="17"/>
          <w:rFonts w:hint="eastAsia" w:ascii="仿宋" w:eastAsia="仿宋"/>
          <w:b w:val="0"/>
          <w:bCs/>
          <w:color w:val="000000"/>
          <w:sz w:val="32"/>
          <w:szCs w:val="32"/>
        </w:rPr>
        <w:t>成预算45.14</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。结转下年1027.20万元。其中：</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1.灾害防治及应急管理（类）应急管理事务（款）行政运行（项）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支出决算为240.09万元，完成预算100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灾害防治及应急管理（类）应急管理事务（款）灾害风险防治（项）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支出决算为0万元，完成预算0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。结转下年430万元。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3</w:t>
      </w:r>
      <w:r>
        <w:rPr>
          <w:rStyle w:val="17"/>
          <w:rFonts w:ascii="仿宋" w:eastAsia="仿宋"/>
          <w:bCs/>
          <w:color w:val="000000"/>
          <w:sz w:val="32"/>
          <w:szCs w:val="32"/>
        </w:rPr>
        <w:t>.</w:t>
      </w:r>
      <w:r>
        <w:rPr>
          <w:rStyle w:val="17"/>
          <w:rFonts w:hint="eastAsia" w:ascii="仿宋" w:eastAsia="仿宋"/>
          <w:bCs/>
          <w:color w:val="000000"/>
          <w:sz w:val="32"/>
          <w:szCs w:val="32"/>
        </w:rPr>
        <w:t>灾害防治及应急管理（类）应急管理事务（款）安全监管（项）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支出决算为0万元，完成预算0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。结转下年30万元。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4</w:t>
      </w:r>
      <w:r>
        <w:rPr>
          <w:rStyle w:val="17"/>
          <w:rFonts w:ascii="仿宋" w:eastAsia="仿宋"/>
          <w:bCs/>
          <w:color w:val="000000"/>
          <w:sz w:val="32"/>
          <w:szCs w:val="32"/>
        </w:rPr>
        <w:t>.</w:t>
      </w:r>
      <w:r>
        <w:rPr>
          <w:rStyle w:val="17"/>
          <w:rFonts w:hint="eastAsia" w:ascii="仿宋" w:eastAsia="仿宋"/>
          <w:bCs/>
          <w:color w:val="000000"/>
          <w:sz w:val="32"/>
          <w:szCs w:val="32"/>
        </w:rPr>
        <w:t>灾害防治及应急管理（类）应急管理事务（款）其他应急管理支出（项）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支出决算为10.22万元，完成预算100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5</w:t>
      </w:r>
      <w:r>
        <w:rPr>
          <w:rStyle w:val="17"/>
          <w:rFonts w:ascii="仿宋" w:eastAsia="仿宋"/>
          <w:bCs/>
          <w:color w:val="000000"/>
          <w:sz w:val="32"/>
          <w:szCs w:val="32"/>
        </w:rPr>
        <w:t>.</w:t>
      </w:r>
      <w:r>
        <w:rPr>
          <w:rStyle w:val="17"/>
          <w:rFonts w:hint="eastAsia" w:ascii="仿宋" w:eastAsia="仿宋"/>
          <w:bCs/>
          <w:color w:val="000000"/>
          <w:sz w:val="32"/>
          <w:szCs w:val="32"/>
        </w:rPr>
        <w:t>灾害防治及应急管理（类）森林消防事务（款）森林消防应急救援（项）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支出决算为19.93万元，完成预算100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6</w:t>
      </w:r>
      <w:r>
        <w:rPr>
          <w:rStyle w:val="17"/>
          <w:rFonts w:ascii="仿宋" w:eastAsia="仿宋"/>
          <w:bCs/>
          <w:color w:val="000000"/>
          <w:sz w:val="32"/>
          <w:szCs w:val="32"/>
        </w:rPr>
        <w:t>.</w:t>
      </w:r>
      <w:r>
        <w:rPr>
          <w:rStyle w:val="17"/>
          <w:rFonts w:hint="eastAsia" w:ascii="仿宋" w:eastAsia="仿宋"/>
          <w:bCs/>
          <w:color w:val="000000"/>
          <w:sz w:val="32"/>
          <w:szCs w:val="32"/>
        </w:rPr>
        <w:t>灾害防治及应急管理（类）自然灾害救灾及恢复重建支出（款）中央自然灾害生活补助（项）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支出决算为0万元，完成预算0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，结转下年25万元。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7</w:t>
      </w:r>
      <w:r>
        <w:rPr>
          <w:rStyle w:val="17"/>
          <w:rFonts w:ascii="仿宋" w:eastAsia="仿宋"/>
          <w:bCs/>
          <w:color w:val="000000"/>
          <w:sz w:val="32"/>
          <w:szCs w:val="32"/>
        </w:rPr>
        <w:t>.</w:t>
      </w:r>
      <w:r>
        <w:rPr>
          <w:rStyle w:val="17"/>
          <w:rFonts w:hint="eastAsia" w:ascii="仿宋" w:eastAsia="仿宋"/>
          <w:bCs/>
          <w:color w:val="000000"/>
          <w:sz w:val="32"/>
          <w:szCs w:val="32"/>
        </w:rPr>
        <w:t>灾害防治及应急管理（类）自然灾害救灾及恢复重建支出（款）地方自然灾害生活补助（项）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支出决算为86万元，完成预算16.63</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，结转下年431.20万元。</w:t>
      </w:r>
    </w:p>
    <w:p>
      <w:pPr>
        <w:spacing w:line="600" w:lineRule="exact"/>
        <w:ind w:firstLine="643" w:firstLineChars="200"/>
      </w:pPr>
      <w:r>
        <w:rPr>
          <w:rStyle w:val="17"/>
          <w:rFonts w:hint="eastAsia" w:ascii="仿宋" w:eastAsia="仿宋"/>
          <w:bCs/>
          <w:color w:val="000000"/>
          <w:sz w:val="32"/>
          <w:szCs w:val="32"/>
        </w:rPr>
        <w:t>8</w:t>
      </w:r>
      <w:r>
        <w:rPr>
          <w:rStyle w:val="17"/>
          <w:rFonts w:ascii="仿宋" w:eastAsia="仿宋"/>
          <w:bCs/>
          <w:color w:val="000000"/>
          <w:sz w:val="32"/>
          <w:szCs w:val="32"/>
        </w:rPr>
        <w:t>.</w:t>
      </w:r>
      <w:r>
        <w:rPr>
          <w:rStyle w:val="17"/>
          <w:rFonts w:hint="eastAsia" w:ascii="仿宋" w:eastAsia="仿宋"/>
          <w:bCs/>
          <w:color w:val="000000"/>
          <w:sz w:val="32"/>
          <w:szCs w:val="32"/>
        </w:rPr>
        <w:t>灾害防治及应急管理（类）自然灾害救灾及恢复重建支出（款）自然灾害灾后重建补助（项）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支出决算为0万元，完成预算0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，结转下年100万元。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9</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社会保障和就业支出（类）行政事业单位养老支出（款）机关事业单位基本养老保险缴费支出（项）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支出决算为24.90万元，完成预算100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pPr>
      <w:r>
        <w:rPr>
          <w:rStyle w:val="17"/>
          <w:rFonts w:hint="eastAsia" w:ascii="仿宋" w:eastAsia="仿宋"/>
          <w:bCs/>
          <w:color w:val="000000"/>
          <w:sz w:val="32"/>
          <w:szCs w:val="32"/>
        </w:rPr>
        <w:t>10</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社会保障和就业支出（类）行政事业单位养老支出（款）机关事业单位职业年金缴费支出（项）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支出决算为12.45万元，完成预算100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11.卫生健康支出（类）行政事业单位医疗（款）行政单位医疗（项）</w:t>
      </w:r>
      <w:r>
        <w:rPr>
          <w:rStyle w:val="17"/>
          <w:rFonts w:hint="eastAsia" w:ascii="仿宋" w:eastAsia="仿宋"/>
          <w:bCs/>
          <w:color w:val="000000"/>
          <w:sz w:val="32"/>
          <w:szCs w:val="32"/>
          <w:lang w:eastAsia="zh-CN"/>
        </w:rPr>
        <w:t>：</w:t>
      </w:r>
      <w:r>
        <w:rPr>
          <w:rStyle w:val="17"/>
          <w:rFonts w:hint="eastAsia" w:ascii="仿宋" w:eastAsia="仿宋"/>
          <w:b w:val="0"/>
          <w:bCs/>
          <w:color w:val="000000"/>
          <w:sz w:val="32"/>
          <w:szCs w:val="32"/>
        </w:rPr>
        <w:t>支出决算为11.53万元，完成预算100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12.卫生健康支出（类）行政事业单位医疗（款）公务员医疗补助（项）</w:t>
      </w:r>
      <w:r>
        <w:rPr>
          <w:rStyle w:val="17"/>
          <w:rFonts w:hint="eastAsia" w:ascii="仿宋" w:eastAsia="仿宋"/>
          <w:bCs/>
          <w:color w:val="000000"/>
          <w:sz w:val="32"/>
          <w:szCs w:val="32"/>
          <w:lang w:eastAsia="zh-CN"/>
        </w:rPr>
        <w:t>：</w:t>
      </w:r>
      <w:r>
        <w:rPr>
          <w:rStyle w:val="17"/>
          <w:rFonts w:hint="eastAsia" w:ascii="仿宋" w:eastAsia="仿宋"/>
          <w:b w:val="0"/>
          <w:bCs/>
          <w:color w:val="000000"/>
          <w:sz w:val="32"/>
          <w:szCs w:val="32"/>
        </w:rPr>
        <w:t>支出决算为3.53万元，完成预算100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13.卫生健康支出（类）公共卫生（款）突发公共卫生事件应急处理（项）</w:t>
      </w:r>
      <w:r>
        <w:rPr>
          <w:rStyle w:val="17"/>
          <w:rFonts w:hint="eastAsia" w:ascii="仿宋" w:eastAsia="仿宋"/>
          <w:bCs/>
          <w:color w:val="000000"/>
          <w:sz w:val="32"/>
          <w:szCs w:val="32"/>
          <w:lang w:eastAsia="zh-CN"/>
        </w:rPr>
        <w:t>：</w:t>
      </w:r>
      <w:r>
        <w:rPr>
          <w:rStyle w:val="17"/>
          <w:rFonts w:hint="eastAsia" w:ascii="仿宋" w:eastAsia="仿宋"/>
          <w:b w:val="0"/>
          <w:bCs/>
          <w:color w:val="000000"/>
          <w:sz w:val="32"/>
          <w:szCs w:val="32"/>
        </w:rPr>
        <w:t>支出决算为0.79万元，完成预算100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pPr>
      <w:r>
        <w:rPr>
          <w:rStyle w:val="17"/>
          <w:rFonts w:hint="eastAsia" w:ascii="仿宋" w:eastAsia="仿宋"/>
          <w:bCs/>
          <w:color w:val="000000"/>
          <w:sz w:val="32"/>
          <w:szCs w:val="32"/>
        </w:rPr>
        <w:t>14.资源勘探工业信息等支出（类）资源勘探开发（款）其他资源勘探业支出（项）</w:t>
      </w:r>
      <w:r>
        <w:rPr>
          <w:rStyle w:val="17"/>
          <w:rFonts w:hint="eastAsia" w:ascii="仿宋" w:eastAsia="仿宋"/>
          <w:bCs/>
          <w:color w:val="000000"/>
          <w:sz w:val="32"/>
          <w:szCs w:val="32"/>
          <w:lang w:eastAsia="zh-CN"/>
        </w:rPr>
        <w:t>：</w:t>
      </w:r>
      <w:r>
        <w:rPr>
          <w:rStyle w:val="17"/>
          <w:rFonts w:hint="eastAsia" w:ascii="仿宋" w:eastAsia="仿宋"/>
          <w:b w:val="0"/>
          <w:bCs/>
          <w:color w:val="000000"/>
          <w:sz w:val="32"/>
          <w:szCs w:val="32"/>
        </w:rPr>
        <w:t>支出决算为0万元，完成预算0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，结转下年11万元。</w:t>
      </w:r>
    </w:p>
    <w:p>
      <w:pPr>
        <w:numPr>
          <w:ilvl w:val="0"/>
          <w:numId w:val="1"/>
        </w:numPr>
        <w:spacing w:line="600" w:lineRule="exact"/>
        <w:ind w:firstLine="643" w:firstLineChars="200"/>
        <w:rPr>
          <w:rStyle w:val="17"/>
          <w:rFonts w:ascii="仿宋" w:eastAsia="仿宋"/>
          <w:b w:val="0"/>
          <w:bCs/>
          <w:color w:val="000000"/>
          <w:sz w:val="32"/>
          <w:szCs w:val="32"/>
        </w:rPr>
      </w:pPr>
      <w:bookmarkStart w:id="39" w:name="_Toc15396608"/>
      <w:bookmarkStart w:id="40" w:name="_Toc15377214"/>
      <w:r>
        <w:rPr>
          <w:rStyle w:val="17"/>
          <w:rFonts w:hint="eastAsia" w:ascii="仿宋" w:eastAsia="仿宋"/>
          <w:bCs/>
          <w:color w:val="000000"/>
          <w:sz w:val="32"/>
          <w:szCs w:val="32"/>
        </w:rPr>
        <w:t>住房保障支出（类）住房改革支出（款）住房公积金（项）：</w:t>
      </w:r>
      <w:r>
        <w:rPr>
          <w:rStyle w:val="17"/>
          <w:rFonts w:hint="eastAsia" w:ascii="仿宋" w:eastAsia="仿宋"/>
          <w:b w:val="0"/>
          <w:bCs/>
          <w:color w:val="000000"/>
          <w:sz w:val="32"/>
          <w:szCs w:val="32"/>
        </w:rPr>
        <w:t>支出决算为25.14万元，完成预算100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Cs/>
          <w:color w:val="000000"/>
          <w:sz w:val="32"/>
          <w:szCs w:val="32"/>
        </w:rPr>
      </w:pPr>
      <w:r>
        <w:rPr>
          <w:rStyle w:val="17"/>
          <w:rFonts w:hint="eastAsia" w:ascii="仿宋" w:eastAsia="仿宋"/>
          <w:bCs/>
          <w:color w:val="000000"/>
          <w:sz w:val="32"/>
          <w:szCs w:val="32"/>
        </w:rPr>
        <w:t>16.住房保障支出（类）住房改革支出（款）购房补贴（项）：</w:t>
      </w:r>
      <w:r>
        <w:rPr>
          <w:rStyle w:val="17"/>
          <w:rFonts w:hint="eastAsia" w:ascii="仿宋" w:eastAsia="仿宋"/>
          <w:b w:val="0"/>
          <w:bCs/>
          <w:color w:val="000000"/>
          <w:sz w:val="32"/>
          <w:szCs w:val="32"/>
        </w:rPr>
        <w:t>支出决算为1.23万元，完成预算100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pPr>
      <w:r>
        <w:rPr>
          <w:rStyle w:val="17"/>
          <w:rFonts w:hint="eastAsia" w:ascii="仿宋" w:eastAsia="仿宋"/>
          <w:bCs/>
          <w:color w:val="000000"/>
          <w:sz w:val="32"/>
          <w:szCs w:val="32"/>
        </w:rPr>
        <w:t>17.其他支出（类）其他支出（款）其他支出（项）：</w:t>
      </w:r>
      <w:r>
        <w:rPr>
          <w:rStyle w:val="17"/>
          <w:rFonts w:hint="eastAsia" w:ascii="仿宋" w:eastAsia="仿宋"/>
          <w:b w:val="0"/>
          <w:bCs/>
          <w:color w:val="000000"/>
          <w:sz w:val="32"/>
          <w:szCs w:val="32"/>
        </w:rPr>
        <w:t>支出决算为409.42万元，完成预算100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39"/>
      <w:bookmarkEnd w:id="40"/>
      <w:r>
        <w:rPr>
          <w:rStyle w:val="20"/>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2020年一般公共预算财政拨款基本支出318.87万元，其中：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300.20万元，主要包括：基本工资69.56万元、津贴补贴97.38万元、奖金5.86万元、机关事业单位基本养老保险缴费24.90万元、职业年金缴费12.45万元、职工基本医疗保险缴费11.52万元、公务员医疗补助缴费3.53万元、其他社会保障缴费3.17万元、住房公积金25.14万元、生活补助0.45万元、奖励金46.24万元等。</w:t>
      </w:r>
      <w:r>
        <w:rPr>
          <w:rFonts w:ascii="仿宋" w:eastAsia="仿宋"/>
          <w:color w:val="000000"/>
          <w:sz w:val="32"/>
          <w:szCs w:val="32"/>
        </w:rPr>
        <w:br w:type="textWrapping"/>
      </w:r>
      <w:r>
        <w:rPr>
          <w:rFonts w:hint="eastAsia" w:ascii="仿宋" w:eastAsia="仿宋"/>
          <w:color w:val="000000"/>
          <w:sz w:val="32"/>
          <w:szCs w:val="32"/>
        </w:rPr>
        <w:t>　　公用经费18.67万元，主要包括：办公费1.25万元、电费1万元、邮电费3.12万元、差旅费3万元、维修（护）费1.50万元、公务接待费0.30万元、劳务费1.50万元、公务用车运行维护费7万元。</w:t>
      </w:r>
    </w:p>
    <w:p>
      <w:pPr>
        <w:spacing w:line="600" w:lineRule="exact"/>
        <w:ind w:firstLine="640" w:firstLineChars="200"/>
        <w:outlineLvl w:val="1"/>
        <w:rPr>
          <w:rStyle w:val="20"/>
          <w:rFonts w:ascii="黑体" w:eastAsia="黑体"/>
          <w:b w:val="0"/>
        </w:rPr>
      </w:pPr>
      <w:bookmarkStart w:id="41" w:name="_Toc15377215"/>
      <w:bookmarkStart w:id="42" w:name="_Toc1539660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hint="eastAsia" w:ascii="仿宋" w:eastAsia="仿宋"/>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9年“三公”经费财政拨款支出决算为7.3万元，完成预算100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4" w:name="_Toc15377217"/>
      <w:r>
        <w:rPr>
          <w:rFonts w:hint="eastAsia" w:ascii="仿宋" w:eastAsia="仿宋"/>
          <w:b/>
          <w:color w:val="000000"/>
          <w:sz w:val="32"/>
          <w:szCs w:val="32"/>
        </w:rPr>
        <w:t>（二）“三公”经费财政拨款支出决算具体情况说明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9年“三公”经费财政拨款支出</w:t>
      </w:r>
      <w:r>
        <w:rPr>
          <w:rFonts w:hint="eastAsia" w:ascii="仿宋" w:eastAsia="仿宋"/>
          <w:sz w:val="32"/>
          <w:szCs w:val="32"/>
        </w:rPr>
        <w:t>决算7.3万元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；公务用车购置及运行维护费支出决算7万元，占95.89</w:t>
      </w:r>
      <w:r>
        <w:rPr>
          <w:rFonts w:ascii="仿宋" w:eastAsia="仿宋"/>
          <w:color w:val="000000"/>
          <w:sz w:val="32"/>
          <w:szCs w:val="32"/>
        </w:rPr>
        <w:t>%</w:t>
      </w:r>
      <w:r>
        <w:rPr>
          <w:rFonts w:hint="eastAsia" w:ascii="仿宋" w:eastAsia="仿宋"/>
          <w:color w:val="000000"/>
          <w:sz w:val="32"/>
          <w:szCs w:val="32"/>
        </w:rPr>
        <w:t>；公务接待费支出决算0.30万元，占4.11</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完成预算0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公出国（境）支出决算比2019年</w:t>
      </w:r>
      <w:r>
        <w:rPr>
          <w:rFonts w:hint="eastAsia" w:ascii="仿宋_GB2312" w:eastAsia="仿宋_GB2312" w:cs="仿宋"/>
          <w:color w:val="000000"/>
          <w:sz w:val="32"/>
          <w:szCs w:val="32"/>
        </w:rPr>
        <w:t>增加0万元。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7万元</w:t>
      </w:r>
      <w:r>
        <w:rPr>
          <w:rFonts w:hint="eastAsia" w:ascii="仿宋_GB2312" w:eastAsia="仿宋_GB2312"/>
          <w:color w:val="000000"/>
          <w:sz w:val="32"/>
          <w:szCs w:val="32"/>
          <w:lang w:eastAsia="zh-CN"/>
        </w:rPr>
        <w:t>，</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公务用车购置及运行维护费支出决算与 2019年一致，</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日，共有车辆1辆，为一般公务用车。</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7万元。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0.3万元，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s="仿宋"/>
          <w:color w:val="000000"/>
          <w:sz w:val="32"/>
          <w:szCs w:val="32"/>
        </w:rPr>
        <w:t>公务接待费0.3万元，较上年减少0.27万元，减少47.37%，减少原因是严格执行有关规定，本着厉行节约的原则，实行“先审批，后接待”制度，严格控制接待标准和陪餐人数，降低接待费用。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主要用于执行公务、开展业务活动开支的交通费、住宿费、用餐费等。国内公务接待12批次，45人次，共计支出0.3万元。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5" w:name="_Toc15377218"/>
      <w:bookmarkStart w:id="46" w:name="_Toc15396610"/>
    </w:p>
    <w:p>
      <w:pPr>
        <w:spacing w:line="600" w:lineRule="exact"/>
        <w:ind w:firstLine="640"/>
        <w:outlineLvl w:val="1"/>
        <w:rPr>
          <w:rStyle w:val="20"/>
          <w:rFonts w:ascii="黑体" w:eastAsia="黑体"/>
        </w:rPr>
      </w:pPr>
      <w:r>
        <w:rPr>
          <w:rFonts w:hint="eastAsia" w:ascii="黑体" w:eastAsia="黑体"/>
          <w:color w:val="000000"/>
          <w:sz w:val="32"/>
          <w:szCs w:val="32"/>
        </w:rPr>
        <w:t>八、</w:t>
      </w:r>
      <w:r>
        <w:rPr>
          <w:rStyle w:val="20"/>
          <w:rFonts w:hint="eastAsia" w:ascii="黑体" w:eastAsia="黑体"/>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2020年政府性基金预算拨款支出0万元。</w:t>
      </w:r>
    </w:p>
    <w:p>
      <w:pPr>
        <w:numPr>
          <w:ilvl w:val="0"/>
          <w:numId w:val="4"/>
        </w:numPr>
        <w:spacing w:line="600" w:lineRule="exact"/>
        <w:ind w:firstLine="640"/>
        <w:outlineLvl w:val="1"/>
        <w:rPr>
          <w:rStyle w:val="20"/>
          <w:rFonts w:ascii="黑体" w:eastAsia="黑体"/>
          <w:b w:val="0"/>
        </w:rPr>
      </w:pPr>
      <w:bookmarkStart w:id="47" w:name="_Toc15396611"/>
      <w:bookmarkStart w:id="48" w:name="_Toc15377219"/>
      <w:r>
        <w:rPr>
          <w:rStyle w:val="20"/>
          <w:rFonts w:hint="eastAsia" w:ascii="黑体" w:eastAsia="黑体"/>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pPr>
        <w:pStyle w:val="25"/>
        <w:numPr>
          <w:ilvl w:val="0"/>
          <w:numId w:val="5"/>
        </w:numPr>
        <w:spacing w:line="580" w:lineRule="exact"/>
        <w:ind w:firstLineChars="0"/>
        <w:rPr>
          <w:rStyle w:val="20"/>
          <w:rFonts w:ascii="黑体" w:eastAsia="黑体"/>
          <w:b w:val="0"/>
        </w:rPr>
      </w:pPr>
      <w:r>
        <w:rPr>
          <w:rStyle w:val="20"/>
          <w:rFonts w:hint="eastAsia" w:ascii="黑体" w:eastAsia="黑体"/>
          <w:b w:val="0"/>
        </w:rPr>
        <w:t>预算绩效情况说明</w:t>
      </w:r>
    </w:p>
    <w:p>
      <w:pPr>
        <w:numPr>
          <w:ilvl w:val="0"/>
          <w:numId w:val="6"/>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60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按照预算绩效管理要求，本单位对2020年一般公共预算项目支出开展了绩效目标管理，编制绩效目标，涉及财政资金845.23万元，覆盖率达到100%。</w:t>
      </w:r>
    </w:p>
    <w:p>
      <w:pPr>
        <w:spacing w:line="600" w:lineRule="atLeast"/>
        <w:ind w:firstLine="643" w:firstLineChars="200"/>
        <w:outlineLvl w:val="2"/>
        <w:rPr>
          <w:rFonts w:ascii="仿宋_GB2312" w:hAnsi="仿宋_GB2312" w:eastAsia="仿宋_GB2312" w:cs="仿宋_GB2312"/>
          <w:b/>
          <w:bCs/>
          <w:sz w:val="32"/>
          <w:szCs w:val="32"/>
        </w:rPr>
      </w:pPr>
      <w:bookmarkStart w:id="49" w:name="_Toc13295"/>
      <w:r>
        <w:rPr>
          <w:rFonts w:hint="eastAsia" w:ascii="仿宋_GB2312" w:hAnsi="仿宋_GB2312" w:eastAsia="仿宋_GB2312" w:cs="仿宋_GB2312"/>
          <w:b/>
          <w:bCs/>
          <w:sz w:val="32"/>
          <w:szCs w:val="32"/>
        </w:rPr>
        <w:t>1、评价结论</w:t>
      </w:r>
      <w:bookmarkEnd w:id="49"/>
    </w:p>
    <w:p>
      <w:pPr>
        <w:spacing w:line="60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部门预算执行情况良好，无不良记录及违规违纪行为，预算支出和决算支出基本情况相符。</w:t>
      </w:r>
    </w:p>
    <w:p>
      <w:pPr>
        <w:spacing w:line="600" w:lineRule="atLeast"/>
        <w:ind w:firstLine="643" w:firstLineChars="200"/>
        <w:outlineLvl w:val="2"/>
        <w:rPr>
          <w:rFonts w:ascii="仿宋_GB2312" w:hAnsi="仿宋_GB2312" w:eastAsia="仿宋_GB2312" w:cs="仿宋_GB2312"/>
          <w:b/>
          <w:bCs/>
          <w:sz w:val="32"/>
          <w:szCs w:val="32"/>
        </w:rPr>
      </w:pPr>
      <w:bookmarkStart w:id="50" w:name="_Toc21013"/>
      <w:r>
        <w:rPr>
          <w:rFonts w:hint="eastAsia" w:ascii="仿宋_GB2312" w:hAnsi="仿宋_GB2312" w:eastAsia="仿宋_GB2312" w:cs="仿宋_GB2312"/>
          <w:b/>
          <w:bCs/>
          <w:sz w:val="32"/>
          <w:szCs w:val="32"/>
        </w:rPr>
        <w:t>2、存在问题</w:t>
      </w:r>
      <w:bookmarkEnd w:id="50"/>
    </w:p>
    <w:p>
      <w:pPr>
        <w:spacing w:line="60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一是预算项目经费支出进度慢；二是部门决算上报处理效率还需继续提升。</w:t>
      </w:r>
    </w:p>
    <w:p>
      <w:pPr>
        <w:spacing w:line="600" w:lineRule="atLeast"/>
        <w:ind w:firstLine="643" w:firstLineChars="200"/>
        <w:outlineLvl w:val="2"/>
        <w:rPr>
          <w:rFonts w:ascii="仿宋_GB2312" w:hAnsi="仿宋_GB2312" w:eastAsia="仿宋_GB2312" w:cs="仿宋_GB2312"/>
          <w:b/>
          <w:bCs/>
          <w:sz w:val="32"/>
          <w:szCs w:val="32"/>
        </w:rPr>
      </w:pPr>
      <w:bookmarkStart w:id="51" w:name="_Toc29651"/>
      <w:r>
        <w:rPr>
          <w:rFonts w:hint="eastAsia" w:ascii="仿宋_GB2312" w:hAnsi="仿宋_GB2312" w:eastAsia="仿宋_GB2312" w:cs="仿宋_GB2312"/>
          <w:b/>
          <w:bCs/>
          <w:sz w:val="32"/>
          <w:szCs w:val="32"/>
        </w:rPr>
        <w:t>3、改进建议</w:t>
      </w:r>
      <w:bookmarkEnd w:id="51"/>
    </w:p>
    <w:p>
      <w:pPr>
        <w:spacing w:line="600"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加快完成机关财务管理规章制度建设、加强会计核算和财务管理能力，及时与财政局相关科室对接工作，提升工作效率。</w:t>
      </w:r>
    </w:p>
    <w:p>
      <w:pPr>
        <w:numPr>
          <w:ilvl w:val="0"/>
          <w:numId w:val="6"/>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《金川县应急管理局2020年整体支出绩效评价报告》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20"/>
          <w:rFonts w:ascii="黑体" w:eastAsia="黑体"/>
        </w:rPr>
      </w:pPr>
      <w:bookmarkStart w:id="52" w:name="_Toc15377221"/>
      <w:bookmarkStart w:id="53" w:name="_Toc15396612"/>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2"/>
      <w:bookmarkEnd w:id="53"/>
    </w:p>
    <w:p>
      <w:pPr>
        <w:spacing w:line="600" w:lineRule="exact"/>
        <w:ind w:firstLine="643" w:firstLineChars="200"/>
        <w:outlineLvl w:val="2"/>
        <w:rPr>
          <w:rFonts w:ascii="仿宋" w:eastAsia="仿宋"/>
          <w:color w:val="000000"/>
          <w:sz w:val="32"/>
          <w:szCs w:val="32"/>
        </w:rPr>
      </w:pPr>
      <w:bookmarkStart w:id="54" w:name="_Toc15377222"/>
      <w:r>
        <w:rPr>
          <w:rFonts w:hint="eastAsia" w:ascii="仿宋" w:eastAsia="仿宋"/>
          <w:b/>
          <w:color w:val="000000"/>
          <w:sz w:val="32"/>
          <w:szCs w:val="32"/>
        </w:rPr>
        <w:t>（一）机关运行经费支出情况</w:t>
      </w:r>
      <w:bookmarkEnd w:id="54"/>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2020年，金川县应急管理局运行经费支出18.67万元，比2019年减少41.68万元，下降69.06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主要原因是人员公用经费标准减少。</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5" w:name="_Toc15377223"/>
      <w:r>
        <w:rPr>
          <w:rFonts w:hint="eastAsia" w:ascii="仿宋" w:eastAsia="仿宋"/>
          <w:b/>
          <w:color w:val="000000"/>
          <w:sz w:val="32"/>
          <w:szCs w:val="32"/>
        </w:rPr>
        <w:t>（二）政府采购支出情况</w:t>
      </w:r>
      <w:bookmarkEnd w:id="55"/>
    </w:p>
    <w:p>
      <w:pPr>
        <w:spacing w:line="600" w:lineRule="exact"/>
        <w:ind w:firstLine="640" w:firstLineChars="200"/>
        <w:rPr>
          <w:rFonts w:ascii="仿宋" w:eastAsia="仿宋"/>
          <w:b/>
          <w:color w:val="0000FF"/>
          <w:sz w:val="32"/>
          <w:szCs w:val="32"/>
        </w:rPr>
      </w:pPr>
      <w:r>
        <w:rPr>
          <w:rFonts w:hint="eastAsia" w:ascii="仿宋_GB2312" w:eastAsia="仿宋_GB2312"/>
          <w:color w:val="000000"/>
          <w:sz w:val="32"/>
          <w:szCs w:val="32"/>
        </w:rPr>
        <w:t>2020年，政府采购支出总额277.87万元，其中：政府采购货物支出7.72万元、政府采购工程支出250.20万元、政府采购服务支出19.95万元。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6" w:name="_Toc15377224"/>
      <w:r>
        <w:rPr>
          <w:rFonts w:hint="eastAsia" w:ascii="仿宋" w:eastAsia="仿宋"/>
          <w:b/>
          <w:color w:val="000000"/>
          <w:sz w:val="32"/>
          <w:szCs w:val="32"/>
        </w:rPr>
        <w:t>（三）国有资产占有使用情况</w:t>
      </w:r>
      <w:bookmarkEnd w:id="56"/>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日，共有车辆1辆，为一般公务用车。</w:t>
      </w: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9"/>
          <w:rFonts w:ascii="黑体" w:eastAsia="黑体"/>
          <w:b w:val="0"/>
        </w:rPr>
      </w:pPr>
      <w:bookmarkStart w:id="57" w:name="_Toc15396613"/>
      <w:bookmarkStart w:id="58" w:name="_Toc15377225"/>
      <w:r>
        <w:rPr>
          <w:rFonts w:hint="eastAsia" w:ascii="黑体" w:eastAsia="黑体"/>
          <w:b/>
          <w:color w:val="000000"/>
          <w:sz w:val="44"/>
          <w:szCs w:val="44"/>
        </w:rPr>
        <w:t>名</w:t>
      </w:r>
      <w:r>
        <w:rPr>
          <w:rStyle w:val="19"/>
          <w:rFonts w:hint="eastAsia" w:ascii="黑体" w:eastAsia="黑体"/>
          <w:b w:val="0"/>
        </w:rPr>
        <w:t>词解释</w:t>
      </w:r>
      <w:bookmarkEnd w:id="57"/>
      <w:bookmarkEnd w:id="58"/>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8.灾害防治及应急管理（类）应急管理事务（款）行政运行（项）：指行政单位的基本支出。</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9.灾害防治及应急管理（类）应急管理事务（款）灾害风险防治（项）：指反映组织、指导、协调各类风险灾害防范治理方面的支出。</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10.灾害防治及应急管理（类）应急管理事务（款）安全监管（项）：反映安全生产监管方面的支出。</w:t>
      </w:r>
    </w:p>
    <w:p>
      <w:pPr>
        <w:pStyle w:val="2"/>
        <w:ind w:left="0" w:leftChars="0" w:firstLine="640"/>
        <w:rPr>
          <w:rFonts w:ascii="仿宋_GB2312" w:eastAsia="仿宋_GB2312" w:cs="仿宋"/>
          <w:color w:val="000000"/>
          <w:kern w:val="0"/>
          <w:sz w:val="32"/>
          <w:szCs w:val="32"/>
        </w:rPr>
      </w:pPr>
      <w:r>
        <w:rPr>
          <w:rFonts w:hint="eastAsia" w:ascii="仿宋_GB2312" w:eastAsia="仿宋_GB2312" w:cs="仿宋"/>
          <w:color w:val="000000"/>
          <w:kern w:val="0"/>
          <w:sz w:val="32"/>
          <w:szCs w:val="32"/>
        </w:rPr>
        <w:t>11.灾害防治及应急管理（类）应急管理事务（款）其他应急管理支出（项）</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反映其他应急管理方面的支出。</w:t>
      </w:r>
    </w:p>
    <w:p>
      <w:pPr>
        <w:pStyle w:val="2"/>
        <w:ind w:firstLine="64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12.灾害防治及应急管理（类）森林消防事务（款）森林消防应急救援（项）：反映用于森林消防应急救援队伍（不包括行政单位）人员基本支出、装备购置、基础设施及运行维护等方面支出。</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13.灾害防治及应急管理（类）自然灾害救灾及恢复重建支出（款）自然灾害灾后重建补助（项）: 反映政府预算安排用于自然灾害恢复重建的补助支出。</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14. 社会保障和就业支出（类）行政事业单位养老支出（款）机关事业单位基本养老保险缴费支出（项）: 指单位为职工缴纳的基本养老保险费。</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15. 社会保障和就业支出（类）行政事业单位养老支出（款）机关事业单位职业年金缴费支出（项）: 指单位为职工实际缴纳的职业年金。</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16.卫生健康支出（类）行政事业单位医疗（款）行政单位医疗（项）</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指反映职工缴纳的基本医疗保险费</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17.卫生健康支出（类）行政事业单位医疗（款）公务员医疗补助（项）</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指按规定可享受公务员医疗补助单位为职工缴纳的公务员医疗补助费。</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18.卫生健康支出（类）公共卫生（款）突发公共卫生事件应急处理（项）</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反映用于突发公共卫生事件应急处理的支出。</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19.资源勘探工业信息等支出（类）资源勘探开发（款）其他资源勘探业支出（项）</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反映其他用于资源勘探业方面的支出。</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20.住房保障支出（类）住房改革支出（款）住房公积金（项）：指单位按规定为职工缴纳的住房公积金。</w:t>
      </w:r>
    </w:p>
    <w:p>
      <w:pPr>
        <w:spacing w:line="60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21.住房保障支出（类）住房改革支出（款）购房补贴（项）：反映按房改政策规定，行政事业单位向符合条件（含离退休人员）发放的用于购买住房的补贴。</w:t>
      </w:r>
    </w:p>
    <w:p>
      <w:pPr>
        <w:pStyle w:val="2"/>
        <w:ind w:left="0" w:leftChars="0" w:firstLine="64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22.其他支出（类）其他支出（款）其他支出（项）：</w:t>
      </w:r>
    </w:p>
    <w:p>
      <w:pPr>
        <w:pStyle w:val="2"/>
        <w:ind w:left="0" w:leftChars="0" w:firstLine="0" w:firstLineChars="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反映其他不能划分到具体功能科目中的支出项目。</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23.基本支出：指为保障机构正常运转、完成日常工作任务而发生的人员支出和公用支出。</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24.项目支出：指在基本支出之外为完成特定行政任务和事业发展目标所发生的支出。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9" w:name="_Toc15396614"/>
      <w:bookmarkStart w:id="60"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2"/>
        <w:ind w:firstLine="880"/>
        <w:rPr>
          <w:rFonts w:ascii="黑体" w:eastAsia="黑体"/>
          <w:color w:val="000000"/>
          <w:sz w:val="44"/>
          <w:szCs w:val="44"/>
        </w:rPr>
      </w:pPr>
    </w:p>
    <w:p>
      <w:pPr>
        <w:pStyle w:val="2"/>
        <w:ind w:firstLine="880"/>
        <w:rPr>
          <w:rFonts w:ascii="黑体" w:eastAsia="黑体"/>
          <w:color w:val="000000"/>
          <w:sz w:val="44"/>
          <w:szCs w:val="44"/>
        </w:rPr>
      </w:pPr>
    </w:p>
    <w:p>
      <w:pPr>
        <w:pStyle w:val="2"/>
        <w:ind w:firstLine="88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2"/>
        <w:ind w:firstLine="880"/>
        <w:rPr>
          <w:rFonts w:ascii="黑体" w:eastAsia="黑体"/>
          <w:color w:val="000000"/>
          <w:sz w:val="44"/>
          <w:szCs w:val="44"/>
        </w:rPr>
      </w:pPr>
    </w:p>
    <w:p>
      <w:pPr>
        <w:pStyle w:val="2"/>
        <w:ind w:firstLine="88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5"/>
        <w:rPr>
          <w:rStyle w:val="19"/>
          <w:rFonts w:ascii="仿宋" w:eastAsia="仿宋"/>
          <w:b w:val="0"/>
          <w:bCs w:val="0"/>
          <w:sz w:val="32"/>
          <w:szCs w:val="32"/>
        </w:rPr>
      </w:pPr>
      <w:bookmarkStart w:id="61" w:name="_Toc15396615"/>
      <w:r>
        <w:rPr>
          <w:rStyle w:val="19"/>
          <w:rFonts w:hint="eastAsia" w:ascii="仿宋" w:eastAsia="仿宋"/>
          <w:b w:val="0"/>
          <w:bCs w:val="0"/>
          <w:sz w:val="32"/>
          <w:szCs w:val="32"/>
        </w:rPr>
        <w:t>附件1</w:t>
      </w:r>
      <w:bookmarkEnd w:id="61"/>
    </w:p>
    <w:p>
      <w:pPr>
        <w:numPr>
          <w:ilvl w:val="0"/>
          <w:numId w:val="7"/>
        </w:numPr>
        <w:spacing w:line="600" w:lineRule="exact"/>
        <w:ind w:firstLine="660" w:firstLineChars="150"/>
        <w:jc w:val="center"/>
        <w:outlineLvl w:val="0"/>
        <w:rPr>
          <w:rStyle w:val="19"/>
          <w:rFonts w:ascii="黑体" w:eastAsia="黑体"/>
          <w:b w:val="0"/>
        </w:rPr>
      </w:pPr>
      <w:r>
        <w:rPr>
          <w:rStyle w:val="19"/>
          <w:rFonts w:hint="eastAsia" w:ascii="黑体" w:eastAsia="黑体"/>
          <w:b w:val="0"/>
        </w:rPr>
        <w:t>附件</w:t>
      </w:r>
      <w:bookmarkEnd w:id="59"/>
    </w:p>
    <w:p>
      <w:pPr>
        <w:outlineLvl w:val="0"/>
        <w:rPr>
          <w:rStyle w:val="19"/>
          <w:rFonts w:ascii="黑体" w:eastAsia="黑体"/>
          <w:b w:val="0"/>
        </w:rPr>
      </w:pPr>
    </w:p>
    <w:bookmarkEnd w:id="60"/>
    <w:p>
      <w:pPr>
        <w:spacing w:line="560" w:lineRule="exact"/>
        <w:jc w:val="center"/>
        <w:rPr>
          <w:rFonts w:ascii="方正小标宋简体" w:eastAsia="方正小标宋简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金川县应急管理局2020年整体支出</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绩效评价报告</w:t>
      </w:r>
    </w:p>
    <w:p>
      <w:pPr>
        <w:pStyle w:val="27"/>
        <w:widowControl/>
        <w:snapToGrid w:val="0"/>
        <w:spacing w:line="480" w:lineRule="exact"/>
        <w:ind w:firstLine="720"/>
        <w:jc w:val="left"/>
        <w:rPr>
          <w:rFonts w:ascii="仿宋_GB2312" w:hAnsi="仿宋_GB2312" w:eastAsia="仿宋_GB2312" w:cs="仿宋_GB2312"/>
          <w:color w:val="000000"/>
          <w:kern w:val="0"/>
          <w:sz w:val="32"/>
          <w:szCs w:val="20"/>
          <w:shd w:val="clear" w:color="auto" w:fill="FFFFFF"/>
        </w:rPr>
      </w:pPr>
    </w:p>
    <w:p>
      <w:pPr>
        <w:pStyle w:val="27"/>
        <w:widowControl/>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根据《金川县财政局关于开展20</w:t>
      </w:r>
      <w:r>
        <w:rPr>
          <w:rFonts w:hint="eastAsia" w:ascii="仿宋_GB2312" w:hAnsi="仿宋_GB2312" w:eastAsia="仿宋_GB2312" w:cs="仿宋_GB2312"/>
          <w:color w:val="000000"/>
          <w:kern w:val="0"/>
          <w:sz w:val="32"/>
          <w:szCs w:val="32"/>
        </w:rPr>
        <w:t>21</w:t>
      </w:r>
      <w:r>
        <w:rPr>
          <w:rFonts w:hint="eastAsia" w:ascii="仿宋_GB2312" w:hAnsi="仿宋_GB2312" w:eastAsia="仿宋_GB2312" w:cs="仿宋_GB2312"/>
          <w:color w:val="000000"/>
          <w:kern w:val="0"/>
          <w:sz w:val="32"/>
          <w:szCs w:val="32"/>
          <w:lang w:val="zh-CN"/>
        </w:rPr>
        <w:t>年部门、政策和项目支出绩效评价工作的通知》（金财监绩〔20</w:t>
      </w:r>
      <w:r>
        <w:rPr>
          <w:rFonts w:hint="eastAsia" w:ascii="仿宋_GB2312" w:hAnsi="仿宋_GB2312" w:eastAsia="仿宋_GB2312" w:cs="仿宋_GB2312"/>
          <w:color w:val="000000"/>
          <w:kern w:val="0"/>
          <w:sz w:val="32"/>
          <w:szCs w:val="32"/>
        </w:rPr>
        <w:t>21</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26</w:t>
      </w:r>
      <w:r>
        <w:rPr>
          <w:rFonts w:hint="eastAsia" w:ascii="仿宋_GB2312" w:hAnsi="仿宋_GB2312" w:eastAsia="仿宋_GB2312" w:cs="仿宋_GB2312"/>
          <w:color w:val="000000"/>
          <w:kern w:val="0"/>
          <w:sz w:val="32"/>
          <w:szCs w:val="32"/>
          <w:lang w:val="zh-CN"/>
        </w:rPr>
        <w:t>号）文件要求，我局立足实际，运用科学合理的绩效评价指标、评价标准和方法，认真组织开展了20</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zh-CN"/>
        </w:rPr>
        <w:t>年和20</w:t>
      </w:r>
      <w:r>
        <w:rPr>
          <w:rFonts w:hint="eastAsia" w:ascii="仿宋_GB2312" w:hAnsi="仿宋_GB2312" w:eastAsia="仿宋_GB2312" w:cs="仿宋_GB2312"/>
          <w:color w:val="000000"/>
          <w:kern w:val="0"/>
          <w:sz w:val="32"/>
          <w:szCs w:val="32"/>
        </w:rPr>
        <w:t>21</w:t>
      </w:r>
      <w:r>
        <w:rPr>
          <w:rFonts w:hint="eastAsia" w:ascii="仿宋_GB2312" w:hAnsi="仿宋_GB2312" w:eastAsia="仿宋_GB2312" w:cs="仿宋_GB2312"/>
          <w:color w:val="000000"/>
          <w:kern w:val="0"/>
          <w:sz w:val="32"/>
          <w:szCs w:val="32"/>
          <w:lang w:val="zh-CN"/>
        </w:rPr>
        <w:t>年1-6月部门预算支出绩效自评工作，现将预算支出绩效自评工作报告如下：</w:t>
      </w:r>
    </w:p>
    <w:p>
      <w:pPr>
        <w:pStyle w:val="27"/>
        <w:widowControl/>
        <w:snapToGrid w:val="0"/>
        <w:spacing w:line="56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rPr>
        <w:t>一、</w:t>
      </w:r>
      <w:r>
        <w:rPr>
          <w:rFonts w:hint="eastAsia" w:ascii="仿宋_GB2312" w:hAnsi="仿宋_GB2312" w:eastAsia="仿宋_GB2312" w:cs="仿宋_GB2312"/>
          <w:b/>
          <w:bCs/>
          <w:color w:val="000000"/>
          <w:kern w:val="0"/>
          <w:sz w:val="32"/>
          <w:szCs w:val="32"/>
          <w:lang w:val="zh-CN"/>
        </w:rPr>
        <w:t>单位概况</w:t>
      </w:r>
    </w:p>
    <w:p>
      <w:pPr>
        <w:pStyle w:val="27"/>
        <w:widowControl/>
        <w:snapToGrid w:val="0"/>
        <w:spacing w:line="56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pStyle w:val="27"/>
        <w:widowControl/>
        <w:snapToGrid w:val="0"/>
        <w:spacing w:line="560" w:lineRule="exact"/>
        <w:ind w:firstLine="720"/>
        <w:jc w:val="left"/>
        <w:rPr>
          <w:rFonts w:ascii="仿宋_GB2312" w:hAnsi="仿宋_GB2312" w:eastAsia="仿宋_GB2312" w:cs="仿宋_GB2312"/>
          <w:color w:val="FF0000"/>
          <w:spacing w:val="-14"/>
          <w:sz w:val="32"/>
          <w:szCs w:val="32"/>
        </w:rPr>
      </w:pPr>
      <w:r>
        <w:rPr>
          <w:rFonts w:hint="eastAsia" w:ascii="仿宋_GB2312" w:hAnsi="仿宋_GB2312" w:eastAsia="仿宋_GB2312" w:cs="仿宋_GB2312"/>
          <w:color w:val="000000"/>
          <w:kern w:val="0"/>
          <w:sz w:val="32"/>
          <w:szCs w:val="32"/>
          <w:lang w:val="zh-CN"/>
        </w:rPr>
        <w:t>应急管理局为县级一级预算单位</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rPr>
        <w:t>内设办公室、安全生产综合监管股、</w:t>
      </w:r>
      <w:r>
        <w:rPr>
          <w:rFonts w:hint="eastAsia" w:ascii="仿宋_GB2312" w:hAnsi="仿宋_GB2312" w:eastAsia="仿宋_GB2312" w:cs="仿宋_GB2312"/>
          <w:spacing w:val="-14"/>
          <w:sz w:val="32"/>
          <w:szCs w:val="32"/>
        </w:rPr>
        <w:t>应急指挥中心、</w:t>
      </w:r>
      <w:r>
        <w:rPr>
          <w:rFonts w:hint="eastAsia" w:ascii="仿宋_GB2312" w:hAnsi="仿宋_GB2312" w:eastAsia="仿宋_GB2312" w:cs="仿宋_GB2312"/>
          <w:sz w:val="32"/>
          <w:szCs w:val="32"/>
        </w:rPr>
        <w:t>安全生产执法大队、</w:t>
      </w:r>
      <w:r>
        <w:rPr>
          <w:rFonts w:hint="eastAsia" w:ascii="仿宋_GB2312" w:hAnsi="仿宋_GB2312" w:eastAsia="仿宋_GB2312" w:cs="仿宋_GB2312"/>
          <w:spacing w:val="-14"/>
          <w:sz w:val="32"/>
          <w:szCs w:val="32"/>
        </w:rPr>
        <w:t>金川县防汛抗旱工作中心、森林草原防灭火指挥部办公室、应急保障中心。</w:t>
      </w:r>
    </w:p>
    <w:p>
      <w:pPr>
        <w:pStyle w:val="27"/>
        <w:widowControl/>
        <w:snapToGrid w:val="0"/>
        <w:spacing w:line="560" w:lineRule="exact"/>
        <w:ind w:firstLine="643" w:firstLineChars="20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（二）机构职能</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1、负责应急管理工作，组织和指导各乡（镇）、县级各部门（单位）应对安全生产类、自然灾害类等突发事件和综合防灾减灾救灾工作。负责安全生产综合监督管理和工矿商贸安全生产监督管理工作。</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2、拟订应急管理、安全生产等有关规范性文件，组织编制应急体系建设、安全生产和综合防灾减灾规划。</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4、牵头建立统一的应急管理信息系统，负责信息传输渠道的规划和布局，建立监测预警和灾情报告制度，健全自然灾害信息资源获取和共享机制，依法统一发布灾情。</w:t>
      </w:r>
    </w:p>
    <w:p>
      <w:pPr>
        <w:pStyle w:val="27"/>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5、负责组织、指导、协调安全生产类、自然灾害类等突发事件应急救援，承担全县应对较大及以上灾害指挥部工作，综合研判突发事件发展态势并提出应对建议，负责组织较大及以上灾害应急处置工作。</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6、统一协调指挥各类应急专业队伍，建立应急协调联动机制，推进指挥平台对接。</w:t>
      </w:r>
    </w:p>
    <w:p>
      <w:pPr>
        <w:pStyle w:val="27"/>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按照国家、省、州相关政策和规定负责消防、森林和草原火灾扑救、抗洪抢险、地震和地质灾害救援、生产安全事故救援等专业应急救援力量建设，依法依规统筹指导全县社会应急救援力量和应急保障能力建设。</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8、按照国家、省、州相关政策和县委、县政府相关规定负责消防工作，组织和指导消防监督、火灾预防、火灾扑救等工作。</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9、负责自然灾害综合监测预警工作，承担自然灾害综合风险评估工作，指导协调森林和草原火灾、水旱灾害、地震和地质灾害等防治工作。</w:t>
      </w:r>
    </w:p>
    <w:p>
      <w:pPr>
        <w:pStyle w:val="27"/>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10、负责组织、协调灾害救助工作，组织和指导灾情核查、损失评估、救灾捐赠工作，管理、分配中央、省、州下拨及县级救灾款物并监督使用。</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11、依法承担县政府安全生产综合监督管理责任，指导协调、监督检查各乡（镇）和各部门（单位）安全生产工作，组织开展安全生产巡查、督查、考核工作。</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pStyle w:val="27"/>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13、承担非煤矿山、危险化学品、非药品类易制毒化学品和烟花爆竹等生产经营单位安全生产准入管理责任。</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14、依法组织、指导生产安全事故调查处理，监督事故查处和责任追究落实情况。组织开展自然灾害类突发事件的调查评估工作。</w:t>
      </w:r>
    </w:p>
    <w:p>
      <w:pPr>
        <w:pStyle w:val="27"/>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15、开展应急管理和安全生产方面的交流与合作，组织参与安全生产类、自然灾害类等突发事件的跨区域救援工作。</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16、制定应急物资储备和应急救援装备规划并组织实施，会同县发展改革和经济商务信息化局等部门建立健全应急物资信息平台和调拨制度，在救灾时统一调度。</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17、负责应急管理、安全生产宣传教育和培训工作，组织和指导应急管理、安全生产的科学技术推广应用和信息化建设工作。</w:t>
      </w:r>
    </w:p>
    <w:p>
      <w:pPr>
        <w:pStyle w:val="27"/>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18、负责职责范围内的职业健康、生态环境保护、公共机构节能减排、审批服务便民化工作。</w:t>
      </w:r>
    </w:p>
    <w:p>
      <w:pPr>
        <w:pStyle w:val="27"/>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19、完成县委、县政府交办的其他任务。</w:t>
      </w:r>
    </w:p>
    <w:p>
      <w:pPr>
        <w:pStyle w:val="27"/>
        <w:widowControl/>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p>
      <w:pPr>
        <w:pStyle w:val="27"/>
        <w:widowControl/>
        <w:snapToGrid w:val="0"/>
        <w:spacing w:line="560" w:lineRule="exact"/>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（三）人员概况</w:t>
      </w:r>
    </w:p>
    <w:p>
      <w:pPr>
        <w:pStyle w:val="27"/>
        <w:spacing w:line="576" w:lineRule="exact"/>
        <w:outlineLvl w:val="1"/>
        <w:rPr>
          <w:rFonts w:ascii="仿宋_GB2312" w:hAnsi="仿宋_GB2312" w:eastAsia="仿宋_GB2312" w:cs="仿宋_GB2312"/>
          <w:kern w:val="0"/>
          <w:sz w:val="32"/>
          <w:szCs w:val="32"/>
          <w:lang w:val="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我单位2020年财政供养人员编制为 17名，其中行政编制8名，行政工勤编制1名，</w:t>
      </w:r>
      <w:r>
        <w:rPr>
          <w:rFonts w:hint="eastAsia" w:ascii="仿宋_GB2312" w:hAnsi="仿宋_GB2312" w:eastAsia="仿宋_GB2312" w:cs="仿宋_GB2312"/>
          <w:sz w:val="32"/>
          <w:szCs w:val="32"/>
        </w:rPr>
        <w:t>参公事业编制6名，</w:t>
      </w:r>
      <w:r>
        <w:rPr>
          <w:rFonts w:hint="eastAsia" w:ascii="仿宋_GB2312" w:hAnsi="仿宋_GB2312" w:eastAsia="仿宋_GB2312" w:cs="仿宋_GB2312"/>
          <w:kern w:val="0"/>
          <w:sz w:val="32"/>
          <w:szCs w:val="32"/>
        </w:rPr>
        <w:t>事业编制2人。</w:t>
      </w:r>
    </w:p>
    <w:p>
      <w:pPr>
        <w:pStyle w:val="27"/>
        <w:widowControl/>
        <w:snapToGrid w:val="0"/>
        <w:spacing w:line="560" w:lineRule="exact"/>
        <w:ind w:firstLine="720"/>
        <w:jc w:val="left"/>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二、部门财政资金收支情况</w:t>
      </w:r>
    </w:p>
    <w:p>
      <w:pPr>
        <w:pStyle w:val="27"/>
        <w:widowControl/>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pStyle w:val="27"/>
        <w:widowControl/>
        <w:snapToGrid w:val="0"/>
        <w:spacing w:line="560" w:lineRule="exact"/>
        <w:ind w:firstLine="720"/>
        <w:jc w:val="left"/>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20</w:t>
      </w:r>
      <w:r>
        <w:rPr>
          <w:rFonts w:hint="eastAsia" w:ascii="仿宋_GB2312" w:hAnsi="仿宋_GB2312" w:eastAsia="仿宋_GB2312" w:cs="仿宋_GB2312"/>
          <w:kern w:val="0"/>
          <w:sz w:val="32"/>
          <w:szCs w:val="32"/>
        </w:rPr>
        <w:t>20</w:t>
      </w:r>
      <w:r>
        <w:rPr>
          <w:rFonts w:hint="eastAsia" w:ascii="仿宋_GB2312" w:hAnsi="仿宋_GB2312" w:eastAsia="仿宋_GB2312" w:cs="仿宋_GB2312"/>
          <w:kern w:val="0"/>
          <w:sz w:val="32"/>
          <w:szCs w:val="32"/>
          <w:lang w:val="zh-CN"/>
        </w:rPr>
        <w:t>年应急管理局本年收入合计</w:t>
      </w:r>
      <w:r>
        <w:rPr>
          <w:rFonts w:hint="eastAsia" w:ascii="仿宋_GB2312" w:hAnsi="仿宋_GB2312" w:eastAsia="仿宋_GB2312" w:cs="仿宋_GB2312"/>
          <w:sz w:val="32"/>
          <w:szCs w:val="32"/>
        </w:rPr>
        <w:t>1530.79</w:t>
      </w:r>
      <w:r>
        <w:rPr>
          <w:rFonts w:hint="eastAsia" w:ascii="仿宋_GB2312" w:hAnsi="仿宋_GB2312" w:eastAsia="仿宋_GB2312" w:cs="仿宋_GB2312"/>
          <w:kern w:val="0"/>
          <w:sz w:val="32"/>
          <w:szCs w:val="32"/>
          <w:lang w:val="zh-CN"/>
        </w:rPr>
        <w:t>万元，其中：财政拨款收入</w:t>
      </w:r>
      <w:r>
        <w:rPr>
          <w:rFonts w:hint="eastAsia" w:ascii="仿宋_GB2312" w:hAnsi="仿宋_GB2312" w:eastAsia="仿宋_GB2312" w:cs="仿宋_GB2312"/>
          <w:sz w:val="32"/>
          <w:szCs w:val="32"/>
        </w:rPr>
        <w:t>1530.79</w:t>
      </w:r>
      <w:r>
        <w:rPr>
          <w:rFonts w:hint="eastAsia" w:ascii="仿宋_GB2312" w:hAnsi="仿宋_GB2312" w:eastAsia="仿宋_GB2312" w:cs="仿宋_GB2312"/>
          <w:kern w:val="0"/>
          <w:sz w:val="32"/>
          <w:szCs w:val="32"/>
          <w:lang w:val="zh-CN"/>
        </w:rPr>
        <w:t>万元（</w:t>
      </w:r>
      <w:r>
        <w:rPr>
          <w:rFonts w:hint="eastAsia" w:ascii="仿宋_GB2312" w:hAnsi="仿宋_GB2312" w:eastAsia="仿宋_GB2312" w:cs="仿宋_GB2312"/>
          <w:kern w:val="0"/>
          <w:sz w:val="32"/>
          <w:szCs w:val="32"/>
        </w:rPr>
        <w:t>人员经费收入300.20万元，日常公用经费收入18.67万元，项目收入1211.92万元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color w:val="FF0000"/>
          <w:kern w:val="0"/>
          <w:sz w:val="32"/>
          <w:szCs w:val="32"/>
          <w:lang w:val="zh-CN"/>
        </w:rPr>
        <w:t xml:space="preserve">   </w:t>
      </w:r>
    </w:p>
    <w:p>
      <w:pPr>
        <w:pStyle w:val="27"/>
        <w:widowControl/>
        <w:snapToGrid w:val="0"/>
        <w:spacing w:line="560" w:lineRule="exact"/>
        <w:ind w:firstLine="72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2、2021年上半年收入492.77万元。其中：</w:t>
      </w:r>
      <w:r>
        <w:rPr>
          <w:rFonts w:hint="eastAsia" w:ascii="仿宋_GB2312" w:hAnsi="仿宋_GB2312" w:eastAsia="仿宋_GB2312" w:cs="仿宋_GB2312"/>
          <w:kern w:val="0"/>
          <w:sz w:val="32"/>
          <w:szCs w:val="32"/>
          <w:lang w:val="zh-CN"/>
        </w:rPr>
        <w:t>财政拨款收入</w:t>
      </w:r>
      <w:r>
        <w:rPr>
          <w:rFonts w:hint="eastAsia" w:ascii="仿宋_GB2312" w:hAnsi="仿宋_GB2312" w:eastAsia="仿宋_GB2312" w:cs="仿宋_GB2312"/>
          <w:kern w:val="0"/>
          <w:sz w:val="32"/>
          <w:szCs w:val="32"/>
        </w:rPr>
        <w:t>492.77</w:t>
      </w:r>
      <w:r>
        <w:rPr>
          <w:rFonts w:hint="eastAsia" w:ascii="仿宋_GB2312" w:hAnsi="仿宋_GB2312" w:eastAsia="仿宋_GB2312" w:cs="仿宋_GB2312"/>
          <w:kern w:val="0"/>
          <w:sz w:val="32"/>
          <w:szCs w:val="32"/>
          <w:lang w:val="zh-CN"/>
        </w:rPr>
        <w:t>万元。</w:t>
      </w:r>
    </w:p>
    <w:p>
      <w:pPr>
        <w:pStyle w:val="27"/>
        <w:widowControl/>
        <w:numPr>
          <w:ilvl w:val="0"/>
          <w:numId w:val="8"/>
        </w:numPr>
        <w:snapToGrid w:val="0"/>
        <w:spacing w:line="560" w:lineRule="exact"/>
        <w:ind w:firstLine="720"/>
        <w:jc w:val="left"/>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部门财政资金支出情况</w:t>
      </w:r>
    </w:p>
    <w:p>
      <w:pPr>
        <w:pStyle w:val="27"/>
        <w:widowControl/>
        <w:snapToGrid w:val="0"/>
        <w:spacing w:line="560" w:lineRule="exact"/>
        <w:ind w:firstLine="72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1、2020年1-12月支出</w:t>
      </w:r>
    </w:p>
    <w:p>
      <w:pPr>
        <w:pStyle w:val="27"/>
        <w:widowControl/>
        <w:snapToGrid w:val="0"/>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（1）应急管理局2020年一般公共预算财政拨款基本支出</w:t>
      </w:r>
      <w:r>
        <w:rPr>
          <w:rFonts w:hint="eastAsia" w:ascii="仿宋_GB2312" w:hAnsi="仿宋_GB2312" w:eastAsia="仿宋_GB2312" w:cs="仿宋_GB2312"/>
          <w:kern w:val="0"/>
          <w:sz w:val="32"/>
          <w:szCs w:val="32"/>
        </w:rPr>
        <w:t>318.87</w:t>
      </w:r>
      <w:r>
        <w:rPr>
          <w:rFonts w:hint="eastAsia" w:ascii="仿宋_GB2312" w:hAnsi="仿宋_GB2312" w:eastAsia="仿宋_GB2312" w:cs="仿宋_GB2312"/>
          <w:color w:val="000000"/>
          <w:kern w:val="0"/>
          <w:sz w:val="32"/>
          <w:szCs w:val="32"/>
        </w:rPr>
        <w:t>万元，其中：</w:t>
      </w:r>
    </w:p>
    <w:p>
      <w:pPr>
        <w:pStyle w:val="27"/>
        <w:widowControl/>
        <w:snapToGrid w:val="0"/>
        <w:spacing w:line="560" w:lineRule="exact"/>
        <w:ind w:firstLine="720"/>
        <w:jc w:val="left"/>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人员经费300.20万元，主要包括：基本工资69.56万元、津贴补贴97.38万元、奖金5.86万元、机关事业单位基本养老保险缴费24.90万元、职业年金缴费12.45万元、其他社会保障缴费3.17万元、住房公积金25.14万元、其他对个人和家庭补助支出0.45万元、医疗保险11.52万元、公务员医疗补助3.53万元、奖励金46.24万元。</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color w:val="000000"/>
          <w:kern w:val="0"/>
          <w:sz w:val="32"/>
          <w:szCs w:val="32"/>
        </w:rPr>
        <w:t>　　公用经费18.67万元，主要包括</w:t>
      </w:r>
      <w:r>
        <w:rPr>
          <w:rFonts w:hint="eastAsia" w:ascii="仿宋_GB2312" w:hAnsi="仿宋_GB2312" w:eastAsia="仿宋_GB2312" w:cs="仿宋_GB2312"/>
          <w:kern w:val="0"/>
          <w:sz w:val="32"/>
          <w:szCs w:val="32"/>
        </w:rPr>
        <w:t>：办公费1.25万元、电费1万元、邮电费3.12万元、差旅费3万元、公务接待费0.3万元、劳务费1.5万元、公务用车运行维护费用7万元、维修费1.5万元。</w:t>
      </w:r>
    </w:p>
    <w:p>
      <w:pPr>
        <w:pStyle w:val="27"/>
        <w:widowControl/>
        <w:snapToGrid w:val="0"/>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（2）应急管理局</w:t>
      </w:r>
      <w:r>
        <w:rPr>
          <w:rFonts w:hint="eastAsia" w:ascii="仿宋_GB2312" w:hAnsi="仿宋_GB2312" w:eastAsia="仿宋_GB2312" w:cs="仿宋_GB2312"/>
          <w:color w:val="000000"/>
          <w:kern w:val="0"/>
          <w:sz w:val="32"/>
          <w:szCs w:val="32"/>
        </w:rPr>
        <w:t>2020年一般公共预算财政拨款项目支出526.36万元，主要是劳务费8万元、办公费5万元、印刷费4.41万元、差旅费3万元、委托业务费83.37万元、生活补助0.79万元、救济费68万元、办公设备购置17.74万元、大型修缮288.85万元、物资储备47.20万元。</w:t>
      </w:r>
    </w:p>
    <w:p>
      <w:pPr>
        <w:pStyle w:val="27"/>
        <w:widowControl/>
        <w:snapToGrid w:val="0"/>
        <w:spacing w:line="560" w:lineRule="exact"/>
        <w:ind w:firstLine="72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2、2021年1-6月支出　</w:t>
      </w:r>
    </w:p>
    <w:p>
      <w:pPr>
        <w:pStyle w:val="27"/>
        <w:widowControl/>
        <w:snapToGrid w:val="0"/>
        <w:spacing w:line="560" w:lineRule="exact"/>
        <w:ind w:firstLine="72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（1）应急管理局2021年上半年一般公共预算财政拨款支出233.78万元，其中：</w:t>
      </w:r>
    </w:p>
    <w:p>
      <w:pPr>
        <w:pStyle w:val="27"/>
        <w:widowControl/>
        <w:snapToGrid w:val="0"/>
        <w:spacing w:line="560"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人员经费223.99万元，主要包括：基本工资40.33万元、津贴补贴55.74万元、机关事业单</w:t>
      </w:r>
      <w:r>
        <w:rPr>
          <w:rFonts w:hint="eastAsia" w:ascii="仿宋_GB2312" w:hAnsi="仿宋_GB2312" w:eastAsia="仿宋_GB2312" w:cs="仿宋_GB2312"/>
          <w:sz w:val="32"/>
          <w:szCs w:val="32"/>
        </w:rPr>
        <w:t>位基本养老保险缴费15.05万元、职业年金缴费7.53万元、职工基本医疗保险缴费7.22万元、其他社会保障缴费0.69万元、住房公积金15.05万元、公务员医疗补助2.28万元、奖励金80.10万元。</w:t>
      </w:r>
      <w:r>
        <w:rPr>
          <w:rFonts w:hint="eastAsia" w:ascii="仿宋_GB2312" w:hAnsi="仿宋_GB2312" w:eastAsia="仿宋_GB2312" w:cs="仿宋_GB2312"/>
          <w:color w:val="FF0000"/>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sz w:val="32"/>
          <w:szCs w:val="32"/>
        </w:rPr>
        <w:t>公用经费9.79万元，主要包括：办公费1.62万元、邮电费0.6万元、差旅费1.77万元、公务用车运行维护费1.92万元、</w:t>
      </w:r>
      <w:r>
        <w:rPr>
          <w:rFonts w:hint="eastAsia" w:ascii="仿宋_GB2312" w:hAnsi="仿宋_GB2312" w:eastAsia="仿宋_GB2312" w:cs="仿宋_GB2312"/>
          <w:sz w:val="32"/>
          <w:szCs w:val="32"/>
          <w:lang w:eastAsia="zh-CN"/>
        </w:rPr>
        <w:t>税费</w:t>
      </w:r>
      <w:r>
        <w:rPr>
          <w:rFonts w:hint="eastAsia" w:ascii="仿宋_GB2312" w:hAnsi="仿宋_GB2312" w:eastAsia="仿宋_GB2312" w:cs="仿宋_GB2312"/>
          <w:sz w:val="32"/>
          <w:szCs w:val="32"/>
        </w:rPr>
        <w:t>0.2万元、劳务费3.68万元。</w:t>
      </w:r>
    </w:p>
    <w:p>
      <w:pPr>
        <w:pStyle w:val="27"/>
        <w:widowControl/>
        <w:snapToGrid w:val="0"/>
        <w:spacing w:line="560" w:lineRule="exact"/>
        <w:ind w:firstLine="640" w:firstLineChars="200"/>
        <w:jc w:val="left"/>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（2）应急管理局</w:t>
      </w:r>
      <w:r>
        <w:rPr>
          <w:rFonts w:hint="eastAsia" w:ascii="仿宋_GB2312" w:hAnsi="仿宋_GB2312" w:eastAsia="仿宋_GB2312" w:cs="仿宋_GB2312"/>
          <w:color w:val="000000"/>
          <w:kern w:val="0"/>
          <w:sz w:val="32"/>
          <w:szCs w:val="32"/>
        </w:rPr>
        <w:t>2021年1月</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--6月项目支出977.87万元，</w:t>
      </w:r>
      <w:r>
        <w:rPr>
          <w:rFonts w:hint="eastAsia" w:ascii="仿宋_GB2312" w:hAnsi="仿宋_GB2312" w:eastAsia="仿宋_GB2312" w:cs="仿宋_GB2312"/>
          <w:sz w:val="32"/>
          <w:szCs w:val="32"/>
        </w:rPr>
        <w:t>主要包括《2020年中央自然灾害防治体系建设补助资金》阿州财建〔2020〕184号文件资金427.53万元、《2020年自然灾害救灾资金》阿州财建〔2020〕155号文件资金25万元、《金川县航空灭火能力建设项目资金》51.82万元、《2020年第一批自然灾害救灾资金》阿州财建〔2020〕104号文件资金127.14万元、《2019年中央自然灾害救灾资金》阿州财建〔2020〕8号文件资金86.43万元、《2019年中央自然灾害救灾资金部门结余资金》阿州财建〔2020〕106号文件资金150万元、《冬春临时生活困难救助资金》90万元、《应急指挥系统服务项目资金》19.95万元。</w:t>
      </w:r>
    </w:p>
    <w:p>
      <w:pPr>
        <w:pStyle w:val="27"/>
        <w:widowControl/>
        <w:snapToGrid w:val="0"/>
        <w:spacing w:line="560" w:lineRule="exact"/>
        <w:ind w:firstLine="720"/>
        <w:jc w:val="left"/>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三、部门财政支出管理情况</w:t>
      </w:r>
    </w:p>
    <w:p>
      <w:pPr>
        <w:pStyle w:val="27"/>
        <w:widowControl/>
        <w:snapToGrid w:val="0"/>
        <w:spacing w:line="560" w:lineRule="exact"/>
        <w:ind w:firstLine="720"/>
        <w:jc w:val="left"/>
        <w:rPr>
          <w:rFonts w:ascii="仿宋_GB2312" w:hAnsi="仿宋_GB2312" w:eastAsia="仿宋_GB2312" w:cs="仿宋_GB2312"/>
          <w:kern w:val="0"/>
          <w:sz w:val="32"/>
          <w:szCs w:val="32"/>
          <w:lang w:val="zh-CN"/>
        </w:rPr>
      </w:pPr>
      <w:r>
        <w:rPr>
          <w:rFonts w:hint="eastAsia" w:ascii="仿宋_GB2312" w:hAnsi="仿宋_GB2312" w:eastAsia="仿宋_GB2312" w:cs="仿宋_GB2312"/>
          <w:b/>
          <w:bCs/>
          <w:kern w:val="0"/>
          <w:sz w:val="32"/>
          <w:szCs w:val="32"/>
          <w:lang w:val="zh-CN"/>
        </w:rPr>
        <w:t>（一）预算编制情况</w:t>
      </w:r>
    </w:p>
    <w:p>
      <w:pPr>
        <w:pStyle w:val="14"/>
        <w:shd w:val="clear" w:color="auto" w:fill="FFFFFF"/>
        <w:spacing w:line="375" w:lineRule="atLeas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本单位预算编制严格按照《预算法》和财政相关规定执行，确定绩效目标。及时组织财务人员进行预决算的编制，对本年度相应用款进行及时清理和处理，做到账账相符、账实相符、账证相符</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按先有预算再有支出的原则，及时处理相关事务，及时上报相关报表，提前细化，分科目上报，做到收支平衡。</w:t>
      </w:r>
    </w:p>
    <w:p>
      <w:pPr>
        <w:pStyle w:val="27"/>
        <w:widowControl/>
        <w:tabs>
          <w:tab w:val="left" w:pos="1297"/>
        </w:tabs>
        <w:snapToGrid w:val="0"/>
        <w:spacing w:line="560" w:lineRule="exact"/>
        <w:ind w:left="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
          <w:bCs/>
          <w:color w:val="000000"/>
          <w:kern w:val="0"/>
          <w:sz w:val="32"/>
          <w:szCs w:val="32"/>
          <w:lang w:eastAsia="zh-CN"/>
        </w:rPr>
        <w:t>（</w:t>
      </w:r>
      <w:r>
        <w:rPr>
          <w:rFonts w:hint="eastAsia" w:ascii="仿宋_GB2312" w:hAnsi="仿宋_GB2312" w:eastAsia="仿宋_GB2312" w:cs="仿宋_GB2312"/>
          <w:b/>
          <w:bCs/>
          <w:color w:val="000000"/>
          <w:kern w:val="0"/>
          <w:sz w:val="32"/>
          <w:szCs w:val="32"/>
        </w:rPr>
        <w:t>二）</w:t>
      </w:r>
      <w:r>
        <w:rPr>
          <w:rFonts w:hint="eastAsia" w:ascii="仿宋_GB2312" w:hAnsi="仿宋_GB2312" w:eastAsia="仿宋_GB2312" w:cs="仿宋_GB2312"/>
          <w:b/>
          <w:bCs/>
          <w:color w:val="000000"/>
          <w:kern w:val="0"/>
          <w:sz w:val="32"/>
          <w:szCs w:val="32"/>
          <w:lang w:val="zh-CN"/>
        </w:rPr>
        <w:t>执行管理情况</w:t>
      </w:r>
      <w:r>
        <w:rPr>
          <w:rFonts w:hint="eastAsia" w:ascii="仿宋_GB2312" w:hAnsi="仿宋_GB2312" w:eastAsia="仿宋_GB2312" w:cs="仿宋_GB2312"/>
          <w:color w:val="000000"/>
          <w:kern w:val="0"/>
          <w:sz w:val="32"/>
          <w:szCs w:val="32"/>
          <w:lang w:val="zh-CN"/>
        </w:rPr>
        <w:tab/>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1、预算执行情况：所有预算严格按照预算法执行，我局由于人员变动，年初预算和当年决算数相比人员经费和公用经费没有达到只减不增要求，预算经费中人员经费是按月</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，公用经费是按季进行</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w:t>
      </w:r>
    </w:p>
    <w:p>
      <w:pPr>
        <w:pStyle w:val="27"/>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Cs/>
          <w:sz w:val="32"/>
          <w:szCs w:val="32"/>
        </w:rPr>
        <w:t>三公经费预算执行情况：(1)2020年“三公”经费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2020年公务接待费0.3万元，2020年公务用车运行维护费7万元。公务接待费</w:t>
      </w:r>
      <w:r>
        <w:rPr>
          <w:rFonts w:hint="eastAsia" w:ascii="仿宋_GB2312" w:hAnsi="仿宋_GB2312" w:eastAsia="仿宋_GB2312" w:cs="仿宋_GB2312"/>
          <w:sz w:val="32"/>
          <w:szCs w:val="32"/>
        </w:rPr>
        <w:t>决算数和</w:t>
      </w:r>
      <w:r>
        <w:rPr>
          <w:rFonts w:hint="eastAsia" w:ascii="仿宋_GB2312" w:hAnsi="仿宋_GB2312" w:eastAsia="仿宋_GB2312" w:cs="仿宋_GB2312"/>
          <w:sz w:val="32"/>
          <w:szCs w:val="32"/>
          <w:lang w:eastAsia="zh-CN"/>
        </w:rPr>
        <w:t>预</w:t>
      </w:r>
      <w:bookmarkStart w:id="76" w:name="_GoBack"/>
      <w:bookmarkEnd w:id="76"/>
      <w:r>
        <w:rPr>
          <w:rFonts w:hint="eastAsia" w:ascii="仿宋_GB2312" w:hAnsi="仿宋_GB2312" w:eastAsia="仿宋_GB2312" w:cs="仿宋_GB2312"/>
          <w:sz w:val="32"/>
          <w:szCs w:val="32"/>
        </w:rPr>
        <w:t>算数</w:t>
      </w:r>
      <w:r>
        <w:rPr>
          <w:rFonts w:hint="eastAsia" w:ascii="仿宋_GB2312" w:hAnsi="仿宋_GB2312" w:eastAsia="仿宋_GB2312" w:cs="仿宋_GB2312"/>
          <w:bCs/>
          <w:sz w:val="32"/>
          <w:szCs w:val="32"/>
        </w:rPr>
        <w:t>（按财政局编制预算文件，公务接待费按总公务费比例计算）</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公务用车运行维护费</w:t>
      </w:r>
      <w:r>
        <w:rPr>
          <w:rFonts w:hint="eastAsia" w:ascii="仿宋_GB2312" w:hAnsi="仿宋_GB2312" w:eastAsia="仿宋_GB2312" w:cs="仿宋_GB2312"/>
          <w:sz w:val="32"/>
          <w:szCs w:val="32"/>
        </w:rPr>
        <w:t>决算数与预算数相等。</w:t>
      </w:r>
      <w:r>
        <w:rPr>
          <w:rFonts w:hint="eastAsia" w:ascii="仿宋_GB2312" w:hAnsi="仿宋_GB2312" w:eastAsia="仿宋_GB2312" w:cs="仿宋_GB2312"/>
          <w:bCs/>
          <w:sz w:val="32"/>
          <w:szCs w:val="32"/>
        </w:rPr>
        <w:t>（2）2021年公务用车维护费7万元。</w:t>
      </w:r>
    </w:p>
    <w:p>
      <w:pPr>
        <w:spacing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3、执行管理情况：一是在严格执行国家、省财政财纪有关法律法规的同时，明确了经费审批权限及程序，经费预算管理、财务经费管理、资产购置与处置、财务监督，开展公用经费使用监督和绩效评估，进一步落实厉行节约的各项规定。二是规章制度建立健全，制度执行严格合规，会计核算符合相关规定。三是严格按照有关规定，加强对财政各项资金的监督管理，确保资金及时、足额到位、专款专用。资金支付依据和开支标准合法合规，未出现截留和挪作他用现象。四是按规定对财政拨付的资金进行自检自查，做好资金使用效益管理工作。</w:t>
      </w:r>
    </w:p>
    <w:p>
      <w:pPr>
        <w:pStyle w:val="27"/>
        <w:widowControl/>
        <w:snapToGrid w:val="0"/>
        <w:spacing w:line="560" w:lineRule="exact"/>
        <w:ind w:firstLine="72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（三）综合管理情况</w:t>
      </w:r>
    </w:p>
    <w:p>
      <w:pPr>
        <w:pStyle w:val="27"/>
        <w:spacing w:line="560" w:lineRule="exact"/>
        <w:ind w:firstLine="640"/>
        <w:rPr>
          <w:rFonts w:ascii="仿宋_GB2312" w:eastAsia="仿宋_GB2312"/>
          <w:color w:val="000000"/>
          <w:sz w:val="32"/>
          <w:szCs w:val="32"/>
        </w:rPr>
      </w:pPr>
      <w:r>
        <w:rPr>
          <w:rFonts w:hint="eastAsia" w:ascii="仿宋_GB2312" w:hAnsi="仿宋_GB2312" w:eastAsia="仿宋_GB2312" w:cs="仿宋_GB2312"/>
          <w:sz w:val="32"/>
          <w:szCs w:val="32"/>
        </w:rPr>
        <w:t>1、政府采购方面</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政府采购目录内的货物与服务全部按要求实施了政府采购，应记为固定资产的都登记入账。2020年我局政府采购277.87万元，</w:t>
      </w:r>
      <w:r>
        <w:rPr>
          <w:rFonts w:hint="eastAsia" w:ascii="仿宋_GB2312" w:eastAsia="仿宋_GB2312"/>
          <w:color w:val="000000"/>
          <w:sz w:val="32"/>
          <w:szCs w:val="32"/>
        </w:rPr>
        <w:t>其中：政府采购货物支出7.72万元、政府采购工程支出250.20万元、政府采购服务支出19.95万元。</w:t>
      </w:r>
    </w:p>
    <w:p>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资产管理方面：我局2020年年初资产合计735.28万元（银行存款0万元、固定资产净值135.01万元，财政应返还额600.27万元）；年末资产合计1179.97万元（银行存款0.02万元、财政应返还额度1027.20万元、固定资产净值152.75万元）。</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3、内控制度方面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为进一步做好行政事业单位内部控制基础性工作，贯彻执行县财政局《关于开展行政事业单位内部控制报告编报工作的通知》金财〔2017〕35号文件要求，结合我局实际，特制订以下制度。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（1）金川县应急管理局预算管理制度 </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（2）金川县应急管理局收支管理制度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（3）金川县应急管理局采购及管理制度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（4）金川县应急管理局资产管理制度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（5）金川县应急管理局合同管理制度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（6）金川县应急管理局“三重一大”事项集体决策制度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（7）金川县应急管理局财务管理制度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（8）金川县应急管理局差旅费报销制度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（9）金川县应急管理局工作岗位职责制度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（10）金川县应急管理局考勤制度、请销假制度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（11）金川县应急管理局下乡和车辆管理制度、驾驶员管理工作制度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（12）金川县应急管理局保密工作制度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（13）金川县应急管理局首问制度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（14）金川县应急管理局学习会议制度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（15）金川县应急管理局印章管理使用制度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（16）金川县应急管理局值班制度</w:t>
      </w:r>
    </w:p>
    <w:p>
      <w:pPr>
        <w:pStyle w:val="27"/>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4、信息公开方面：预算决算公开按财政局的要求在收到财政批复后20个工作日在金川县政府中心的信息网站进行公开。</w:t>
      </w:r>
    </w:p>
    <w:p>
      <w:pPr>
        <w:pStyle w:val="27"/>
        <w:widowControl/>
        <w:snapToGrid w:val="0"/>
        <w:spacing w:line="560" w:lineRule="exact"/>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（四）整体绩效</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1、通过加强预算收支的管理，不断建立健全内部管理制度，理顺内部管理流程，部门整体支出管理情况得到了提升。</w:t>
      </w:r>
    </w:p>
    <w:p>
      <w:pPr>
        <w:pStyle w:val="14"/>
        <w:shd w:val="clear" w:color="auto" w:fill="FFFFFF"/>
        <w:spacing w:line="360" w:lineRule="auto"/>
        <w:ind w:firstLine="640" w:firstLineChars="200"/>
        <w:jc w:val="both"/>
        <w:rPr>
          <w:rFonts w:ascii="仿宋_GB2312" w:hAnsi="仿宋_GB2312" w:eastAsia="仿宋_GB2312" w:cs="仿宋_GB2312"/>
          <w:b/>
          <w:bCs/>
          <w:sz w:val="32"/>
          <w:szCs w:val="32"/>
          <w:lang w:val="zh-CN"/>
        </w:rPr>
      </w:pPr>
      <w:r>
        <w:rPr>
          <w:rFonts w:hint="eastAsia" w:ascii="仿宋_GB2312" w:hAnsi="仿宋_GB2312" w:eastAsia="仿宋_GB2312" w:cs="仿宋_GB2312"/>
          <w:color w:val="000000"/>
          <w:sz w:val="32"/>
          <w:szCs w:val="32"/>
        </w:rPr>
        <w:t xml:space="preserve">2、财务支出符合相关要求规定，充分发挥了财政资金的作用，在经济效益、社会效益、生态效益等方面发挥了积极作用。 </w:t>
      </w:r>
    </w:p>
    <w:p>
      <w:pPr>
        <w:pStyle w:val="27"/>
        <w:widowControl/>
        <w:snapToGrid w:val="0"/>
        <w:spacing w:line="560" w:lineRule="exact"/>
        <w:ind w:firstLine="720"/>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四、评价结论及建议</w:t>
      </w:r>
    </w:p>
    <w:p>
      <w:pPr>
        <w:pStyle w:val="27"/>
        <w:widowControl/>
        <w:snapToGrid w:val="0"/>
        <w:spacing w:line="540"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pPr>
        <w:pStyle w:val="27"/>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度，一年来，我局深入贯彻落实金川县委、县政府决策部署和州局工作要求，始终围绕预防为主、综合治理、安全防范、灾情速报、等工作重点，积极作为，主动作为，创新作为，为推动县域经济社会发展提供了有力保障。</w:t>
      </w:r>
    </w:p>
    <w:p>
      <w:pPr>
        <w:pStyle w:val="27"/>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w:t>
      </w:r>
    </w:p>
    <w:p>
      <w:pPr>
        <w:pStyle w:val="27"/>
        <w:spacing w:line="52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1、对绩效评价工作的认识和重视程度还不够。</w:t>
      </w:r>
    </w:p>
    <w:p>
      <w:pPr>
        <w:pStyle w:val="27"/>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2、在资金的使用和安排上取得了较好的预算执行结果，但仍存在预算管理不够完善，资金使用不够科学等问题。</w:t>
      </w:r>
    </w:p>
    <w:p>
      <w:pPr>
        <w:pStyle w:val="27"/>
        <w:widowControl/>
        <w:snapToGrid w:val="0"/>
        <w:spacing w:line="540" w:lineRule="exact"/>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（三）改进建议</w:t>
      </w:r>
    </w:p>
    <w:p>
      <w:pPr>
        <w:pStyle w:val="27"/>
        <w:ind w:firstLine="630"/>
        <w:rPr>
          <w:rFonts w:ascii="仿宋" w:eastAsia="仿宋"/>
          <w:b/>
          <w:color w:val="000000"/>
          <w:sz w:val="44"/>
          <w:szCs w:val="44"/>
        </w:rPr>
      </w:pPr>
      <w:r>
        <w:rPr>
          <w:rFonts w:hint="eastAsia" w:ascii="仿宋_GB2312" w:hAnsi="仿宋_GB2312" w:eastAsia="仿宋_GB2312" w:cs="仿宋_GB2312"/>
          <w:color w:val="000000"/>
          <w:kern w:val="0"/>
          <w:sz w:val="32"/>
          <w:szCs w:val="32"/>
          <w:shd w:val="clear" w:color="auto" w:fill="FFFFFF"/>
        </w:rPr>
        <w:t>在今后的工作中，我局要继续合理计划利用财政资金，</w:t>
      </w:r>
      <w:r>
        <w:rPr>
          <w:rFonts w:hint="eastAsia" w:ascii="仿宋_GB2312" w:hAnsi="仿宋_GB2312" w:eastAsia="仿宋_GB2312" w:cs="仿宋_GB2312"/>
          <w:sz w:val="32"/>
          <w:szCs w:val="32"/>
        </w:rPr>
        <w:t>根据资金管理办法进行管理，做好经费保障等工作，明确分工，落实责任。</w:t>
      </w:r>
      <w:r>
        <w:rPr>
          <w:rFonts w:hint="eastAsia" w:ascii="仿宋_GB2312" w:hAnsi="仿宋_GB2312" w:eastAsia="仿宋_GB2312" w:cs="仿宋_GB2312"/>
          <w:color w:val="333333"/>
          <w:sz w:val="32"/>
          <w:szCs w:val="32"/>
        </w:rPr>
        <w:t>建立健全严格的经费开支审批制度和严格的经费开支报销程序，加强经费开支的监督，控制经费支出，保证财政资金发挥应起的作用。</w:t>
      </w:r>
    </w:p>
    <w:p>
      <w:pPr>
        <w:spacing w:line="600" w:lineRule="exact"/>
        <w:jc w:val="center"/>
        <w:outlineLvl w:val="0"/>
        <w:rPr>
          <w:rFonts w:ascii="黑体" w:eastAsia="黑体"/>
          <w:color w:val="000000"/>
          <w:sz w:val="44"/>
          <w:szCs w:val="44"/>
        </w:rPr>
      </w:pPr>
      <w:bookmarkStart w:id="62" w:name="_Toc15396618"/>
      <w:bookmarkStart w:id="63"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pStyle w:val="2"/>
      </w:pPr>
    </w:p>
    <w:p>
      <w:pPr>
        <w:spacing w:line="600" w:lineRule="exact"/>
        <w:jc w:val="center"/>
        <w:outlineLvl w:val="0"/>
        <w:rPr>
          <w:rFonts w:ascii="黑体" w:eastAsia="黑体"/>
          <w:color w:val="000000"/>
          <w:sz w:val="44"/>
          <w:szCs w:val="44"/>
        </w:rPr>
      </w:pPr>
    </w:p>
    <w:p>
      <w:pPr>
        <w:spacing w:line="600" w:lineRule="exact"/>
        <w:jc w:val="center"/>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bookmarkEnd w:id="62"/>
    </w:p>
    <w:p>
      <w:pPr>
        <w:pStyle w:val="5"/>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bookmarkEnd w:id="63"/>
    </w:p>
    <w:p>
      <w:pPr>
        <w:pStyle w:val="5"/>
        <w:rPr>
          <w:rFonts w:ascii="仿宋" w:eastAsia="仿宋"/>
          <w:color w:val="000000"/>
        </w:rPr>
      </w:pPr>
      <w:bookmarkStart w:id="64" w:name="_Toc15396620"/>
      <w:r>
        <w:rPr>
          <w:rFonts w:hint="eastAsia" w:ascii="仿宋" w:eastAsia="仿宋"/>
          <w:b w:val="0"/>
          <w:color w:val="000000"/>
        </w:rPr>
        <w:t>二、收</w:t>
      </w:r>
      <w:r>
        <w:rPr>
          <w:rStyle w:val="20"/>
          <w:rFonts w:hint="eastAsia" w:ascii="仿宋" w:eastAsia="仿宋"/>
          <w:b w:val="0"/>
          <w:bCs w:val="0"/>
        </w:rPr>
        <w:t>入总表</w:t>
      </w:r>
      <w:bookmarkEnd w:id="64"/>
    </w:p>
    <w:p>
      <w:pPr>
        <w:pStyle w:val="5"/>
        <w:rPr>
          <w:rFonts w:ascii="仿宋" w:eastAsia="仿宋"/>
          <w:color w:val="000000"/>
        </w:rPr>
      </w:pPr>
      <w:bookmarkStart w:id="65"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5"/>
    </w:p>
    <w:p>
      <w:pPr>
        <w:pStyle w:val="5"/>
        <w:rPr>
          <w:rFonts w:ascii="仿宋" w:eastAsia="仿宋"/>
          <w:b w:val="0"/>
          <w:color w:val="000000"/>
        </w:rPr>
      </w:pPr>
      <w:bookmarkStart w:id="66"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6"/>
    </w:p>
    <w:p>
      <w:pPr>
        <w:pStyle w:val="5"/>
        <w:rPr>
          <w:rFonts w:ascii="仿宋" w:eastAsia="仿宋"/>
          <w:color w:val="000000"/>
        </w:rPr>
      </w:pPr>
      <w:bookmarkStart w:id="67"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7"/>
    </w:p>
    <w:p>
      <w:pPr>
        <w:pStyle w:val="5"/>
        <w:rPr>
          <w:rFonts w:ascii="仿宋" w:eastAsia="仿宋"/>
          <w:color w:val="000000"/>
        </w:rPr>
      </w:pPr>
      <w:bookmarkStart w:id="68"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8"/>
    </w:p>
    <w:p>
      <w:pPr>
        <w:pStyle w:val="5"/>
        <w:rPr>
          <w:rFonts w:ascii="仿宋" w:eastAsia="仿宋"/>
          <w:color w:val="000000"/>
        </w:rPr>
      </w:pPr>
      <w:bookmarkStart w:id="69"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9"/>
    </w:p>
    <w:p>
      <w:pPr>
        <w:pStyle w:val="5"/>
        <w:rPr>
          <w:rFonts w:ascii="仿宋" w:eastAsia="仿宋"/>
          <w:color w:val="000000"/>
        </w:rPr>
      </w:pPr>
      <w:bookmarkStart w:id="70"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0"/>
    </w:p>
    <w:p>
      <w:pPr>
        <w:pStyle w:val="5"/>
        <w:rPr>
          <w:rFonts w:ascii="仿宋" w:eastAsia="仿宋"/>
          <w:color w:val="000000"/>
        </w:rPr>
      </w:pPr>
      <w:bookmarkStart w:id="71"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1"/>
    </w:p>
    <w:p>
      <w:pPr>
        <w:pStyle w:val="5"/>
        <w:rPr>
          <w:rFonts w:ascii="仿宋" w:eastAsia="仿宋"/>
          <w:color w:val="000000"/>
        </w:rPr>
      </w:pPr>
      <w:bookmarkStart w:id="72"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2"/>
    </w:p>
    <w:p>
      <w:pPr>
        <w:pStyle w:val="5"/>
        <w:rPr>
          <w:rFonts w:ascii="仿宋" w:eastAsia="仿宋"/>
          <w:color w:val="000000"/>
        </w:rPr>
      </w:pPr>
      <w:bookmarkStart w:id="73"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3"/>
    </w:p>
    <w:p>
      <w:pPr>
        <w:pStyle w:val="5"/>
        <w:rPr>
          <w:rFonts w:ascii="仿宋" w:eastAsia="仿宋"/>
          <w:color w:val="000000"/>
        </w:rPr>
      </w:pPr>
      <w:bookmarkStart w:id="74"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4"/>
    </w:p>
    <w:p>
      <w:pPr>
        <w:pStyle w:val="5"/>
        <w:rPr>
          <w:rFonts w:ascii="仿宋" w:eastAsia="仿宋"/>
          <w:color w:val="000000"/>
        </w:rPr>
      </w:pPr>
      <w:bookmarkStart w:id="75"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977F1"/>
    <w:multiLevelType w:val="singleLevel"/>
    <w:tmpl w:val="A22977F1"/>
    <w:lvl w:ilvl="0" w:tentative="0">
      <w:start w:val="1"/>
      <w:numFmt w:val="decimal"/>
      <w:lvlText w:val="%1."/>
      <w:lvlJc w:val="left"/>
      <w:pPr>
        <w:tabs>
          <w:tab w:val="left" w:pos="312"/>
        </w:tabs>
      </w:pPr>
    </w:lvl>
  </w:abstractNum>
  <w:abstractNum w:abstractNumId="1">
    <w:nsid w:val="CF092B84"/>
    <w:multiLevelType w:val="multilevel"/>
    <w:tmpl w:val="CF092B84"/>
    <w:lvl w:ilvl="0" w:tentative="0">
      <w:start w:val="2"/>
      <w:numFmt w:val="chineseCountingThousand"/>
      <w:suff w:val="nothing"/>
      <w:lvlText w:val="（%1）"/>
      <w:lvlJc w:val="left"/>
      <w:pPr>
        <w:tabs>
          <w:tab w:val="left" w:pos="0"/>
        </w:tabs>
        <w:ind w:left="0" w:firstLine="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6CC197C7"/>
    <w:multiLevelType w:val="singleLevel"/>
    <w:tmpl w:val="6CC197C7"/>
    <w:lvl w:ilvl="0" w:tentative="0">
      <w:start w:val="15"/>
      <w:numFmt w:val="decimal"/>
      <w:lvlText w:val="%1."/>
      <w:lvlJc w:val="left"/>
      <w:pPr>
        <w:tabs>
          <w:tab w:val="left" w:pos="312"/>
        </w:tabs>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6"/>
  </w:num>
  <w:num w:numId="2">
    <w:abstractNumId w:val="0"/>
  </w:num>
  <w:num w:numId="3">
    <w:abstractNumId w:val="7"/>
  </w:num>
  <w:num w:numId="4">
    <w:abstractNumId w:val="2"/>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E036D8"/>
    <w:rsid w:val="00433655"/>
    <w:rsid w:val="00545AC1"/>
    <w:rsid w:val="0099700E"/>
    <w:rsid w:val="00A24211"/>
    <w:rsid w:val="00AA3625"/>
    <w:rsid w:val="00B11C0F"/>
    <w:rsid w:val="00C51374"/>
    <w:rsid w:val="00DF4A00"/>
    <w:rsid w:val="00E036D8"/>
    <w:rsid w:val="0C8758C9"/>
    <w:rsid w:val="133478B0"/>
    <w:rsid w:val="13697D5D"/>
    <w:rsid w:val="14A7305F"/>
    <w:rsid w:val="154F6226"/>
    <w:rsid w:val="2768615C"/>
    <w:rsid w:val="3C7120C7"/>
    <w:rsid w:val="518A5CA7"/>
    <w:rsid w:val="73CF2274"/>
    <w:rsid w:val="7B0F59B5"/>
    <w:rsid w:val="7ED36F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uiPriority w:val="0"/>
    <w:pPr>
      <w:keepNext/>
      <w:keepLines/>
      <w:spacing w:before="340" w:after="330" w:line="578" w:lineRule="auto"/>
      <w:outlineLvl w:val="0"/>
    </w:pPr>
    <w:rPr>
      <w:b/>
      <w:bCs/>
      <w:kern w:val="44"/>
      <w:sz w:val="44"/>
      <w:szCs w:val="44"/>
    </w:rPr>
  </w:style>
  <w:style w:type="paragraph" w:styleId="5">
    <w:name w:val="heading 2"/>
    <w:basedOn w:val="1"/>
    <w:next w:val="1"/>
    <w:link w:val="20"/>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character" w:default="1" w:styleId="16">
    <w:name w:val="Default Paragraph Font"/>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widowControl w:val="0"/>
      <w:spacing w:before="0" w:beforeAutospacing="0" w:after="120" w:afterAutospacing="0"/>
      <w:ind w:left="420" w:leftChars="200" w:firstLine="420" w:firstLineChars="200"/>
      <w:jc w:val="both"/>
    </w:pPr>
    <w:rPr>
      <w:rFonts w:ascii="Times New Roman" w:cs="Times New Roman"/>
      <w:kern w:val="2"/>
      <w:sz w:val="21"/>
      <w:szCs w:val="21"/>
    </w:rPr>
  </w:style>
  <w:style w:type="paragraph" w:styleId="3">
    <w:name w:val="Body Text Indent"/>
    <w:basedOn w:val="1"/>
    <w:next w:val="2"/>
    <w:qFormat/>
    <w:uiPriority w:val="0"/>
    <w:pPr>
      <w:widowControl/>
      <w:spacing w:before="100" w:beforeAutospacing="1" w:after="100" w:afterAutospacing="1"/>
      <w:jc w:val="left"/>
    </w:pPr>
    <w:rPr>
      <w:rFonts w:ascii="宋体" w:cs="宋体"/>
      <w:kern w:val="0"/>
      <w:sz w:val="24"/>
    </w:rPr>
  </w:style>
  <w:style w:type="paragraph" w:styleId="7">
    <w:name w:val="Body Text"/>
    <w:basedOn w:val="1"/>
    <w:qFormat/>
    <w:uiPriority w:val="0"/>
    <w:pPr>
      <w:spacing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99"/>
    <w:pPr>
      <w:widowControl/>
      <w:jc w:val="left"/>
    </w:pPr>
    <w:rPr>
      <w:rFonts w:ascii="宋体" w:hAnsi="宋体" w:cs="宋体"/>
      <w:kern w:val="0"/>
      <w:sz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6"/>
    <w:link w:val="5"/>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6"/>
    <w:qFormat/>
    <w:uiPriority w:val="0"/>
    <w:rPr>
      <w:rFonts w:ascii="Times New Roman" w:hAnsi="Times New Roman"/>
      <w:sz w:val="18"/>
      <w:szCs w:val="18"/>
    </w:rPr>
  </w:style>
  <w:style w:type="character" w:customStyle="1" w:styleId="22">
    <w:name w:val="Footer Char"/>
    <w:basedOn w:val="16"/>
    <w:qFormat/>
    <w:uiPriority w:val="0"/>
    <w:rPr>
      <w:rFonts w:ascii="Times New Roman" w:hAnsi="Times New Roman"/>
      <w:sz w:val="18"/>
      <w:szCs w:val="18"/>
    </w:rPr>
  </w:style>
  <w:style w:type="character" w:customStyle="1" w:styleId="23">
    <w:name w:val="Body Text Char"/>
    <w:basedOn w:val="16"/>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正文1"/>
    <w:qFormat/>
    <w:uiPriority w:val="0"/>
    <w:pPr>
      <w:widowControl w:val="0"/>
      <w:jc w:val="both"/>
    </w:pPr>
    <w:rPr>
      <w:rFonts w:ascii="Calibri" w:hAnsi="Calibri" w:eastAsia="宋体" w:cs="Times New Roman"/>
      <w:kern w:val="2"/>
      <w:sz w:val="21"/>
      <w:szCs w:val="24"/>
      <w:lang w:val="en-US" w:eastAsia="zh-CN" w:bidi="ar-SA"/>
    </w:rPr>
  </w:style>
  <w:style w:type="character" w:customStyle="1" w:styleId="28">
    <w:name w:val="apple-converted-space"/>
    <w:basedOn w:val="16"/>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899500000000001"/>
          <c:y val="0.22544220772313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874.44</c:v>
                </c:pt>
                <c:pt idx="1">
                  <c:v>1530.79</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316.69</c:v>
                </c:pt>
                <c:pt idx="1">
                  <c:v>845.23</c:v>
                </c:pt>
              </c:numCache>
            </c:numRef>
          </c:val>
        </c:ser>
        <c:dLbls>
          <c:showLegendKey val="0"/>
          <c:showVal val="0"/>
          <c:showCatName val="0"/>
          <c:showSerName val="0"/>
          <c:showPercent val="0"/>
          <c:showBubbleSize val="0"/>
        </c:dLbls>
        <c:gapWidth val="219"/>
        <c:overlap val="-27"/>
        <c:axId val="47405696"/>
        <c:axId val="47547136"/>
      </c:barChart>
      <c:catAx>
        <c:axId val="4740569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7547136"/>
        <c:crosses val="autoZero"/>
        <c:auto val="1"/>
        <c:lblAlgn val="ctr"/>
        <c:lblOffset val="100"/>
        <c:noMultiLvlLbl val="0"/>
      </c:catAx>
      <c:valAx>
        <c:axId val="475471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474056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1530.79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1"/>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manualLayout>
          <c:xMode val="edge"/>
          <c:yMode val="edge"/>
          <c:x val="0.366265211391293"/>
          <c:y val="0.00808625336927224"/>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318.87</c:v>
                </c:pt>
                <c:pt idx="1">
                  <c:v>526.36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manualLayout>
          <c:xMode val="edge"/>
          <c:yMode val="edge"/>
          <c:x val="0.216067864271457"/>
          <c:y val="0.0387263339070568"/>
        </c:manualLayout>
      </c:layout>
      <c:overlay val="0"/>
      <c:spPr>
        <a:noFill/>
        <a:ln>
          <a:noFill/>
        </a:ln>
      </c:spPr>
    </c:title>
    <c:autoTitleDeleted val="0"/>
    <c:plotArea>
      <c:layout>
        <c:manualLayout>
          <c:layoutTarget val="inner"/>
          <c:xMode val="edge"/>
          <c:yMode val="edge"/>
          <c:x val="0.0985029940119762"/>
          <c:y val="0.19832179009057"/>
          <c:w val="0.874051896207586"/>
          <c:h val="0.531672882258924"/>
        </c:manualLayout>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874.44</c:v>
                </c:pt>
                <c:pt idx="1">
                  <c:v>316.69</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1530.79</c:v>
                </c:pt>
                <c:pt idx="1">
                  <c:v>845.23</c:v>
                </c:pt>
              </c:numCache>
            </c:numRef>
          </c:val>
        </c:ser>
        <c:dLbls>
          <c:showLegendKey val="0"/>
          <c:showVal val="1"/>
          <c:showCatName val="0"/>
          <c:showSerName val="0"/>
          <c:showPercent val="0"/>
          <c:showBubbleSize val="0"/>
        </c:dLbls>
        <c:gapWidth val="219"/>
        <c:overlap val="-27"/>
        <c:axId val="123649408"/>
        <c:axId val="125045760"/>
      </c:barChart>
      <c:catAx>
        <c:axId val="12364940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5045760"/>
        <c:crosses val="autoZero"/>
        <c:auto val="1"/>
        <c:lblAlgn val="ctr"/>
        <c:lblOffset val="100"/>
        <c:noMultiLvlLbl val="0"/>
      </c:catAx>
      <c:valAx>
        <c:axId val="125045760"/>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3649408"/>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944852941176471"/>
          <c:y val="0.170026996770851"/>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316.69</c:v>
                </c:pt>
                <c:pt idx="1">
                  <c:v>845.23</c:v>
                </c:pt>
              </c:numCache>
            </c:numRef>
          </c:val>
        </c:ser>
        <c:dLbls>
          <c:showLegendKey val="0"/>
          <c:showVal val="1"/>
          <c:showCatName val="0"/>
          <c:showSerName val="0"/>
          <c:showPercent val="0"/>
          <c:showBubbleSize val="0"/>
        </c:dLbls>
        <c:gapWidth val="219"/>
        <c:overlap val="-27"/>
        <c:axId val="154320256"/>
        <c:axId val="154335872"/>
      </c:barChart>
      <c:catAx>
        <c:axId val="15432025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54335872"/>
        <c:crosses val="autoZero"/>
        <c:auto val="1"/>
        <c:lblAlgn val="ctr"/>
        <c:lblOffset val="100"/>
        <c:noMultiLvlLbl val="0"/>
      </c:catAx>
      <c:valAx>
        <c:axId val="15433587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5432025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manualLayout>
          <c:xMode val="edge"/>
          <c:yMode val="edge"/>
          <c:x val="0.179591302069688"/>
          <c:y val="0.00975927130774236"/>
        </c:manualLayout>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0"/>
              <c:layout>
                <c:manualLayout>
                  <c:x val="0.00515032914739502"/>
                  <c:y val="0.023016326327942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0973645"/>
                  <c:y val="0.06860091350366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95544573333333"/>
                  <c:y val="0.02937579750366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社会保障和就业支出</c:v>
                </c:pt>
                <c:pt idx="1">
                  <c:v>卫生健康支出</c:v>
                </c:pt>
                <c:pt idx="2">
                  <c:v>住房保障支出</c:v>
                </c:pt>
                <c:pt idx="3">
                  <c:v>灾害防治及应急管理支出</c:v>
                </c:pt>
                <c:pt idx="4">
                  <c:v>其他支出</c:v>
                </c:pt>
              </c:strCache>
            </c:strRef>
          </c:cat>
          <c:val>
            <c:numRef>
              <c:f>'Sheet1 (6)'!$B$2:$B$6</c:f>
              <c:numCache>
                <c:formatCode>General</c:formatCode>
                <c:ptCount val="5"/>
                <c:pt idx="0">
                  <c:v>37.35</c:v>
                </c:pt>
                <c:pt idx="1">
                  <c:v>15.85</c:v>
                </c:pt>
                <c:pt idx="2">
                  <c:v>26.37</c:v>
                </c:pt>
                <c:pt idx="3">
                  <c:v>356.24</c:v>
                </c:pt>
                <c:pt idx="4">
                  <c:v>409.42</c:v>
                </c:pt>
              </c:numCache>
            </c:numRef>
          </c:val>
        </c:ser>
        <c:dLbls>
          <c:showLegendKey val="0"/>
          <c:showVal val="1"/>
          <c:showCatName val="0"/>
          <c:showSerName val="0"/>
          <c:showPercent val="0"/>
          <c:showBubbleSize val="0"/>
          <c:showLeaderLines val="1"/>
        </c:dLbls>
        <c:firstSliceAng val="0"/>
      </c:pieChart>
      <c:spPr>
        <a:noFill/>
        <a:ln>
          <a:solidFill>
            <a:schemeClr val="bg1"/>
          </a:solid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7</c:v>
                </c:pt>
                <c:pt idx="2">
                  <c:v>0.3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2042</Words>
  <Characters>11644</Characters>
  <Lines>97</Lines>
  <Paragraphs>27</Paragraphs>
  <TotalTime>44</TotalTime>
  <ScaleCrop>false</ScaleCrop>
  <LinksUpToDate>false</LinksUpToDate>
  <CharactersWithSpaces>13659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2021-09-16T07:27:00Z</cp:lastPrinted>
  <dcterms:modified xsi:type="dcterms:W3CDTF">2021-09-30T03:50:29Z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