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2000" w:type="dxa"/>
        <w:jc w:val="center"/>
        <w:tblCellSpacing w:w="0" w:type="dxa"/>
        <w:tblLayout w:type="fixed"/>
        <w:tblCellMar>
          <w:top w:w="0" w:type="dxa"/>
          <w:left w:w="0" w:type="dxa"/>
          <w:bottom w:w="0" w:type="dxa"/>
          <w:right w:w="0" w:type="dxa"/>
        </w:tblCellMar>
      </w:tblPr>
      <w:tblGrid>
        <w:gridCol w:w="12000"/>
      </w:tblGrid>
      <w:tr>
        <w:trPr>
          <w:trHeight w:val="24889" w:hRule="atLeast"/>
          <w:tblCellSpacing w:w="0" w:type="dxa"/>
          <w:jc w:val="center"/>
        </w:trPr>
        <w:tc>
          <w:tcPr>
            <w:tcW w:w="12000" w:type="dxa"/>
            <w:shd w:val="clear" w:color="auto" w:fill="FFFFFF"/>
          </w:tcPr>
          <w:tbl>
            <w:tblPr>
              <w:tblStyle w:val="5"/>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5"/>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5"/>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5"/>
                                <w:tblW w:w="11105" w:type="dxa"/>
                                <w:jc w:val="center"/>
                                <w:tblCellSpacing w:w="0" w:type="dxa"/>
                                <w:tblLayout w:type="fixed"/>
                                <w:tblCellMar>
                                  <w:top w:w="0" w:type="dxa"/>
                                  <w:left w:w="0" w:type="dxa"/>
                                  <w:bottom w:w="0" w:type="dxa"/>
                                  <w:right w:w="0" w:type="dxa"/>
                                </w:tblCellMar>
                              </w:tblPr>
                              <w:tblGrid>
                                <w:gridCol w:w="11105"/>
                              </w:tblGrid>
                              <w:tr>
                                <w:tblPrEx>
                                  <w:tblCellMar>
                                    <w:top w:w="0" w:type="dxa"/>
                                    <w:left w:w="0" w:type="dxa"/>
                                    <w:bottom w:w="0" w:type="dxa"/>
                                    <w:right w:w="0" w:type="dxa"/>
                                  </w:tblCellMar>
                                </w:tblPrEx>
                                <w:trPr>
                                  <w:tblCellSpacing w:w="0" w:type="dxa"/>
                                  <w:jc w:val="center"/>
                                </w:trPr>
                                <w:tc>
                                  <w:tcPr>
                                    <w:tcW w:w="11105" w:type="dxa"/>
                                    <w:tcMar>
                                      <w:top w:w="150" w:type="dxa"/>
                                      <w:left w:w="75" w:type="dxa"/>
                                      <w:bottom w:w="0" w:type="dxa"/>
                                      <w:right w:w="0" w:type="dxa"/>
                                    </w:tcMar>
                                  </w:tcPr>
                                  <w:p>
                                    <w:pPr>
                                      <w:spacing w:line="560" w:lineRule="exact"/>
                                      <w:ind w:firstLine="2560" w:firstLineChars="800"/>
                                      <w:jc w:val="left"/>
                                      <w:rPr>
                                        <w:rFonts w:ascii="仿宋" w:hAnsi="仿宋" w:eastAsia="仿宋" w:cs="宋体"/>
                                        <w:kern w:val="0"/>
                                        <w:sz w:val="32"/>
                                        <w:szCs w:val="32"/>
                                        <w:u w:color="000000"/>
                                      </w:rPr>
                                    </w:pPr>
                                    <w:bookmarkStart w:id="0" w:name="_Hlk534572177"/>
                                    <w:r>
                                      <w:rPr>
                                        <w:rFonts w:hint="eastAsia" w:ascii="仿宋" w:hAnsi="仿宋" w:eastAsia="仿宋" w:cs="宋体"/>
                                        <w:kern w:val="0"/>
                                        <w:sz w:val="32"/>
                                        <w:szCs w:val="32"/>
                                        <w:u w:color="000000"/>
                                      </w:rPr>
                                      <w:t>金川县应急管理局2020年部门预算编制说明</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xml:space="preserve">    </w:t>
                                    </w:r>
                                    <w:r>
                                      <w:rPr>
                                        <w:rFonts w:hint="eastAsia" w:ascii="仿宋" w:hAnsi="仿宋" w:eastAsia="仿宋" w:cs="宋体"/>
                                        <w:b/>
                                        <w:bCs/>
                                        <w:kern w:val="0"/>
                                        <w:sz w:val="32"/>
                                        <w:szCs w:val="32"/>
                                        <w:u w:color="000000"/>
                                      </w:rPr>
                                      <w:t>一、基本职能及主要工作</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（一）主要职能</w:t>
                                    </w:r>
                                  </w:p>
                                  <w:p>
                                    <w:pPr>
                                      <w:adjustRightInd w:val="0"/>
                                      <w:snapToGrid w:val="0"/>
                                      <w:spacing w:line="576" w:lineRule="exact"/>
                                      <w:ind w:firstLine="640" w:firstLineChars="200"/>
                                      <w:rPr>
                                        <w:rFonts w:eastAsia="仿宋_GB2312"/>
                                        <w:sz w:val="32"/>
                                        <w:szCs w:val="32"/>
                                      </w:rPr>
                                    </w:pPr>
                                    <w:r>
                                      <w:rPr>
                                        <w:rFonts w:hint="eastAsia" w:ascii="仿宋_GB2312" w:hAnsi="仿宋" w:eastAsia="仿宋_GB2312" w:cs="仿宋"/>
                                        <w:sz w:val="32"/>
                                        <w:szCs w:val="32"/>
                                      </w:rPr>
                                      <w:t>1、</w:t>
                                    </w:r>
                                    <w:r>
                                      <w:rPr>
                                        <w:rFonts w:hint="eastAsia" w:eastAsia="仿宋_GB2312"/>
                                        <w:sz w:val="32"/>
                                        <w:szCs w:val="32"/>
                                      </w:rPr>
                                      <w:t>负责应急管理工作，组织和指导各乡（镇）、县级各部门（单位）应对安全生产类、自然灾害类等突发事件和综合防灾减灾救灾工作。负责安全生产综合监督管理和工矿商贸安全生产监督管理工作。</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2、拟订应急管理、安全生产等有关规范性文件，组织编制应急体系建设、安全生产和综合防灾减灾规划。</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3、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4、牵头建立统一的应急管理信息系统，负责信息传输渠道的规划和布局，建立监测预警和灾情报告制度，健全自然灾害信息资源获取和共享机制，依法统一发布灾情。</w:t>
                                    </w:r>
                                  </w:p>
                                  <w:p>
                                    <w:pPr>
                                      <w:spacing w:line="576" w:lineRule="exact"/>
                                      <w:ind w:firstLine="800" w:firstLineChars="250"/>
                                      <w:jc w:val="left"/>
                                      <w:rPr>
                                        <w:rFonts w:eastAsia="仿宋_GB2312"/>
                                        <w:sz w:val="32"/>
                                        <w:szCs w:val="32"/>
                                      </w:rPr>
                                    </w:pPr>
                                    <w:r>
                                      <w:rPr>
                                        <w:rFonts w:hint="eastAsia" w:eastAsia="仿宋_GB2312"/>
                                        <w:sz w:val="32"/>
                                        <w:szCs w:val="32"/>
                                      </w:rPr>
                                      <w:t>5、负责组织、指导、协调安全生产类、自然灾害类等突发事件应急救援，承担全县应对较大及以上灾害指挥部工作，综合研判突发事件发展态势并提出应对建议，负责组织较大及以上灾害应急处置工作。</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6、统一协调指挥各类应急专业队伍，建立应急协调联动机制，推进指挥平台对接。</w:t>
                                    </w:r>
                                  </w:p>
                                  <w:p>
                                    <w:pPr>
                                      <w:spacing w:line="576" w:lineRule="exact"/>
                                      <w:ind w:firstLine="800" w:firstLineChars="250"/>
                                      <w:jc w:val="left"/>
                                      <w:rPr>
                                        <w:rFonts w:eastAsia="仿宋_GB2312"/>
                                        <w:sz w:val="32"/>
                                        <w:szCs w:val="32"/>
                                      </w:rPr>
                                    </w:pPr>
                                    <w:r>
                                      <w:rPr>
                                        <w:rFonts w:hint="eastAsia" w:eastAsia="仿宋_GB2312"/>
                                        <w:sz w:val="32"/>
                                        <w:szCs w:val="32"/>
                                      </w:rPr>
                                      <w:t>7、按照国家、省、州相关政策和规定负责消防、森林和草原火灾扑救、抗洪抢险、地震和地质灾害救援、生产安全事故救援等专业应急救援力量建设，依法依规统筹指导全县社会应急救援力量和应急保障能力建设。</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8、按照国家、省、州相关政策和县委、县政府相关规定负责消防工作，组织和指导消防监督、火灾预防、火灾扑救等工作。</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9、负责自然灾害综合监测预警工作，承担自然灾害综合风险评估工作，指导协调森林和草原火灾、水旱灾害、地震和地质灾害等防治工作。</w:t>
                                    </w:r>
                                  </w:p>
                                  <w:p>
                                    <w:pPr>
                                      <w:spacing w:line="576" w:lineRule="exact"/>
                                      <w:ind w:firstLine="800" w:firstLineChars="250"/>
                                      <w:jc w:val="left"/>
                                      <w:rPr>
                                        <w:rFonts w:eastAsia="仿宋_GB2312"/>
                                        <w:sz w:val="32"/>
                                        <w:szCs w:val="32"/>
                                      </w:rPr>
                                    </w:pPr>
                                    <w:r>
                                      <w:rPr>
                                        <w:rFonts w:hint="eastAsia" w:eastAsia="仿宋_GB2312"/>
                                        <w:sz w:val="32"/>
                                        <w:szCs w:val="32"/>
                                      </w:rPr>
                                      <w:t>10、负责组织、协调灾害救助工作，组织和指导灾情核查、损失评估、救灾捐赠工作，管理、分配中央、省、州下拨及县级救灾款物并监督使用。</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11、依法承担县政府安全生产综合监督管理责任，指导协调、监督检查各乡（镇）和各部门（单位）安全生产工作，组织开展安全生产巡查、督查、考核工作。</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12、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spacing w:line="576" w:lineRule="exact"/>
                                      <w:ind w:firstLine="800" w:firstLineChars="250"/>
                                      <w:jc w:val="left"/>
                                      <w:rPr>
                                        <w:rFonts w:eastAsia="仿宋_GB2312"/>
                                        <w:sz w:val="32"/>
                                        <w:szCs w:val="32"/>
                                      </w:rPr>
                                    </w:pPr>
                                    <w:r>
                                      <w:rPr>
                                        <w:rFonts w:hint="eastAsia" w:eastAsia="仿宋_GB2312"/>
                                        <w:sz w:val="32"/>
                                        <w:szCs w:val="32"/>
                                      </w:rPr>
                                      <w:t>13、承担非煤矿山、危险化学品、非药品类易制毒化学品和烟花爆竹等生产经营单位安全生产准入管理责任。</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14、依法组织、指导生产安全事故调查处理，监督事故查处和责任追究落实情况。组织开展自然灾害类突发事件的调查评估工作。</w:t>
                                    </w:r>
                                  </w:p>
                                  <w:p>
                                    <w:pPr>
                                      <w:spacing w:line="576" w:lineRule="exact"/>
                                      <w:ind w:firstLine="800" w:firstLineChars="250"/>
                                      <w:jc w:val="left"/>
                                      <w:rPr>
                                        <w:rFonts w:eastAsia="仿宋_GB2312"/>
                                        <w:sz w:val="32"/>
                                        <w:szCs w:val="32"/>
                                      </w:rPr>
                                    </w:pPr>
                                    <w:r>
                                      <w:rPr>
                                        <w:rFonts w:hint="eastAsia" w:eastAsia="仿宋_GB2312"/>
                                        <w:sz w:val="32"/>
                                        <w:szCs w:val="32"/>
                                      </w:rPr>
                                      <w:t>15、开展应急管理和安全生产方面的交流与合作，组织参与安全生产类、自然灾害类等突发事件的跨区域救援工作。</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16、制定应急物资储备和应急救援装备规划并组织实施，会同县发展改革和经济商务信息化局等部门建立健全应急物资信息平台和调拨制度，在救灾时统一调度。</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17、负责应急管理、安全生产宣传教育和培训工作，组织和指导应急管理、安全生产的科学技术推广应用和信息化建设工作。</w:t>
                                    </w:r>
                                  </w:p>
                                  <w:p>
                                    <w:pPr>
                                      <w:adjustRightInd w:val="0"/>
                                      <w:snapToGrid w:val="0"/>
                                      <w:spacing w:line="576" w:lineRule="exact"/>
                                      <w:ind w:firstLine="640" w:firstLineChars="200"/>
                                      <w:rPr>
                                        <w:rFonts w:eastAsia="仿宋_GB2312"/>
                                        <w:sz w:val="32"/>
                                        <w:szCs w:val="32"/>
                                      </w:rPr>
                                    </w:pPr>
                                    <w:r>
                                      <w:rPr>
                                        <w:rFonts w:hint="eastAsia" w:eastAsia="仿宋_GB2312"/>
                                        <w:sz w:val="32"/>
                                        <w:szCs w:val="32"/>
                                      </w:rPr>
                                      <w:t>18、负责职责范围内的职业健康、生态环境保护、公共机构节能减排、审批服务便民化工作。</w:t>
                                    </w:r>
                                  </w:p>
                                  <w:p>
                                    <w:pPr>
                                      <w:spacing w:line="576" w:lineRule="exact"/>
                                      <w:ind w:firstLine="800" w:firstLineChars="250"/>
                                      <w:jc w:val="left"/>
                                      <w:rPr>
                                        <w:rFonts w:eastAsia="仿宋_GB2312"/>
                                        <w:sz w:val="32"/>
                                        <w:szCs w:val="32"/>
                                      </w:rPr>
                                    </w:pPr>
                                    <w:r>
                                      <w:rPr>
                                        <w:rFonts w:hint="eastAsia" w:eastAsia="仿宋_GB2312"/>
                                        <w:sz w:val="32"/>
                                        <w:szCs w:val="32"/>
                                      </w:rPr>
                                      <w:t>19、完成县委、县政府交办的其他任务。</w:t>
                                    </w:r>
                                  </w:p>
                                  <w:p>
                                    <w:pPr>
                                      <w:spacing w:line="576" w:lineRule="exact"/>
                                      <w:ind w:firstLine="800" w:firstLineChars="250"/>
                                      <w:jc w:val="left"/>
                                      <w:rPr>
                                        <w:rFonts w:ascii="仿宋_GB2312" w:hAnsi="仿宋" w:eastAsia="仿宋_GB2312" w:cs="仿宋"/>
                                        <w:sz w:val="32"/>
                                        <w:szCs w:val="32"/>
                                      </w:rPr>
                                    </w:pPr>
                                    <w:r>
                                      <w:rPr>
                                        <w:rFonts w:hint="eastAsia" w:ascii="仿宋_GB2312" w:hAnsi="仿宋" w:eastAsia="仿宋_GB2312" w:cs="仿宋"/>
                                        <w:sz w:val="32"/>
                                        <w:szCs w:val="32"/>
                                      </w:rPr>
                                      <w:t>20、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财产安全放在首位，确保受灾群众基本生活，加强应急预案演练，增强全民防灾减灾意识，提升公众指示普及和自救互救技能，切实减少人员伤亡和财产损失。三是树立安全发展理念，坚持生命至上、安全第一，完善安全生产责任制，努力杜绝重特大事故、遏制较大事故、减少一般事故。</w:t>
                                    </w:r>
                                  </w:p>
                                  <w:p>
                                    <w:pPr>
                                      <w:spacing w:line="560" w:lineRule="exact"/>
                                      <w:ind w:firstLine="643" w:firstLineChars="200"/>
                                      <w:rPr>
                                        <w:rFonts w:hint="eastAsia" w:ascii="仿宋_GB2312" w:hAnsi="仿宋" w:eastAsia="仿宋_GB2312" w:cs="宋体"/>
                                        <w:kern w:val="0"/>
                                        <w:sz w:val="32"/>
                                        <w:szCs w:val="32"/>
                                        <w:u w:color="000000"/>
                                      </w:rPr>
                                    </w:pPr>
                                    <w:r>
                                      <w:rPr>
                                        <w:rFonts w:hint="eastAsia" w:ascii="仿宋" w:hAnsi="仿宋" w:eastAsia="仿宋" w:cs="宋体"/>
                                        <w:b/>
                                        <w:bCs/>
                                        <w:kern w:val="0"/>
                                        <w:sz w:val="32"/>
                                        <w:szCs w:val="32"/>
                                        <w:u w:color="000000"/>
                                      </w:rPr>
                                      <w:t>（二）我局2020年重点工作。</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2020年主要工作任务是严格按照2020年的预算数和县财政局下达的预算进行</w:t>
                                    </w:r>
                                    <w:r>
                                      <w:rPr>
                                        <w:rFonts w:hint="eastAsia" w:ascii="仿宋_GB2312" w:hAnsi="仿宋" w:eastAsia="仿宋_GB2312" w:cs="宋体"/>
                                        <w:kern w:val="0"/>
                                        <w:sz w:val="32"/>
                                        <w:szCs w:val="32"/>
                                        <w:u w:color="000000"/>
                                        <w:lang w:eastAsia="zh-CN"/>
                                      </w:rPr>
                                      <w:t>拨付</w:t>
                                    </w:r>
                                    <w:bookmarkStart w:id="1" w:name="_GoBack"/>
                                    <w:bookmarkEnd w:id="1"/>
                                    <w:r>
                                      <w:rPr>
                                        <w:rFonts w:hint="eastAsia" w:ascii="仿宋_GB2312" w:hAnsi="仿宋" w:eastAsia="仿宋_GB2312" w:cs="宋体"/>
                                        <w:kern w:val="0"/>
                                        <w:sz w:val="32"/>
                                        <w:szCs w:val="32"/>
                                        <w:u w:color="000000"/>
                                      </w:rPr>
                                      <w:t>，主要工作如下：</w:t>
                                    </w:r>
                                  </w:p>
                                  <w:p>
                                    <w:pPr>
                                      <w:tabs>
                                        <w:tab w:val="left" w:pos="312"/>
                                      </w:tabs>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1.办公室：负责文电、会务、档案、机要等本单位日常运转工作。</w:t>
                                    </w:r>
                                  </w:p>
                                  <w:p>
                                    <w:pPr>
                                      <w:tabs>
                                        <w:tab w:val="left" w:pos="312"/>
                                      </w:tabs>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2.应急指挥中心：负责发布预警和灾情信息，承担全县应对较大及以上灾害指挥部综合性工作，负责事故灾难和自然灾害信息的接收、研判、综合、报送和分转。</w:t>
                                    </w:r>
                                  </w:p>
                                  <w:p>
                                    <w:pPr>
                                      <w:tabs>
                                        <w:tab w:val="left" w:pos="312"/>
                                      </w:tabs>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3、安全生产综合监管股：负责重大安全生产风险监测预警和评估论证工作。根据年度执法工作计划，开展安全生产执法检查工作，做好隐患举报平台日常管理工作</w:t>
                                    </w:r>
                                  </w:p>
                                  <w:p>
                                    <w:pPr>
                                      <w:spacing w:line="560" w:lineRule="exact"/>
                                      <w:ind w:firstLine="643" w:firstLineChars="200"/>
                                      <w:rPr>
                                        <w:rFonts w:ascii="仿宋" w:hAnsi="仿宋" w:eastAsia="仿宋" w:cs="宋体"/>
                                        <w:b/>
                                        <w:bCs/>
                                        <w:kern w:val="0"/>
                                        <w:sz w:val="32"/>
                                        <w:szCs w:val="32"/>
                                        <w:u w:color="000000"/>
                                      </w:rPr>
                                    </w:pPr>
                                    <w:r>
                                      <w:rPr>
                                        <w:rFonts w:hint="eastAsia" w:ascii="仿宋" w:hAnsi="仿宋" w:eastAsia="仿宋" w:cs="宋体"/>
                                        <w:b/>
                                        <w:bCs/>
                                        <w:kern w:val="0"/>
                                        <w:sz w:val="32"/>
                                        <w:szCs w:val="32"/>
                                        <w:u w:color="000000"/>
                                      </w:rPr>
                                      <w:t>二、部门预算单位构成</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2020年独立编制单位机构数为 1个，财政供养人员编制为 20名，其中行政编制8名，行政工勤编制1名，事业编制为11名；2020年实际财政供养人员18人，其中：行政11人，参公5人，行政工勤1人，事业1人。较上年（金川县安全生产监督管理局）增加6人（不含退休人员），是因为机构改革增设编制，增加人员。</w:t>
                                    </w:r>
                                  </w:p>
                                  <w:p>
                                    <w:pPr>
                                      <w:spacing w:line="560" w:lineRule="exact"/>
                                      <w:ind w:firstLine="643" w:firstLineChars="200"/>
                                      <w:rPr>
                                        <w:rFonts w:hint="eastAsia" w:ascii="仿宋_GB2312" w:hAnsi="仿宋" w:eastAsia="仿宋_GB2312" w:cs="宋体"/>
                                        <w:kern w:val="0"/>
                                        <w:sz w:val="32"/>
                                        <w:szCs w:val="32"/>
                                        <w:u w:color="000000"/>
                                      </w:rPr>
                                    </w:pPr>
                                    <w:r>
                                      <w:rPr>
                                        <w:rFonts w:hint="eastAsia" w:ascii="仿宋" w:hAnsi="仿宋" w:eastAsia="仿宋" w:cs="宋体"/>
                                        <w:b/>
                                        <w:bCs/>
                                        <w:kern w:val="0"/>
                                        <w:sz w:val="32"/>
                                        <w:szCs w:val="32"/>
                                        <w:u w:color="000000"/>
                                      </w:rPr>
                                      <w:t>三</w:t>
                                    </w:r>
                                    <w:r>
                                      <w:rPr>
                                        <w:rFonts w:hint="eastAsia" w:ascii="仿宋" w:hAnsi="仿宋" w:eastAsia="仿宋" w:cs="宋体"/>
                                        <w:b/>
                                        <w:bCs/>
                                        <w:kern w:val="0"/>
                                        <w:sz w:val="32"/>
                                        <w:szCs w:val="32"/>
                                        <w:u w:color="000000"/>
                                        <w:lang w:eastAsia="zh-CN"/>
                                      </w:rPr>
                                      <w:t>、</w:t>
                                    </w:r>
                                    <w:r>
                                      <w:rPr>
                                        <w:rFonts w:hint="eastAsia" w:ascii="仿宋" w:hAnsi="仿宋" w:eastAsia="仿宋" w:cs="宋体"/>
                                        <w:b/>
                                        <w:bCs/>
                                        <w:kern w:val="0"/>
                                        <w:sz w:val="32"/>
                                        <w:szCs w:val="32"/>
                                        <w:u w:color="000000"/>
                                      </w:rPr>
                                      <w:t>收支预算情况说明</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xml:space="preserve">　 </w:t>
                                    </w:r>
                                    <w:r>
                                      <w:rPr>
                                        <w:rFonts w:hint="eastAsia" w:ascii="仿宋_GB2312" w:hAnsi="仿宋" w:eastAsia="仿宋_GB2312" w:cs="宋体"/>
                                        <w:kern w:val="0"/>
                                        <w:sz w:val="32"/>
                                        <w:szCs w:val="32"/>
                                        <w:u w:color="000000"/>
                                      </w:rPr>
                                      <w:t xml:space="preserve"> </w:t>
                                    </w:r>
                                    <w:r>
                                      <w:rPr>
                                        <w:rFonts w:hint="eastAsia" w:ascii="仿宋_GB2312" w:hAnsi="仿宋" w:eastAsia="仿宋_GB2312" w:cs="仿宋"/>
                                        <w:sz w:val="32"/>
                                        <w:szCs w:val="32"/>
                                      </w:rPr>
                                      <w:t>按照综合预算的原则，应急管理局所有收入和支出均纳入部门预算管理。收入包括：一般公共预算拨款收入；支出包括：灾害防治及应急管理支出、社会保障和就业支出、医疗卫生与计划生育支出、住房保障支出。应急管理局2020年收支总预算332.23万元（其中基本支出272.23万元，项目支出60万元。）,比2019年（金川县安全生产监督管理局）收支预算总数增加123.5万元，主要是因为人员增加、晋级晋档和调资、机构改革，单位增加职能职责，项目资金增加。</w:t>
                                    </w:r>
                                    <w:r>
                                      <w:rPr>
                                        <w:rFonts w:hint="eastAsia" w:ascii="仿宋_GB2312" w:eastAsia="仿宋_GB2312"/>
                                        <w:sz w:val="28"/>
                                        <w:szCs w:val="28"/>
                                      </w:rPr>
                                      <w:br w:type="textWrapping"/>
                                    </w:r>
                                    <w:r>
                                      <w:rPr>
                                        <w:rFonts w:hint="eastAsia" w:ascii="仿宋_GB2312" w:eastAsia="仿宋_GB2312"/>
                                        <w:sz w:val="28"/>
                                        <w:szCs w:val="28"/>
                                      </w:rPr>
                                      <w:t xml:space="preserve">    </w:t>
                                    </w:r>
                                    <w:r>
                                      <w:rPr>
                                        <w:rFonts w:hint="eastAsia" w:ascii="仿宋" w:hAnsi="仿宋" w:eastAsia="仿宋" w:cs="宋体"/>
                                        <w:b/>
                                        <w:bCs/>
                                        <w:kern w:val="0"/>
                                        <w:sz w:val="32"/>
                                        <w:szCs w:val="32"/>
                                        <w:u w:color="000000"/>
                                      </w:rPr>
                                      <w:t>（一）收入预算情况。</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2020年收入预算332.23万元，其中：上年结转0万元，占0%；一般公共预算拨款收入332.23万元，占100%。</w:t>
                                    </w:r>
                                    <w:r>
                                      <w:rPr>
                                        <w:rFonts w:hint="eastAsia" w:ascii="仿宋_GB2312" w:hAnsi="仿宋" w:eastAsia="仿宋_GB2312" w:cs="宋体"/>
                                        <w:kern w:val="0"/>
                                        <w:sz w:val="32"/>
                                        <w:szCs w:val="32"/>
                                        <w:u w:color="000000"/>
                                      </w:rPr>
                                      <w:br w:type="textWrapping"/>
                                    </w:r>
                                    <w:r>
                                      <w:rPr>
                                        <w:rFonts w:hint="eastAsia" w:ascii="仿宋" w:hAnsi="仿宋" w:eastAsia="仿宋" w:cs="宋体"/>
                                        <w:color w:val="FF0000"/>
                                        <w:kern w:val="0"/>
                                        <w:sz w:val="32"/>
                                        <w:szCs w:val="32"/>
                                        <w:u w:color="000000"/>
                                      </w:rPr>
                                      <w:t>　　</w:t>
                                    </w:r>
                                    <w:r>
                                      <w:rPr>
                                        <w:rFonts w:hint="eastAsia" w:ascii="仿宋" w:hAnsi="仿宋" w:eastAsia="仿宋" w:cs="宋体"/>
                                        <w:b/>
                                        <w:bCs/>
                                        <w:kern w:val="0"/>
                                        <w:sz w:val="32"/>
                                        <w:szCs w:val="32"/>
                                        <w:u w:color="000000"/>
                                      </w:rPr>
                                      <w:t>（二）支出预算情况。</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2020年支出预算332.23万元，其中：基本支出272.23万元，占81.94%；项目支出60万元，占18.06%。</w:t>
                                    </w:r>
                                    <w:r>
                                      <w:rPr>
                                        <w:rFonts w:hint="eastAsia" w:ascii="仿宋_GB2312" w:hAnsi="仿宋" w:eastAsia="仿宋_GB2312" w:cs="宋体"/>
                                        <w:kern w:val="0"/>
                                        <w:sz w:val="32"/>
                                        <w:szCs w:val="32"/>
                                        <w:u w:color="000000"/>
                                      </w:rPr>
                                      <w:br w:type="textWrapping"/>
                                    </w:r>
                                    <w:r>
                                      <w:rPr>
                                        <w:rFonts w:hint="eastAsia" w:ascii="仿宋" w:hAnsi="仿宋" w:eastAsia="仿宋" w:cs="宋体"/>
                                        <w:color w:val="FF0000"/>
                                        <w:kern w:val="0"/>
                                        <w:sz w:val="32"/>
                                        <w:szCs w:val="32"/>
                                        <w:u w:color="000000"/>
                                      </w:rPr>
                                      <w:t>　　</w:t>
                                    </w:r>
                                    <w:r>
                                      <w:rPr>
                                        <w:rFonts w:hint="eastAsia" w:ascii="仿宋" w:hAnsi="仿宋" w:eastAsia="仿宋" w:cs="宋体"/>
                                        <w:b/>
                                        <w:bCs/>
                                        <w:kern w:val="0"/>
                                        <w:sz w:val="32"/>
                                        <w:szCs w:val="32"/>
                                        <w:u w:color="000000"/>
                                      </w:rPr>
                                      <w:t>四、财政拨款收支预算情况说明</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我局2020年财政拨款收支总预算332.23万元,比2019年财政拨款收支总预算增加123.5万元，</w:t>
                                    </w:r>
                                    <w:r>
                                      <w:rPr>
                                        <w:rFonts w:hint="eastAsia" w:ascii="仿宋_GB2312" w:hAnsi="仿宋" w:eastAsia="仿宋_GB2312" w:cs="仿宋"/>
                                        <w:sz w:val="32"/>
                                        <w:szCs w:val="32"/>
                                      </w:rPr>
                                      <w:t>主要是因为人员增加、晋级晋档和调资、机构改革，单位增加职能职责，项目资金增加。</w:t>
                                    </w:r>
                                    <w:r>
                                      <w:rPr>
                                        <w:rFonts w:hint="eastAsia" w:ascii="仿宋_GB2312" w:hAnsi="仿宋" w:eastAsia="仿宋_GB2312" w:cs="宋体"/>
                                        <w:kern w:val="0"/>
                                        <w:sz w:val="32"/>
                                        <w:szCs w:val="32"/>
                                        <w:u w:color="000000"/>
                                      </w:rPr>
                                      <w:br w:type="textWrapping"/>
                                    </w:r>
                                    <w:r>
                                      <w:rPr>
                                        <w:rFonts w:hint="eastAsia" w:ascii="仿宋_GB2312" w:hAnsi="仿宋" w:eastAsia="仿宋_GB2312" w:cs="宋体"/>
                                        <w:kern w:val="0"/>
                                        <w:sz w:val="32"/>
                                        <w:szCs w:val="32"/>
                                        <w:u w:color="000000"/>
                                      </w:rPr>
                                      <w:t>　　收入包括：本年一般公共预算拨款收入332.23万元，</w:t>
                                    </w:r>
                                    <w:r>
                                      <w:rPr>
                                        <w:rFonts w:hint="eastAsia" w:ascii="仿宋_GB2312" w:hAnsi="仿宋" w:eastAsia="仿宋_GB2312" w:cs="仿宋"/>
                                        <w:kern w:val="0"/>
                                        <w:sz w:val="32"/>
                                        <w:szCs w:val="32"/>
                                      </w:rPr>
                                      <w:t>上年结转一般公共预算拨款收入0万元；</w:t>
                                    </w:r>
                                    <w:r>
                                      <w:rPr>
                                        <w:rFonts w:hint="eastAsia" w:ascii="仿宋_GB2312" w:hAnsi="仿宋" w:eastAsia="仿宋_GB2312" w:cs="宋体"/>
                                        <w:kern w:val="0"/>
                                        <w:sz w:val="32"/>
                                        <w:szCs w:val="32"/>
                                        <w:u w:color="000000"/>
                                      </w:rPr>
                                      <w:t>；支出包括：灾害防治及应急管理支出254.80万元（包括项目支出60万元）、社会保障和就业支出41.31万元、卫生健康支出15.46万元、住房保障20.66万元。</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 w:hAnsi="仿宋" w:eastAsia="仿宋" w:cs="宋体"/>
                                        <w:color w:val="FF0000"/>
                                        <w:kern w:val="0"/>
                                        <w:sz w:val="32"/>
                                        <w:szCs w:val="32"/>
                                        <w:u w:color="000000"/>
                                      </w:rPr>
                                      <w:t>　</w:t>
                                    </w:r>
                                    <w:r>
                                      <w:rPr>
                                        <w:rFonts w:hint="eastAsia" w:ascii="仿宋" w:hAnsi="仿宋" w:eastAsia="仿宋" w:cs="宋体"/>
                                        <w:b/>
                                        <w:bCs/>
                                        <w:kern w:val="0"/>
                                        <w:sz w:val="32"/>
                                        <w:szCs w:val="32"/>
                                        <w:u w:color="000000"/>
                                      </w:rPr>
                                      <w:t>五、一般公共预算当年拨款情况说明</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 w:hAnsi="仿宋" w:eastAsia="仿宋" w:cs="宋体"/>
                                        <w:b/>
                                        <w:bCs/>
                                        <w:kern w:val="0"/>
                                        <w:sz w:val="32"/>
                                        <w:szCs w:val="32"/>
                                        <w:u w:color="000000"/>
                                      </w:rPr>
                                      <w:t>　（一）一般公共预算当年拨款规模变化情况。</w:t>
                                    </w:r>
                                    <w:r>
                                      <w:rPr>
                                        <w:rFonts w:ascii="仿宋" w:hAnsi="仿宋" w:eastAsia="仿宋" w:cs="宋体"/>
                                        <w:kern w:val="0"/>
                                        <w:sz w:val="32"/>
                                        <w:szCs w:val="32"/>
                                        <w:u w:color="000000"/>
                                      </w:rPr>
                                      <w:br w:type="textWrapping"/>
                                    </w:r>
                                    <w:r>
                                      <w:rPr>
                                        <w:rFonts w:hint="eastAsia" w:ascii="仿宋" w:hAnsi="仿宋" w:eastAsia="仿宋" w:cs="宋体"/>
                                        <w:color w:val="FF0000"/>
                                        <w:kern w:val="0"/>
                                        <w:sz w:val="32"/>
                                        <w:szCs w:val="32"/>
                                        <w:u w:color="000000"/>
                                      </w:rPr>
                                      <w:t>　</w:t>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我局2020年一般公共预算当年拨款332.23万元，比2019年预算数增加123.5万元，</w:t>
                                    </w:r>
                                    <w:r>
                                      <w:rPr>
                                        <w:rFonts w:hint="eastAsia" w:ascii="仿宋_GB2312" w:hAnsi="仿宋" w:eastAsia="仿宋_GB2312" w:cs="仿宋"/>
                                        <w:sz w:val="32"/>
                                        <w:szCs w:val="32"/>
                                      </w:rPr>
                                      <w:t>主要是因为人员增加、晋级晋档和调资、项目资金增加。</w:t>
                                    </w:r>
                                    <w:r>
                                      <w:rPr>
                                        <w:rFonts w:ascii="仿宋" w:hAnsi="仿宋" w:eastAsia="仿宋" w:cs="宋体"/>
                                        <w:kern w:val="0"/>
                                        <w:sz w:val="32"/>
                                        <w:szCs w:val="32"/>
                                        <w:u w:color="000000"/>
                                      </w:rPr>
                                      <w:br w:type="textWrapping"/>
                                    </w:r>
                                    <w:r>
                                      <w:rPr>
                                        <w:rFonts w:hint="eastAsia" w:ascii="仿宋" w:hAnsi="仿宋" w:eastAsia="仿宋" w:cs="宋体"/>
                                        <w:color w:val="FF0000"/>
                                        <w:kern w:val="0"/>
                                        <w:sz w:val="32"/>
                                        <w:szCs w:val="32"/>
                                        <w:u w:color="000000"/>
                                      </w:rPr>
                                      <w:t>　　</w:t>
                                    </w:r>
                                    <w:r>
                                      <w:rPr>
                                        <w:rFonts w:hint="eastAsia" w:ascii="仿宋" w:hAnsi="仿宋" w:eastAsia="仿宋" w:cs="宋体"/>
                                        <w:b/>
                                        <w:bCs/>
                                        <w:kern w:val="0"/>
                                        <w:sz w:val="32"/>
                                        <w:szCs w:val="32"/>
                                        <w:u w:color="000000"/>
                                      </w:rPr>
                                      <w:t>（二）一般公共预算当年拨款结构情况。</w:t>
                                    </w:r>
                                    <w:r>
                                      <w:rPr>
                                        <w:rFonts w:ascii="仿宋" w:hAnsi="仿宋" w:eastAsia="仿宋" w:cs="宋体"/>
                                        <w:color w:val="FF0000"/>
                                        <w:kern w:val="0"/>
                                        <w:sz w:val="32"/>
                                        <w:szCs w:val="32"/>
                                        <w:u w:color="000000"/>
                                      </w:rPr>
                                      <w:br w:type="textWrapping"/>
                                    </w:r>
                                    <w:r>
                                      <w:rPr>
                                        <w:rFonts w:hint="eastAsia" w:ascii="仿宋" w:hAnsi="仿宋" w:eastAsia="仿宋" w:cs="宋体"/>
                                        <w:color w:val="FF0000"/>
                                        <w:kern w:val="0"/>
                                        <w:sz w:val="32"/>
                                        <w:szCs w:val="32"/>
                                        <w:u w:color="000000"/>
                                      </w:rPr>
                                      <w:t>　　</w:t>
                                    </w:r>
                                    <w:r>
                                      <w:rPr>
                                        <w:rFonts w:hint="eastAsia" w:ascii="仿宋" w:hAnsi="仿宋" w:eastAsia="仿宋" w:cs="仿宋"/>
                                        <w:b w:val="0"/>
                                        <w:bCs w:val="0"/>
                                        <w:color w:val="auto"/>
                                        <w:kern w:val="0"/>
                                        <w:sz w:val="32"/>
                                        <w:szCs w:val="32"/>
                                        <w:u w:color="000000"/>
                                      </w:rPr>
                                      <w:t>灾害防治及应急管理支出</w:t>
                                    </w:r>
                                    <w:r>
                                      <w:rPr>
                                        <w:rFonts w:hint="eastAsia" w:ascii="仿宋" w:hAnsi="仿宋" w:eastAsia="仿宋" w:cs="仿宋"/>
                                        <w:color w:val="auto"/>
                                        <w:kern w:val="0"/>
                                        <w:sz w:val="32"/>
                                        <w:szCs w:val="32"/>
                                        <w:u w:color="000000"/>
                                        <w:lang w:val="en-US" w:eastAsia="zh-CN"/>
                                      </w:rPr>
                                      <w:t>254.8</w:t>
                                    </w:r>
                                    <w:r>
                                      <w:rPr>
                                        <w:rFonts w:hint="eastAsia" w:ascii="仿宋" w:hAnsi="仿宋" w:eastAsia="仿宋" w:cs="仿宋"/>
                                        <w:color w:val="auto"/>
                                        <w:kern w:val="0"/>
                                        <w:sz w:val="32"/>
                                        <w:szCs w:val="32"/>
                                        <w:u w:color="000000"/>
                                      </w:rPr>
                                      <w:t>万元，占</w:t>
                                    </w:r>
                                    <w:r>
                                      <w:rPr>
                                        <w:rFonts w:hint="eastAsia" w:ascii="仿宋" w:hAnsi="仿宋" w:eastAsia="仿宋" w:cs="仿宋"/>
                                        <w:color w:val="auto"/>
                                        <w:kern w:val="0"/>
                                        <w:sz w:val="32"/>
                                        <w:szCs w:val="32"/>
                                        <w:u w:color="000000"/>
                                        <w:lang w:val="en-US" w:eastAsia="zh-CN"/>
                                      </w:rPr>
                                      <w:t>76.70</w:t>
                                    </w:r>
                                    <w:r>
                                      <w:rPr>
                                        <w:rFonts w:hint="eastAsia" w:ascii="仿宋" w:hAnsi="仿宋" w:eastAsia="仿宋" w:cs="仿宋"/>
                                        <w:color w:val="auto"/>
                                        <w:kern w:val="0"/>
                                        <w:sz w:val="32"/>
                                        <w:szCs w:val="32"/>
                                        <w:u w:color="000000"/>
                                      </w:rPr>
                                      <w:t>%；社会保障缴费</w:t>
                                    </w:r>
                                    <w:r>
                                      <w:rPr>
                                        <w:rFonts w:hint="eastAsia" w:ascii="仿宋" w:hAnsi="仿宋" w:eastAsia="仿宋" w:cs="仿宋"/>
                                        <w:color w:val="auto"/>
                                        <w:kern w:val="0"/>
                                        <w:sz w:val="32"/>
                                        <w:szCs w:val="32"/>
                                        <w:u w:color="000000"/>
                                        <w:lang w:val="en-US" w:eastAsia="zh-CN"/>
                                      </w:rPr>
                                      <w:t>41.31</w:t>
                                    </w:r>
                                    <w:r>
                                      <w:rPr>
                                        <w:rFonts w:hint="eastAsia" w:ascii="仿宋" w:hAnsi="仿宋" w:eastAsia="仿宋" w:cs="仿宋"/>
                                        <w:color w:val="auto"/>
                                        <w:kern w:val="0"/>
                                        <w:sz w:val="32"/>
                                        <w:szCs w:val="32"/>
                                        <w:u w:color="000000"/>
                                      </w:rPr>
                                      <w:t>万元，占</w:t>
                                    </w:r>
                                    <w:r>
                                      <w:rPr>
                                        <w:rFonts w:hint="eastAsia" w:ascii="仿宋" w:hAnsi="仿宋" w:eastAsia="仿宋" w:cs="仿宋"/>
                                        <w:color w:val="auto"/>
                                        <w:kern w:val="0"/>
                                        <w:sz w:val="32"/>
                                        <w:szCs w:val="32"/>
                                        <w:u w:color="000000"/>
                                        <w:lang w:val="en-US" w:eastAsia="zh-CN"/>
                                      </w:rPr>
                                      <w:t>12.43</w:t>
                                    </w:r>
                                    <w:r>
                                      <w:rPr>
                                        <w:rFonts w:hint="eastAsia" w:ascii="仿宋" w:hAnsi="仿宋" w:eastAsia="仿宋" w:cs="仿宋"/>
                                        <w:color w:val="auto"/>
                                        <w:kern w:val="0"/>
                                        <w:sz w:val="32"/>
                                        <w:szCs w:val="32"/>
                                        <w:u w:color="000000"/>
                                      </w:rPr>
                                      <w:t>%；</w:t>
                                    </w:r>
                                    <w:r>
                                      <w:rPr>
                                        <w:rFonts w:hint="eastAsia" w:ascii="仿宋" w:hAnsi="仿宋" w:eastAsia="仿宋" w:cs="仿宋"/>
                                        <w:b w:val="0"/>
                                        <w:bCs w:val="0"/>
                                        <w:color w:val="auto"/>
                                        <w:kern w:val="0"/>
                                        <w:sz w:val="32"/>
                                        <w:szCs w:val="32"/>
                                        <w:u w:color="000000"/>
                                      </w:rPr>
                                      <w:t>卫生健康支出</w:t>
                                    </w:r>
                                    <w:r>
                                      <w:rPr>
                                        <w:rFonts w:hint="eastAsia" w:ascii="仿宋" w:hAnsi="仿宋" w:eastAsia="仿宋" w:cs="仿宋"/>
                                        <w:b w:val="0"/>
                                        <w:bCs w:val="0"/>
                                        <w:color w:val="auto"/>
                                        <w:kern w:val="0"/>
                                        <w:sz w:val="32"/>
                                        <w:szCs w:val="32"/>
                                        <w:u w:color="000000"/>
                                        <w:lang w:val="en-US" w:eastAsia="zh-CN"/>
                                      </w:rPr>
                                      <w:t>15.46</w:t>
                                    </w:r>
                                    <w:r>
                                      <w:rPr>
                                        <w:rFonts w:hint="eastAsia" w:ascii="仿宋" w:hAnsi="仿宋" w:eastAsia="仿宋" w:cs="仿宋"/>
                                        <w:b w:val="0"/>
                                        <w:bCs w:val="0"/>
                                        <w:color w:val="auto"/>
                                        <w:kern w:val="0"/>
                                        <w:sz w:val="32"/>
                                        <w:szCs w:val="32"/>
                                        <w:u w:color="000000"/>
                                        <w:lang w:eastAsia="zh-CN"/>
                                      </w:rPr>
                                      <w:t>万元，占</w:t>
                                    </w:r>
                                    <w:r>
                                      <w:rPr>
                                        <w:rFonts w:hint="eastAsia" w:ascii="仿宋" w:hAnsi="仿宋" w:eastAsia="仿宋" w:cs="仿宋"/>
                                        <w:b w:val="0"/>
                                        <w:bCs w:val="0"/>
                                        <w:color w:val="auto"/>
                                        <w:kern w:val="0"/>
                                        <w:sz w:val="32"/>
                                        <w:szCs w:val="32"/>
                                        <w:u w:color="000000"/>
                                        <w:lang w:val="en-US" w:eastAsia="zh-CN"/>
                                      </w:rPr>
                                      <w:t>4.65%；</w:t>
                                    </w:r>
                                    <w:r>
                                      <w:rPr>
                                        <w:rFonts w:hint="eastAsia" w:ascii="仿宋" w:hAnsi="仿宋" w:eastAsia="仿宋" w:cs="仿宋"/>
                                        <w:color w:val="auto"/>
                                        <w:kern w:val="0"/>
                                        <w:sz w:val="32"/>
                                        <w:szCs w:val="32"/>
                                        <w:u w:color="000000"/>
                                      </w:rPr>
                                      <w:t>住房保障20.66万元，占6.22%；</w:t>
                                    </w:r>
                                    <w:r>
                                      <w:rPr>
                                        <w:rFonts w:hint="eastAsia" w:ascii="仿宋" w:hAnsi="仿宋" w:eastAsia="仿宋" w:cs="仿宋"/>
                                        <w:color w:val="auto"/>
                                        <w:kern w:val="0"/>
                                        <w:sz w:val="32"/>
                                        <w:szCs w:val="32"/>
                                        <w:u w:color="000000"/>
                                      </w:rPr>
                                      <w:br w:type="textWrapping"/>
                                    </w:r>
                                    <w:r>
                                      <w:rPr>
                                        <w:rFonts w:hint="eastAsia" w:ascii="仿宋" w:hAnsi="仿宋" w:eastAsia="仿宋" w:cs="宋体"/>
                                        <w:color w:val="FF0000"/>
                                        <w:kern w:val="0"/>
                                        <w:sz w:val="32"/>
                                        <w:szCs w:val="32"/>
                                        <w:u w:color="000000"/>
                                      </w:rPr>
                                      <w:t>　　</w:t>
                                    </w:r>
                                    <w:r>
                                      <w:rPr>
                                        <w:rFonts w:hint="eastAsia" w:ascii="仿宋" w:hAnsi="仿宋" w:eastAsia="仿宋" w:cs="宋体"/>
                                        <w:b/>
                                        <w:bCs/>
                                        <w:kern w:val="0"/>
                                        <w:sz w:val="32"/>
                                        <w:szCs w:val="32"/>
                                        <w:u w:color="000000"/>
                                      </w:rPr>
                                      <w:t>（三）一般公共预算当年拨款具体使用情况。</w:t>
                                    </w:r>
                                    <w:r>
                                      <w:rPr>
                                        <w:rFonts w:ascii="仿宋" w:hAnsi="仿宋" w:eastAsia="仿宋" w:cs="宋体"/>
                                        <w:b/>
                                        <w:bCs/>
                                        <w:kern w:val="0"/>
                                        <w:sz w:val="36"/>
                                        <w:szCs w:val="36"/>
                                        <w:u w:color="000000"/>
                                      </w:rPr>
                                      <w:br w:type="textWrapping"/>
                                    </w:r>
                                    <w:r>
                                      <w:rPr>
                                        <w:rFonts w:hint="eastAsia" w:ascii="仿宋" w:hAnsi="仿宋" w:eastAsia="仿宋" w:cs="宋体"/>
                                        <w:color w:val="FF0000"/>
                                        <w:kern w:val="0"/>
                                        <w:sz w:val="32"/>
                                        <w:szCs w:val="32"/>
                                        <w:u w:color="000000"/>
                                      </w:rPr>
                                      <w:t xml:space="preserve">　 </w:t>
                                    </w:r>
                                    <w:r>
                                      <w:rPr>
                                        <w:rFonts w:hint="eastAsia" w:ascii="仿宋" w:hAnsi="仿宋" w:eastAsia="仿宋" w:cs="宋体"/>
                                        <w:kern w:val="0"/>
                                        <w:sz w:val="32"/>
                                        <w:szCs w:val="32"/>
                                        <w:u w:color="000000"/>
                                      </w:rPr>
                                      <w:t xml:space="preserve"> </w:t>
                                    </w:r>
                                    <w:r>
                                      <w:rPr>
                                        <w:rFonts w:hint="eastAsia" w:ascii="仿宋_GB2312" w:hAnsi="仿宋" w:eastAsia="仿宋_GB2312" w:cs="宋体"/>
                                        <w:kern w:val="0"/>
                                        <w:sz w:val="32"/>
                                        <w:szCs w:val="32"/>
                                        <w:u w:color="000000"/>
                                      </w:rPr>
                                      <w:t>我局2020年部门收入预算总额为332.23万元。</w:t>
                                    </w:r>
                                  </w:p>
                                  <w:p>
                                    <w:pPr>
                                      <w:spacing w:line="560" w:lineRule="exact"/>
                                      <w:ind w:firstLine="643" w:firstLineChars="200"/>
                                      <w:rPr>
                                        <w:rFonts w:hint="eastAsia" w:ascii="仿宋_GB2312" w:hAnsi="仿宋" w:eastAsia="仿宋_GB2312" w:cs="宋体"/>
                                        <w:kern w:val="0"/>
                                        <w:sz w:val="32"/>
                                        <w:szCs w:val="32"/>
                                        <w:u w:color="000000"/>
                                      </w:rPr>
                                    </w:pPr>
                                    <w:r>
                                      <w:rPr>
                                        <w:rFonts w:hint="eastAsia" w:ascii="仿宋_GB2312" w:hAnsi="仿宋" w:eastAsia="仿宋_GB2312" w:cs="宋体"/>
                                        <w:b/>
                                        <w:bCs/>
                                        <w:kern w:val="0"/>
                                        <w:sz w:val="32"/>
                                        <w:szCs w:val="32"/>
                                        <w:u w:color="000000"/>
                                      </w:rPr>
                                      <w:t>1.208社会保障和就业支出（类）:</w:t>
                                    </w:r>
                                    <w:r>
                                      <w:rPr>
                                        <w:rFonts w:hint="eastAsia" w:ascii="仿宋_GB2312" w:hAnsi="仿宋" w:eastAsia="仿宋_GB2312" w:cs="宋体"/>
                                        <w:kern w:val="0"/>
                                        <w:sz w:val="32"/>
                                        <w:szCs w:val="32"/>
                                        <w:u w:color="000000"/>
                                      </w:rPr>
                                      <w:t>2020年预算41.31万元</w:t>
                                    </w:r>
                                  </w:p>
                                  <w:p>
                                    <w:pPr>
                                      <w:spacing w:line="560" w:lineRule="exact"/>
                                      <w:ind w:firstLine="643" w:firstLineChars="200"/>
                                      <w:rPr>
                                        <w:rFonts w:hint="eastAsia" w:ascii="仿宋_GB2312" w:hAnsi="仿宋" w:eastAsia="仿宋_GB2312" w:cs="宋体"/>
                                        <w:kern w:val="0"/>
                                        <w:sz w:val="32"/>
                                        <w:szCs w:val="32"/>
                                        <w:u w:color="000000"/>
                                      </w:rPr>
                                    </w:pPr>
                                    <w:r>
                                      <w:rPr>
                                        <w:rFonts w:hint="eastAsia" w:ascii="仿宋_GB2312" w:hAnsi="仿宋" w:eastAsia="仿宋_GB2312" w:cs="宋体"/>
                                        <w:b/>
                                        <w:bCs/>
                                        <w:kern w:val="0"/>
                                        <w:sz w:val="32"/>
                                        <w:szCs w:val="32"/>
                                        <w:u w:color="000000"/>
                                      </w:rPr>
                                      <w:t>（1）社会保障和就业支出208（类）行政事业单位离退休05（款)：</w:t>
                                    </w:r>
                                    <w:r>
                                      <w:rPr>
                                        <w:rFonts w:hint="eastAsia" w:ascii="仿宋_GB2312" w:hAnsi="仿宋" w:eastAsia="仿宋_GB2312" w:cs="宋体"/>
                                        <w:kern w:val="0"/>
                                        <w:sz w:val="32"/>
                                        <w:szCs w:val="32"/>
                                        <w:u w:color="000000"/>
                                      </w:rPr>
                                      <w:t>机关事业单位基本养老保险缴费支出05（项）：2020年预算27.54万元，</w:t>
                                    </w:r>
                                    <w:r>
                                      <w:rPr>
                                        <w:rFonts w:hint="eastAsia" w:ascii="仿宋_GB2312" w:eastAsia="仿宋_GB2312"/>
                                        <w:kern w:val="0"/>
                                        <w:sz w:val="28"/>
                                        <w:szCs w:val="28"/>
                                      </w:rPr>
                                      <w:t>主要用于：实施养老保险制度后，部门按规定由单位缴纳的基本养老保险费支出。</w:t>
                                    </w:r>
                                  </w:p>
                                  <w:p>
                                    <w:pPr>
                                      <w:spacing w:line="560" w:lineRule="exact"/>
                                      <w:ind w:firstLine="643" w:firstLineChars="200"/>
                                      <w:rPr>
                                        <w:rFonts w:hint="eastAsia" w:ascii="仿宋_GB2312" w:hAnsi="仿宋" w:eastAsia="仿宋_GB2312" w:cs="宋体"/>
                                        <w:kern w:val="0"/>
                                        <w:sz w:val="32"/>
                                        <w:szCs w:val="32"/>
                                        <w:u w:color="000000"/>
                                      </w:rPr>
                                    </w:pPr>
                                    <w:r>
                                      <w:rPr>
                                        <w:rFonts w:hint="eastAsia" w:ascii="仿宋_GB2312" w:hAnsi="仿宋" w:eastAsia="仿宋_GB2312" w:cs="宋体"/>
                                        <w:b/>
                                        <w:bCs/>
                                        <w:kern w:val="0"/>
                                        <w:sz w:val="32"/>
                                        <w:szCs w:val="32"/>
                                        <w:u w:color="000000"/>
                                      </w:rPr>
                                      <w:t>（2）社会保障和就业支出208（类）行政事业单位离退休05（款)：</w:t>
                                    </w:r>
                                    <w:r>
                                      <w:rPr>
                                        <w:rFonts w:hint="eastAsia" w:ascii="仿宋_GB2312" w:hAnsi="仿宋" w:eastAsia="仿宋_GB2312" w:cs="宋体"/>
                                        <w:kern w:val="0"/>
                                        <w:sz w:val="32"/>
                                        <w:szCs w:val="32"/>
                                        <w:u w:color="000000"/>
                                      </w:rPr>
                                      <w:t>机关事业单位职业年金缴费支出06（项）：2020年预算13.77万元，</w:t>
                                    </w:r>
                                    <w:r>
                                      <w:rPr>
                                        <w:rFonts w:hint="eastAsia" w:ascii="仿宋_GB2312" w:eastAsia="仿宋_GB2312"/>
                                        <w:kern w:val="0"/>
                                        <w:sz w:val="28"/>
                                        <w:szCs w:val="28"/>
                                      </w:rPr>
                                      <w:t>主要用于：实施养老保险制度后，部门按规定由单位缴纳的职业年金支出。</w:t>
                                    </w:r>
                                  </w:p>
                                  <w:p>
                                    <w:pPr>
                                      <w:spacing w:line="560" w:lineRule="exact"/>
                                      <w:ind w:firstLine="643" w:firstLineChars="200"/>
                                      <w:rPr>
                                        <w:rFonts w:hint="eastAsia" w:ascii="仿宋_GB2312" w:hAnsi="仿宋" w:eastAsia="仿宋_GB2312" w:cs="宋体"/>
                                        <w:kern w:val="0"/>
                                        <w:sz w:val="32"/>
                                        <w:szCs w:val="32"/>
                                        <w:u w:color="000000"/>
                                      </w:rPr>
                                    </w:pPr>
                                    <w:r>
                                      <w:rPr>
                                        <w:rFonts w:hint="eastAsia" w:ascii="仿宋_GB2312" w:hAnsi="仿宋" w:eastAsia="仿宋_GB2312" w:cs="宋体"/>
                                        <w:b/>
                                        <w:bCs/>
                                        <w:kern w:val="0"/>
                                        <w:sz w:val="32"/>
                                        <w:szCs w:val="32"/>
                                        <w:u w:color="000000"/>
                                      </w:rPr>
                                      <w:t>2.210 卫生健康支出（类）</w:t>
                                    </w:r>
                                    <w:r>
                                      <w:rPr>
                                        <w:rFonts w:hint="eastAsia" w:ascii="仿宋_GB2312" w:hAnsi="仿宋" w:eastAsia="仿宋_GB2312" w:cs="宋体"/>
                                        <w:kern w:val="0"/>
                                        <w:sz w:val="32"/>
                                        <w:szCs w:val="32"/>
                                        <w:u w:color="000000"/>
                                      </w:rPr>
                                      <w:t>：2020年预算15.46万元</w:t>
                                    </w:r>
                                  </w:p>
                                  <w:p>
                                    <w:pPr>
                                      <w:spacing w:line="560" w:lineRule="exact"/>
                                      <w:ind w:firstLine="643" w:firstLineChars="200"/>
                                      <w:rPr>
                                        <w:rFonts w:hint="eastAsia" w:ascii="仿宋_GB2312" w:hAnsi="仿宋" w:eastAsia="仿宋_GB2312" w:cs="宋体"/>
                                        <w:kern w:val="0"/>
                                        <w:sz w:val="32"/>
                                        <w:szCs w:val="32"/>
                                        <w:u w:color="000000"/>
                                      </w:rPr>
                                    </w:pPr>
                                    <w:r>
                                      <w:rPr>
                                        <w:rFonts w:hint="eastAsia" w:ascii="仿宋_GB2312" w:hAnsi="仿宋" w:eastAsia="仿宋_GB2312" w:cs="宋体"/>
                                        <w:b/>
                                        <w:bCs/>
                                        <w:kern w:val="0"/>
                                        <w:sz w:val="32"/>
                                        <w:szCs w:val="32"/>
                                        <w:u w:color="000000"/>
                                      </w:rPr>
                                      <w:t>（1）11行政事业单位医疗（款）01行政单位医疗（项）</w:t>
                                    </w:r>
                                    <w:r>
                                      <w:rPr>
                                        <w:rFonts w:hint="eastAsia" w:ascii="仿宋_GB2312" w:hAnsi="仿宋" w:eastAsia="仿宋_GB2312" w:cs="宋体"/>
                                        <w:kern w:val="0"/>
                                        <w:sz w:val="32"/>
                                        <w:szCs w:val="32"/>
                                        <w:u w:color="000000"/>
                                      </w:rPr>
                                      <w:t>:2020年预算12.05万元，</w:t>
                                    </w:r>
                                    <w:r>
                                      <w:rPr>
                                        <w:rFonts w:hint="eastAsia" w:ascii="仿宋_GB2312" w:eastAsia="仿宋_GB2312"/>
                                        <w:kern w:val="0"/>
                                        <w:sz w:val="28"/>
                                        <w:szCs w:val="28"/>
                                      </w:rPr>
                                      <w:t>主要用于：行政单位基本医疗缴费经费。</w:t>
                                    </w:r>
                                  </w:p>
                                  <w:p>
                                    <w:pPr>
                                      <w:spacing w:line="560" w:lineRule="exact"/>
                                      <w:ind w:firstLine="643" w:firstLineChars="200"/>
                                      <w:rPr>
                                        <w:rFonts w:hint="eastAsia" w:ascii="仿宋_GB2312" w:hAnsi="仿宋" w:eastAsia="仿宋_GB2312" w:cs="宋体"/>
                                        <w:kern w:val="0"/>
                                        <w:sz w:val="32"/>
                                        <w:szCs w:val="32"/>
                                        <w:u w:color="000000"/>
                                      </w:rPr>
                                    </w:pPr>
                                    <w:r>
                                      <w:rPr>
                                        <w:rFonts w:hint="eastAsia" w:ascii="仿宋_GB2312" w:hAnsi="仿宋" w:eastAsia="仿宋_GB2312" w:cs="宋体"/>
                                        <w:b/>
                                        <w:bCs/>
                                        <w:kern w:val="0"/>
                                        <w:sz w:val="32"/>
                                        <w:szCs w:val="32"/>
                                        <w:u w:color="000000"/>
                                      </w:rPr>
                                      <w:t>（2）11行政事业单位医疗（款）03公务员医疗补助（项）</w:t>
                                    </w:r>
                                    <w:r>
                                      <w:rPr>
                                        <w:rFonts w:hint="eastAsia" w:ascii="仿宋_GB2312" w:hAnsi="仿宋" w:eastAsia="仿宋_GB2312" w:cs="宋体"/>
                                        <w:kern w:val="0"/>
                                        <w:sz w:val="32"/>
                                        <w:szCs w:val="32"/>
                                        <w:u w:color="000000"/>
                                      </w:rPr>
                                      <w:t>:2020年预算3.41万元，</w:t>
                                    </w:r>
                                    <w:r>
                                      <w:rPr>
                                        <w:rFonts w:hint="eastAsia" w:ascii="仿宋_GB2312" w:eastAsia="仿宋_GB2312"/>
                                        <w:kern w:val="0"/>
                                        <w:sz w:val="28"/>
                                        <w:szCs w:val="28"/>
                                      </w:rPr>
                                      <w:t>主要用于：财政部门安排的本单位公务员医疗补助经费。</w:t>
                                    </w:r>
                                  </w:p>
                                  <w:p>
                                    <w:pPr>
                                      <w:spacing w:line="560" w:lineRule="exact"/>
                                      <w:ind w:firstLine="643" w:firstLineChars="200"/>
                                      <w:rPr>
                                        <w:rFonts w:hint="eastAsia" w:ascii="仿宋_GB2312" w:hAnsi="仿宋" w:eastAsia="仿宋_GB2312" w:cs="宋体"/>
                                        <w:kern w:val="0"/>
                                        <w:sz w:val="32"/>
                                        <w:szCs w:val="32"/>
                                        <w:u w:color="000000"/>
                                      </w:rPr>
                                    </w:pPr>
                                    <w:r>
                                      <w:rPr>
                                        <w:rFonts w:hint="eastAsia" w:ascii="仿宋_GB2312" w:hAnsi="仿宋" w:eastAsia="仿宋_GB2312" w:cs="宋体"/>
                                        <w:b/>
                                        <w:bCs/>
                                        <w:kern w:val="0"/>
                                        <w:sz w:val="32"/>
                                        <w:szCs w:val="32"/>
                                        <w:u w:color="000000"/>
                                      </w:rPr>
                                      <w:t>3.221住房保障支出（类）02住房改革支出（款）01住房公积金（项）</w:t>
                                    </w:r>
                                    <w:r>
                                      <w:rPr>
                                        <w:rFonts w:hint="eastAsia" w:ascii="仿宋_GB2312" w:hAnsi="仿宋" w:eastAsia="仿宋_GB2312" w:cs="宋体"/>
                                        <w:kern w:val="0"/>
                                        <w:sz w:val="32"/>
                                        <w:szCs w:val="32"/>
                                        <w:u w:color="000000"/>
                                      </w:rPr>
                                      <w:t>：2020年预算20.66万元，</w:t>
                                    </w:r>
                                    <w:r>
                                      <w:rPr>
                                        <w:rFonts w:hint="eastAsia" w:ascii="仿宋_GB2312" w:eastAsia="仿宋_GB2312"/>
                                        <w:kern w:val="0"/>
                                        <w:sz w:val="28"/>
                                        <w:szCs w:val="28"/>
                                      </w:rPr>
                                      <w:t>主要用于：部门按人力资源和社会保障部、财政部规定的基本工资和津贴补贴以及规定比例为职工缴纳的住房公积金支出。</w:t>
                                    </w:r>
                                  </w:p>
                                  <w:p>
                                    <w:pPr>
                                      <w:widowControl/>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 xml:space="preserve">4. </w:t>
                                    </w:r>
                                    <w:r>
                                      <w:rPr>
                                        <w:rFonts w:hint="eastAsia" w:ascii="仿宋_GB2312" w:hAnsi="仿宋" w:eastAsia="仿宋_GB2312" w:cs="宋体"/>
                                        <w:b/>
                                        <w:bCs/>
                                        <w:kern w:val="0"/>
                                        <w:sz w:val="32"/>
                                        <w:szCs w:val="32"/>
                                        <w:u w:color="000000"/>
                                      </w:rPr>
                                      <w:t>224灾害防治及应急管理支出（类）</w:t>
                                    </w:r>
                                    <w:r>
                                      <w:rPr>
                                        <w:rFonts w:hint="eastAsia" w:ascii="仿宋_GB2312" w:hAnsi="仿宋" w:eastAsia="仿宋_GB2312" w:cs="宋体"/>
                                        <w:kern w:val="0"/>
                                        <w:sz w:val="32"/>
                                        <w:szCs w:val="32"/>
                                        <w:u w:color="000000"/>
                                      </w:rPr>
                                      <w:t>：2020年预算254.80万元</w:t>
                                    </w:r>
                                  </w:p>
                                  <w:p>
                                    <w:pPr>
                                      <w:pStyle w:val="11"/>
                                      <w:ind w:firstLine="630"/>
                                      <w:rPr>
                                        <w:rFonts w:hint="eastAsia" w:ascii="仿宋_GB2312" w:eastAsia="仿宋_GB2312"/>
                                        <w:b/>
                                        <w:bCs/>
                                        <w:kern w:val="0"/>
                                        <w:szCs w:val="32"/>
                                      </w:rPr>
                                    </w:pPr>
                                    <w:r>
                                      <w:rPr>
                                        <w:rFonts w:hint="eastAsia" w:ascii="仿宋_GB2312" w:hAnsi="仿宋" w:eastAsia="仿宋_GB2312" w:cs="宋体"/>
                                        <w:kern w:val="0"/>
                                        <w:szCs w:val="32"/>
                                        <w:u w:color="000000"/>
                                      </w:rPr>
                                      <w:t>（1</w:t>
                                    </w:r>
                                    <w:r>
                                      <w:rPr>
                                        <w:rFonts w:hint="eastAsia" w:ascii="仿宋_GB2312" w:hAnsi="仿宋" w:eastAsia="仿宋_GB2312" w:cs="宋体"/>
                                        <w:b/>
                                        <w:bCs/>
                                        <w:kern w:val="0"/>
                                        <w:szCs w:val="32"/>
                                        <w:u w:color="000000"/>
                                      </w:rPr>
                                      <w:t>）01应急管理事务（款）01行政运行（项）：</w:t>
                                    </w:r>
                                    <w:r>
                                      <w:rPr>
                                        <w:rFonts w:hint="eastAsia" w:ascii="仿宋_GB2312" w:hAnsi="仿宋" w:eastAsia="仿宋_GB2312" w:cs="宋体"/>
                                        <w:kern w:val="0"/>
                                        <w:szCs w:val="32"/>
                                        <w:u w:color="000000"/>
                                      </w:rPr>
                                      <w:t>2020年预算194.80万元，</w:t>
                                    </w:r>
                                    <w:r>
                                      <w:rPr>
                                        <w:rFonts w:hint="eastAsia" w:ascii="仿宋_GB2312" w:eastAsia="仿宋_GB2312"/>
                                        <w:kern w:val="0"/>
                                        <w:szCs w:val="32"/>
                                      </w:rPr>
                                      <w:t>主要用于：机关正常运转的基本支出，包括基本工资、津贴补贴等人员经费以及办公费、邮电费、公务用车运行维护费、劳务费、维修（护）费、电费等日常公用经费。</w:t>
                                    </w:r>
                                  </w:p>
                                  <w:p>
                                    <w:pPr>
                                      <w:spacing w:line="560" w:lineRule="exact"/>
                                      <w:ind w:firstLine="560" w:firstLineChars="200"/>
                                      <w:rPr>
                                        <w:rFonts w:hint="eastAsia" w:ascii="仿宋_GB2312" w:eastAsia="仿宋_GB2312"/>
                                        <w:kern w:val="0"/>
                                        <w:sz w:val="32"/>
                                        <w:szCs w:val="32"/>
                                      </w:rPr>
                                    </w:pPr>
                                    <w:r>
                                      <w:rPr>
                                        <w:rFonts w:hint="eastAsia" w:ascii="仿宋_GB2312" w:eastAsia="仿宋_GB2312"/>
                                        <w:kern w:val="0"/>
                                        <w:sz w:val="28"/>
                                        <w:szCs w:val="28"/>
                                      </w:rPr>
                                      <w:t>（2）</w:t>
                                    </w:r>
                                    <w:r>
                                      <w:rPr>
                                        <w:rFonts w:hint="eastAsia" w:ascii="仿宋_GB2312" w:eastAsia="仿宋_GB2312"/>
                                        <w:b/>
                                        <w:bCs/>
                                        <w:kern w:val="0"/>
                                        <w:sz w:val="32"/>
                                        <w:szCs w:val="32"/>
                                      </w:rPr>
                                      <w:t>01应急管理事务（款）06安全监管（项）：</w:t>
                                    </w:r>
                                    <w:r>
                                      <w:rPr>
                                        <w:rFonts w:hint="eastAsia" w:ascii="仿宋_GB2312" w:eastAsia="仿宋_GB2312"/>
                                        <w:kern w:val="0"/>
                                        <w:sz w:val="32"/>
                                        <w:szCs w:val="32"/>
                                      </w:rPr>
                                      <w:t>2020年预算数为10万元，主要用于：本单位开展安生监管工作方面的支出。</w:t>
                                    </w:r>
                                  </w:p>
                                  <w:p>
                                    <w:pPr>
                                      <w:spacing w:line="560" w:lineRule="exact"/>
                                      <w:ind w:firstLine="560" w:firstLineChars="200"/>
                                      <w:rPr>
                                        <w:rFonts w:ascii="黑体" w:eastAsia="黑体"/>
                                        <w:kern w:val="0"/>
                                        <w:sz w:val="28"/>
                                        <w:szCs w:val="28"/>
                                      </w:rPr>
                                    </w:pPr>
                                    <w:r>
                                      <w:rPr>
                                        <w:rFonts w:hint="eastAsia" w:ascii="仿宋_GB2312" w:eastAsia="仿宋_GB2312"/>
                                        <w:kern w:val="0"/>
                                        <w:sz w:val="28"/>
                                        <w:szCs w:val="28"/>
                                      </w:rPr>
                                      <w:t>（3）</w:t>
                                    </w:r>
                                    <w:r>
                                      <w:rPr>
                                        <w:rFonts w:hint="eastAsia" w:ascii="仿宋_GB2312" w:eastAsia="仿宋_GB2312"/>
                                        <w:b/>
                                        <w:bCs/>
                                        <w:kern w:val="0"/>
                                        <w:sz w:val="32"/>
                                        <w:szCs w:val="32"/>
                                      </w:rPr>
                                      <w:t>07自然灾害救灾及恢复重建支出（款）02地方自然灾害生活补助（项）：</w:t>
                                    </w:r>
                                    <w:r>
                                      <w:rPr>
                                        <w:rFonts w:hint="eastAsia" w:ascii="仿宋_GB2312" w:eastAsia="仿宋_GB2312"/>
                                        <w:kern w:val="0"/>
                                        <w:sz w:val="32"/>
                                        <w:szCs w:val="32"/>
                                      </w:rPr>
                                      <w:t>2020年预算数为50万元，主要用于：解决受灾群众吃、穿、住等困难的救济费和发生自然灾害是的抢救、转移、安置、治病等支出，以及为抗御自然灾害而设立的地方就在储备物资采购资金。</w:t>
                                    </w:r>
                                    <w:r>
                                      <w:rPr>
                                        <w:rFonts w:hint="eastAsia" w:ascii="仿宋_GB2312" w:eastAsia="仿宋_GB2312"/>
                                        <w:kern w:val="0"/>
                                        <w:sz w:val="32"/>
                                        <w:szCs w:val="32"/>
                                      </w:rPr>
                                      <w:br w:type="textWrapping"/>
                                    </w:r>
                                    <w:r>
                                      <w:rPr>
                                        <w:rFonts w:hint="eastAsia" w:ascii="仿宋_GB2312" w:eastAsia="仿宋_GB2312"/>
                                        <w:kern w:val="0"/>
                                        <w:sz w:val="28"/>
                                        <w:szCs w:val="28"/>
                                      </w:rPr>
                                      <w:t>　</w:t>
                                    </w:r>
                                    <w:r>
                                      <w:rPr>
                                        <w:rFonts w:hint="eastAsia" w:ascii="黑体" w:eastAsia="黑体"/>
                                        <w:kern w:val="0"/>
                                        <w:sz w:val="28"/>
                                        <w:szCs w:val="28"/>
                                      </w:rPr>
                                      <w:t>　</w:t>
                                    </w:r>
                                    <w:r>
                                      <w:rPr>
                                        <w:rFonts w:hint="eastAsia" w:ascii="黑体" w:hAnsi="黑体" w:eastAsia="黑体" w:cs="黑体"/>
                                        <w:kern w:val="0"/>
                                        <w:sz w:val="32"/>
                                        <w:szCs w:val="32"/>
                                      </w:rPr>
                                      <w:t>六、一般公共预算支出情况说明</w:t>
                                    </w:r>
                                    <w:r>
                                      <w:rPr>
                                        <w:rFonts w:hint="eastAsia" w:ascii="仿宋_GB2312" w:eastAsia="仿宋_GB2312"/>
                                        <w:kern w:val="0"/>
                                        <w:sz w:val="32"/>
                                        <w:szCs w:val="32"/>
                                      </w:rPr>
                                      <w:br w:type="textWrapping"/>
                                    </w:r>
                                    <w:r>
                                      <w:rPr>
                                        <w:rFonts w:hint="eastAsia" w:ascii="仿宋_GB2312" w:eastAsia="仿宋_GB2312"/>
                                        <w:kern w:val="0"/>
                                        <w:sz w:val="28"/>
                                        <w:szCs w:val="28"/>
                                      </w:rPr>
                                      <w:t>　　</w:t>
                                    </w:r>
                                    <w:r>
                                      <w:rPr>
                                        <w:rFonts w:hint="eastAsia" w:ascii="仿宋_GB2312" w:eastAsia="仿宋_GB2312"/>
                                        <w:b/>
                                        <w:bCs/>
                                        <w:kern w:val="0"/>
                                        <w:sz w:val="28"/>
                                        <w:szCs w:val="28"/>
                                      </w:rPr>
                                      <w:t>（一）</w:t>
                                    </w:r>
                                    <w:r>
                                      <w:rPr>
                                        <w:rFonts w:hint="eastAsia" w:ascii="黑体" w:eastAsia="黑体"/>
                                        <w:b/>
                                        <w:bCs/>
                                        <w:kern w:val="0"/>
                                        <w:sz w:val="28"/>
                                        <w:szCs w:val="28"/>
                                      </w:rPr>
                                      <w:t>一般公共预算基本支出情况说明</w:t>
                                    </w:r>
                                  </w:p>
                                  <w:p>
                                    <w:pPr>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应急管理局2020年一般公共预算基本支出272.23万元，其中：人员经费253.56万元，主要包括：基本工资、津贴补贴、奖金、社会保险缴费等支出。</w:t>
                                    </w:r>
                                    <w:r>
                                      <w:rPr>
                                        <w:rFonts w:hint="eastAsia" w:ascii="仿宋_GB2312" w:eastAsia="仿宋_GB2312"/>
                                        <w:kern w:val="0"/>
                                        <w:sz w:val="32"/>
                                        <w:szCs w:val="32"/>
                                      </w:rPr>
                                      <w:br w:type="textWrapping"/>
                                    </w:r>
                                    <w:r>
                                      <w:rPr>
                                        <w:rFonts w:hint="eastAsia" w:ascii="仿宋_GB2312" w:eastAsia="仿宋_GB2312"/>
                                        <w:kern w:val="0"/>
                                        <w:sz w:val="32"/>
                                        <w:szCs w:val="32"/>
                                      </w:rPr>
                                      <w:t>　　公用经费18.67万元，主要包括：办公费、水费、电费、邮电费、差旅费、维修（护）费、劳务费、公务用车运行维护费等支出。</w:t>
                                    </w:r>
                                  </w:p>
                                  <w:p>
                                    <w:pPr>
                                      <w:spacing w:line="560" w:lineRule="exact"/>
                                      <w:ind w:firstLine="562" w:firstLineChars="200"/>
                                      <w:rPr>
                                        <w:rFonts w:ascii="黑体" w:eastAsia="黑体"/>
                                        <w:b/>
                                        <w:bCs/>
                                        <w:kern w:val="0"/>
                                        <w:sz w:val="28"/>
                                        <w:szCs w:val="28"/>
                                      </w:rPr>
                                    </w:pPr>
                                    <w:r>
                                      <w:rPr>
                                        <w:rFonts w:hint="eastAsia" w:ascii="仿宋_GB2312" w:eastAsia="仿宋_GB2312"/>
                                        <w:b/>
                                        <w:bCs/>
                                        <w:kern w:val="0"/>
                                        <w:sz w:val="28"/>
                                        <w:szCs w:val="28"/>
                                      </w:rPr>
                                      <w:t>（二）</w:t>
                                    </w:r>
                                    <w:r>
                                      <w:rPr>
                                        <w:rFonts w:hint="eastAsia" w:ascii="黑体" w:eastAsia="黑体"/>
                                        <w:b/>
                                        <w:bCs/>
                                        <w:kern w:val="0"/>
                                        <w:sz w:val="28"/>
                                        <w:szCs w:val="28"/>
                                      </w:rPr>
                                      <w:t>一般公共预算项目支出情况说明</w:t>
                                    </w:r>
                                  </w:p>
                                  <w:p>
                                    <w:pPr>
                                      <w:widowControl/>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项目支出60万元，主要包括：安全生产专项资金10万元，自然灾害专项资金50万元。</w:t>
                                    </w:r>
                                  </w:p>
                                  <w:p>
                                    <w:pPr>
                                      <w:spacing w:line="560" w:lineRule="exact"/>
                                      <w:ind w:firstLine="640" w:firstLineChars="200"/>
                                      <w:rPr>
                                        <w:rFonts w:ascii="仿宋" w:hAnsi="仿宋" w:eastAsia="仿宋" w:cs="宋体"/>
                                        <w:kern w:val="0"/>
                                        <w:sz w:val="32"/>
                                        <w:szCs w:val="32"/>
                                        <w:u w:color="000000"/>
                                      </w:rPr>
                                    </w:pPr>
                                    <w:r>
                                      <w:rPr>
                                        <w:rFonts w:hint="eastAsia" w:ascii="黑体" w:hAnsi="黑体" w:eastAsia="黑体" w:cs="黑体"/>
                                        <w:kern w:val="0"/>
                                        <w:sz w:val="32"/>
                                        <w:szCs w:val="32"/>
                                        <w:u w:color="000000"/>
                                      </w:rPr>
                                      <w:t>七、“三公”经费财政拨款预算安排情况说明</w:t>
                                    </w:r>
                                    <w:r>
                                      <w:rPr>
                                        <w:rFonts w:ascii="仿宋" w:hAnsi="仿宋" w:eastAsia="仿宋" w:cs="宋体"/>
                                        <w:color w:val="FF0000"/>
                                        <w:kern w:val="0"/>
                                        <w:sz w:val="32"/>
                                        <w:szCs w:val="32"/>
                                        <w:u w:color="000000"/>
                                      </w:rPr>
                                      <w:br w:type="textWrapping"/>
                                    </w:r>
                                    <w:r>
                                      <w:rPr>
                                        <w:rFonts w:hint="eastAsia" w:ascii="仿宋" w:hAnsi="仿宋" w:eastAsia="仿宋" w:cs="宋体"/>
                                        <w:color w:val="FF0000"/>
                                        <w:kern w:val="0"/>
                                        <w:sz w:val="32"/>
                                        <w:szCs w:val="32"/>
                                        <w:u w:color="000000"/>
                                      </w:rPr>
                                      <w:t xml:space="preserve">    </w:t>
                                    </w:r>
                                    <w:r>
                                      <w:rPr>
                                        <w:rFonts w:hint="eastAsia" w:ascii="仿宋_GB2312" w:hAnsi="仿宋" w:eastAsia="仿宋_GB2312" w:cs="宋体"/>
                                        <w:kern w:val="0"/>
                                        <w:sz w:val="32"/>
                                        <w:szCs w:val="32"/>
                                        <w:u w:color="000000"/>
                                      </w:rPr>
                                      <w:t>我局2020年“三公”经费财政拨款预算数7.3万元，其中：因公出国（境）经费0万元，公务接待费0.3万元，公务用车运行费7万元。</w:t>
                                    </w:r>
                                    <w:r>
                                      <w:rPr>
                                        <w:rFonts w:ascii="仿宋" w:hAnsi="仿宋" w:eastAsia="仿宋" w:cs="宋体"/>
                                        <w:kern w:val="0"/>
                                        <w:sz w:val="32"/>
                                        <w:szCs w:val="32"/>
                                        <w:u w:color="000000"/>
                                      </w:rPr>
                                      <w:br w:type="textWrapping"/>
                                    </w:r>
                                    <w:r>
                                      <w:rPr>
                                        <w:rFonts w:hint="eastAsia" w:ascii="仿宋" w:hAnsi="仿宋" w:eastAsia="仿宋" w:cs="宋体"/>
                                        <w:color w:val="FF0000"/>
                                        <w:kern w:val="0"/>
                                        <w:sz w:val="32"/>
                                        <w:szCs w:val="32"/>
                                        <w:u w:color="000000"/>
                                      </w:rPr>
                                      <w:t>　　</w:t>
                                    </w:r>
                                    <w:r>
                                      <w:rPr>
                                        <w:rFonts w:hint="eastAsia" w:ascii="仿宋" w:hAnsi="仿宋" w:eastAsia="仿宋" w:cs="宋体"/>
                                        <w:kern w:val="0"/>
                                        <w:sz w:val="32"/>
                                        <w:szCs w:val="32"/>
                                        <w:u w:color="000000"/>
                                      </w:rPr>
                                      <w:t>（一）因公出国（境）经费与</w:t>
                                    </w:r>
                                    <w:r>
                                      <w:rPr>
                                        <w:rFonts w:ascii="仿宋" w:hAnsi="仿宋" w:eastAsia="仿宋" w:cs="宋体"/>
                                        <w:kern w:val="0"/>
                                        <w:sz w:val="32"/>
                                        <w:szCs w:val="32"/>
                                        <w:u w:color="000000"/>
                                      </w:rPr>
                                      <w:t>201</w:t>
                                    </w:r>
                                    <w:r>
                                      <w:rPr>
                                        <w:rFonts w:hint="eastAsia" w:ascii="仿宋" w:hAnsi="仿宋" w:eastAsia="仿宋" w:cs="宋体"/>
                                        <w:kern w:val="0"/>
                                        <w:sz w:val="32"/>
                                        <w:szCs w:val="32"/>
                                        <w:u w:color="000000"/>
                                      </w:rPr>
                                      <w:t>9年预算持平。</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2019年与2020年均无预算因公出境费</w:t>
                                    </w:r>
                                    <w:r>
                                      <w:rPr>
                                        <w:rFonts w:hint="eastAsia" w:ascii="仿宋" w:hAnsi="仿宋" w:eastAsia="仿宋" w:cs="宋体"/>
                                        <w:kern w:val="0"/>
                                        <w:sz w:val="32"/>
                                        <w:szCs w:val="32"/>
                                        <w:u w:color="000000"/>
                                      </w:rPr>
                                      <w:t>　　</w:t>
                                    </w:r>
                                  </w:p>
                                  <w:p>
                                    <w:pPr>
                                      <w:spacing w:line="560" w:lineRule="exact"/>
                                      <w:ind w:firstLine="640" w:firstLineChars="200"/>
                                      <w:rPr>
                                        <w:rFonts w:ascii="仿宋" w:hAnsi="仿宋" w:eastAsia="仿宋" w:cs="宋体"/>
                                        <w:kern w:val="0"/>
                                        <w:sz w:val="32"/>
                                        <w:szCs w:val="32"/>
                                        <w:u w:color="000000"/>
                                      </w:rPr>
                                    </w:pPr>
                                    <w:r>
                                      <w:rPr>
                                        <w:rFonts w:hint="eastAsia" w:ascii="仿宋" w:hAnsi="仿宋" w:eastAsia="仿宋" w:cs="宋体"/>
                                        <w:kern w:val="0"/>
                                        <w:sz w:val="32"/>
                                        <w:szCs w:val="32"/>
                                        <w:u w:color="000000"/>
                                      </w:rPr>
                                      <w:t>（二）公务接待费较</w:t>
                                    </w:r>
                                    <w:r>
                                      <w:rPr>
                                        <w:rFonts w:ascii="仿宋" w:hAnsi="仿宋" w:eastAsia="仿宋" w:cs="宋体"/>
                                        <w:kern w:val="0"/>
                                        <w:sz w:val="32"/>
                                        <w:szCs w:val="32"/>
                                        <w:u w:color="000000"/>
                                      </w:rPr>
                                      <w:t>201</w:t>
                                    </w:r>
                                    <w:r>
                                      <w:rPr>
                                        <w:rFonts w:hint="eastAsia" w:ascii="仿宋" w:hAnsi="仿宋" w:eastAsia="仿宋" w:cs="宋体"/>
                                        <w:kern w:val="0"/>
                                        <w:sz w:val="32"/>
                                        <w:szCs w:val="32"/>
                                        <w:u w:color="000000"/>
                                      </w:rPr>
                                      <w:t>9年预算减少0.27万元。</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2020年公务接待费减少0.27万元。减少47.37%。</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 w:hAnsi="仿宋" w:eastAsia="仿宋" w:cs="宋体"/>
                                        <w:b/>
                                        <w:bCs/>
                                        <w:kern w:val="0"/>
                                        <w:sz w:val="32"/>
                                        <w:szCs w:val="32"/>
                                        <w:u w:color="000000"/>
                                      </w:rPr>
                                      <w:t>（三）公务用车购置及运行维护费比</w:t>
                                    </w:r>
                                    <w:r>
                                      <w:rPr>
                                        <w:rFonts w:ascii="仿宋" w:hAnsi="仿宋" w:eastAsia="仿宋" w:cs="宋体"/>
                                        <w:b/>
                                        <w:bCs/>
                                        <w:kern w:val="0"/>
                                        <w:sz w:val="32"/>
                                        <w:szCs w:val="32"/>
                                        <w:u w:color="000000"/>
                                      </w:rPr>
                                      <w:t>201</w:t>
                                    </w:r>
                                    <w:r>
                                      <w:rPr>
                                        <w:rFonts w:hint="eastAsia" w:ascii="仿宋" w:hAnsi="仿宋" w:eastAsia="仿宋" w:cs="宋体"/>
                                        <w:b/>
                                        <w:bCs/>
                                        <w:kern w:val="0"/>
                                        <w:sz w:val="32"/>
                                        <w:szCs w:val="32"/>
                                        <w:u w:color="000000"/>
                                      </w:rPr>
                                      <w:t>9年预算持平。</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单位共有公务用车1辆，2020年安排公务用车运行维护费7万元。用于辆公务用车燃油、维修、保险等方面支出。主要保障单位日常运转等工作.　</w:t>
                                    </w:r>
                                  </w:p>
                                  <w:p>
                                    <w:pPr>
                                      <w:spacing w:line="560" w:lineRule="exact"/>
                                      <w:ind w:firstLine="640" w:firstLineChars="200"/>
                                      <w:rPr>
                                        <w:rFonts w:ascii="仿宋" w:hAnsi="仿宋" w:eastAsia="仿宋" w:cs="宋体"/>
                                        <w:color w:val="FF0000"/>
                                        <w:kern w:val="0"/>
                                        <w:sz w:val="32"/>
                                        <w:szCs w:val="32"/>
                                        <w:u w:color="000000"/>
                                      </w:rPr>
                                    </w:pPr>
                                    <w:r>
                                      <w:rPr>
                                        <w:rFonts w:hint="eastAsia" w:ascii="仿宋" w:hAnsi="仿宋" w:eastAsia="仿宋" w:cs="宋体"/>
                                        <w:color w:val="FF0000"/>
                                        <w:kern w:val="0"/>
                                        <w:sz w:val="32"/>
                                        <w:szCs w:val="32"/>
                                        <w:u w:color="000000"/>
                                      </w:rPr>
                                      <w:t>　</w:t>
                                    </w:r>
                                    <w:r>
                                      <w:rPr>
                                        <w:rFonts w:hint="eastAsia" w:ascii="黑体" w:hAnsi="黑体" w:eastAsia="黑体" w:cs="黑体"/>
                                        <w:kern w:val="0"/>
                                        <w:sz w:val="32"/>
                                        <w:szCs w:val="32"/>
                                        <w:u w:color="000000"/>
                                      </w:rPr>
                                      <w:t>八、政府性基金预算支出情况说明</w:t>
                                    </w:r>
                                    <w:r>
                                      <w:rPr>
                                        <w:rFonts w:ascii="仿宋" w:hAnsi="仿宋" w:eastAsia="仿宋" w:cs="宋体"/>
                                        <w:color w:val="FF0000"/>
                                        <w:kern w:val="0"/>
                                        <w:sz w:val="32"/>
                                        <w:szCs w:val="32"/>
                                        <w:u w:color="000000"/>
                                      </w:rPr>
                                      <w:br w:type="textWrapping"/>
                                    </w:r>
                                    <w:r>
                                      <w:rPr>
                                        <w:rFonts w:hint="eastAsia" w:ascii="仿宋" w:hAnsi="仿宋" w:eastAsia="仿宋" w:cs="宋体"/>
                                        <w:color w:val="FF0000"/>
                                        <w:kern w:val="0"/>
                                        <w:sz w:val="32"/>
                                        <w:szCs w:val="32"/>
                                        <w:u w:color="000000"/>
                                      </w:rPr>
                                      <w:t>　　</w:t>
                                    </w:r>
                                    <w:r>
                                      <w:rPr>
                                        <w:rFonts w:hint="eastAsia" w:ascii="仿宋_GB2312" w:hAnsi="仿宋" w:eastAsia="仿宋_GB2312" w:cs="宋体"/>
                                        <w:kern w:val="0"/>
                                        <w:sz w:val="32"/>
                                        <w:szCs w:val="32"/>
                                        <w:u w:color="000000"/>
                                      </w:rPr>
                                      <w:t>我局2020年没有使用政府性基金预算拨款安排的支出。</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黑体" w:hAnsi="黑体" w:eastAsia="黑体" w:cs="黑体"/>
                                        <w:kern w:val="0"/>
                                        <w:sz w:val="32"/>
                                        <w:szCs w:val="32"/>
                                        <w:u w:color="000000"/>
                                      </w:rPr>
                                      <w:t>九、国有资本经营预算支出情况说明</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我局2020年没有使用国有资本经营预算拨款安排的支出。</w:t>
                                    </w:r>
                                    <w:r>
                                      <w:rPr>
                                        <w:rFonts w:ascii="仿宋" w:hAnsi="仿宋" w:eastAsia="仿宋" w:cs="宋体"/>
                                        <w:color w:val="FF0000"/>
                                        <w:kern w:val="0"/>
                                        <w:sz w:val="32"/>
                                        <w:szCs w:val="32"/>
                                        <w:u w:color="000000"/>
                                      </w:rPr>
                                      <w:br w:type="textWrapping"/>
                                    </w:r>
                                    <w:r>
                                      <w:rPr>
                                        <w:rFonts w:hint="eastAsia" w:ascii="仿宋" w:hAnsi="仿宋" w:eastAsia="仿宋" w:cs="宋体"/>
                                        <w:color w:val="FF0000"/>
                                        <w:kern w:val="0"/>
                                        <w:sz w:val="32"/>
                                        <w:szCs w:val="32"/>
                                        <w:u w:color="000000"/>
                                      </w:rPr>
                                      <w:t>　</w:t>
                                    </w:r>
                                    <w:r>
                                      <w:rPr>
                                        <w:rFonts w:hint="eastAsia" w:ascii="黑体" w:hAnsi="黑体" w:eastAsia="黑体" w:cs="黑体"/>
                                        <w:b/>
                                        <w:bCs/>
                                        <w:color w:val="FF0000"/>
                                        <w:kern w:val="0"/>
                                        <w:sz w:val="32"/>
                                        <w:szCs w:val="32"/>
                                        <w:u w:color="000000"/>
                                      </w:rPr>
                                      <w:t>　</w:t>
                                    </w:r>
                                    <w:r>
                                      <w:rPr>
                                        <w:rFonts w:hint="eastAsia" w:ascii="黑体" w:hAnsi="黑体" w:eastAsia="黑体" w:cs="黑体"/>
                                        <w:b w:val="0"/>
                                        <w:bCs w:val="0"/>
                                        <w:kern w:val="0"/>
                                        <w:sz w:val="32"/>
                                        <w:szCs w:val="32"/>
                                        <w:u w:color="000000"/>
                                      </w:rPr>
                                      <w:t>十、其他重要事项的情况说明</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 w:hAnsi="仿宋" w:eastAsia="仿宋" w:cs="宋体"/>
                                        <w:b/>
                                        <w:bCs/>
                                        <w:kern w:val="0"/>
                                        <w:sz w:val="32"/>
                                        <w:szCs w:val="32"/>
                                        <w:u w:color="000000"/>
                                      </w:rPr>
                                      <w:t>（一）机关运行经费。</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2020年度，我局机关运行经费支出18.67万元。</w:t>
                                    </w:r>
                                  </w:p>
                                  <w:p>
                                    <w:pPr>
                                      <w:spacing w:line="560" w:lineRule="exact"/>
                                      <w:ind w:firstLine="643" w:firstLineChars="200"/>
                                      <w:rPr>
                                        <w:rFonts w:ascii="仿宋" w:hAnsi="仿宋" w:eastAsia="仿宋" w:cs="宋体"/>
                                        <w:kern w:val="0"/>
                                        <w:sz w:val="32"/>
                                        <w:szCs w:val="32"/>
                                        <w:u w:color="000000"/>
                                      </w:rPr>
                                    </w:pPr>
                                    <w:r>
                                      <w:rPr>
                                        <w:rFonts w:hint="eastAsia" w:ascii="仿宋" w:hAnsi="仿宋" w:eastAsia="仿宋" w:cs="宋体"/>
                                        <w:b/>
                                        <w:bCs/>
                                        <w:kern w:val="0"/>
                                        <w:sz w:val="32"/>
                                        <w:szCs w:val="32"/>
                                        <w:u w:color="000000"/>
                                      </w:rPr>
                                      <w:t>（二）政府采购情况。</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2020年度，我局采购支出总额0万元.　</w:t>
                                    </w:r>
                                  </w:p>
                                  <w:p>
                                    <w:pPr>
                                      <w:spacing w:line="560" w:lineRule="exact"/>
                                      <w:ind w:firstLine="643" w:firstLineChars="200"/>
                                      <w:rPr>
                                        <w:rFonts w:hint="eastAsia" w:ascii="仿宋_GB2312" w:hAnsi="仿宋" w:eastAsia="仿宋_GB2312" w:cs="宋体"/>
                                        <w:kern w:val="0"/>
                                        <w:sz w:val="32"/>
                                        <w:szCs w:val="32"/>
                                        <w:u w:color="000000"/>
                                        <w:lang w:eastAsia="zh-CN"/>
                                      </w:rPr>
                                    </w:pPr>
                                    <w:r>
                                      <w:rPr>
                                        <w:rFonts w:hint="eastAsia" w:ascii="仿宋" w:hAnsi="仿宋" w:eastAsia="仿宋" w:cs="宋体"/>
                                        <w:b/>
                                        <w:bCs/>
                                        <w:kern w:val="0"/>
                                        <w:sz w:val="32"/>
                                        <w:szCs w:val="32"/>
                                        <w:u w:color="000000"/>
                                      </w:rPr>
                                      <w:t>（三）国有资产占有使用情况。</w:t>
                                    </w:r>
                                    <w:r>
                                      <w:rPr>
                                        <w:rFonts w:ascii="仿宋" w:hAnsi="仿宋" w:eastAsia="仿宋" w:cs="宋体"/>
                                        <w:kern w:val="0"/>
                                        <w:sz w:val="32"/>
                                        <w:szCs w:val="32"/>
                                        <w:u w:color="000000"/>
                                      </w:rPr>
                                      <w:br w:type="textWrapping"/>
                                    </w:r>
                                    <w:r>
                                      <w:rPr>
                                        <w:rFonts w:hint="eastAsia" w:ascii="仿宋" w:hAnsi="仿宋" w:eastAsia="仿宋" w:cs="宋体"/>
                                        <w:kern w:val="0"/>
                                        <w:sz w:val="32"/>
                                        <w:szCs w:val="32"/>
                                        <w:u w:color="000000"/>
                                      </w:rPr>
                                      <w:t>　　</w:t>
                                    </w:r>
                                    <w:r>
                                      <w:rPr>
                                        <w:rFonts w:hint="eastAsia" w:ascii="仿宋_GB2312" w:hAnsi="仿宋" w:eastAsia="仿宋_GB2312" w:cs="宋体"/>
                                        <w:kern w:val="0"/>
                                        <w:sz w:val="32"/>
                                        <w:szCs w:val="32"/>
                                        <w:u w:color="000000"/>
                                      </w:rPr>
                                      <w:t>截至2020年，我局共有公务用车1辆，其中：一般公务用车1辆；无单价50万元以上通用设备及单价100万元以上专用设备</w:t>
                                    </w:r>
                                    <w:r>
                                      <w:rPr>
                                        <w:rFonts w:hint="eastAsia" w:ascii="仿宋_GB2312" w:hAnsi="仿宋" w:eastAsia="仿宋_GB2312" w:cs="宋体"/>
                                        <w:kern w:val="0"/>
                                        <w:sz w:val="32"/>
                                        <w:szCs w:val="32"/>
                                        <w:u w:color="000000"/>
                                        <w:lang w:eastAsia="zh-CN"/>
                                      </w:rPr>
                                      <w:t>。</w:t>
                                    </w:r>
                                  </w:p>
                                  <w:p>
                                    <w:pPr>
                                      <w:spacing w:line="560" w:lineRule="exact"/>
                                      <w:ind w:firstLine="643" w:firstLineChars="200"/>
                                      <w:rPr>
                                        <w:rFonts w:hint="eastAsia" w:ascii="仿宋_GB2312" w:hAnsi="仿宋" w:eastAsia="仿宋_GB2312" w:cs="宋体"/>
                                        <w:b/>
                                        <w:bCs/>
                                        <w:kern w:val="0"/>
                                        <w:sz w:val="32"/>
                                        <w:szCs w:val="32"/>
                                        <w:u w:color="000000"/>
                                        <w:lang w:eastAsia="zh-CN"/>
                                      </w:rPr>
                                    </w:pPr>
                                    <w:r>
                                      <w:rPr>
                                        <w:rFonts w:hint="eastAsia" w:ascii="仿宋_GB2312" w:hAnsi="仿宋" w:eastAsia="仿宋_GB2312" w:cs="宋体"/>
                                        <w:b/>
                                        <w:bCs/>
                                        <w:kern w:val="0"/>
                                        <w:sz w:val="32"/>
                                        <w:szCs w:val="32"/>
                                        <w:u w:color="000000"/>
                                        <w:lang w:eastAsia="zh-CN"/>
                                      </w:rPr>
                                      <w:t>（四）绩效目标设置情况</w:t>
                                    </w:r>
                                  </w:p>
                                  <w:p>
                                    <w:pPr>
                                      <w:spacing w:line="560" w:lineRule="exact"/>
                                      <w:ind w:firstLine="640" w:firstLineChars="200"/>
                                      <w:rPr>
                                        <w:rFonts w:hint="eastAsia" w:ascii="仿宋_GB2312" w:hAnsi="仿宋" w:eastAsia="仿宋_GB2312" w:cs="宋体"/>
                                        <w:b w:val="0"/>
                                        <w:bCs w:val="0"/>
                                        <w:kern w:val="0"/>
                                        <w:sz w:val="32"/>
                                        <w:szCs w:val="32"/>
                                        <w:u w:color="000000"/>
                                        <w:lang w:val="en-US" w:eastAsia="zh-CN"/>
                                      </w:rPr>
                                    </w:pPr>
                                    <w:r>
                                      <w:rPr>
                                        <w:rFonts w:hint="eastAsia" w:ascii="仿宋_GB2312" w:hAnsi="仿宋" w:eastAsia="仿宋_GB2312" w:cs="宋体"/>
                                        <w:b w:val="0"/>
                                        <w:bCs w:val="0"/>
                                        <w:kern w:val="0"/>
                                        <w:sz w:val="32"/>
                                        <w:szCs w:val="32"/>
                                        <w:u w:color="000000"/>
                                        <w:lang w:val="en-US" w:eastAsia="zh-CN"/>
                                      </w:rPr>
                                      <w:t>2020年我局基本支出和项目支出均按要求实行绩效目标管理，涉及一般公共预算当年拨款0万元。</w:t>
                                    </w:r>
                                  </w:p>
                                  <w:p>
                                    <w:pPr>
                                      <w:spacing w:line="560" w:lineRule="exact"/>
                                      <w:ind w:firstLine="640" w:firstLineChars="200"/>
                                      <w:rPr>
                                        <w:rFonts w:hint="eastAsia" w:ascii="黑体" w:hAnsi="黑体" w:eastAsia="黑体" w:cs="黑体"/>
                                        <w:b w:val="0"/>
                                        <w:bCs w:val="0"/>
                                        <w:kern w:val="0"/>
                                        <w:sz w:val="32"/>
                                        <w:szCs w:val="32"/>
                                        <w:u w:color="000000"/>
                                      </w:rPr>
                                    </w:pPr>
                                    <w:r>
                                      <w:rPr>
                                        <w:rFonts w:hint="eastAsia" w:ascii="黑体" w:hAnsi="黑体" w:eastAsia="黑体" w:cs="黑体"/>
                                        <w:b w:val="0"/>
                                        <w:bCs w:val="0"/>
                                        <w:kern w:val="0"/>
                                        <w:sz w:val="32"/>
                                        <w:szCs w:val="32"/>
                                        <w:u w:color="000000"/>
                                      </w:rPr>
                                      <w:t>十一：名词解释</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1、财政拨款收入：指县级财政当年拨付的资金。</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2、事业收入：指事业单位开展专业业务活动及辅助活动所取得的收入。</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3、经营收入：指事业单位在专业业务活动及其辅助活动之外开展非独立核算经营活动取得的收入。</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4、其他收入：指除上述“财政拨款收入”、“事业收入”、“经营收入”等以外的收入。</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6、年初结转和结余：指以前年度尚未完成、结转到本年按有关规定继续使用的资金。</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7、221卫生健康支出11行政事业单位医疗01公务员医疗补助:反映财政部门安排的行政单位医疗保险缴费经费。</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8、221卫生健康支出11行政事业单位医疗03公务员医疗补助:反映财政部门安排的公务员医疗补助经费。</w:t>
                                    </w:r>
                                  </w:p>
                                  <w:p>
                                    <w:pPr>
                                      <w:spacing w:line="560" w:lineRule="exact"/>
                                      <w:ind w:firstLine="640" w:firstLineChars="200"/>
                                      <w:rPr>
                                        <w:rFonts w:hint="eastAsia" w:ascii="仿宋_GB2312" w:hAnsi="仿宋" w:eastAsia="仿宋_GB2312" w:cs="宋体"/>
                                        <w:color w:val="FF0000"/>
                                        <w:kern w:val="0"/>
                                        <w:sz w:val="32"/>
                                        <w:szCs w:val="32"/>
                                        <w:u w:color="000000"/>
                                      </w:rPr>
                                    </w:pPr>
                                    <w:r>
                                      <w:rPr>
                                        <w:rFonts w:hint="eastAsia" w:ascii="仿宋_GB2312" w:hAnsi="仿宋" w:eastAsia="仿宋_GB2312" w:cs="宋体"/>
                                        <w:kern w:val="0"/>
                                        <w:sz w:val="32"/>
                                        <w:szCs w:val="32"/>
                                        <w:u w:color="000000"/>
                                      </w:rPr>
                                      <w:t>9、221住房保障支出02住房改革支出01住房公积金：</w:t>
                                    </w:r>
                                    <w:r>
                                      <w:rPr>
                                        <w:rFonts w:hint="eastAsia" w:ascii="仿宋_GB2312" w:eastAsia="仿宋_GB2312"/>
                                        <w:kern w:val="0"/>
                                        <w:sz w:val="28"/>
                                        <w:szCs w:val="28"/>
                                      </w:rPr>
                                      <w:t>部门按人力资源和社会保障部、财政部规定的基本工资和津贴补贴以及规定比例为职工缴纳的住房公积金支出。</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10、224灾害防治及应急管理支出01应急管理事务01行政运行：反映本单位（行政单位）应急管理事务支出。</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11、224灾害防治及应急管理支出01应急管理事务06安全监管：反映安全监管方面的支出。</w:t>
                                    </w:r>
                                  </w:p>
                                  <w:p>
                                    <w:pPr>
                                      <w:spacing w:line="560" w:lineRule="exact"/>
                                      <w:ind w:firstLine="640" w:firstLineChars="200"/>
                                      <w:rPr>
                                        <w:rFonts w:hint="eastAsia" w:ascii="仿宋_GB2312" w:hAnsi="仿宋" w:eastAsia="仿宋_GB2312" w:cs="宋体"/>
                                        <w:color w:val="FF0000"/>
                                        <w:kern w:val="0"/>
                                        <w:sz w:val="32"/>
                                        <w:szCs w:val="32"/>
                                        <w:u w:color="000000"/>
                                      </w:rPr>
                                    </w:pPr>
                                    <w:r>
                                      <w:rPr>
                                        <w:rFonts w:hint="eastAsia" w:ascii="仿宋_GB2312" w:hAnsi="仿宋" w:eastAsia="仿宋_GB2312" w:cs="宋体"/>
                                        <w:kern w:val="0"/>
                                        <w:sz w:val="32"/>
                                        <w:szCs w:val="32"/>
                                        <w:u w:color="000000"/>
                                      </w:rPr>
                                      <w:t>12、224灾害防治及应急管理支出07</w:t>
                                    </w:r>
                                    <w:r>
                                      <w:rPr>
                                        <w:rFonts w:hint="eastAsia" w:ascii="仿宋_GB2312" w:eastAsia="仿宋_GB2312"/>
                                        <w:kern w:val="0"/>
                                        <w:sz w:val="32"/>
                                        <w:szCs w:val="32"/>
                                      </w:rPr>
                                      <w:t>自然灾害救灾及恢复重建支出02地方自然灾害生活补助：反映地方预算安排解决受灾群众吃、穿、住等困难的救济费和发生自然灾害是的抢救、转移、安置、治病等支出，以及为抗御自然灾害而设立的地方就在储备物资采购资金。</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13、结余分配：指事业单位按规定提取的职工福利基金、事业基金和缴纳的所得税，以及建设单位按规定应交回的基本建设竣工项目结余资金。</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14、年末结转和结余：指本年度或以前年度预算安排、因客观条件发生变化无法按原计划实施，需延迟到以后年度按有关规定继续使用的资金。</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15、基本支出：指为保障机构正常运转、完成日常工作任务而发生的人员支出和公用支出。</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16、项目支出：指在基本支出之外为完成特定行政任务和事业发展目标所发生的支出。</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17、经营支出：指事业单位在专业业务活动及其辅助活动之外开展非独立核算经营活动发生的支出。</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18、“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 xml:space="preserve">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spacing w:line="560" w:lineRule="exact"/>
                                      <w:ind w:firstLine="640" w:firstLineChars="200"/>
                                      <w:rPr>
                                        <w:rFonts w:hint="eastAsia" w:ascii="仿宋_GB2312" w:hAnsi="仿宋" w:eastAsia="仿宋_GB2312" w:cs="宋体"/>
                                        <w:kern w:val="0"/>
                                        <w:sz w:val="32"/>
                                        <w:szCs w:val="32"/>
                                        <w:u w:color="000000"/>
                                      </w:rPr>
                                    </w:pPr>
                                    <w:r>
                                      <w:rPr>
                                        <w:rFonts w:hint="eastAsia" w:ascii="仿宋_GB2312" w:hAnsi="仿宋" w:eastAsia="仿宋_GB2312" w:cs="宋体"/>
                                        <w:kern w:val="0"/>
                                        <w:sz w:val="32"/>
                                        <w:szCs w:val="32"/>
                                        <w:u w:color="000000"/>
                                      </w:rPr>
                                      <w:t xml:space="preserve">  </w:t>
                                    </w:r>
                                  </w:p>
                                  <w:p>
                                    <w:pPr>
                                      <w:spacing w:line="560" w:lineRule="exact"/>
                                      <w:ind w:firstLine="640" w:firstLineChars="200"/>
                                      <w:rPr>
                                        <w:rFonts w:ascii="仿宋" w:hAnsi="仿宋" w:eastAsia="仿宋" w:cs="宋体"/>
                                        <w:kern w:val="0"/>
                                        <w:sz w:val="32"/>
                                        <w:szCs w:val="32"/>
                                        <w:u w:color="000000"/>
                                      </w:rPr>
                                    </w:pPr>
                                    <w:r>
                                      <w:rPr>
                                        <w:rFonts w:hint="eastAsia" w:ascii="仿宋_GB2312" w:hAnsi="仿宋" w:eastAsia="仿宋_GB2312" w:cs="宋体"/>
                                        <w:kern w:val="0"/>
                                        <w:sz w:val="32"/>
                                        <w:szCs w:val="32"/>
                                        <w:u w:color="000000"/>
                                      </w:rPr>
                                      <w:br w:type="textWrapping"/>
                                    </w:r>
                                    <w:r>
                                      <w:rPr>
                                        <w:rFonts w:hint="eastAsia" w:ascii="仿宋" w:hAnsi="仿宋" w:eastAsia="仿宋" w:cs="宋体"/>
                                        <w:kern w:val="0"/>
                                        <w:sz w:val="32"/>
                                        <w:szCs w:val="32"/>
                                        <w:u w:color="000000"/>
                                      </w:rPr>
                                      <w:t>　　</w:t>
                                    </w:r>
                                  </w:p>
                                </w:tc>
                              </w:tr>
                              <w:tr>
                                <w:tblPrEx>
                                  <w:tblCellMar>
                                    <w:top w:w="0" w:type="dxa"/>
                                    <w:left w:w="0" w:type="dxa"/>
                                    <w:bottom w:w="0" w:type="dxa"/>
                                    <w:right w:w="0" w:type="dxa"/>
                                  </w:tblCellMar>
                                </w:tblPrEx>
                                <w:trPr>
                                  <w:tblCellSpacing w:w="0" w:type="dxa"/>
                                  <w:jc w:val="center"/>
                                </w:trPr>
                                <w:tc>
                                  <w:tcPr>
                                    <w:tcW w:w="11105" w:type="dxa"/>
                                    <w:tcMar>
                                      <w:top w:w="150" w:type="dxa"/>
                                      <w:left w:w="75" w:type="dxa"/>
                                      <w:bottom w:w="0" w:type="dxa"/>
                                      <w:right w:w="0" w:type="dxa"/>
                                    </w:tcMar>
                                  </w:tcPr>
                                  <w:p>
                                    <w:pPr>
                                      <w:ind w:firstLine="720" w:firstLineChars="200"/>
                                      <w:rPr>
                                        <w:rFonts w:cs="宋体" w:asciiTheme="minorEastAsia" w:hAnsiTheme="minorEastAsia" w:eastAsiaTheme="minorEastAsia"/>
                                        <w:kern w:val="0"/>
                                        <w:sz w:val="36"/>
                                        <w:szCs w:val="36"/>
                                      </w:rPr>
                                    </w:pPr>
                                  </w:p>
                                </w:tc>
                              </w:tr>
                            </w:tbl>
                            <w:p>
                              <w:pPr>
                                <w:widowControl/>
                                <w:spacing w:after="240"/>
                                <w:jc w:val="center"/>
                                <w:rPr>
                                  <w:rFonts w:cs="宋体" w:asciiTheme="minorEastAsia" w:hAnsiTheme="minorEastAsia" w:eastAsiaTheme="minorEastAsia"/>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5"/>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cs="宋体" w:asciiTheme="minorEastAsia" w:hAnsiTheme="minorEastAsia" w:eastAsiaTheme="minorEastAsia"/>
                                        <w:kern w:val="0"/>
                                        <w:szCs w:val="21"/>
                                      </w:rPr>
                                    </w:pPr>
                                  </w:p>
                                </w:tc>
                                <w:tc>
                                  <w:tcPr>
                                    <w:tcW w:w="7485" w:type="dxa"/>
                                    <w:vAlign w:val="center"/>
                                  </w:tcPr>
                                  <w:tbl>
                                    <w:tblPr>
                                      <w:tblStyle w:val="5"/>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cs="宋体" w:asciiTheme="minorEastAsia" w:hAnsiTheme="minorEastAsia" w:eastAsiaTheme="minorEastAsia"/>
                                              <w:kern w:val="0"/>
                                              <w:szCs w:val="21"/>
                                            </w:rPr>
                                          </w:pPr>
                                        </w:p>
                                      </w:tc>
                                    </w:tr>
                                  </w:tbl>
                                  <w:p>
                                    <w:pPr>
                                      <w:widowControl/>
                                      <w:spacing w:line="390" w:lineRule="atLeast"/>
                                      <w:ind w:firstLine="60"/>
                                      <w:jc w:val="left"/>
                                      <w:rPr>
                                        <w:rFonts w:cs="宋体" w:asciiTheme="minorEastAsia" w:hAnsiTheme="minorEastAsia" w:eastAsiaTheme="minorEastAsia"/>
                                        <w:kern w:val="0"/>
                                        <w:szCs w:val="21"/>
                                      </w:rPr>
                                    </w:pPr>
                                  </w:p>
                                </w:tc>
                              </w:tr>
                            </w:tbl>
                            <w:p>
                              <w:pPr>
                                <w:widowControl/>
                                <w:spacing w:after="240"/>
                                <w:jc w:val="center"/>
                                <w:rPr>
                                  <w:rFonts w:cs="宋体" w:asciiTheme="minorEastAsia" w:hAnsiTheme="minorEastAsia" w:eastAsiaTheme="minorEastAsia"/>
                                  <w:kern w:val="0"/>
                                  <w:szCs w:val="21"/>
                                </w:rPr>
                              </w:pPr>
                            </w:p>
                          </w:tc>
                        </w:tr>
                      </w:tbl>
                      <w:p>
                        <w:pPr>
                          <w:widowControl/>
                          <w:jc w:val="left"/>
                          <w:rPr>
                            <w:rFonts w:cs="宋体" w:asciiTheme="minorEastAsia" w:hAnsiTheme="minorEastAsia" w:eastAsiaTheme="minorEastAsia"/>
                            <w:kern w:val="0"/>
                            <w:szCs w:val="21"/>
                          </w:rPr>
                        </w:pPr>
                      </w:p>
                    </w:tc>
                    <w:tc>
                      <w:tcPr>
                        <w:tcW w:w="1350" w:type="dxa"/>
                        <w:vAlign w:val="center"/>
                      </w:tcPr>
                      <w:p>
                        <w:pPr>
                          <w:widowControl/>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5"/>
                          <w:tblW w:w="10050" w:type="dxa"/>
                          <w:jc w:val="right"/>
                          <w:tblCellSpacing w:w="0" w:type="dxa"/>
                          <w:tblLayout w:type="fixed"/>
                          <w:tblCellMar>
                            <w:top w:w="0" w:type="dxa"/>
                            <w:left w:w="0" w:type="dxa"/>
                            <w:bottom w:w="0" w:type="dxa"/>
                            <w:right w:w="0" w:type="dxa"/>
                          </w:tblCellMar>
                        </w:tblPr>
                        <w:tblGrid>
                          <w:gridCol w:w="10050"/>
                        </w:tblGrid>
                        <w:tr>
                          <w:tblPrEx>
                            <w:tblCellMar>
                              <w:top w:w="0" w:type="dxa"/>
                              <w:left w:w="0" w:type="dxa"/>
                              <w:bottom w:w="0" w:type="dxa"/>
                              <w:right w:w="0" w:type="dxa"/>
                            </w:tblCellMar>
                          </w:tblPrEx>
                          <w:trPr>
                            <w:tblCellSpacing w:w="0" w:type="dxa"/>
                            <w:jc w:val="right"/>
                          </w:trPr>
                          <w:tc>
                            <w:tcPr>
                              <w:tcW w:w="10050" w:type="dxa"/>
                              <w:vAlign w:val="center"/>
                            </w:tcPr>
                            <w:p>
                              <w:pPr>
                                <w:widowControl/>
                                <w:jc w:val="right"/>
                                <w:rPr>
                                  <w:rFonts w:cs="宋体" w:asciiTheme="minorEastAsia" w:hAnsiTheme="minorEastAsia" w:eastAsiaTheme="minorEastAsia"/>
                                  <w:kern w:val="0"/>
                                  <w:szCs w:val="21"/>
                                </w:rPr>
                              </w:pPr>
                              <w:r>
                                <w:rPr>
                                  <w:rFonts w:cs="宋体" w:asciiTheme="minorEastAsia" w:hAnsiTheme="minorEastAsia" w:eastAsiaTheme="minorEastAsia"/>
                                  <w:kern w:val="0"/>
                                  <w:szCs w:val="21"/>
                                </w:rPr>
                                <w:t xml:space="preserve"> </w:t>
                              </w:r>
                            </w:p>
                          </w:tc>
                        </w:tr>
                      </w:tbl>
                      <w:p>
                        <w:pPr>
                          <w:widowControl/>
                          <w:jc w:val="right"/>
                          <w:rPr>
                            <w:rFonts w:cs="宋体" w:asciiTheme="minorEastAsia" w:hAnsiTheme="minorEastAsia" w:eastAsiaTheme="minorEastAsia"/>
                            <w:kern w:val="0"/>
                            <w:szCs w:val="21"/>
                          </w:rPr>
                        </w:pPr>
                      </w:p>
                    </w:tc>
                  </w:tr>
                </w:tbl>
                <w:p>
                  <w:pPr>
                    <w:widowControl/>
                    <w:jc w:val="left"/>
                    <w:rPr>
                      <w:rFonts w:cs="宋体" w:asciiTheme="minorEastAsia" w:hAnsiTheme="minorEastAsia" w:eastAsiaTheme="minorEastAsia"/>
                      <w:kern w:val="0"/>
                      <w:szCs w:val="21"/>
                    </w:rPr>
                  </w:pPr>
                </w:p>
              </w:tc>
            </w:tr>
          </w:tbl>
          <w:p>
            <w:pPr>
              <w:widowControl/>
              <w:jc w:val="left"/>
              <w:rPr>
                <w:rFonts w:cs="宋体" w:asciiTheme="minorEastAsia" w:hAnsiTheme="minorEastAsia" w:eastAsiaTheme="minorEastAsia"/>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cs="宋体" w:asciiTheme="minorEastAsia" w:hAnsiTheme="minorEastAsia" w:eastAsiaTheme="minorEastAsia"/>
                <w:kern w:val="0"/>
                <w:sz w:val="8"/>
                <w:szCs w:val="21"/>
              </w:rPr>
            </w:pPr>
          </w:p>
        </w:tc>
      </w:tr>
    </w:tbl>
    <w:p>
      <w:pPr>
        <w:rPr>
          <w:rFonts w:asciiTheme="minorEastAsia" w:hAnsiTheme="minorEastAsia" w:eastAsiaTheme="minorEastAsia"/>
        </w:rPr>
      </w:pPr>
    </w:p>
    <w:bookmarkEnd w:id="0"/>
    <w:p>
      <w:pPr>
        <w:rPr>
          <w:rFonts w:asciiTheme="minorEastAsia" w:hAnsiTheme="minorEastAsia" w:eastAsiaTheme="minorEastAsia"/>
        </w:rPr>
      </w:pPr>
    </w:p>
    <w:p>
      <w:pPr>
        <w:rPr>
          <w:rFonts w:asciiTheme="minorEastAsia" w:hAnsiTheme="minorEastAsia" w:eastAsiaTheme="minor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ook Antiqua">
    <w:altName w:val="Segoe Print"/>
    <w:panose1 w:val="02040602050305030304"/>
    <w:charset w:val="00"/>
    <w:family w:val="roman"/>
    <w:pitch w:val="default"/>
    <w:sig w:usb0="00000000" w:usb1="00000000" w:usb2="00000000" w:usb3="00000000" w:csb0="0000009F" w:csb1="00000000"/>
  </w:font>
  <w:font w:name="长城楷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CCC"/>
    <w:rsid w:val="0001132F"/>
    <w:rsid w:val="00081E0D"/>
    <w:rsid w:val="000C0B81"/>
    <w:rsid w:val="00111557"/>
    <w:rsid w:val="001D2A65"/>
    <w:rsid w:val="00236E7B"/>
    <w:rsid w:val="002D253F"/>
    <w:rsid w:val="0031510A"/>
    <w:rsid w:val="003559C3"/>
    <w:rsid w:val="00370B3D"/>
    <w:rsid w:val="003B7154"/>
    <w:rsid w:val="004462C6"/>
    <w:rsid w:val="00461C73"/>
    <w:rsid w:val="004A2184"/>
    <w:rsid w:val="004C3967"/>
    <w:rsid w:val="00580030"/>
    <w:rsid w:val="00591796"/>
    <w:rsid w:val="00602F3E"/>
    <w:rsid w:val="00610A2E"/>
    <w:rsid w:val="006429F8"/>
    <w:rsid w:val="00725E25"/>
    <w:rsid w:val="007673C1"/>
    <w:rsid w:val="00772896"/>
    <w:rsid w:val="0079144A"/>
    <w:rsid w:val="0079764C"/>
    <w:rsid w:val="007A7478"/>
    <w:rsid w:val="007D209C"/>
    <w:rsid w:val="007E27FA"/>
    <w:rsid w:val="008035D7"/>
    <w:rsid w:val="00821159"/>
    <w:rsid w:val="0085248E"/>
    <w:rsid w:val="00883862"/>
    <w:rsid w:val="008A5288"/>
    <w:rsid w:val="009A4FBC"/>
    <w:rsid w:val="009C49EE"/>
    <w:rsid w:val="00AC7EA5"/>
    <w:rsid w:val="00D04CCC"/>
    <w:rsid w:val="00D0675B"/>
    <w:rsid w:val="00D76D82"/>
    <w:rsid w:val="00D82437"/>
    <w:rsid w:val="00D824E8"/>
    <w:rsid w:val="00D95B8C"/>
    <w:rsid w:val="00DC75E8"/>
    <w:rsid w:val="00DD157C"/>
    <w:rsid w:val="00E302FB"/>
    <w:rsid w:val="00E42D7D"/>
    <w:rsid w:val="00EA3F1B"/>
    <w:rsid w:val="00EB18A3"/>
    <w:rsid w:val="00F8750A"/>
    <w:rsid w:val="014F2631"/>
    <w:rsid w:val="01C07D5C"/>
    <w:rsid w:val="02951812"/>
    <w:rsid w:val="02B45A6E"/>
    <w:rsid w:val="03A260B4"/>
    <w:rsid w:val="082B599D"/>
    <w:rsid w:val="083D3D89"/>
    <w:rsid w:val="0AA74367"/>
    <w:rsid w:val="0ACA65C2"/>
    <w:rsid w:val="0B5E17E7"/>
    <w:rsid w:val="0BA33095"/>
    <w:rsid w:val="0BAD2C09"/>
    <w:rsid w:val="0C9D0991"/>
    <w:rsid w:val="0E844672"/>
    <w:rsid w:val="0E8C1E31"/>
    <w:rsid w:val="0EEC038F"/>
    <w:rsid w:val="0FE42912"/>
    <w:rsid w:val="100F0734"/>
    <w:rsid w:val="11F10EF5"/>
    <w:rsid w:val="12FF4B60"/>
    <w:rsid w:val="14417F8E"/>
    <w:rsid w:val="147103ED"/>
    <w:rsid w:val="14747FA1"/>
    <w:rsid w:val="14B27482"/>
    <w:rsid w:val="15FD1F5A"/>
    <w:rsid w:val="16BD6A1D"/>
    <w:rsid w:val="17195AD5"/>
    <w:rsid w:val="17D51686"/>
    <w:rsid w:val="1948678D"/>
    <w:rsid w:val="1997733B"/>
    <w:rsid w:val="19D22DA8"/>
    <w:rsid w:val="1A78021B"/>
    <w:rsid w:val="1B096EDC"/>
    <w:rsid w:val="1C3F2EFE"/>
    <w:rsid w:val="1EE65D0A"/>
    <w:rsid w:val="208D5D51"/>
    <w:rsid w:val="20A00186"/>
    <w:rsid w:val="22130D36"/>
    <w:rsid w:val="23293804"/>
    <w:rsid w:val="23DC4B11"/>
    <w:rsid w:val="24521575"/>
    <w:rsid w:val="24BD1145"/>
    <w:rsid w:val="26B338C8"/>
    <w:rsid w:val="26E20C46"/>
    <w:rsid w:val="26F72FAB"/>
    <w:rsid w:val="28DE2E68"/>
    <w:rsid w:val="28EC1B70"/>
    <w:rsid w:val="2C0D3ADA"/>
    <w:rsid w:val="2C725825"/>
    <w:rsid w:val="2DD32ADB"/>
    <w:rsid w:val="2E410E00"/>
    <w:rsid w:val="2ED95EA8"/>
    <w:rsid w:val="2F6D2AB7"/>
    <w:rsid w:val="2FE1715F"/>
    <w:rsid w:val="30097E5C"/>
    <w:rsid w:val="308F0C99"/>
    <w:rsid w:val="31A804FF"/>
    <w:rsid w:val="346369F8"/>
    <w:rsid w:val="34E002C4"/>
    <w:rsid w:val="355A0DDB"/>
    <w:rsid w:val="359D34AC"/>
    <w:rsid w:val="35A63CBF"/>
    <w:rsid w:val="36B40448"/>
    <w:rsid w:val="380C672B"/>
    <w:rsid w:val="39514590"/>
    <w:rsid w:val="3A5316D0"/>
    <w:rsid w:val="3BD22E14"/>
    <w:rsid w:val="3D2106A0"/>
    <w:rsid w:val="3E911A9C"/>
    <w:rsid w:val="3EA24A06"/>
    <w:rsid w:val="3ECE10BC"/>
    <w:rsid w:val="41C930A5"/>
    <w:rsid w:val="42C94E8C"/>
    <w:rsid w:val="43BB5A8C"/>
    <w:rsid w:val="440170D2"/>
    <w:rsid w:val="44591B0B"/>
    <w:rsid w:val="453B10D4"/>
    <w:rsid w:val="45456F15"/>
    <w:rsid w:val="46FF65EB"/>
    <w:rsid w:val="47A554E6"/>
    <w:rsid w:val="489C089F"/>
    <w:rsid w:val="4AE74F95"/>
    <w:rsid w:val="4B9A5686"/>
    <w:rsid w:val="4E4F6D90"/>
    <w:rsid w:val="4F2F30AE"/>
    <w:rsid w:val="4F347265"/>
    <w:rsid w:val="4F552EA5"/>
    <w:rsid w:val="4F9E2E8E"/>
    <w:rsid w:val="55BB6052"/>
    <w:rsid w:val="56163820"/>
    <w:rsid w:val="562411D4"/>
    <w:rsid w:val="57691774"/>
    <w:rsid w:val="57AE7141"/>
    <w:rsid w:val="59521794"/>
    <w:rsid w:val="597D6281"/>
    <w:rsid w:val="5BF620F6"/>
    <w:rsid w:val="5C4E559D"/>
    <w:rsid w:val="5E685029"/>
    <w:rsid w:val="6030652A"/>
    <w:rsid w:val="60323EBC"/>
    <w:rsid w:val="60325CEF"/>
    <w:rsid w:val="606B77A9"/>
    <w:rsid w:val="64F0232B"/>
    <w:rsid w:val="650445C0"/>
    <w:rsid w:val="65AE6279"/>
    <w:rsid w:val="65C8543C"/>
    <w:rsid w:val="65DE0FA5"/>
    <w:rsid w:val="66B81BA4"/>
    <w:rsid w:val="68085E0B"/>
    <w:rsid w:val="694E4C12"/>
    <w:rsid w:val="698A53F6"/>
    <w:rsid w:val="6A197491"/>
    <w:rsid w:val="6AC676CA"/>
    <w:rsid w:val="6B0F3D73"/>
    <w:rsid w:val="6BEF343C"/>
    <w:rsid w:val="6F1B6DED"/>
    <w:rsid w:val="709F33F6"/>
    <w:rsid w:val="70B866C1"/>
    <w:rsid w:val="7648252F"/>
    <w:rsid w:val="76AC6CF2"/>
    <w:rsid w:val="76B36894"/>
    <w:rsid w:val="78855A1A"/>
    <w:rsid w:val="78AE1E2D"/>
    <w:rsid w:val="78C42643"/>
    <w:rsid w:val="79094C5F"/>
    <w:rsid w:val="7A634C1F"/>
    <w:rsid w:val="7ACB6E19"/>
    <w:rsid w:val="7B3230F0"/>
    <w:rsid w:val="7B5673E1"/>
    <w:rsid w:val="7C124C37"/>
    <w:rsid w:val="7C765B7A"/>
    <w:rsid w:val="7D734939"/>
    <w:rsid w:val="7EF3697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u w:color="000000"/>
    </w:rPr>
  </w:style>
  <w:style w:type="character" w:styleId="7">
    <w:name w:val="Strong"/>
    <w:basedOn w:val="6"/>
    <w:qFormat/>
    <w:uiPriority w:val="99"/>
    <w:rPr>
      <w:rFonts w:cs="Times New Roman"/>
      <w:b/>
      <w:bCs/>
    </w:rPr>
  </w:style>
  <w:style w:type="character" w:customStyle="1" w:styleId="8">
    <w:name w:val="页脚 Char"/>
    <w:basedOn w:val="6"/>
    <w:link w:val="2"/>
    <w:semiHidden/>
    <w:qFormat/>
    <w:locked/>
    <w:uiPriority w:val="99"/>
    <w:rPr>
      <w:rFonts w:cs="Times New Roman"/>
      <w:sz w:val="18"/>
      <w:szCs w:val="18"/>
    </w:rPr>
  </w:style>
  <w:style w:type="character" w:customStyle="1" w:styleId="9">
    <w:name w:val="页眉 Char"/>
    <w:basedOn w:val="6"/>
    <w:link w:val="3"/>
    <w:semiHidden/>
    <w:qFormat/>
    <w:locked/>
    <w:uiPriority w:val="99"/>
    <w:rPr>
      <w:rFonts w:cs="Times New Roman"/>
      <w:sz w:val="18"/>
      <w:szCs w:val="18"/>
    </w:rPr>
  </w:style>
  <w:style w:type="character" w:customStyle="1" w:styleId="10">
    <w:name w:val="pagetext0031"/>
    <w:basedOn w:val="6"/>
    <w:qFormat/>
    <w:uiPriority w:val="99"/>
    <w:rPr>
      <w:rFonts w:ascii="宋体" w:hAnsi="宋体" w:eastAsia="宋体" w:cs="Times New Roman"/>
      <w:color w:val="555555"/>
      <w:sz w:val="21"/>
      <w:szCs w:val="21"/>
    </w:rPr>
  </w:style>
  <w:style w:type="paragraph" w:styleId="11">
    <w:name w:val="No Spacing"/>
    <w:qFormat/>
    <w:uiPriority w:val="1"/>
    <w:pPr>
      <w:widowControl w:val="0"/>
      <w:jc w:val="both"/>
    </w:pPr>
    <w:rPr>
      <w:rFonts w:ascii="Book Antiqua" w:hAnsi="Book Antiqua" w:eastAsia="长城楷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5</Pages>
  <Words>5406</Words>
  <Characters>667</Characters>
  <Lines>5</Lines>
  <Paragraphs>12</Paragraphs>
  <TotalTime>9</TotalTime>
  <ScaleCrop>false</ScaleCrop>
  <LinksUpToDate>false</LinksUpToDate>
  <CharactersWithSpaces>6061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2019-01-03T06:25:00Z</dcterms:created>
  <dc:creator>Lenovo User</dc:creator>
  <cp:lastModifiedBy>Administrator</cp:lastModifiedBy>
  <dcterms:modified xsi:type="dcterms:W3CDTF">2021-02-27T02:46:35Z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