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spacing w:line="560" w:lineRule="exact"/>
        <w:jc w:val="center"/>
        <w:rPr>
          <w:rFonts w:ascii="方正小标宋_GBK" w:eastAsia="方正小标宋_GBK" w:cs="方正小标宋_GBK" w:hint="eastAsia"/>
          <w:sz w:val="44"/>
          <w:szCs w:val="44"/>
          <w:lang w:val="en-US" w:eastAsia="zh-CN"/>
        </w:rPr>
      </w:pPr>
      <w:r>
        <w:rPr>
          <w:rFonts w:ascii="方正小标宋_GBK" w:eastAsia="方正小标宋_GBK" w:cs="方正小标宋_GBK" w:hint="eastAsia"/>
          <w:sz w:val="44"/>
          <w:szCs w:val="44"/>
        </w:rPr>
        <w:t>金川县</w:t>
      </w:r>
      <w:r>
        <w:rPr>
          <w:rFonts w:ascii="方正小标宋_GBK" w:eastAsia="方正小标宋_GBK" w:cs="方正小标宋_GBK" w:hint="eastAsia"/>
          <w:sz w:val="44"/>
          <w:szCs w:val="44"/>
          <w:lang w:val="en-US" w:eastAsia="zh-CN"/>
        </w:rPr>
        <w:t>住房和城乡建设局</w:t>
      </w:r>
    </w:p>
    <w:p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</w:rPr>
      </w:pPr>
      <w:r>
        <w:rPr>
          <w:rFonts w:ascii="方正小标宋_GBK" w:eastAsia="方正小标宋_GBK" w:cs="方正小标宋_GBK" w:hint="eastAsia"/>
          <w:sz w:val="44"/>
          <w:szCs w:val="44"/>
          <w:lang w:val="en-US" w:eastAsia="zh-CN"/>
        </w:rPr>
        <w:t>2026年</w:t>
      </w:r>
      <w:r>
        <w:rPr>
          <w:rFonts w:ascii="方正小标宋_GBK" w:eastAsia="方正小标宋_GBK" w:cs="方正小标宋_GBK" w:hint="eastAsia"/>
          <w:sz w:val="44"/>
          <w:szCs w:val="44"/>
        </w:rPr>
        <w:t>部门预算绩效目标情况说明</w:t>
      </w:r>
    </w:p>
    <w:p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</w:rPr>
      </w:pPr>
    </w:p>
    <w:p>
      <w:pPr>
        <w:pStyle w:val="15"/>
        <w:tabs>
          <w:tab w:val="center" w:pos="4153"/>
          <w:tab w:val="right" w:pos="8306"/>
        </w:tabs>
      </w:pPr>
    </w:p>
    <w:p>
      <w:pPr>
        <w:spacing w:line="560" w:lineRule="exact"/>
        <w:ind w:firstLineChars="200" w:firstLine="640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202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6</w:t>
      </w:r>
      <w:r>
        <w:rPr>
          <w:rFonts w:ascii="仿宋_GB2312" w:eastAsia="仿宋_GB2312" w:cs="仿宋_GB2312" w:hint="eastAsia"/>
          <w:sz w:val="32"/>
          <w:szCs w:val="32"/>
        </w:rPr>
        <w:t>年，我单位部门预算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439.63</w:t>
      </w:r>
      <w:r>
        <w:rPr>
          <w:rFonts w:ascii="仿宋_GB2312" w:eastAsia="仿宋_GB2312" w:cs="仿宋_GB2312" w:hint="eastAsia"/>
          <w:sz w:val="32"/>
          <w:szCs w:val="32"/>
        </w:rPr>
        <w:t>万元 ，均严格按绩效管理要求实现项目绩效目标管理，其中重点项目预算0个，现将情况说明如下：</w:t>
      </w:r>
    </w:p>
    <w:p>
      <w:pPr>
        <w:spacing w:line="560" w:lineRule="exact"/>
        <w:ind w:firstLineChars="200" w:firstLine="640"/>
        <w:rPr>
          <w:rFonts w:ascii="黑体" w:eastAsia="黑体" w:cs="黑体"/>
          <w:sz w:val="32"/>
          <w:szCs w:val="32"/>
        </w:rPr>
      </w:pPr>
      <w:r>
        <w:rPr>
          <w:rFonts w:ascii="黑体" w:eastAsia="黑体" w:cs="黑体" w:hint="eastAsia"/>
          <w:sz w:val="32"/>
          <w:szCs w:val="32"/>
        </w:rPr>
        <w:t>一、单位预算绩效管理工作开展情况。</w:t>
      </w:r>
    </w:p>
    <w:p>
      <w:pPr>
        <w:spacing w:line="560" w:lineRule="exact"/>
        <w:ind w:firstLineChars="200" w:firstLine="640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 xml:space="preserve"> 完成了202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6</w:t>
      </w:r>
      <w:r>
        <w:rPr>
          <w:rFonts w:ascii="仿宋_GB2312" w:eastAsia="仿宋_GB2312" w:cs="仿宋_GB2312" w:hint="eastAsia"/>
          <w:sz w:val="32"/>
          <w:szCs w:val="32"/>
        </w:rPr>
        <w:t>年本级部门预算整体绩效目标申报和0个项目预算绩效目标申报，并编报0个项目预算事前绩效评估报告。</w:t>
      </w:r>
    </w:p>
    <w:p>
      <w:pPr>
        <w:numPr>
          <w:ilvl w:val="0"/>
          <w:numId w:val="1"/>
        </w:numPr>
        <w:spacing w:line="560" w:lineRule="exact"/>
        <w:ind w:left="0" w:firstLineChars="200" w:firstLine="640"/>
        <w:rPr>
          <w:rFonts w:ascii="黑体" w:eastAsia="黑体" w:cs="黑体"/>
          <w:sz w:val="32"/>
          <w:szCs w:val="32"/>
        </w:rPr>
      </w:pPr>
      <w:r>
        <w:rPr>
          <w:rFonts w:ascii="黑体" w:eastAsia="黑体" w:cs="黑体" w:hint="eastAsia"/>
          <w:sz w:val="32"/>
          <w:szCs w:val="32"/>
        </w:rPr>
        <w:t>单位整体绩效目标。</w:t>
      </w:r>
    </w:p>
    <w:tbl>
      <w:tblPr>
        <w:jc w:val="lef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shd w:val="clear" w:color="auto" w:fill="auto"/>
        <w:tblCellMar>
          <w:top w:w="0" w:type="dxa"/>
          <w:left w:w="0" w:type="dxa"/>
          <w:bottom w:w="0" w:type="dxa"/>
          <w:right w:w="0" w:type="dxa"/>
        </w:tblCellMar>
      </w:tblPr>
      <w:tblGrid>
        <w:gridCol w:w="456"/>
        <w:gridCol w:w="277"/>
        <w:gridCol w:w="321"/>
        <w:gridCol w:w="1289"/>
        <w:gridCol w:w="1250"/>
        <w:gridCol w:w="1250"/>
        <w:gridCol w:w="1160"/>
        <w:gridCol w:w="1161"/>
        <w:gridCol w:w="1172"/>
      </w:tblGrid>
      <w:tr>
        <w:trPr>
          <w:trHeight w:val="1130"/>
        </w:trPr>
        <w:tc>
          <w:tcPr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eastAsia="宋体" w:cs="宋体" w:hint="eastAsia"/>
                <w:b/>
                <w:i w:val="0"/>
                <w:color w:val="000000"/>
                <w:sz w:val="30"/>
                <w:szCs w:val="30"/>
                <w:u w:val="none"/>
              </w:rPr>
            </w:pPr>
            <w:r>
              <w:rPr>
                <w:rFonts w:ascii="宋体" w:eastAsia="宋体" w:cs="宋体" w:hint="eastAsia"/>
                <w:b/>
                <w:i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202</w:t>
            </w:r>
            <w:r>
              <w:rPr>
                <w:rFonts w:ascii="宋体" w:cs="宋体" w:hint="eastAsia"/>
                <w:b/>
                <w:i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6</w:t>
            </w:r>
            <w:r>
              <w:rPr>
                <w:rFonts w:ascii="宋体" w:eastAsia="宋体" w:cs="宋体" w:hint="eastAsia"/>
                <w:b/>
                <w:i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年度部门整体绩效目标</w:t>
            </w:r>
          </w:p>
        </w:tc>
      </w:tr>
      <w:tr>
        <w:trPr>
          <w:trHeight w:val="542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宋体" w:eastAsia="宋体" w:cs="宋体" w:hint="eastAsia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部门名称：</w:t>
            </w:r>
          </w:p>
        </w:tc>
        <w:tc>
          <w:tcPr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金川县住房和城乡建设局本级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黑体" w:eastAsia="黑体" w:cs="黑体" w:hint="eastAsia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黑体" w:eastAsia="黑体" w:cs="黑体" w:hint="eastAsia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/>
              </w:rPr>
              <w:t>单位：万元</w:t>
            </w:r>
          </w:p>
        </w:tc>
      </w:tr>
      <w:tr>
        <w:trPr>
          <w:trHeight w:val="569"/>
        </w:trPr>
        <w:tc>
          <w:tcPr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年度部门整体预算</w:t>
            </w:r>
          </w:p>
        </w:tc>
        <w:tc>
          <w:tcPr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资金总额</w:t>
            </w:r>
          </w:p>
        </w:tc>
        <w:tc>
          <w:tcPr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财政拨款</w:t>
            </w:r>
          </w:p>
        </w:tc>
        <w:tc>
          <w:tcPr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其他资金</w:t>
            </w:r>
          </w:p>
        </w:tc>
      </w:tr>
      <w:tr>
        <w:trPr>
          <w:trHeight w:val="569"/>
        </w:trPr>
        <w:tc>
          <w:tcPr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收入预算</w:t>
            </w:r>
          </w:p>
        </w:tc>
        <w:tc>
          <w:tcPr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4</w:t>
            </w:r>
            <w:r>
              <w:rPr>
                <w:rFonts w:ascii="宋体" w:cs="宋体" w:hint="eastAsia"/>
                <w:i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39.6</w:t>
            </w: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3</w:t>
            </w:r>
          </w:p>
        </w:tc>
        <w:tc>
          <w:tcPr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/>
                <w:i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4</w:t>
            </w:r>
            <w:r>
              <w:rPr>
                <w:rFonts w:ascii="宋体" w:cs="宋体" w:hint="eastAsia"/>
                <w:i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39.63</w:t>
            </w:r>
          </w:p>
        </w:tc>
        <w:tc>
          <w:tcPr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0</w:t>
            </w:r>
          </w:p>
        </w:tc>
      </w:tr>
      <w:tr>
        <w:trPr>
          <w:trHeight w:val="569"/>
        </w:trPr>
        <w:tc>
          <w:tcPr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支出预算</w:t>
            </w:r>
          </w:p>
        </w:tc>
        <w:tc>
          <w:tcPr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/>
                <w:i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40</w:t>
            </w:r>
            <w:r>
              <w:rPr>
                <w:rFonts w:ascii="宋体" w:cs="宋体" w:hint="eastAsia"/>
                <w:i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81.85</w:t>
            </w:r>
          </w:p>
        </w:tc>
        <w:tc>
          <w:tcPr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ascii="宋体" w:cs="宋体" w:hint="eastAsia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4081.85</w:t>
            </w:r>
          </w:p>
        </w:tc>
        <w:tc>
          <w:tcPr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0</w:t>
            </w:r>
          </w:p>
        </w:tc>
      </w:tr>
      <w:tr>
        <w:trPr>
          <w:trHeight w:val="1145"/>
        </w:trPr>
        <w:tc>
          <w:tcPr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年度总体目标</w:t>
            </w:r>
          </w:p>
        </w:tc>
        <w:tc>
          <w:tcPr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进一步完善推动城镇老旧小区改造、住房保障体系建设、农房管控和风貌提升、城镇空间环境改善和品质提升等的措施，提供更高质量的民生保障，不断增强人民群众获得感、幸福感、安全感。聚焦污染防治，加快推进城镇生活污水收集和处理效能提升、生活垃圾规范管理、建筑工地扬尘治理等污染防治，坚决打赢污染防治攻坚战。聚焦质安监管，规范工程建设全过程质量安全监督机制，建立安全隐患排查和安全预防控制体系，推进安全生产治理体系和治理能力现代化。</w:t>
            </w:r>
          </w:p>
        </w:tc>
      </w:tr>
      <w:tr>
        <w:trPr>
          <w:trHeight w:val="527"/>
        </w:trPr>
        <w:tc>
          <w:tcPr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管理效率</w:t>
            </w:r>
          </w:p>
        </w:tc>
      </w:tr>
      <w:tr>
        <w:trPr>
          <w:trHeight w:val="286"/>
        </w:trPr>
        <w:tc>
          <w:tcPr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序号</w:t>
            </w:r>
          </w:p>
        </w:tc>
        <w:tc>
          <w:tcPr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一级指标</w:t>
            </w:r>
          </w:p>
        </w:tc>
        <w:tc>
          <w:tcPr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二级指标</w:t>
            </w:r>
          </w:p>
        </w:tc>
        <w:tc>
          <w:tcPr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三级指标</w:t>
            </w:r>
          </w:p>
        </w:tc>
        <w:tc>
          <w:tcPr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指标值</w:t>
            </w:r>
          </w:p>
        </w:tc>
        <w:tc>
          <w:tcPr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指标参考值</w:t>
            </w:r>
          </w:p>
        </w:tc>
      </w:tr>
      <w:tr>
        <w:trPr>
          <w:trHeight w:val="286"/>
        </w:trPr>
        <w:tc>
          <w:tcPr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/>
        </w:tc>
        <w:tc>
          <w:tcPr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/>
        </w:tc>
        <w:tc>
          <w:tcPr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/>
        </w:tc>
        <w:tc>
          <w:tcPr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/>
        </w:tc>
        <w:tc>
          <w:tcPr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/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三年均值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/>
                <w:b/>
                <w:i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ascii="宋体" w:eastAsia="宋体" w:cs="宋体" w:hint="eastAsia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202</w:t>
            </w:r>
            <w:r>
              <w:rPr>
                <w:rFonts w:ascii="宋体" w:cs="宋体" w:hint="eastAsia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3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/>
                <w:b/>
                <w:i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ascii="宋体" w:eastAsia="宋体" w:cs="宋体" w:hint="eastAsia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202</w:t>
            </w:r>
            <w:r>
              <w:rPr>
                <w:rFonts w:ascii="宋体" w:cs="宋体" w:hint="eastAsia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4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/>
                <w:b/>
                <w:i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ascii="宋体" w:eastAsia="宋体" w:cs="宋体" w:hint="eastAsia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202</w:t>
            </w:r>
            <w:r>
              <w:rPr>
                <w:rFonts w:ascii="宋体" w:cs="宋体" w:hint="eastAsia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5</w:t>
            </w:r>
          </w:p>
        </w:tc>
      </w:tr>
      <w:tr>
        <w:trPr>
          <w:trHeight w:val="286"/>
        </w:trPr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1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成本指标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预算管理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财政拨款预算偏离度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29</w:t>
            </w:r>
            <w:r>
              <w:rPr>
                <w:rFonts w:ascii="宋体" w:cs="宋体" w:hint="eastAsia"/>
                <w:i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02.80</w:t>
            </w: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%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3</w:t>
            </w:r>
            <w:r>
              <w:rPr>
                <w:rFonts w:ascii="宋体" w:cs="宋体" w:hint="eastAsia"/>
                <w:i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902.86</w:t>
            </w: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%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cs="宋体" w:hint="eastAsia"/>
                <w:i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3816.95</w:t>
            </w: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%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cs="宋体" w:hint="eastAsia"/>
                <w:i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7576.94</w:t>
            </w: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%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cs="宋体" w:hint="eastAsia"/>
                <w:i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314.69</w:t>
            </w: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%</w:t>
            </w:r>
          </w:p>
        </w:tc>
      </w:tr>
      <w:tr>
        <w:trPr>
          <w:trHeight w:val="286"/>
        </w:trPr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2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成本指标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预算管理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预算年终结余率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3</w:t>
            </w:r>
            <w:r>
              <w:rPr>
                <w:rFonts w:ascii="宋体" w:cs="宋体" w:hint="eastAsia"/>
                <w:i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6.94</w:t>
            </w: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%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cs="宋体" w:hint="eastAsia"/>
                <w:i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36.94</w:t>
            </w: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%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cs="宋体" w:hint="eastAsia"/>
                <w:i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19.16</w:t>
            </w: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%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cs="宋体" w:hint="eastAsia"/>
                <w:i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58.40</w:t>
            </w: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%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cs="宋体" w:hint="eastAsia"/>
                <w:i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33.26</w:t>
            </w: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%</w:t>
            </w:r>
          </w:p>
        </w:tc>
      </w:tr>
      <w:tr>
        <w:trPr>
          <w:trHeight w:val="286"/>
        </w:trPr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3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成本指标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预算管理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一般性支出金额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10.</w:t>
            </w:r>
            <w:r>
              <w:rPr>
                <w:rFonts w:ascii="宋体" w:cs="宋体" w:hint="eastAsia"/>
                <w:i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74</w:t>
            </w: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万元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1</w:t>
            </w:r>
            <w:r>
              <w:rPr>
                <w:rFonts w:ascii="宋体" w:cs="宋体" w:hint="eastAsia"/>
                <w:i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0.97</w:t>
            </w: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万元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ascii="宋体" w:eastAsia="宋体" w:cs="宋体" w:hint="eastAsia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ascii="宋体" w:eastAsia="宋体" w:cs="宋体" w:hint="eastAsia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1</w:t>
            </w:r>
            <w:r>
              <w:rPr>
                <w:rFonts w:ascii="宋体" w:cs="宋体" w:hint="eastAsia"/>
                <w:i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0.97</w:t>
            </w: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万元</w:t>
            </w:r>
          </w:p>
        </w:tc>
      </w:tr>
      <w:tr>
        <w:trPr>
          <w:trHeight w:val="286"/>
        </w:trPr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4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成本指标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财务管理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财务管理规范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优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ascii="宋体" w:eastAsia="宋体" w:cs="宋体" w:hint="eastAsia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ascii="宋体" w:eastAsia="宋体" w:cs="宋体" w:hint="eastAsia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ascii="宋体" w:eastAsia="宋体" w:cs="宋体" w:hint="eastAsia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ascii="宋体" w:eastAsia="宋体" w:cs="宋体" w:hint="eastAsia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rPr>
          <w:trHeight w:val="286"/>
        </w:trPr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5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成本指标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采购管理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采购执行率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5</w:t>
            </w:r>
            <w:r>
              <w:rPr>
                <w:rFonts w:ascii="宋体" w:cs="宋体" w:hint="eastAsia"/>
                <w:i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9.67</w:t>
            </w: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%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%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%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%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%</w:t>
            </w:r>
          </w:p>
        </w:tc>
      </w:tr>
      <w:tr>
        <w:trPr>
          <w:trHeight w:val="512"/>
        </w:trPr>
        <w:tc>
          <w:tcPr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履职效能</w:t>
            </w:r>
          </w:p>
        </w:tc>
      </w:tr>
      <w:tr>
        <w:trPr>
          <w:trHeight w:val="286"/>
        </w:trPr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序号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一级指标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二级指标</w:t>
            </w:r>
          </w:p>
        </w:tc>
        <w:tc>
          <w:tcPr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三级指标</w:t>
            </w:r>
          </w:p>
        </w:tc>
        <w:tc>
          <w:tcPr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指标值（包括数字及文字描述）</w:t>
            </w:r>
          </w:p>
        </w:tc>
      </w:tr>
      <w:tr>
        <w:trPr>
          <w:trHeight w:val="286"/>
        </w:trPr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1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黑体" w:eastAsia="黑体" w:cs="黑体" w:hint="eastAsia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黑体" w:eastAsia="黑体" w:cs="黑体" w:hint="eastAsia"/>
                <w:i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产出指标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时效指标</w:t>
            </w:r>
          </w:p>
        </w:tc>
        <w:tc>
          <w:tcPr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保障性住房按时交付率</w:t>
            </w:r>
          </w:p>
        </w:tc>
        <w:tc>
          <w:tcPr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≥92%</w:t>
            </w:r>
          </w:p>
        </w:tc>
      </w:tr>
      <w:tr>
        <w:trPr>
          <w:trHeight w:val="286"/>
        </w:trPr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2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黑体" w:eastAsia="黑体" w:cs="黑体" w:hint="eastAsia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黑体" w:eastAsia="黑体" w:cs="黑体" w:hint="eastAsia"/>
                <w:i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产出指标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时效指标</w:t>
            </w:r>
          </w:p>
        </w:tc>
        <w:tc>
          <w:tcPr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老旧小区电梯安装按计划推进率</w:t>
            </w:r>
          </w:p>
        </w:tc>
        <w:tc>
          <w:tcPr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≥80%</w:t>
            </w:r>
          </w:p>
        </w:tc>
      </w:tr>
      <w:tr>
        <w:trPr>
          <w:trHeight w:val="286"/>
        </w:trPr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3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黑体" w:eastAsia="黑体" w:cs="黑体" w:hint="eastAsia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黑体" w:eastAsia="黑体" w:cs="黑体" w:hint="eastAsia"/>
                <w:i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产出指标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数量指标</w:t>
            </w:r>
          </w:p>
        </w:tc>
        <w:tc>
          <w:tcPr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新建保障性住房</w:t>
            </w:r>
          </w:p>
        </w:tc>
        <w:tc>
          <w:tcPr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cs="宋体" w:hint="eastAsia"/>
                <w:i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44</w:t>
            </w:r>
            <w:r>
              <w:rPr>
                <w:rFonts w:asci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套</w:t>
            </w:r>
          </w:p>
        </w:tc>
      </w:tr>
      <w:tr>
        <w:trPr>
          <w:trHeight w:val="286"/>
        </w:trPr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4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黑体" w:eastAsia="黑体" w:cs="黑体" w:hint="eastAsia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黑体" w:eastAsia="黑体" w:cs="黑体" w:hint="eastAsia"/>
                <w:i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产出指标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数量指标</w:t>
            </w:r>
          </w:p>
        </w:tc>
        <w:tc>
          <w:tcPr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安装老旧小区电梯</w:t>
            </w:r>
          </w:p>
        </w:tc>
        <w:tc>
          <w:tcPr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cs="宋体" w:hint="eastAsia"/>
                <w:i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33</w:t>
            </w:r>
            <w:r>
              <w:rPr>
                <w:rFonts w:asci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部</w:t>
            </w:r>
          </w:p>
        </w:tc>
      </w:tr>
      <w:tr>
        <w:trPr>
          <w:trHeight w:val="286"/>
        </w:trPr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5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黑体" w:eastAsia="黑体" w:cs="黑体" w:hint="eastAsia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黑体" w:eastAsia="黑体" w:cs="黑体" w:hint="eastAsia"/>
                <w:i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产出指标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数量指标</w:t>
            </w:r>
          </w:p>
        </w:tc>
        <w:tc>
          <w:tcPr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建筑工程质量监督覆盖率</w:t>
            </w:r>
          </w:p>
        </w:tc>
        <w:tc>
          <w:tcPr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1</w:t>
            </w:r>
          </w:p>
        </w:tc>
      </w:tr>
      <w:tr>
        <w:trPr>
          <w:trHeight w:val="286"/>
        </w:trPr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6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黑体" w:eastAsia="黑体" w:cs="黑体" w:hint="eastAsia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黑体" w:eastAsia="黑体" w:cs="黑体" w:hint="eastAsia"/>
                <w:i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产出指标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数量指标</w:t>
            </w:r>
          </w:p>
        </w:tc>
        <w:tc>
          <w:tcPr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农村危房改造</w:t>
            </w:r>
          </w:p>
        </w:tc>
        <w:tc>
          <w:tcPr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cs="宋体" w:hint="eastAsia"/>
                <w:i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20</w:t>
            </w:r>
            <w:r>
              <w:rPr>
                <w:rFonts w:asci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户</w:t>
            </w:r>
          </w:p>
        </w:tc>
      </w:tr>
      <w:tr>
        <w:trPr>
          <w:trHeight w:val="286"/>
        </w:trPr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7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黑体" w:eastAsia="黑体" w:cs="黑体" w:hint="eastAsia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黑体" w:eastAsia="黑体" w:cs="黑体" w:hint="eastAsia"/>
                <w:i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产出指标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质量指标</w:t>
            </w:r>
          </w:p>
        </w:tc>
        <w:tc>
          <w:tcPr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农村危房改造验收达标率</w:t>
            </w:r>
          </w:p>
        </w:tc>
        <w:tc>
          <w:tcPr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≥95%</w:t>
            </w:r>
          </w:p>
        </w:tc>
      </w:tr>
      <w:tr>
        <w:trPr>
          <w:trHeight w:val="286"/>
        </w:trPr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8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黑体" w:eastAsia="黑体" w:cs="黑体" w:hint="eastAsia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黑体" w:eastAsia="黑体" w:cs="黑体" w:hint="eastAsia"/>
                <w:i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产出指标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质量指标</w:t>
            </w:r>
          </w:p>
        </w:tc>
        <w:tc>
          <w:tcPr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保障性住房验收合格率</w:t>
            </w:r>
          </w:p>
        </w:tc>
        <w:tc>
          <w:tcPr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≥98%</w:t>
            </w:r>
          </w:p>
        </w:tc>
      </w:tr>
      <w:tr>
        <w:trPr>
          <w:trHeight w:val="286"/>
        </w:trPr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9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黑体" w:eastAsia="黑体" w:cs="黑体" w:hint="eastAsia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黑体" w:eastAsia="黑体" w:cs="黑体" w:hint="eastAsia"/>
                <w:i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产出指标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质量指标</w:t>
            </w:r>
          </w:p>
        </w:tc>
        <w:tc>
          <w:tcPr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市政道路工程验收合格率</w:t>
            </w:r>
          </w:p>
        </w:tc>
        <w:tc>
          <w:tcPr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1</w:t>
            </w:r>
          </w:p>
        </w:tc>
      </w:tr>
      <w:tr>
        <w:trPr>
          <w:trHeight w:val="286"/>
        </w:trPr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10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黑体" w:eastAsia="黑体" w:cs="黑体" w:hint="eastAsia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黑体" w:eastAsia="黑体" w:cs="黑体" w:hint="eastAsia"/>
                <w:i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效益指标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社会效益指标</w:t>
            </w:r>
          </w:p>
        </w:tc>
        <w:tc>
          <w:tcPr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改善居民住房条件</w:t>
            </w:r>
          </w:p>
        </w:tc>
        <w:tc>
          <w:tcPr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200余人受益</w:t>
            </w:r>
          </w:p>
        </w:tc>
      </w:tr>
      <w:tr>
        <w:trPr>
          <w:trHeight w:val="286"/>
        </w:trPr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11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黑体" w:eastAsia="黑体" w:cs="黑体" w:hint="eastAsia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黑体" w:eastAsia="黑体" w:cs="黑体" w:hint="eastAsia"/>
                <w:i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效益指标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社会效益指标</w:t>
            </w:r>
          </w:p>
        </w:tc>
        <w:tc>
          <w:tcPr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推动城镇老旧小区改造</w:t>
            </w:r>
          </w:p>
        </w:tc>
        <w:tc>
          <w:tcPr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不断增强人民群众获得感、幸福感、安全感</w:t>
            </w:r>
          </w:p>
        </w:tc>
      </w:tr>
      <w:tr>
        <w:trPr>
          <w:trHeight w:val="286"/>
        </w:trPr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12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黑体" w:eastAsia="黑体" w:cs="黑体" w:hint="eastAsia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黑体" w:eastAsia="黑体" w:cs="黑体" w:hint="eastAsia"/>
                <w:i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效益指标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生态效益指标</w:t>
            </w:r>
          </w:p>
        </w:tc>
        <w:tc>
          <w:tcPr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建筑施工扬尘污染控制率</w:t>
            </w:r>
          </w:p>
        </w:tc>
        <w:tc>
          <w:tcPr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≥90%</w:t>
            </w:r>
          </w:p>
        </w:tc>
      </w:tr>
    </w:tbl>
    <w:p>
      <w:pPr>
        <w:pStyle w:val="15"/>
        <w:tabs>
          <w:tab w:val="center" w:pos="4153"/>
          <w:tab w:val="right" w:pos="8306"/>
        </w:tabs>
      </w:pPr>
    </w:p>
    <w:p>
      <w:pPr>
        <w:pStyle w:val="15"/>
        <w:tabs>
          <w:tab w:val="center" w:pos="4153"/>
          <w:tab w:val="right" w:pos="8306"/>
        </w:tabs>
      </w:pPr>
    </w:p>
    <w:p>
      <w:pPr>
        <w:spacing w:line="560" w:lineRule="exact"/>
        <w:ind w:firstLineChars="200" w:firstLine="640"/>
        <w:rPr>
          <w:rFonts w:ascii="黑体" w:eastAsia="黑体" w:cs="黑体"/>
          <w:sz w:val="32"/>
          <w:szCs w:val="32"/>
        </w:rPr>
      </w:pPr>
      <w:r>
        <w:rPr>
          <w:rFonts w:ascii="黑体" w:eastAsia="黑体" w:cs="黑体" w:hint="eastAsia"/>
          <w:sz w:val="32"/>
          <w:szCs w:val="32"/>
        </w:rPr>
        <w:t>三、重点项目绩效目标。</w:t>
      </w:r>
    </w:p>
    <w:p>
      <w:pPr>
        <w:spacing w:line="560" w:lineRule="exact"/>
        <w:ind w:firstLineChars="200" w:firstLine="640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重点项目：无</w:t>
      </w:r>
    </w:p>
    <w:p>
      <w:pPr>
        <w:spacing w:line="560" w:lineRule="exact"/>
        <w:ind w:firstLineChars="200" w:firstLine="640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项目年度绩效目标：</w:t>
      </w:r>
    </w:p>
    <w:p>
      <w:pPr>
        <w:spacing w:line="560" w:lineRule="exact"/>
        <w:ind w:firstLineChars="200" w:firstLine="640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绩效指标设置情况：细化指标0个，包括产出指标、成本指标、效益指标和满意度指标。</w:t>
      </w:r>
    </w:p>
    <w:tbl>
      <w:tblPr>
        <w:jc w:val="left"/>
        <w:tblInd w:w="93" w:type="dxa"/>
        <w:tblW w:w="78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2"/>
        <w:gridCol w:w="1260"/>
        <w:gridCol w:w="1665"/>
        <w:gridCol w:w="705"/>
        <w:gridCol w:w="840"/>
        <w:gridCol w:w="1080"/>
        <w:gridCol w:w="1110"/>
      </w:tblGrid>
      <w:tr>
        <w:trPr>
          <w:trHeight w:val="422"/>
        </w:trPr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Style w:val="18"/>
              </w:rPr>
            </w:pPr>
            <w:r>
              <w:rPr>
                <w:rStyle w:val="18"/>
                <w:rFonts w:hint="eastAsia"/>
              </w:rPr>
              <w:t>一级指标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Style w:val="18"/>
              </w:rPr>
            </w:pPr>
            <w:r>
              <w:rPr>
                <w:rStyle w:val="18"/>
                <w:rFonts w:hint="eastAsia"/>
              </w:rPr>
              <w:t>二级指标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Style w:val="18"/>
              </w:rPr>
            </w:pPr>
            <w:r>
              <w:rPr>
                <w:rStyle w:val="18"/>
                <w:rFonts w:hint="eastAsia"/>
              </w:rPr>
              <w:t>三级指标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Style w:val="18"/>
              </w:rPr>
            </w:pPr>
            <w:r>
              <w:rPr>
                <w:rStyle w:val="18"/>
                <w:rFonts w:hint="eastAsia"/>
              </w:rPr>
              <w:t>指标性质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宋体" w:hint="eastAsia"/>
                <w:color w:val="000000"/>
                <w:kern w:val="0"/>
                <w:sz w:val="18"/>
                <w:szCs w:val="18"/>
              </w:rPr>
              <w:t>指标值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宋体" w:hint="eastAsia"/>
                <w:color w:val="000000"/>
                <w:kern w:val="0"/>
                <w:sz w:val="18"/>
                <w:szCs w:val="18"/>
              </w:rPr>
              <w:t>度量单位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宋体" w:hint="eastAsia"/>
                <w:color w:val="000000"/>
                <w:kern w:val="0"/>
                <w:sz w:val="18"/>
                <w:szCs w:val="18"/>
              </w:rPr>
              <w:t>权重</w:t>
            </w:r>
          </w:p>
        </w:tc>
      </w:tr>
      <w:tr>
        <w:trPr>
          <w:trHeight w:val="422"/>
        </w:trPr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Style w:val="18"/>
              </w:rPr>
              <w:t>产出指标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Style w:val="18"/>
              </w:rPr>
              <w:t>质量指标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22"/>
        </w:trPr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Style w:val="18"/>
              </w:rPr>
              <w:t>产出指标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Style w:val="18"/>
              </w:rPr>
              <w:t>时效指标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633"/>
        </w:trPr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Style w:val="18"/>
              </w:rPr>
              <w:t>成本指标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Style w:val="18"/>
              </w:rPr>
              <w:t>经济成本指标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22"/>
        </w:trPr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Style w:val="18"/>
              </w:rPr>
              <w:t>产出指标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Style w:val="18"/>
              </w:rPr>
              <w:t>数量指标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844"/>
        </w:trPr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Style w:val="18"/>
              </w:rPr>
              <w:t>效益指标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Style w:val="18"/>
              </w:rPr>
              <w:t>社会效益指标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22"/>
        </w:trPr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Style w:val="18"/>
              </w:rPr>
              <w:t>满意度指标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Style w:val="18"/>
              </w:rPr>
              <w:t>服务对象满意度指标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22"/>
        </w:trPr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Style w:val="18"/>
              </w:rPr>
              <w:t>产出指标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Style w:val="18"/>
              </w:rPr>
              <w:t>数量指标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</w:tr>
    </w:tbl>
    <w:p>
      <w:pPr>
        <w:spacing w:line="560" w:lineRule="exact"/>
        <w:ind w:left="0"/>
        <w:rPr>
          <w:rFonts w:ascii="仿宋_GB2312" w:eastAsia="仿宋_GB2312" w:cs="仿宋_GB2312"/>
          <w:sz w:val="32"/>
          <w:szCs w:val="32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altName w:val="微软雅黑"/>
    <w:panose1 w:val="00000000000000000000"/>
    <w:charset w:val="86"/>
    <w:family w:val="auto"/>
    <w:pitch w:val="variable"/>
    <w:sig w:usb0="00000000" w:usb1="00000000" w:usb2="00000000" w:usb3="00000000" w:csb0="00040000" w:csb1="00000000"/>
  </w:font>
  <w:font w:name="仿宋_GB2312">
    <w:altName w:val="仿宋"/>
    <w:panose1 w:val="00000000000000000000"/>
    <w:charset w:val="86"/>
    <w:family w:val="auto"/>
    <w:pitch w:val="variable"/>
    <w:sig w:usb0="00000000" w:usb1="00000000" w:usb2="00000000" w:usb3="00000000" w:csb0="00040000" w:csb1="0000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宋体"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Calibri">
    <w:altName w:val="Times New Roman"/>
    <w:panose1 w:val="020F0502020204030204"/>
    <w:charset w:val="00"/>
    <w:family w:val="swiss"/>
    <w:pitch w:val="variable"/>
    <w:sig w:usb0="E4002EFF" w:usb1="C000247B" w:usb2="00000009" w:usb3="00000000" w:csb0="200001FF" w:csb1="00000000"/>
  </w:font>
  <w:font w:name="Arial">
    <w:altName w:val="DejaVu Sans"/>
    <w:panose1 w:val="020B0604020202020204"/>
    <w:charset w:val="01"/>
    <w:family w:val="swiss"/>
    <w:pitch w:val="variable"/>
    <w:sig w:usb0="E0002EFF" w:usb1="C000785B" w:usb2="00000009" w:usb3="00000000" w:csb0="400001FF" w:csb1="FFFF0000"/>
  </w:font>
  <w:font w:name="Luxi Sans">
    <w:altName w:val="DejaVu Sans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Dialog . plain">
    <w:altName w:val="DejaVu Sans"/>
    <w:panose1 w:val="00000000000000000000"/>
    <w:charset w:val="00"/>
    <w:family w:val="auto"/>
    <w:pitch w:val="variable"/>
    <w:sig w:usb0="00000000" w:usb1="00000000" w:usb2="00000000" w:usb3="00000000" w:csb0="00000000" w:csb1="00000000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mc="http://schemas.openxmlformats.org/markup-compatibility/2006" xmlns:w14="http://schemas.microsoft.com/office/word/2010/wordml">
  <w:abstractNum w:abstractNumId="0">
    <w:nsid w:val="E5FD0A63"/>
    <w:multiLevelType w:val="singleLevel"/>
    <w:tmpl w:val="E5FD0A63"/>
    <w:lvl w:ilvl="0">
      <w:start w:val="2"/>
      <w:numFmt w:val="chineseCounting"/>
      <w:lvlRestart w:val="0"/>
      <w:suff w:val="nothing"/>
      <w:lvlText w:val="%1、"/>
      <w:lvlJc w:val="left"/>
      <w:pPr>
        <w:tabs>
          <w:tab w:val="num" w:pos="0"/>
        </w:tabs>
        <w:ind w:left="0" w:hanging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bordersDoNotSurroundHeader w:val="0"/>
  <w:bordersDoNotSurroundFooter w:val="0"/>
  <w:documentProtection w:edit="readOnly" w:enforcement="0"/>
  <w:defaultTabStop w:val="420"/>
  <w:drawingGridHorizontalSpacing w:val="105"/>
  <w:drawingGridVerticalSpacing w:val="156"/>
  <w:displayHorizontalDrawingGridEvery w:val="1"/>
  <w:displayVerticalDrawingGridEvery w:val="1"/>
  <w:noPunctuationKerning/>
  <w:characterSpacingControl w:val="compressPunctuation"/>
  <w:compat>
    <w:spaceForUL/>
    <w:balanceSingleByteDoubleByteWidth/>
    <w:ulTrailSpace/>
    <w:doNotExpandShiftReturn/>
    <w:adjustLineHeightInTable/>
    <w:doNotUseIndentAsNumberingTabStop/>
    <w:useAltKinsokuLineBreakRules/>
    <w:compatSetting w:name="compatibilityMode" w:uri="http://schemas.microsoft.com/office/word" w:val="14"/>
  </w:compat>
  <w:docVars>
    <w:docVar w:name="commondata" w:val="eyJoZGlkIjoiYTExYzUxOTcyZDcyMDBhNWU1NTY3YzYyMmQzZDM2NmYifQ=="/>
  </w:docVars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next w:val="15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Luxi Sans" w:eastAsia="黑体" w:hAnsi="Luxi Sans"/>
      <w:b/>
      <w:sz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15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6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7">
    <w:name w:val="Normal (Web)"/>
    <w:basedOn w:val="0"/>
    <w:pPr>
      <w:spacing w:beforeAutospacing="1" w:afterAutospacing="1"/>
      <w:jc w:val="left"/>
    </w:pPr>
    <w:rPr>
      <w:kern w:val="0"/>
      <w:sz w:val="24"/>
    </w:rPr>
  </w:style>
  <w:style w:type="character" w:customStyle="1" w:styleId="18">
    <w:name w:val="font21"/>
    <w:basedOn w:val="10"/>
    <w:rPr>
      <w:rFonts w:ascii="Dialog . plain" w:eastAsia="Dialog . plain" w:cs="Dialog . plain" w:hAnsi="Dialog . plain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16</TotalTime>
  <Application>Yozo_Office27021597764231179</Application>
  <Pages>4</Pages>
  <Words>1040</Words>
  <Characters>1182</Characters>
  <Lines>352</Lines>
  <Paragraphs>165</Paragraphs>
  <CharactersWithSpaces>1184</CharactersWithSpace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Administrator</dc:creator>
  <cp:lastModifiedBy>user</cp:lastModifiedBy>
  <cp:revision>2</cp:revision>
  <dcterms:created xsi:type="dcterms:W3CDTF">2025-02-18T05:46:00Z</dcterms:created>
  <dcterms:modified xsi:type="dcterms:W3CDTF">2026-03-19T02:20:20Z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2052-11.1.0.10314</vt:lpwstr>
  </property>
  <property fmtid="{D5CDD505-2E9C-101B-9397-08002B2CF9AE}" pid="3" name="ICV">
    <vt:lpwstr>495B1F0EFEF542579D08AD8E00C0283A_13</vt:lpwstr>
  </property>
</Properties>
</file>