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193"/>
      <w:bookmarkStart w:id="2" w:name="_Toc15378441"/>
      <w:bookmarkStart w:id="3" w:name="_Toc15377425"/>
      <w:bookmarkStart w:id="4" w:name="_Toc15396597"/>
      <w:bookmarkStart w:id="5" w:name="_Toc15396475"/>
      <w:r>
        <w:rPr>
          <w:rFonts w:ascii="黑体" w:eastAsia="黑体"/>
          <w:color w:val="000000"/>
          <w:sz w:val="72"/>
          <w:szCs w:val="72"/>
        </w:rPr>
        <w:t>20</w:t>
      </w:r>
      <w:r>
        <w:rPr>
          <w:rFonts w:hint="eastAsia" w:ascii="黑体" w:eastAsia="黑体"/>
          <w:color w:val="000000"/>
          <w:sz w:val="72"/>
          <w:szCs w:val="72"/>
          <w:lang w:val="en-US" w:eastAsia="zh-CN"/>
        </w:rPr>
        <w:t>24</w:t>
      </w:r>
      <w:r>
        <w:rPr>
          <w:rFonts w:hint="eastAsia" w:ascii="方正小标宋简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eastAsia="方正小标宋简体"/>
          <w:color w:val="000000"/>
          <w:sz w:val="72"/>
          <w:szCs w:val="72"/>
          <w:lang w:val="en-US" w:eastAsia="zh-CN"/>
        </w:rPr>
      </w:pPr>
      <w:bookmarkStart w:id="6" w:name="_Toc15377426"/>
      <w:bookmarkStart w:id="7" w:name="_Toc15396598"/>
      <w:bookmarkStart w:id="8" w:name="_Toc15377194"/>
      <w:bookmarkStart w:id="9" w:name="_Toc15378442"/>
      <w:bookmarkStart w:id="10" w:name="_Toc15396476"/>
      <w:r>
        <w:rPr>
          <w:rFonts w:hint="eastAsia" w:ascii="方正小标宋简体" w:eastAsia="方正小标宋简体"/>
          <w:color w:val="000000"/>
          <w:sz w:val="72"/>
          <w:szCs w:val="72"/>
          <w:lang w:val="en-US" w:eastAsia="zh-CN"/>
        </w:rPr>
        <w:t>四川省</w:t>
      </w:r>
      <w:bookmarkEnd w:id="0"/>
      <w:bookmarkStart w:id="11" w:name="_Toc15306268"/>
      <w:r>
        <w:rPr>
          <w:rFonts w:hint="eastAsia" w:ascii="方正小标宋简体" w:eastAsia="方正小标宋简体"/>
          <w:color w:val="000000"/>
          <w:sz w:val="72"/>
          <w:szCs w:val="72"/>
          <w:lang w:eastAsia="zh-CN"/>
        </w:rPr>
        <w:t>金川县住房和城乡建设局</w:t>
      </w:r>
      <w:r>
        <w:rPr>
          <w:rFonts w:hint="eastAsia" w:ascii="方正小标宋简体" w:eastAsia="方正小标宋简体"/>
          <w:color w:val="000000"/>
          <w:sz w:val="72"/>
          <w:szCs w:val="72"/>
        </w:rPr>
        <w:t>部门决算</w:t>
      </w:r>
      <w:bookmarkEnd w:id="6"/>
      <w:bookmarkEnd w:id="7"/>
      <w:bookmarkEnd w:id="8"/>
      <w:bookmarkEnd w:id="9"/>
      <w:bookmarkEnd w:id="10"/>
      <w:bookmarkEnd w:id="11"/>
      <w:r>
        <w:rPr>
          <w:rFonts w:hint="eastAsia" w:ascii="方正小标宋简体" w:eastAsia="方正小标宋简体"/>
          <w:color w:val="000000"/>
          <w:sz w:val="72"/>
          <w:szCs w:val="72"/>
          <w:lang w:val="en-US" w:eastAsia="zh-CN"/>
        </w:rPr>
        <w:t>公开</w:t>
      </w: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jc w:val="center"/>
        <w:rPr>
          <w:rFonts w:hint="eastAsia" w:ascii="仿宋" w:hAnsi="Times New Roman" w:eastAsia="仿宋" w:cs="Times New Roman"/>
          <w:kern w:val="2"/>
          <w:sz w:val="28"/>
          <w:szCs w:val="28"/>
          <w:lang w:val="en-US" w:eastAsia="zh-CN" w:bidi="ar-SA"/>
        </w:rPr>
      </w:pPr>
      <w:r>
        <w:rPr>
          <w:rFonts w:hint="eastAsia" w:ascii="仿宋" w:hAnsi="Times New Roman" w:eastAsia="仿宋" w:cs="Times New Roman"/>
          <w:kern w:val="2"/>
          <w:sz w:val="28"/>
          <w:szCs w:val="28"/>
          <w:lang w:val="en-US" w:eastAsia="zh-CN" w:bidi="ar-SA"/>
        </w:rPr>
        <w:fldChar w:fldCharType="begin"/>
      </w:r>
      <w:r>
        <w:rPr>
          <w:rFonts w:hint="eastAsia" w:ascii="仿宋" w:hAnsi="Times New Roman" w:eastAsia="仿宋" w:cs="Times New Roman"/>
          <w:kern w:val="2"/>
          <w:sz w:val="28"/>
          <w:szCs w:val="28"/>
          <w:lang w:val="en-US" w:eastAsia="zh-CN" w:bidi="ar-SA"/>
        </w:rPr>
        <w:instrText xml:space="preserve"> TOC \o "1-2" \h \z \u </w:instrText>
      </w:r>
      <w:r>
        <w:rPr>
          <w:rFonts w:hint="eastAsia" w:ascii="仿宋" w:hAnsi="Times New Roman" w:eastAsia="仿宋" w:cs="Times New Roman"/>
          <w:kern w:val="2"/>
          <w:sz w:val="28"/>
          <w:szCs w:val="28"/>
          <w:lang w:val="en-US" w:eastAsia="zh-CN" w:bidi="ar-SA"/>
        </w:rPr>
        <w:fldChar w:fldCharType="separate"/>
      </w:r>
    </w:p>
    <w:p>
      <w:pPr>
        <w:rPr>
          <w:rFonts w:hint="eastAsia" w:ascii="仿宋" w:hAnsi="Times New Roman" w:eastAsia="仿宋" w:cs="Times New Roman"/>
          <w:kern w:val="2"/>
          <w:sz w:val="28"/>
          <w:szCs w:val="28"/>
          <w:lang w:val="en-US" w:eastAsia="zh-CN" w:bidi="ar-SA"/>
        </w:rPr>
      </w:pPr>
    </w:p>
    <w:p>
      <w:pPr>
        <w:pStyle w:val="15"/>
        <w:rPr>
          <w:rFonts w:hint="eastAsia" w:ascii="仿宋" w:hAnsi="Times New Roman" w:eastAsia="仿宋" w:cs="Times New Roman"/>
          <w:kern w:val="2"/>
          <w:sz w:val="28"/>
          <w:szCs w:val="28"/>
          <w:lang w:val="en-US" w:eastAsia="zh-CN" w:bidi="ar-SA"/>
        </w:rPr>
      </w:pPr>
      <w:r>
        <w:rPr>
          <w:rFonts w:hint="eastAsia" w:ascii="仿宋" w:hAnsi="Times New Roman" w:eastAsia="仿宋" w:cs="Times New Roman"/>
          <w:kern w:val="2"/>
          <w:sz w:val="28"/>
          <w:szCs w:val="28"/>
          <w:lang w:val="en-US" w:eastAsia="zh-CN" w:bidi="ar-SA"/>
        </w:rPr>
        <w:fldChar w:fldCharType="begin"/>
      </w:r>
      <w:r>
        <w:rPr>
          <w:rFonts w:hint="eastAsia" w:ascii="仿宋" w:hAnsi="Times New Roman" w:eastAsia="仿宋" w:cs="Times New Roman"/>
          <w:kern w:val="2"/>
          <w:sz w:val="28"/>
          <w:szCs w:val="28"/>
          <w:lang w:val="en-US" w:eastAsia="zh-CN" w:bidi="ar-SA"/>
        </w:rPr>
        <w:instrText xml:space="preserve"> HYPERLINK \l "_Toc15396599" </w:instrText>
      </w:r>
      <w:r>
        <w:rPr>
          <w:rFonts w:hint="eastAsia" w:ascii="仿宋" w:hAnsi="Times New Roman" w:eastAsia="仿宋" w:cs="Times New Roman"/>
          <w:kern w:val="2"/>
          <w:sz w:val="28"/>
          <w:szCs w:val="28"/>
          <w:lang w:val="en-US" w:eastAsia="zh-CN" w:bidi="ar-SA"/>
        </w:rPr>
        <w:fldChar w:fldCharType="separate"/>
      </w:r>
      <w:r>
        <w:rPr>
          <w:rFonts w:hint="eastAsia" w:ascii="仿宋" w:hAnsi="Times New Roman" w:eastAsia="仿宋" w:cs="Times New Roman"/>
          <w:kern w:val="2"/>
          <w:sz w:val="28"/>
          <w:szCs w:val="28"/>
          <w:lang w:val="en-US" w:eastAsia="zh-CN" w:bidi="ar-SA"/>
        </w:rPr>
        <w:t>第一部分 部门概况</w:t>
      </w:r>
      <w:r>
        <w:rPr>
          <w:rFonts w:hint="eastAsia" w:ascii="仿宋" w:hAnsi="Times New Roman" w:eastAsia="仿宋" w:cs="Times New Roman"/>
          <w:kern w:val="2"/>
          <w:sz w:val="28"/>
          <w:szCs w:val="28"/>
          <w:lang w:val="en-US" w:eastAsia="zh-CN" w:bidi="ar-SA"/>
        </w:rPr>
        <w:tab/>
      </w:r>
      <w:r>
        <w:rPr>
          <w:rFonts w:hint="eastAsia" w:ascii="仿宋" w:hAnsi="Times New Roman" w:eastAsia="仿宋" w:cs="Times New Roman"/>
          <w:kern w:val="2"/>
          <w:sz w:val="28"/>
          <w:szCs w:val="28"/>
          <w:lang w:val="en-US" w:eastAsia="zh-CN" w:bidi="ar-SA"/>
        </w:rPr>
        <w:t>4</w:t>
      </w:r>
      <w:r>
        <w:rPr>
          <w:rFonts w:hint="eastAsia" w:ascii="仿宋" w:hAnsi="Times New Roman" w:eastAsia="仿宋" w:cs="Times New Roman"/>
          <w:kern w:val="2"/>
          <w:sz w:val="28"/>
          <w:szCs w:val="28"/>
          <w:lang w:val="en-US" w:eastAsia="zh-CN" w:bidi="ar-SA"/>
        </w:rPr>
        <w:fldChar w:fldCharType="end"/>
      </w:r>
    </w:p>
    <w:p>
      <w:pPr>
        <w:pStyle w:val="18"/>
        <w:rPr>
          <w:rFonts w:hint="eastAsia" w:ascii="仿宋" w:hAnsi="Times New Roman" w:eastAsia="仿宋" w:cs="Times New Roman"/>
          <w:kern w:val="2"/>
          <w:sz w:val="28"/>
          <w:szCs w:val="28"/>
          <w:lang w:val="en-US" w:eastAsia="zh-CN" w:bidi="ar-SA"/>
        </w:rPr>
      </w:pPr>
      <w:r>
        <w:rPr>
          <w:rFonts w:hint="eastAsia" w:ascii="仿宋" w:hAnsi="Times New Roman" w:eastAsia="仿宋" w:cs="Times New Roman"/>
          <w:kern w:val="2"/>
          <w:sz w:val="28"/>
          <w:szCs w:val="28"/>
          <w:lang w:val="en-US" w:eastAsia="zh-CN" w:bidi="ar-SA"/>
        </w:rPr>
        <w:fldChar w:fldCharType="begin"/>
      </w:r>
      <w:r>
        <w:rPr>
          <w:rFonts w:hint="eastAsia" w:ascii="仿宋" w:hAnsi="Times New Roman" w:eastAsia="仿宋" w:cs="Times New Roman"/>
          <w:kern w:val="2"/>
          <w:sz w:val="28"/>
          <w:szCs w:val="28"/>
          <w:lang w:val="en-US" w:eastAsia="zh-CN" w:bidi="ar-SA"/>
        </w:rPr>
        <w:instrText xml:space="preserve"> HYPERLINK \l "_Toc15396600" </w:instrText>
      </w:r>
      <w:r>
        <w:rPr>
          <w:rFonts w:hint="eastAsia" w:ascii="仿宋" w:hAnsi="Times New Roman" w:eastAsia="仿宋" w:cs="Times New Roman"/>
          <w:kern w:val="2"/>
          <w:sz w:val="28"/>
          <w:szCs w:val="28"/>
          <w:lang w:val="en-US" w:eastAsia="zh-CN" w:bidi="ar-SA"/>
        </w:rPr>
        <w:fldChar w:fldCharType="separate"/>
      </w:r>
      <w:r>
        <w:rPr>
          <w:rFonts w:hint="eastAsia" w:ascii="仿宋" w:hAnsi="Times New Roman" w:eastAsia="仿宋" w:cs="Times New Roman"/>
          <w:kern w:val="2"/>
          <w:sz w:val="28"/>
          <w:szCs w:val="28"/>
          <w:lang w:val="en-US" w:eastAsia="zh-CN" w:bidi="ar-SA"/>
        </w:rPr>
        <w:t>一、</w:t>
      </w:r>
      <w:r>
        <w:rPr>
          <w:rFonts w:hint="eastAsia" w:ascii="仿宋" w:eastAsia="仿宋" w:cs="Times New Roman"/>
          <w:kern w:val="2"/>
          <w:sz w:val="28"/>
          <w:szCs w:val="28"/>
          <w:lang w:val="en-US" w:eastAsia="zh-CN" w:bidi="ar-SA"/>
        </w:rPr>
        <w:t>部门职能</w:t>
      </w:r>
      <w:r>
        <w:rPr>
          <w:rFonts w:hint="eastAsia" w:ascii="仿宋" w:hAnsi="Times New Roman" w:eastAsia="仿宋" w:cs="Times New Roman"/>
          <w:kern w:val="2"/>
          <w:sz w:val="28"/>
          <w:szCs w:val="28"/>
          <w:lang w:val="en-US" w:eastAsia="zh-CN" w:bidi="ar-SA"/>
        </w:rPr>
        <w:tab/>
      </w:r>
      <w:r>
        <w:rPr>
          <w:rFonts w:hint="eastAsia" w:ascii="仿宋" w:hAnsi="Times New Roman" w:eastAsia="仿宋" w:cs="Times New Roman"/>
          <w:kern w:val="2"/>
          <w:sz w:val="28"/>
          <w:szCs w:val="28"/>
          <w:lang w:val="en-US" w:eastAsia="zh-CN" w:bidi="ar-SA"/>
        </w:rPr>
        <w:t>4</w:t>
      </w:r>
      <w:r>
        <w:rPr>
          <w:rFonts w:hint="eastAsia" w:ascii="仿宋" w:hAnsi="Times New Roman" w:eastAsia="仿宋" w:cs="Times New Roman"/>
          <w:kern w:val="2"/>
          <w:sz w:val="28"/>
          <w:szCs w:val="28"/>
          <w:lang w:val="en-US" w:eastAsia="zh-CN" w:bidi="ar-SA"/>
        </w:rPr>
        <w:fldChar w:fldCharType="end"/>
      </w:r>
    </w:p>
    <w:p>
      <w:pPr>
        <w:pStyle w:val="18"/>
        <w:rPr>
          <w:rFonts w:hint="default" w:ascii="仿宋" w:hAnsi="Times New Roman" w:eastAsia="仿宋" w:cs="Times New Roman"/>
          <w:kern w:val="2"/>
          <w:sz w:val="28"/>
          <w:szCs w:val="28"/>
          <w:lang w:val="en-US" w:eastAsia="zh-CN" w:bidi="ar-SA"/>
        </w:rPr>
      </w:pPr>
      <w:r>
        <w:rPr>
          <w:rFonts w:hint="eastAsia" w:ascii="仿宋" w:hAnsi="Times New Roman" w:eastAsia="仿宋" w:cs="Times New Roman"/>
          <w:kern w:val="2"/>
          <w:sz w:val="28"/>
          <w:szCs w:val="28"/>
          <w:lang w:val="en-US" w:eastAsia="zh-CN" w:bidi="ar-SA"/>
        </w:rPr>
        <w:fldChar w:fldCharType="begin"/>
      </w:r>
      <w:r>
        <w:rPr>
          <w:rFonts w:hint="eastAsia" w:ascii="仿宋" w:hAnsi="Times New Roman" w:eastAsia="仿宋" w:cs="Times New Roman"/>
          <w:kern w:val="2"/>
          <w:sz w:val="28"/>
          <w:szCs w:val="28"/>
          <w:lang w:val="en-US" w:eastAsia="zh-CN" w:bidi="ar-SA"/>
        </w:rPr>
        <w:instrText xml:space="preserve"> HYPERLINK \l "_Toc15396601" </w:instrText>
      </w:r>
      <w:r>
        <w:rPr>
          <w:rFonts w:hint="eastAsia" w:ascii="仿宋" w:hAnsi="Times New Roman" w:eastAsia="仿宋" w:cs="Times New Roman"/>
          <w:kern w:val="2"/>
          <w:sz w:val="28"/>
          <w:szCs w:val="28"/>
          <w:lang w:val="en-US" w:eastAsia="zh-CN" w:bidi="ar-SA"/>
        </w:rPr>
        <w:fldChar w:fldCharType="separate"/>
      </w:r>
      <w:r>
        <w:rPr>
          <w:rFonts w:hint="eastAsia" w:ascii="仿宋" w:hAnsi="Times New Roman" w:eastAsia="仿宋" w:cs="Times New Roman"/>
          <w:kern w:val="2"/>
          <w:sz w:val="28"/>
          <w:szCs w:val="28"/>
          <w:lang w:val="en-US" w:eastAsia="zh-CN" w:bidi="ar-SA"/>
        </w:rPr>
        <w:t>二、机构设置</w:t>
      </w:r>
      <w:r>
        <w:rPr>
          <w:rFonts w:hint="eastAsia" w:ascii="仿宋" w:hAnsi="Times New Roman" w:eastAsia="仿宋" w:cs="Times New Roman"/>
          <w:kern w:val="2"/>
          <w:sz w:val="28"/>
          <w:szCs w:val="28"/>
          <w:lang w:val="en-US" w:eastAsia="zh-CN" w:bidi="ar-SA"/>
        </w:rPr>
        <w:tab/>
      </w:r>
      <w:r>
        <w:rPr>
          <w:rFonts w:hint="eastAsia" w:ascii="仿宋" w:eastAsia="仿宋" w:cs="Times New Roman"/>
          <w:kern w:val="2"/>
          <w:sz w:val="28"/>
          <w:szCs w:val="28"/>
          <w:lang w:val="en-US" w:eastAsia="zh-CN" w:bidi="ar-SA"/>
        </w:rPr>
        <w:t>1</w:t>
      </w:r>
      <w:r>
        <w:rPr>
          <w:rFonts w:hint="eastAsia" w:ascii="仿宋" w:hAnsi="Times New Roman" w:eastAsia="仿宋" w:cs="Times New Roman"/>
          <w:kern w:val="2"/>
          <w:sz w:val="28"/>
          <w:szCs w:val="28"/>
          <w:lang w:val="en-US" w:eastAsia="zh-CN" w:bidi="ar-SA"/>
        </w:rPr>
        <w:fldChar w:fldCharType="end"/>
      </w:r>
      <w:r>
        <w:rPr>
          <w:rFonts w:hint="eastAsia" w:ascii="仿宋" w:eastAsia="仿宋" w:cs="Times New Roman"/>
          <w:kern w:val="2"/>
          <w:sz w:val="28"/>
          <w:szCs w:val="28"/>
          <w:lang w:val="en-US" w:eastAsia="zh-CN" w:bidi="ar-SA"/>
        </w:rPr>
        <w:t>0</w:t>
      </w:r>
    </w:p>
    <w:p>
      <w:pPr>
        <w:pStyle w:val="15"/>
        <w:rPr>
          <w:rFonts w:hint="default" w:ascii="仿宋" w:hAnsi="Times New Roman" w:eastAsia="仿宋" w:cs="Times New Roman"/>
          <w:kern w:val="2"/>
          <w:sz w:val="28"/>
          <w:szCs w:val="28"/>
          <w:lang w:val="en-US" w:eastAsia="zh-CN" w:bidi="ar-SA"/>
        </w:rPr>
      </w:pPr>
      <w:r>
        <w:rPr>
          <w:rFonts w:hint="eastAsia" w:ascii="仿宋" w:hAnsi="Times New Roman" w:eastAsia="仿宋" w:cs="Times New Roman"/>
          <w:kern w:val="2"/>
          <w:sz w:val="28"/>
          <w:szCs w:val="28"/>
          <w:lang w:val="en-US" w:eastAsia="zh-CN" w:bidi="ar-SA"/>
        </w:rPr>
        <w:fldChar w:fldCharType="begin"/>
      </w:r>
      <w:r>
        <w:rPr>
          <w:rFonts w:hint="eastAsia" w:ascii="仿宋" w:hAnsi="Times New Roman" w:eastAsia="仿宋" w:cs="Times New Roman"/>
          <w:kern w:val="2"/>
          <w:sz w:val="28"/>
          <w:szCs w:val="28"/>
          <w:lang w:val="en-US" w:eastAsia="zh-CN" w:bidi="ar-SA"/>
        </w:rPr>
        <w:instrText xml:space="preserve"> HYPERLINK \l "_Toc15396602" </w:instrText>
      </w:r>
      <w:r>
        <w:rPr>
          <w:rFonts w:hint="eastAsia" w:ascii="仿宋" w:hAnsi="Times New Roman" w:eastAsia="仿宋" w:cs="Times New Roman"/>
          <w:kern w:val="2"/>
          <w:sz w:val="28"/>
          <w:szCs w:val="28"/>
          <w:lang w:val="en-US" w:eastAsia="zh-CN" w:bidi="ar-SA"/>
        </w:rPr>
        <w:fldChar w:fldCharType="separate"/>
      </w:r>
      <w:r>
        <w:rPr>
          <w:rFonts w:hint="eastAsia" w:ascii="仿宋" w:hAnsi="Times New Roman" w:eastAsia="仿宋" w:cs="Times New Roman"/>
          <w:kern w:val="2"/>
          <w:sz w:val="28"/>
          <w:szCs w:val="28"/>
          <w:lang w:val="en-US" w:eastAsia="zh-CN" w:bidi="ar-SA"/>
        </w:rPr>
        <w:t>第二部分 202</w:t>
      </w:r>
      <w:r>
        <w:rPr>
          <w:rFonts w:hint="eastAsia" w:cs="Times New Roman"/>
          <w:kern w:val="2"/>
          <w:sz w:val="28"/>
          <w:szCs w:val="28"/>
          <w:lang w:val="en-US" w:eastAsia="zh-CN" w:bidi="ar-SA"/>
        </w:rPr>
        <w:t>4</w:t>
      </w:r>
      <w:r>
        <w:rPr>
          <w:rFonts w:hint="eastAsia" w:ascii="仿宋" w:hAnsi="Times New Roman" w:eastAsia="仿宋" w:cs="Times New Roman"/>
          <w:kern w:val="2"/>
          <w:sz w:val="28"/>
          <w:szCs w:val="28"/>
          <w:lang w:val="en-US" w:eastAsia="zh-CN" w:bidi="ar-SA"/>
        </w:rPr>
        <w:t>年度部门决算情况说明</w:t>
      </w:r>
      <w:r>
        <w:rPr>
          <w:rFonts w:hint="eastAsia" w:ascii="仿宋" w:hAnsi="Times New Roman" w:eastAsia="仿宋" w:cs="Times New Roman"/>
          <w:kern w:val="2"/>
          <w:sz w:val="28"/>
          <w:szCs w:val="28"/>
          <w:lang w:val="en-US" w:eastAsia="zh-CN" w:bidi="ar-SA"/>
        </w:rPr>
        <w:tab/>
      </w:r>
      <w:r>
        <w:rPr>
          <w:rFonts w:hint="eastAsia" w:ascii="仿宋" w:hAnsi="Times New Roman" w:eastAsia="仿宋" w:cs="Times New Roman"/>
          <w:kern w:val="2"/>
          <w:sz w:val="28"/>
          <w:szCs w:val="28"/>
          <w:lang w:val="en-US" w:eastAsia="zh-CN" w:bidi="ar-SA"/>
        </w:rPr>
        <w:fldChar w:fldCharType="end"/>
      </w:r>
      <w:r>
        <w:rPr>
          <w:rFonts w:hint="eastAsia" w:hAnsi="Times New Roman" w:cs="Times New Roman"/>
          <w:kern w:val="2"/>
          <w:sz w:val="28"/>
          <w:szCs w:val="28"/>
          <w:lang w:val="en-US" w:eastAsia="zh-CN" w:bidi="ar-SA"/>
        </w:rPr>
        <w:t>10</w:t>
      </w:r>
    </w:p>
    <w:p>
      <w:pPr>
        <w:pStyle w:val="18"/>
        <w:rPr>
          <w:rFonts w:hint="default" w:ascii="仿宋" w:hAnsi="Times New Roman" w:eastAsia="仿宋" w:cs="Times New Roman"/>
          <w:kern w:val="2"/>
          <w:sz w:val="28"/>
          <w:szCs w:val="28"/>
          <w:lang w:val="en-US" w:eastAsia="zh-CN" w:bidi="ar-SA"/>
        </w:rPr>
      </w:pPr>
      <w:r>
        <w:rPr>
          <w:rFonts w:hint="eastAsia" w:ascii="仿宋" w:hAnsi="Times New Roman" w:eastAsia="仿宋" w:cs="Times New Roman"/>
          <w:kern w:val="2"/>
          <w:sz w:val="28"/>
          <w:szCs w:val="28"/>
          <w:lang w:val="en-US" w:eastAsia="zh-CN" w:bidi="ar-SA"/>
        </w:rPr>
        <w:fldChar w:fldCharType="begin"/>
      </w:r>
      <w:r>
        <w:rPr>
          <w:rFonts w:hint="eastAsia" w:ascii="仿宋" w:hAnsi="Times New Roman" w:eastAsia="仿宋" w:cs="Times New Roman"/>
          <w:kern w:val="2"/>
          <w:sz w:val="28"/>
          <w:szCs w:val="28"/>
          <w:lang w:val="en-US" w:eastAsia="zh-CN" w:bidi="ar-SA"/>
        </w:rPr>
        <w:instrText xml:space="preserve"> HYPERLINK \l "_Toc15396603" </w:instrText>
      </w:r>
      <w:r>
        <w:rPr>
          <w:rFonts w:hint="eastAsia" w:ascii="仿宋" w:hAnsi="Times New Roman" w:eastAsia="仿宋" w:cs="Times New Roman"/>
          <w:kern w:val="2"/>
          <w:sz w:val="28"/>
          <w:szCs w:val="28"/>
          <w:lang w:val="en-US" w:eastAsia="zh-CN" w:bidi="ar-SA"/>
        </w:rPr>
        <w:fldChar w:fldCharType="separate"/>
      </w:r>
      <w:r>
        <w:rPr>
          <w:rFonts w:hint="eastAsia" w:ascii="仿宋" w:hAnsi="Times New Roman" w:eastAsia="仿宋" w:cs="Times New Roman"/>
          <w:kern w:val="2"/>
          <w:sz w:val="28"/>
          <w:szCs w:val="28"/>
          <w:lang w:val="en-US" w:eastAsia="zh-CN" w:bidi="ar-SA"/>
        </w:rPr>
        <w:t>一、收入支出决算总体情况说明</w:t>
      </w:r>
      <w:r>
        <w:rPr>
          <w:rFonts w:hint="eastAsia" w:ascii="仿宋" w:hAnsi="Times New Roman" w:eastAsia="仿宋" w:cs="Times New Roman"/>
          <w:kern w:val="2"/>
          <w:sz w:val="28"/>
          <w:szCs w:val="28"/>
          <w:lang w:val="en-US" w:eastAsia="zh-CN" w:bidi="ar-SA"/>
        </w:rPr>
        <w:tab/>
      </w:r>
      <w:r>
        <w:rPr>
          <w:rFonts w:hint="eastAsia" w:ascii="仿宋" w:hAnsi="Times New Roman" w:eastAsia="仿宋" w:cs="Times New Roman"/>
          <w:kern w:val="2"/>
          <w:sz w:val="28"/>
          <w:szCs w:val="28"/>
          <w:lang w:val="en-US" w:eastAsia="zh-CN" w:bidi="ar-SA"/>
        </w:rPr>
        <w:t>1</w:t>
      </w:r>
      <w:r>
        <w:rPr>
          <w:rFonts w:hint="eastAsia" w:ascii="仿宋" w:hAnsi="Times New Roman" w:eastAsia="仿宋" w:cs="Times New Roman"/>
          <w:kern w:val="2"/>
          <w:sz w:val="28"/>
          <w:szCs w:val="28"/>
          <w:lang w:val="en-US" w:eastAsia="zh-CN" w:bidi="ar-SA"/>
        </w:rPr>
        <w:fldChar w:fldCharType="end"/>
      </w:r>
      <w:r>
        <w:rPr>
          <w:rFonts w:hint="eastAsia" w:ascii="仿宋" w:hAnsi="Times New Roman" w:eastAsia="仿宋" w:cs="Times New Roman"/>
          <w:kern w:val="2"/>
          <w:sz w:val="28"/>
          <w:szCs w:val="28"/>
          <w:lang w:val="en-US" w:eastAsia="zh-CN" w:bidi="ar-SA"/>
        </w:rPr>
        <w:t>0</w:t>
      </w:r>
    </w:p>
    <w:p>
      <w:pPr>
        <w:pStyle w:val="18"/>
        <w:rPr>
          <w:rFonts w:hint="default" w:ascii="仿宋" w:hAnsi="Times New Roman" w:eastAsia="仿宋" w:cs="Times New Roman"/>
          <w:kern w:val="2"/>
          <w:sz w:val="28"/>
          <w:szCs w:val="28"/>
          <w:lang w:val="en-US" w:eastAsia="zh-CN" w:bidi="ar-SA"/>
        </w:rPr>
      </w:pPr>
      <w:r>
        <w:rPr>
          <w:rFonts w:hint="eastAsia" w:ascii="仿宋" w:hAnsi="Times New Roman" w:eastAsia="仿宋" w:cs="Times New Roman"/>
          <w:kern w:val="2"/>
          <w:sz w:val="28"/>
          <w:szCs w:val="28"/>
          <w:lang w:val="en-US" w:eastAsia="zh-CN" w:bidi="ar-SA"/>
        </w:rPr>
        <w:fldChar w:fldCharType="begin"/>
      </w:r>
      <w:r>
        <w:rPr>
          <w:rFonts w:hint="eastAsia" w:ascii="仿宋" w:hAnsi="Times New Roman" w:eastAsia="仿宋" w:cs="Times New Roman"/>
          <w:kern w:val="2"/>
          <w:sz w:val="28"/>
          <w:szCs w:val="28"/>
          <w:lang w:val="en-US" w:eastAsia="zh-CN" w:bidi="ar-SA"/>
        </w:rPr>
        <w:instrText xml:space="preserve"> HYPERLINK \l "_Toc15396604" </w:instrText>
      </w:r>
      <w:r>
        <w:rPr>
          <w:rFonts w:hint="eastAsia" w:ascii="仿宋" w:hAnsi="Times New Roman" w:eastAsia="仿宋" w:cs="Times New Roman"/>
          <w:kern w:val="2"/>
          <w:sz w:val="28"/>
          <w:szCs w:val="28"/>
          <w:lang w:val="en-US" w:eastAsia="zh-CN" w:bidi="ar-SA"/>
        </w:rPr>
        <w:fldChar w:fldCharType="separate"/>
      </w:r>
      <w:r>
        <w:rPr>
          <w:rFonts w:hint="eastAsia" w:ascii="仿宋" w:hAnsi="Times New Roman" w:eastAsia="仿宋" w:cs="Times New Roman"/>
          <w:kern w:val="2"/>
          <w:sz w:val="28"/>
          <w:szCs w:val="28"/>
          <w:lang w:val="en-US" w:eastAsia="zh-CN" w:bidi="ar-SA"/>
        </w:rPr>
        <w:t>二、收入决算情况说明</w:t>
      </w:r>
      <w:r>
        <w:rPr>
          <w:rFonts w:hint="eastAsia" w:ascii="仿宋" w:hAnsi="Times New Roman" w:eastAsia="仿宋" w:cs="Times New Roman"/>
          <w:kern w:val="2"/>
          <w:sz w:val="28"/>
          <w:szCs w:val="28"/>
          <w:lang w:val="en-US" w:eastAsia="zh-CN" w:bidi="ar-SA"/>
        </w:rPr>
        <w:tab/>
      </w:r>
      <w:r>
        <w:rPr>
          <w:rFonts w:hint="eastAsia" w:ascii="仿宋" w:hAnsi="Times New Roman" w:eastAsia="仿宋" w:cs="Times New Roman"/>
          <w:kern w:val="2"/>
          <w:sz w:val="28"/>
          <w:szCs w:val="28"/>
          <w:lang w:val="en-US" w:eastAsia="zh-CN" w:bidi="ar-SA"/>
        </w:rPr>
        <w:t>1</w:t>
      </w:r>
      <w:r>
        <w:rPr>
          <w:rFonts w:hint="eastAsia" w:ascii="仿宋" w:hAnsi="Times New Roman" w:eastAsia="仿宋" w:cs="Times New Roman"/>
          <w:kern w:val="2"/>
          <w:sz w:val="28"/>
          <w:szCs w:val="28"/>
          <w:lang w:val="en-US" w:eastAsia="zh-CN" w:bidi="ar-SA"/>
        </w:rPr>
        <w:fldChar w:fldCharType="end"/>
      </w:r>
      <w:r>
        <w:rPr>
          <w:rFonts w:hint="eastAsia" w:ascii="仿宋" w:eastAsia="仿宋" w:cs="Times New Roman"/>
          <w:kern w:val="2"/>
          <w:sz w:val="28"/>
          <w:szCs w:val="28"/>
          <w:lang w:val="en-US" w:eastAsia="zh-CN" w:bidi="ar-SA"/>
        </w:rPr>
        <w:t>1</w:t>
      </w:r>
    </w:p>
    <w:p>
      <w:pPr>
        <w:pStyle w:val="18"/>
        <w:rPr>
          <w:rFonts w:hint="default" w:ascii="仿宋" w:hAnsi="Times New Roman" w:eastAsia="仿宋" w:cs="Times New Roman"/>
          <w:kern w:val="2"/>
          <w:sz w:val="28"/>
          <w:szCs w:val="28"/>
          <w:lang w:val="en-US" w:eastAsia="zh-CN" w:bidi="ar-SA"/>
        </w:rPr>
      </w:pPr>
      <w:r>
        <w:rPr>
          <w:rFonts w:hint="eastAsia" w:ascii="仿宋" w:hAnsi="Times New Roman" w:eastAsia="仿宋" w:cs="Times New Roman"/>
          <w:kern w:val="2"/>
          <w:sz w:val="28"/>
          <w:szCs w:val="28"/>
          <w:lang w:val="en-US" w:eastAsia="zh-CN" w:bidi="ar-SA"/>
        </w:rPr>
        <w:fldChar w:fldCharType="begin"/>
      </w:r>
      <w:r>
        <w:rPr>
          <w:rFonts w:hint="eastAsia" w:ascii="仿宋" w:hAnsi="Times New Roman" w:eastAsia="仿宋" w:cs="Times New Roman"/>
          <w:kern w:val="2"/>
          <w:sz w:val="28"/>
          <w:szCs w:val="28"/>
          <w:lang w:val="en-US" w:eastAsia="zh-CN" w:bidi="ar-SA"/>
        </w:rPr>
        <w:instrText xml:space="preserve"> HYPERLINK \l "_Toc15396605" </w:instrText>
      </w:r>
      <w:r>
        <w:rPr>
          <w:rFonts w:hint="eastAsia" w:ascii="仿宋" w:hAnsi="Times New Roman" w:eastAsia="仿宋" w:cs="Times New Roman"/>
          <w:kern w:val="2"/>
          <w:sz w:val="28"/>
          <w:szCs w:val="28"/>
          <w:lang w:val="en-US" w:eastAsia="zh-CN" w:bidi="ar-SA"/>
        </w:rPr>
        <w:fldChar w:fldCharType="separate"/>
      </w:r>
      <w:r>
        <w:rPr>
          <w:rFonts w:hint="eastAsia" w:ascii="仿宋" w:hAnsi="Times New Roman" w:eastAsia="仿宋" w:cs="Times New Roman"/>
          <w:kern w:val="2"/>
          <w:sz w:val="28"/>
          <w:szCs w:val="28"/>
          <w:lang w:val="en-US" w:eastAsia="zh-CN" w:bidi="ar-SA"/>
        </w:rPr>
        <w:t>三、支出决算情况说明</w:t>
      </w:r>
      <w:r>
        <w:rPr>
          <w:rFonts w:hint="eastAsia" w:ascii="仿宋" w:hAnsi="Times New Roman" w:eastAsia="仿宋" w:cs="Times New Roman"/>
          <w:kern w:val="2"/>
          <w:sz w:val="28"/>
          <w:szCs w:val="28"/>
          <w:lang w:val="en-US" w:eastAsia="zh-CN" w:bidi="ar-SA"/>
        </w:rPr>
        <w:tab/>
      </w:r>
      <w:r>
        <w:rPr>
          <w:rFonts w:hint="eastAsia" w:ascii="仿宋" w:hAnsi="Times New Roman" w:eastAsia="仿宋" w:cs="Times New Roman"/>
          <w:kern w:val="2"/>
          <w:sz w:val="28"/>
          <w:szCs w:val="28"/>
          <w:lang w:val="en-US" w:eastAsia="zh-CN" w:bidi="ar-SA"/>
        </w:rPr>
        <w:t>1</w:t>
      </w:r>
      <w:r>
        <w:rPr>
          <w:rFonts w:hint="eastAsia" w:ascii="仿宋" w:hAnsi="Times New Roman" w:eastAsia="仿宋" w:cs="Times New Roman"/>
          <w:kern w:val="2"/>
          <w:sz w:val="28"/>
          <w:szCs w:val="28"/>
          <w:lang w:val="en-US" w:eastAsia="zh-CN" w:bidi="ar-SA"/>
        </w:rPr>
        <w:fldChar w:fldCharType="end"/>
      </w:r>
      <w:r>
        <w:rPr>
          <w:rFonts w:hint="eastAsia" w:ascii="仿宋" w:eastAsia="仿宋" w:cs="Times New Roman"/>
          <w:kern w:val="2"/>
          <w:sz w:val="28"/>
          <w:szCs w:val="28"/>
          <w:lang w:val="en-US" w:eastAsia="zh-CN" w:bidi="ar-SA"/>
        </w:rPr>
        <w:t>2</w:t>
      </w:r>
    </w:p>
    <w:p>
      <w:pPr>
        <w:pStyle w:val="18"/>
        <w:rPr>
          <w:rFonts w:hint="eastAsia" w:ascii="仿宋" w:hAnsi="Times New Roman" w:eastAsia="仿宋" w:cs="Times New Roman"/>
          <w:kern w:val="2"/>
          <w:sz w:val="28"/>
          <w:szCs w:val="28"/>
          <w:lang w:val="en-US" w:eastAsia="zh-CN" w:bidi="ar-SA"/>
        </w:rPr>
      </w:pPr>
      <w:r>
        <w:rPr>
          <w:rFonts w:hint="eastAsia" w:ascii="仿宋" w:hAnsi="Times New Roman" w:eastAsia="仿宋" w:cs="Times New Roman"/>
          <w:kern w:val="2"/>
          <w:sz w:val="28"/>
          <w:szCs w:val="28"/>
          <w:lang w:val="en-US" w:eastAsia="zh-CN" w:bidi="ar-SA"/>
        </w:rPr>
        <w:fldChar w:fldCharType="begin"/>
      </w:r>
      <w:r>
        <w:rPr>
          <w:rFonts w:hint="eastAsia" w:ascii="仿宋" w:hAnsi="Times New Roman" w:eastAsia="仿宋" w:cs="Times New Roman"/>
          <w:kern w:val="2"/>
          <w:sz w:val="28"/>
          <w:szCs w:val="28"/>
          <w:lang w:val="en-US" w:eastAsia="zh-CN" w:bidi="ar-SA"/>
        </w:rPr>
        <w:instrText xml:space="preserve"> HYPERLINK \l "_Toc15396606" </w:instrText>
      </w:r>
      <w:r>
        <w:rPr>
          <w:rFonts w:hint="eastAsia" w:ascii="仿宋" w:hAnsi="Times New Roman" w:eastAsia="仿宋" w:cs="Times New Roman"/>
          <w:kern w:val="2"/>
          <w:sz w:val="28"/>
          <w:szCs w:val="28"/>
          <w:lang w:val="en-US" w:eastAsia="zh-CN" w:bidi="ar-SA"/>
        </w:rPr>
        <w:fldChar w:fldCharType="separate"/>
      </w:r>
      <w:r>
        <w:rPr>
          <w:rFonts w:hint="eastAsia" w:ascii="仿宋" w:hAnsi="Times New Roman" w:eastAsia="仿宋" w:cs="Times New Roman"/>
          <w:kern w:val="2"/>
          <w:sz w:val="28"/>
          <w:szCs w:val="28"/>
          <w:lang w:val="en-US" w:eastAsia="zh-CN" w:bidi="ar-SA"/>
        </w:rPr>
        <w:t>四、财政拨款收入支出决算总体情况说明</w:t>
      </w:r>
      <w:r>
        <w:rPr>
          <w:rFonts w:hint="eastAsia" w:ascii="仿宋" w:hAnsi="Times New Roman" w:eastAsia="仿宋" w:cs="Times New Roman"/>
          <w:kern w:val="2"/>
          <w:sz w:val="28"/>
          <w:szCs w:val="28"/>
          <w:lang w:val="en-US" w:eastAsia="zh-CN" w:bidi="ar-SA"/>
        </w:rPr>
        <w:tab/>
      </w:r>
      <w:r>
        <w:rPr>
          <w:rFonts w:hint="eastAsia" w:ascii="仿宋" w:hAnsi="Times New Roman" w:eastAsia="仿宋" w:cs="Times New Roman"/>
          <w:kern w:val="2"/>
          <w:sz w:val="28"/>
          <w:szCs w:val="28"/>
          <w:lang w:val="en-US" w:eastAsia="zh-CN" w:bidi="ar-SA"/>
        </w:rPr>
        <w:t>1</w:t>
      </w:r>
      <w:r>
        <w:rPr>
          <w:rFonts w:hint="eastAsia" w:ascii="仿宋" w:hAnsi="Times New Roman" w:eastAsia="仿宋" w:cs="Times New Roman"/>
          <w:kern w:val="2"/>
          <w:sz w:val="28"/>
          <w:szCs w:val="28"/>
          <w:lang w:val="en-US" w:eastAsia="zh-CN" w:bidi="ar-SA"/>
        </w:rPr>
        <w:fldChar w:fldCharType="end"/>
      </w:r>
      <w:r>
        <w:rPr>
          <w:rFonts w:hint="eastAsia" w:ascii="仿宋" w:eastAsia="仿宋" w:cs="Times New Roman"/>
          <w:kern w:val="2"/>
          <w:sz w:val="28"/>
          <w:szCs w:val="28"/>
          <w:lang w:val="en-US" w:eastAsia="zh-CN" w:bidi="ar-SA"/>
        </w:rPr>
        <w:t>3</w:t>
      </w:r>
    </w:p>
    <w:p>
      <w:pPr>
        <w:pStyle w:val="18"/>
        <w:rPr>
          <w:rFonts w:hint="eastAsia" w:ascii="仿宋" w:hAnsi="Times New Roman" w:eastAsia="仿宋" w:cs="Times New Roman"/>
          <w:kern w:val="2"/>
          <w:sz w:val="28"/>
          <w:szCs w:val="28"/>
          <w:lang w:val="en-US" w:eastAsia="zh-CN" w:bidi="ar-SA"/>
        </w:rPr>
      </w:pPr>
      <w:r>
        <w:rPr>
          <w:rFonts w:hint="eastAsia" w:ascii="仿宋" w:hAnsi="Times New Roman" w:eastAsia="仿宋" w:cs="Times New Roman"/>
          <w:kern w:val="2"/>
          <w:sz w:val="28"/>
          <w:szCs w:val="28"/>
          <w:lang w:val="en-US" w:eastAsia="zh-CN" w:bidi="ar-SA"/>
        </w:rPr>
        <w:fldChar w:fldCharType="begin"/>
      </w:r>
      <w:r>
        <w:rPr>
          <w:rFonts w:hint="eastAsia" w:ascii="仿宋" w:hAnsi="Times New Roman" w:eastAsia="仿宋" w:cs="Times New Roman"/>
          <w:kern w:val="2"/>
          <w:sz w:val="28"/>
          <w:szCs w:val="28"/>
          <w:lang w:val="en-US" w:eastAsia="zh-CN" w:bidi="ar-SA"/>
        </w:rPr>
        <w:instrText xml:space="preserve"> HYPERLINK \l "_Toc15396607" </w:instrText>
      </w:r>
      <w:r>
        <w:rPr>
          <w:rFonts w:hint="eastAsia" w:ascii="仿宋" w:hAnsi="Times New Roman" w:eastAsia="仿宋" w:cs="Times New Roman"/>
          <w:kern w:val="2"/>
          <w:sz w:val="28"/>
          <w:szCs w:val="28"/>
          <w:lang w:val="en-US" w:eastAsia="zh-CN" w:bidi="ar-SA"/>
        </w:rPr>
        <w:fldChar w:fldCharType="separate"/>
      </w:r>
      <w:r>
        <w:rPr>
          <w:rFonts w:hint="eastAsia" w:ascii="仿宋" w:hAnsi="Times New Roman" w:eastAsia="仿宋" w:cs="Times New Roman"/>
          <w:kern w:val="2"/>
          <w:sz w:val="28"/>
          <w:szCs w:val="28"/>
          <w:lang w:val="en-US" w:eastAsia="zh-CN" w:bidi="ar-SA"/>
        </w:rPr>
        <w:t>五、一般公共预算财政拨款支出决算情况说明</w:t>
      </w:r>
      <w:r>
        <w:rPr>
          <w:rFonts w:hint="eastAsia" w:ascii="仿宋" w:hAnsi="Times New Roman" w:eastAsia="仿宋" w:cs="Times New Roman"/>
          <w:kern w:val="2"/>
          <w:sz w:val="28"/>
          <w:szCs w:val="28"/>
          <w:lang w:val="en-US" w:eastAsia="zh-CN" w:bidi="ar-SA"/>
        </w:rPr>
        <w:tab/>
      </w:r>
      <w:r>
        <w:rPr>
          <w:rFonts w:hint="eastAsia" w:ascii="仿宋" w:hAnsi="Times New Roman" w:eastAsia="仿宋" w:cs="Times New Roman"/>
          <w:kern w:val="2"/>
          <w:sz w:val="28"/>
          <w:szCs w:val="28"/>
          <w:lang w:val="en-US" w:eastAsia="zh-CN" w:bidi="ar-SA"/>
        </w:rPr>
        <w:t>1</w:t>
      </w:r>
      <w:r>
        <w:rPr>
          <w:rFonts w:hint="eastAsia" w:ascii="仿宋" w:hAnsi="Times New Roman" w:eastAsia="仿宋" w:cs="Times New Roman"/>
          <w:kern w:val="2"/>
          <w:sz w:val="28"/>
          <w:szCs w:val="28"/>
          <w:lang w:val="en-US" w:eastAsia="zh-CN" w:bidi="ar-SA"/>
        </w:rPr>
        <w:fldChar w:fldCharType="end"/>
      </w:r>
      <w:r>
        <w:rPr>
          <w:rFonts w:hint="eastAsia" w:ascii="仿宋" w:eastAsia="仿宋" w:cs="Times New Roman"/>
          <w:kern w:val="2"/>
          <w:sz w:val="28"/>
          <w:szCs w:val="28"/>
          <w:lang w:val="en-US" w:eastAsia="zh-CN" w:bidi="ar-SA"/>
        </w:rPr>
        <w:t>4</w:t>
      </w:r>
    </w:p>
    <w:p>
      <w:pPr>
        <w:pStyle w:val="18"/>
        <w:rPr>
          <w:rFonts w:hint="default" w:ascii="仿宋" w:hAnsi="Times New Roman" w:eastAsia="仿宋" w:cs="Times New Roman"/>
          <w:kern w:val="2"/>
          <w:sz w:val="28"/>
          <w:szCs w:val="28"/>
          <w:lang w:val="en-US" w:eastAsia="zh-CN" w:bidi="ar-SA"/>
        </w:rPr>
      </w:pPr>
      <w:r>
        <w:rPr>
          <w:rFonts w:hint="eastAsia" w:ascii="仿宋" w:hAnsi="Times New Roman" w:eastAsia="仿宋" w:cs="Times New Roman"/>
          <w:kern w:val="2"/>
          <w:sz w:val="28"/>
          <w:szCs w:val="28"/>
          <w:lang w:val="en-US" w:eastAsia="zh-CN" w:bidi="ar-SA"/>
        </w:rPr>
        <w:fldChar w:fldCharType="begin"/>
      </w:r>
      <w:r>
        <w:rPr>
          <w:rFonts w:hint="eastAsia" w:ascii="仿宋" w:hAnsi="Times New Roman" w:eastAsia="仿宋" w:cs="Times New Roman"/>
          <w:kern w:val="2"/>
          <w:sz w:val="28"/>
          <w:szCs w:val="28"/>
          <w:lang w:val="en-US" w:eastAsia="zh-CN" w:bidi="ar-SA"/>
        </w:rPr>
        <w:instrText xml:space="preserve"> HYPERLINK \l "_Toc15396608" </w:instrText>
      </w:r>
      <w:r>
        <w:rPr>
          <w:rFonts w:hint="eastAsia" w:ascii="仿宋" w:hAnsi="Times New Roman" w:eastAsia="仿宋" w:cs="Times New Roman"/>
          <w:kern w:val="2"/>
          <w:sz w:val="28"/>
          <w:szCs w:val="28"/>
          <w:lang w:val="en-US" w:eastAsia="zh-CN" w:bidi="ar-SA"/>
        </w:rPr>
        <w:fldChar w:fldCharType="separate"/>
      </w:r>
      <w:r>
        <w:rPr>
          <w:rFonts w:hint="eastAsia" w:ascii="仿宋" w:hAnsi="Times New Roman" w:eastAsia="仿宋" w:cs="Times New Roman"/>
          <w:kern w:val="2"/>
          <w:sz w:val="28"/>
          <w:szCs w:val="28"/>
          <w:lang w:val="en-US" w:eastAsia="zh-CN" w:bidi="ar-SA"/>
        </w:rPr>
        <w:t>六、一般公共预算财政拨款基本支出决算情况说明</w:t>
      </w:r>
      <w:r>
        <w:rPr>
          <w:rFonts w:hint="eastAsia" w:ascii="仿宋" w:hAnsi="Times New Roman" w:eastAsia="仿宋" w:cs="Times New Roman"/>
          <w:kern w:val="2"/>
          <w:sz w:val="28"/>
          <w:szCs w:val="28"/>
          <w:lang w:val="en-US" w:eastAsia="zh-CN" w:bidi="ar-SA"/>
        </w:rPr>
        <w:tab/>
      </w:r>
      <w:r>
        <w:rPr>
          <w:rFonts w:hint="eastAsia" w:ascii="仿宋" w:hAnsi="Times New Roman" w:eastAsia="仿宋" w:cs="Times New Roman"/>
          <w:kern w:val="2"/>
          <w:sz w:val="28"/>
          <w:szCs w:val="28"/>
          <w:lang w:val="en-US" w:eastAsia="zh-CN" w:bidi="ar-SA"/>
        </w:rPr>
        <w:t>1</w:t>
      </w:r>
      <w:r>
        <w:rPr>
          <w:rFonts w:hint="eastAsia" w:ascii="仿宋" w:hAnsi="Times New Roman" w:eastAsia="仿宋" w:cs="Times New Roman"/>
          <w:kern w:val="2"/>
          <w:sz w:val="28"/>
          <w:szCs w:val="28"/>
          <w:lang w:val="en-US" w:eastAsia="zh-CN" w:bidi="ar-SA"/>
        </w:rPr>
        <w:fldChar w:fldCharType="end"/>
      </w:r>
      <w:r>
        <w:rPr>
          <w:rFonts w:hint="eastAsia" w:ascii="仿宋" w:eastAsia="仿宋" w:cs="Times New Roman"/>
          <w:kern w:val="2"/>
          <w:sz w:val="28"/>
          <w:szCs w:val="28"/>
          <w:lang w:val="en-US" w:eastAsia="zh-CN" w:bidi="ar-SA"/>
        </w:rPr>
        <w:t>9</w:t>
      </w:r>
    </w:p>
    <w:p>
      <w:pPr>
        <w:pStyle w:val="18"/>
        <w:rPr>
          <w:rFonts w:hint="default" w:ascii="仿宋" w:hAnsi="Times New Roman" w:eastAsia="仿宋" w:cs="Times New Roman"/>
          <w:kern w:val="2"/>
          <w:sz w:val="28"/>
          <w:szCs w:val="28"/>
          <w:lang w:val="en-US" w:eastAsia="zh-CN" w:bidi="ar-SA"/>
        </w:rPr>
      </w:pPr>
      <w:r>
        <w:rPr>
          <w:rFonts w:hint="eastAsia" w:ascii="仿宋" w:hAnsi="Times New Roman" w:eastAsia="仿宋" w:cs="Times New Roman"/>
          <w:kern w:val="2"/>
          <w:sz w:val="28"/>
          <w:szCs w:val="28"/>
          <w:lang w:val="en-US" w:eastAsia="zh-CN" w:bidi="ar-SA"/>
        </w:rPr>
        <w:fldChar w:fldCharType="begin"/>
      </w:r>
      <w:r>
        <w:rPr>
          <w:rFonts w:hint="eastAsia" w:ascii="仿宋" w:hAnsi="Times New Roman" w:eastAsia="仿宋" w:cs="Times New Roman"/>
          <w:kern w:val="2"/>
          <w:sz w:val="28"/>
          <w:szCs w:val="28"/>
          <w:lang w:val="en-US" w:eastAsia="zh-CN" w:bidi="ar-SA"/>
        </w:rPr>
        <w:instrText xml:space="preserve"> HYPERLINK \l "_Toc15396609" </w:instrText>
      </w:r>
      <w:r>
        <w:rPr>
          <w:rFonts w:hint="eastAsia" w:ascii="仿宋" w:hAnsi="Times New Roman" w:eastAsia="仿宋" w:cs="Times New Roman"/>
          <w:kern w:val="2"/>
          <w:sz w:val="28"/>
          <w:szCs w:val="28"/>
          <w:lang w:val="en-US" w:eastAsia="zh-CN" w:bidi="ar-SA"/>
        </w:rPr>
        <w:fldChar w:fldCharType="separate"/>
      </w:r>
      <w:r>
        <w:rPr>
          <w:rFonts w:hint="eastAsia" w:ascii="仿宋" w:hAnsi="Times New Roman" w:eastAsia="仿宋" w:cs="Times New Roman"/>
          <w:kern w:val="2"/>
          <w:sz w:val="28"/>
          <w:szCs w:val="28"/>
          <w:lang w:val="en-US" w:eastAsia="zh-CN" w:bidi="ar-SA"/>
        </w:rPr>
        <w:t>七、</w:t>
      </w:r>
      <w:r>
        <w:rPr>
          <w:rFonts w:hint="eastAsia" w:ascii="仿宋" w:eastAsia="仿宋" w:cs="Times New Roman"/>
          <w:kern w:val="2"/>
          <w:sz w:val="28"/>
          <w:szCs w:val="28"/>
          <w:lang w:val="en-US" w:eastAsia="zh-CN" w:bidi="ar-SA"/>
        </w:rPr>
        <w:t>财政拨款</w:t>
      </w:r>
      <w:r>
        <w:rPr>
          <w:rFonts w:hint="eastAsia" w:ascii="仿宋" w:hAnsi="Times New Roman" w:eastAsia="仿宋" w:cs="Times New Roman"/>
          <w:kern w:val="2"/>
          <w:sz w:val="28"/>
          <w:szCs w:val="28"/>
          <w:lang w:val="en-US" w:eastAsia="zh-CN" w:bidi="ar-SA"/>
        </w:rPr>
        <w:t>“三公”经</w:t>
      </w:r>
      <w:r>
        <w:rPr>
          <w:rFonts w:hint="eastAsia" w:ascii="仿宋" w:eastAsia="仿宋" w:cs="Times New Roman"/>
          <w:kern w:val="2"/>
          <w:sz w:val="28"/>
          <w:szCs w:val="28"/>
          <w:lang w:val="en-US" w:eastAsia="zh-CN" w:bidi="ar-SA"/>
        </w:rPr>
        <w:t>费支出</w:t>
      </w:r>
      <w:r>
        <w:rPr>
          <w:rFonts w:hint="eastAsia" w:ascii="仿宋" w:hAnsi="Times New Roman" w:eastAsia="仿宋" w:cs="Times New Roman"/>
          <w:kern w:val="2"/>
          <w:sz w:val="28"/>
          <w:szCs w:val="28"/>
          <w:lang w:val="en-US" w:eastAsia="zh-CN" w:bidi="ar-SA"/>
        </w:rPr>
        <w:t>决算情况说明</w:t>
      </w:r>
      <w:r>
        <w:rPr>
          <w:rFonts w:hint="eastAsia" w:ascii="仿宋" w:hAnsi="Times New Roman" w:eastAsia="仿宋" w:cs="Times New Roman"/>
          <w:kern w:val="2"/>
          <w:sz w:val="28"/>
          <w:szCs w:val="28"/>
          <w:lang w:val="en-US" w:eastAsia="zh-CN" w:bidi="ar-SA"/>
        </w:rPr>
        <w:tab/>
      </w:r>
      <w:r>
        <w:rPr>
          <w:rFonts w:hint="eastAsia" w:ascii="仿宋" w:eastAsia="仿宋" w:cs="Times New Roman"/>
          <w:kern w:val="2"/>
          <w:sz w:val="28"/>
          <w:szCs w:val="28"/>
          <w:lang w:val="en-US" w:eastAsia="zh-CN" w:bidi="ar-SA"/>
        </w:rPr>
        <w:t>2</w:t>
      </w:r>
      <w:r>
        <w:rPr>
          <w:rFonts w:hint="eastAsia" w:ascii="仿宋" w:hAnsi="Times New Roman" w:eastAsia="仿宋" w:cs="Times New Roman"/>
          <w:kern w:val="2"/>
          <w:sz w:val="28"/>
          <w:szCs w:val="28"/>
          <w:lang w:val="en-US" w:eastAsia="zh-CN" w:bidi="ar-SA"/>
        </w:rPr>
        <w:fldChar w:fldCharType="end"/>
      </w:r>
      <w:r>
        <w:rPr>
          <w:rFonts w:hint="eastAsia" w:ascii="仿宋" w:eastAsia="仿宋" w:cs="Times New Roman"/>
          <w:kern w:val="2"/>
          <w:sz w:val="28"/>
          <w:szCs w:val="28"/>
          <w:lang w:val="en-US" w:eastAsia="zh-CN" w:bidi="ar-SA"/>
        </w:rPr>
        <w:t>0</w:t>
      </w:r>
    </w:p>
    <w:p>
      <w:pPr>
        <w:pStyle w:val="18"/>
        <w:rPr>
          <w:rFonts w:hint="default" w:ascii="仿宋" w:hAnsi="Times New Roman" w:eastAsia="仿宋" w:cs="Times New Roman"/>
          <w:kern w:val="2"/>
          <w:sz w:val="28"/>
          <w:szCs w:val="28"/>
          <w:lang w:val="en-US" w:eastAsia="zh-CN" w:bidi="ar-SA"/>
        </w:rPr>
      </w:pPr>
      <w:r>
        <w:rPr>
          <w:rFonts w:hint="eastAsia" w:ascii="仿宋" w:hAnsi="Times New Roman" w:eastAsia="仿宋" w:cs="Times New Roman"/>
          <w:kern w:val="2"/>
          <w:sz w:val="28"/>
          <w:szCs w:val="28"/>
          <w:lang w:val="en-US" w:eastAsia="zh-CN" w:bidi="ar-SA"/>
        </w:rPr>
        <w:fldChar w:fldCharType="begin"/>
      </w:r>
      <w:r>
        <w:rPr>
          <w:rFonts w:hint="eastAsia" w:ascii="仿宋" w:hAnsi="Times New Roman" w:eastAsia="仿宋" w:cs="Times New Roman"/>
          <w:kern w:val="2"/>
          <w:sz w:val="28"/>
          <w:szCs w:val="28"/>
          <w:lang w:val="en-US" w:eastAsia="zh-CN" w:bidi="ar-SA"/>
        </w:rPr>
        <w:instrText xml:space="preserve"> HYPERLINK \l "_Toc15396610" </w:instrText>
      </w:r>
      <w:r>
        <w:rPr>
          <w:rFonts w:hint="eastAsia" w:ascii="仿宋" w:hAnsi="Times New Roman" w:eastAsia="仿宋" w:cs="Times New Roman"/>
          <w:kern w:val="2"/>
          <w:sz w:val="28"/>
          <w:szCs w:val="28"/>
          <w:lang w:val="en-US" w:eastAsia="zh-CN" w:bidi="ar-SA"/>
        </w:rPr>
        <w:fldChar w:fldCharType="separate"/>
      </w:r>
      <w:r>
        <w:rPr>
          <w:rFonts w:hint="eastAsia" w:ascii="仿宋" w:hAnsi="Times New Roman" w:eastAsia="仿宋" w:cs="Times New Roman"/>
          <w:kern w:val="2"/>
          <w:sz w:val="28"/>
          <w:szCs w:val="28"/>
          <w:lang w:val="en-US" w:eastAsia="zh-CN" w:bidi="ar-SA"/>
        </w:rPr>
        <w:t>八、政府性基金预算支出决算情况说明</w:t>
      </w:r>
      <w:r>
        <w:rPr>
          <w:rFonts w:hint="eastAsia" w:ascii="仿宋" w:hAnsi="Times New Roman" w:eastAsia="仿宋" w:cs="Times New Roman"/>
          <w:kern w:val="2"/>
          <w:sz w:val="28"/>
          <w:szCs w:val="28"/>
          <w:lang w:val="en-US" w:eastAsia="zh-CN" w:bidi="ar-SA"/>
        </w:rPr>
        <w:tab/>
      </w:r>
      <w:r>
        <w:rPr>
          <w:rFonts w:hint="eastAsia" w:ascii="仿宋" w:hAnsi="Times New Roman" w:eastAsia="仿宋" w:cs="Times New Roman"/>
          <w:kern w:val="2"/>
          <w:sz w:val="28"/>
          <w:szCs w:val="28"/>
          <w:lang w:val="en-US" w:eastAsia="zh-CN" w:bidi="ar-SA"/>
        </w:rPr>
        <w:t>2</w:t>
      </w:r>
      <w:r>
        <w:rPr>
          <w:rFonts w:hint="eastAsia" w:ascii="仿宋" w:hAnsi="Times New Roman" w:eastAsia="仿宋" w:cs="Times New Roman"/>
          <w:kern w:val="2"/>
          <w:sz w:val="28"/>
          <w:szCs w:val="28"/>
          <w:lang w:val="en-US" w:eastAsia="zh-CN" w:bidi="ar-SA"/>
        </w:rPr>
        <w:fldChar w:fldCharType="end"/>
      </w:r>
      <w:r>
        <w:rPr>
          <w:rFonts w:hint="eastAsia" w:ascii="仿宋" w:eastAsia="仿宋" w:cs="Times New Roman"/>
          <w:kern w:val="2"/>
          <w:sz w:val="28"/>
          <w:szCs w:val="28"/>
          <w:lang w:val="en-US" w:eastAsia="zh-CN" w:bidi="ar-SA"/>
        </w:rPr>
        <w:t>2</w:t>
      </w:r>
    </w:p>
    <w:p>
      <w:pPr>
        <w:pStyle w:val="18"/>
        <w:rPr>
          <w:rFonts w:hint="eastAsia" w:ascii="仿宋" w:hAnsi="Times New Roman" w:eastAsia="仿宋" w:cs="Times New Roman"/>
          <w:kern w:val="2"/>
          <w:sz w:val="28"/>
          <w:szCs w:val="28"/>
          <w:lang w:val="en-US" w:eastAsia="zh-CN" w:bidi="ar-SA"/>
        </w:rPr>
      </w:pPr>
      <w:r>
        <w:rPr>
          <w:rFonts w:hint="eastAsia" w:ascii="仿宋" w:hAnsi="Times New Roman" w:eastAsia="仿宋" w:cs="Times New Roman"/>
          <w:kern w:val="2"/>
          <w:sz w:val="28"/>
          <w:szCs w:val="28"/>
          <w:lang w:val="en-US" w:eastAsia="zh-CN" w:bidi="ar-SA"/>
        </w:rPr>
        <w:fldChar w:fldCharType="begin"/>
      </w:r>
      <w:r>
        <w:rPr>
          <w:rFonts w:hint="eastAsia" w:ascii="仿宋" w:hAnsi="Times New Roman" w:eastAsia="仿宋" w:cs="Times New Roman"/>
          <w:kern w:val="2"/>
          <w:sz w:val="28"/>
          <w:szCs w:val="28"/>
          <w:lang w:val="en-US" w:eastAsia="zh-CN" w:bidi="ar-SA"/>
        </w:rPr>
        <w:instrText xml:space="preserve"> HYPERLINK \l "_Toc15396611" </w:instrText>
      </w:r>
      <w:r>
        <w:rPr>
          <w:rFonts w:hint="eastAsia" w:ascii="仿宋" w:hAnsi="Times New Roman" w:eastAsia="仿宋" w:cs="Times New Roman"/>
          <w:kern w:val="2"/>
          <w:sz w:val="28"/>
          <w:szCs w:val="28"/>
          <w:lang w:val="en-US" w:eastAsia="zh-CN" w:bidi="ar-SA"/>
        </w:rPr>
        <w:fldChar w:fldCharType="separate"/>
      </w:r>
      <w:r>
        <w:rPr>
          <w:rFonts w:hint="eastAsia" w:ascii="仿宋" w:hAnsi="Times New Roman" w:eastAsia="仿宋" w:cs="Times New Roman"/>
          <w:kern w:val="2"/>
          <w:sz w:val="28"/>
          <w:szCs w:val="28"/>
          <w:lang w:val="en-US" w:eastAsia="zh-CN" w:bidi="ar-SA"/>
        </w:rPr>
        <w:t>九、国有资本经营预算支出决算情况说明</w:t>
      </w:r>
      <w:r>
        <w:rPr>
          <w:rFonts w:hint="eastAsia" w:ascii="仿宋" w:hAnsi="Times New Roman" w:eastAsia="仿宋" w:cs="Times New Roman"/>
          <w:kern w:val="2"/>
          <w:sz w:val="28"/>
          <w:szCs w:val="28"/>
          <w:lang w:val="en-US" w:eastAsia="zh-CN" w:bidi="ar-SA"/>
        </w:rPr>
        <w:tab/>
      </w:r>
      <w:r>
        <w:rPr>
          <w:rFonts w:hint="eastAsia" w:ascii="仿宋" w:hAnsi="Times New Roman" w:eastAsia="仿宋" w:cs="Times New Roman"/>
          <w:kern w:val="2"/>
          <w:sz w:val="28"/>
          <w:szCs w:val="28"/>
          <w:lang w:val="en-US" w:eastAsia="zh-CN" w:bidi="ar-SA"/>
        </w:rPr>
        <w:t>2</w:t>
      </w:r>
      <w:r>
        <w:rPr>
          <w:rFonts w:hint="eastAsia" w:ascii="仿宋" w:hAnsi="Times New Roman" w:eastAsia="仿宋" w:cs="Times New Roman"/>
          <w:kern w:val="2"/>
          <w:sz w:val="28"/>
          <w:szCs w:val="28"/>
          <w:lang w:val="en-US" w:eastAsia="zh-CN" w:bidi="ar-SA"/>
        </w:rPr>
        <w:fldChar w:fldCharType="end"/>
      </w:r>
      <w:r>
        <w:rPr>
          <w:rFonts w:hint="eastAsia" w:ascii="仿宋" w:eastAsia="仿宋" w:cs="Times New Roman"/>
          <w:kern w:val="2"/>
          <w:sz w:val="28"/>
          <w:szCs w:val="28"/>
          <w:lang w:val="en-US" w:eastAsia="zh-CN" w:bidi="ar-SA"/>
        </w:rPr>
        <w:t>2</w:t>
      </w:r>
    </w:p>
    <w:p>
      <w:pPr>
        <w:pStyle w:val="18"/>
        <w:rPr>
          <w:rFonts w:hint="eastAsia" w:ascii="仿宋" w:hAnsi="Times New Roman" w:eastAsia="仿宋" w:cs="Times New Roman"/>
          <w:kern w:val="2"/>
          <w:sz w:val="28"/>
          <w:szCs w:val="28"/>
          <w:lang w:val="en-US" w:eastAsia="zh-CN" w:bidi="ar-SA"/>
        </w:rPr>
      </w:pPr>
      <w:r>
        <w:rPr>
          <w:rFonts w:hint="eastAsia" w:ascii="仿宋" w:hAnsi="Times New Roman" w:eastAsia="仿宋" w:cs="Times New Roman"/>
          <w:kern w:val="2"/>
          <w:sz w:val="28"/>
          <w:szCs w:val="28"/>
          <w:lang w:val="en-US" w:eastAsia="zh-CN" w:bidi="ar-SA"/>
        </w:rPr>
        <w:fldChar w:fldCharType="begin"/>
      </w:r>
      <w:r>
        <w:rPr>
          <w:rFonts w:hint="eastAsia" w:ascii="仿宋" w:hAnsi="Times New Roman" w:eastAsia="仿宋" w:cs="Times New Roman"/>
          <w:kern w:val="2"/>
          <w:sz w:val="28"/>
          <w:szCs w:val="28"/>
          <w:lang w:val="en-US" w:eastAsia="zh-CN" w:bidi="ar-SA"/>
        </w:rPr>
        <w:instrText xml:space="preserve"> HYPERLINK \l "_Toc15396612" </w:instrText>
      </w:r>
      <w:r>
        <w:rPr>
          <w:rFonts w:hint="eastAsia" w:ascii="仿宋" w:hAnsi="Times New Roman" w:eastAsia="仿宋" w:cs="Times New Roman"/>
          <w:kern w:val="2"/>
          <w:sz w:val="28"/>
          <w:szCs w:val="28"/>
          <w:lang w:val="en-US" w:eastAsia="zh-CN" w:bidi="ar-SA"/>
        </w:rPr>
        <w:fldChar w:fldCharType="separate"/>
      </w:r>
      <w:r>
        <w:rPr>
          <w:rFonts w:hint="eastAsia" w:ascii="仿宋" w:hAnsi="Times New Roman" w:eastAsia="仿宋" w:cs="Times New Roman"/>
          <w:kern w:val="2"/>
          <w:sz w:val="28"/>
          <w:szCs w:val="28"/>
          <w:lang w:val="en-US" w:eastAsia="zh-CN" w:bidi="ar-SA"/>
        </w:rPr>
        <w:t>十、其他重要事项的情况说明</w:t>
      </w:r>
      <w:r>
        <w:rPr>
          <w:rFonts w:hint="eastAsia" w:ascii="仿宋" w:hAnsi="Times New Roman" w:eastAsia="仿宋" w:cs="Times New Roman"/>
          <w:kern w:val="2"/>
          <w:sz w:val="28"/>
          <w:szCs w:val="28"/>
          <w:lang w:val="en-US" w:eastAsia="zh-CN" w:bidi="ar-SA"/>
        </w:rPr>
        <w:tab/>
      </w:r>
      <w:r>
        <w:rPr>
          <w:rFonts w:hint="eastAsia" w:ascii="仿宋" w:hAnsi="Times New Roman" w:eastAsia="仿宋" w:cs="Times New Roman"/>
          <w:kern w:val="2"/>
          <w:sz w:val="28"/>
          <w:szCs w:val="28"/>
          <w:lang w:val="en-US" w:eastAsia="zh-CN" w:bidi="ar-SA"/>
        </w:rPr>
        <w:t>2</w:t>
      </w:r>
      <w:r>
        <w:rPr>
          <w:rFonts w:hint="eastAsia" w:ascii="仿宋" w:hAnsi="Times New Roman" w:eastAsia="仿宋" w:cs="Times New Roman"/>
          <w:kern w:val="2"/>
          <w:sz w:val="28"/>
          <w:szCs w:val="28"/>
          <w:lang w:val="en-US" w:eastAsia="zh-CN" w:bidi="ar-SA"/>
        </w:rPr>
        <w:fldChar w:fldCharType="end"/>
      </w:r>
      <w:r>
        <w:rPr>
          <w:rFonts w:hint="eastAsia" w:ascii="仿宋" w:eastAsia="仿宋" w:cs="Times New Roman"/>
          <w:kern w:val="2"/>
          <w:sz w:val="28"/>
          <w:szCs w:val="28"/>
          <w:lang w:val="en-US" w:eastAsia="zh-CN" w:bidi="ar-SA"/>
        </w:rPr>
        <w:t>3</w:t>
      </w:r>
    </w:p>
    <w:p>
      <w:pPr>
        <w:pStyle w:val="15"/>
        <w:rPr>
          <w:rFonts w:hint="default" w:ascii="仿宋" w:hAnsi="Times New Roman" w:eastAsia="仿宋" w:cs="Times New Roman"/>
          <w:kern w:val="2"/>
          <w:sz w:val="28"/>
          <w:szCs w:val="28"/>
          <w:lang w:val="en-US" w:eastAsia="zh-CN" w:bidi="ar-SA"/>
        </w:rPr>
      </w:pPr>
      <w:r>
        <w:rPr>
          <w:rFonts w:hint="eastAsia" w:ascii="仿宋" w:hAnsi="Times New Roman" w:eastAsia="仿宋" w:cs="Times New Roman"/>
          <w:kern w:val="2"/>
          <w:sz w:val="28"/>
          <w:szCs w:val="28"/>
          <w:lang w:val="en-US" w:eastAsia="zh-CN" w:bidi="ar-SA"/>
        </w:rPr>
        <w:fldChar w:fldCharType="begin"/>
      </w:r>
      <w:r>
        <w:rPr>
          <w:rFonts w:hint="eastAsia" w:ascii="仿宋" w:hAnsi="Times New Roman" w:eastAsia="仿宋" w:cs="Times New Roman"/>
          <w:kern w:val="2"/>
          <w:sz w:val="28"/>
          <w:szCs w:val="28"/>
          <w:lang w:val="en-US" w:eastAsia="zh-CN" w:bidi="ar-SA"/>
        </w:rPr>
        <w:instrText xml:space="preserve"> HYPERLINK \l "_Toc15396613" </w:instrText>
      </w:r>
      <w:r>
        <w:rPr>
          <w:rFonts w:hint="eastAsia" w:ascii="仿宋" w:hAnsi="Times New Roman" w:eastAsia="仿宋" w:cs="Times New Roman"/>
          <w:kern w:val="2"/>
          <w:sz w:val="28"/>
          <w:szCs w:val="28"/>
          <w:lang w:val="en-US" w:eastAsia="zh-CN" w:bidi="ar-SA"/>
        </w:rPr>
        <w:fldChar w:fldCharType="separate"/>
      </w:r>
      <w:r>
        <w:rPr>
          <w:rFonts w:hint="eastAsia" w:ascii="仿宋" w:hAnsi="Times New Roman" w:eastAsia="仿宋" w:cs="Times New Roman"/>
          <w:kern w:val="2"/>
          <w:sz w:val="28"/>
          <w:szCs w:val="28"/>
          <w:lang w:val="en-US" w:eastAsia="zh-CN" w:bidi="ar-SA"/>
        </w:rPr>
        <w:t>第三部分 名词解释</w:t>
      </w:r>
      <w:r>
        <w:rPr>
          <w:rFonts w:hint="eastAsia" w:ascii="仿宋" w:hAnsi="Times New Roman" w:eastAsia="仿宋" w:cs="Times New Roman"/>
          <w:kern w:val="2"/>
          <w:sz w:val="28"/>
          <w:szCs w:val="28"/>
          <w:lang w:val="en-US" w:eastAsia="zh-CN" w:bidi="ar-SA"/>
        </w:rPr>
        <w:tab/>
      </w:r>
      <w:r>
        <w:rPr>
          <w:rFonts w:hint="eastAsia" w:ascii="仿宋" w:hAnsi="Times New Roman" w:eastAsia="仿宋" w:cs="Times New Roman"/>
          <w:kern w:val="2"/>
          <w:sz w:val="28"/>
          <w:szCs w:val="28"/>
          <w:lang w:val="en-US" w:eastAsia="zh-CN" w:bidi="ar-SA"/>
        </w:rPr>
        <w:fldChar w:fldCharType="end"/>
      </w:r>
      <w:r>
        <w:rPr>
          <w:rFonts w:hint="eastAsia" w:ascii="仿宋" w:hAnsi="Times New Roman" w:eastAsia="仿宋" w:cs="Times New Roman"/>
          <w:kern w:val="2"/>
          <w:sz w:val="28"/>
          <w:szCs w:val="28"/>
          <w:lang w:val="en-US" w:eastAsia="zh-CN" w:bidi="ar-SA"/>
        </w:rPr>
        <w:t>2</w:t>
      </w:r>
      <w:r>
        <w:rPr>
          <w:rFonts w:hint="eastAsia" w:cs="Times New Roman"/>
          <w:kern w:val="2"/>
          <w:sz w:val="28"/>
          <w:szCs w:val="28"/>
          <w:lang w:val="en-US" w:eastAsia="zh-CN" w:bidi="ar-SA"/>
        </w:rPr>
        <w:t>3</w:t>
      </w:r>
    </w:p>
    <w:p>
      <w:pPr>
        <w:pStyle w:val="15"/>
        <w:rPr>
          <w:rFonts w:hint="default" w:ascii="仿宋" w:hAnsi="Times New Roman" w:eastAsia="仿宋" w:cs="Times New Roman"/>
          <w:kern w:val="2"/>
          <w:sz w:val="28"/>
          <w:szCs w:val="28"/>
          <w:lang w:val="en-US" w:eastAsia="zh-CN" w:bidi="ar-SA"/>
        </w:rPr>
      </w:pPr>
      <w:r>
        <w:rPr>
          <w:rFonts w:hint="eastAsia" w:ascii="仿宋" w:hAnsi="Times New Roman" w:eastAsia="仿宋" w:cs="Times New Roman"/>
          <w:kern w:val="2"/>
          <w:sz w:val="28"/>
          <w:szCs w:val="28"/>
          <w:lang w:val="en-US" w:eastAsia="zh-CN" w:bidi="ar-SA"/>
        </w:rPr>
        <w:fldChar w:fldCharType="begin"/>
      </w:r>
      <w:r>
        <w:rPr>
          <w:rFonts w:hint="eastAsia" w:ascii="仿宋" w:hAnsi="Times New Roman" w:eastAsia="仿宋" w:cs="Times New Roman"/>
          <w:kern w:val="2"/>
          <w:sz w:val="28"/>
          <w:szCs w:val="28"/>
          <w:lang w:val="en-US" w:eastAsia="zh-CN" w:bidi="ar-SA"/>
        </w:rPr>
        <w:instrText xml:space="preserve"> HYPERLINK \l "_Toc15396614" </w:instrText>
      </w:r>
      <w:r>
        <w:rPr>
          <w:rFonts w:hint="eastAsia" w:ascii="仿宋" w:hAnsi="Times New Roman" w:eastAsia="仿宋" w:cs="Times New Roman"/>
          <w:kern w:val="2"/>
          <w:sz w:val="28"/>
          <w:szCs w:val="28"/>
          <w:lang w:val="en-US" w:eastAsia="zh-CN" w:bidi="ar-SA"/>
        </w:rPr>
        <w:fldChar w:fldCharType="separate"/>
      </w:r>
      <w:r>
        <w:rPr>
          <w:rFonts w:hint="eastAsia" w:ascii="仿宋" w:hAnsi="Times New Roman" w:eastAsia="仿宋" w:cs="Times New Roman"/>
          <w:kern w:val="2"/>
          <w:sz w:val="28"/>
          <w:szCs w:val="28"/>
          <w:lang w:val="en-US" w:eastAsia="zh-CN" w:bidi="ar-SA"/>
        </w:rPr>
        <w:t>第四部分 附件</w:t>
      </w:r>
      <w:r>
        <w:rPr>
          <w:rFonts w:hint="eastAsia" w:ascii="仿宋" w:hAnsi="Times New Roman" w:eastAsia="仿宋" w:cs="Times New Roman"/>
          <w:kern w:val="2"/>
          <w:sz w:val="28"/>
          <w:szCs w:val="28"/>
          <w:lang w:val="en-US" w:eastAsia="zh-CN" w:bidi="ar-SA"/>
        </w:rPr>
        <w:tab/>
      </w:r>
      <w:r>
        <w:rPr>
          <w:rFonts w:hint="eastAsia" w:ascii="仿宋" w:hAnsi="Times New Roman" w:eastAsia="仿宋" w:cs="Times New Roman"/>
          <w:kern w:val="2"/>
          <w:sz w:val="28"/>
          <w:szCs w:val="28"/>
          <w:lang w:val="en-US" w:eastAsia="zh-CN" w:bidi="ar-SA"/>
        </w:rPr>
        <w:fldChar w:fldCharType="end"/>
      </w:r>
      <w:r>
        <w:rPr>
          <w:rFonts w:hint="eastAsia" w:ascii="仿宋" w:hAnsi="Times New Roman" w:eastAsia="仿宋" w:cs="Times New Roman"/>
          <w:kern w:val="2"/>
          <w:sz w:val="28"/>
          <w:szCs w:val="28"/>
          <w:lang w:val="en-US" w:eastAsia="zh-CN" w:bidi="ar-SA"/>
        </w:rPr>
        <w:t>2</w:t>
      </w:r>
      <w:r>
        <w:rPr>
          <w:rFonts w:hint="eastAsia" w:cs="Times New Roman"/>
          <w:kern w:val="2"/>
          <w:sz w:val="28"/>
          <w:szCs w:val="28"/>
          <w:lang w:val="en-US" w:eastAsia="zh-CN" w:bidi="ar-SA"/>
        </w:rPr>
        <w:t>7</w:t>
      </w:r>
    </w:p>
    <w:p>
      <w:pPr>
        <w:pStyle w:val="18"/>
        <w:rPr>
          <w:rFonts w:hint="default" w:ascii="仿宋" w:hAnsi="Times New Roman" w:eastAsia="仿宋" w:cs="Times New Roman"/>
          <w:kern w:val="2"/>
          <w:sz w:val="28"/>
          <w:szCs w:val="28"/>
          <w:lang w:val="en-US" w:eastAsia="zh-CN" w:bidi="ar-SA"/>
        </w:rPr>
      </w:pPr>
      <w:r>
        <w:rPr>
          <w:rFonts w:hint="eastAsia" w:ascii="仿宋" w:hAnsi="Times New Roman" w:eastAsia="仿宋" w:cs="Times New Roman"/>
          <w:kern w:val="2"/>
          <w:sz w:val="28"/>
          <w:szCs w:val="28"/>
          <w:lang w:val="en-US" w:eastAsia="zh-CN" w:bidi="ar-SA"/>
        </w:rPr>
        <w:fldChar w:fldCharType="begin"/>
      </w:r>
      <w:r>
        <w:rPr>
          <w:rFonts w:hint="eastAsia" w:ascii="仿宋" w:hAnsi="Times New Roman" w:eastAsia="仿宋" w:cs="Times New Roman"/>
          <w:kern w:val="2"/>
          <w:sz w:val="28"/>
          <w:szCs w:val="28"/>
          <w:lang w:val="en-US" w:eastAsia="zh-CN" w:bidi="ar-SA"/>
        </w:rPr>
        <w:instrText xml:space="preserve"> HYPERLINK \l "_Toc15396615" </w:instrText>
      </w:r>
      <w:r>
        <w:rPr>
          <w:rFonts w:hint="eastAsia" w:ascii="仿宋" w:hAnsi="Times New Roman" w:eastAsia="仿宋" w:cs="Times New Roman"/>
          <w:kern w:val="2"/>
          <w:sz w:val="28"/>
          <w:szCs w:val="28"/>
          <w:lang w:val="en-US" w:eastAsia="zh-CN" w:bidi="ar-SA"/>
        </w:rPr>
        <w:fldChar w:fldCharType="separate"/>
      </w:r>
      <w:r>
        <w:rPr>
          <w:rFonts w:hint="eastAsia" w:ascii="仿宋" w:hAnsi="Times New Roman" w:eastAsia="仿宋" w:cs="Times New Roman"/>
          <w:kern w:val="2"/>
          <w:sz w:val="28"/>
          <w:szCs w:val="28"/>
          <w:lang w:val="en-US" w:eastAsia="zh-CN" w:bidi="ar-SA"/>
        </w:rPr>
        <w:t>附件1</w:t>
      </w:r>
      <w:r>
        <w:rPr>
          <w:rFonts w:hint="eastAsia" w:ascii="仿宋" w:hAnsi="Times New Roman" w:eastAsia="仿宋" w:cs="Times New Roman"/>
          <w:kern w:val="2"/>
          <w:sz w:val="28"/>
          <w:szCs w:val="28"/>
          <w:lang w:val="en-US" w:eastAsia="zh-CN" w:bidi="ar-SA"/>
        </w:rPr>
        <w:tab/>
      </w:r>
      <w:r>
        <w:rPr>
          <w:rFonts w:hint="eastAsia" w:ascii="仿宋" w:hAnsi="Times New Roman" w:eastAsia="仿宋" w:cs="Times New Roman"/>
          <w:kern w:val="2"/>
          <w:sz w:val="28"/>
          <w:szCs w:val="28"/>
          <w:lang w:val="en-US" w:eastAsia="zh-CN" w:bidi="ar-SA"/>
        </w:rPr>
        <w:fldChar w:fldCharType="end"/>
      </w:r>
      <w:r>
        <w:rPr>
          <w:rFonts w:hint="eastAsia" w:ascii="仿宋" w:hAnsi="Times New Roman" w:eastAsia="仿宋" w:cs="Times New Roman"/>
          <w:kern w:val="2"/>
          <w:sz w:val="28"/>
          <w:szCs w:val="28"/>
          <w:lang w:val="en-US" w:eastAsia="zh-CN" w:bidi="ar-SA"/>
        </w:rPr>
        <w:t>2</w:t>
      </w:r>
      <w:r>
        <w:rPr>
          <w:rFonts w:hint="eastAsia" w:ascii="仿宋" w:eastAsia="仿宋" w:cs="Times New Roman"/>
          <w:kern w:val="2"/>
          <w:sz w:val="28"/>
          <w:szCs w:val="28"/>
          <w:lang w:val="en-US" w:eastAsia="zh-CN" w:bidi="ar-SA"/>
        </w:rPr>
        <w:t>7</w:t>
      </w:r>
    </w:p>
    <w:p>
      <w:pPr>
        <w:pStyle w:val="15"/>
        <w:rPr>
          <w:rFonts w:hint="default" w:ascii="仿宋" w:hAnsi="Times New Roman" w:eastAsia="仿宋" w:cs="Times New Roman"/>
          <w:kern w:val="2"/>
          <w:sz w:val="28"/>
          <w:szCs w:val="28"/>
          <w:lang w:val="en-US" w:eastAsia="zh-CN" w:bidi="ar-SA"/>
        </w:rPr>
      </w:pPr>
      <w:r>
        <w:rPr>
          <w:rFonts w:hint="eastAsia" w:ascii="仿宋" w:hAnsi="Times New Roman" w:eastAsia="仿宋" w:cs="Times New Roman"/>
          <w:kern w:val="2"/>
          <w:sz w:val="28"/>
          <w:szCs w:val="28"/>
          <w:lang w:val="en-US" w:eastAsia="zh-CN" w:bidi="ar-SA"/>
        </w:rPr>
        <w:fldChar w:fldCharType="begin"/>
      </w:r>
      <w:r>
        <w:rPr>
          <w:rFonts w:hint="eastAsia" w:ascii="仿宋" w:hAnsi="Times New Roman" w:eastAsia="仿宋" w:cs="Times New Roman"/>
          <w:kern w:val="2"/>
          <w:sz w:val="28"/>
          <w:szCs w:val="28"/>
          <w:lang w:val="en-US" w:eastAsia="zh-CN" w:bidi="ar-SA"/>
        </w:rPr>
        <w:instrText xml:space="preserve"> HYPERLINK \l "_Toc15396618" </w:instrText>
      </w:r>
      <w:r>
        <w:rPr>
          <w:rFonts w:hint="eastAsia" w:ascii="仿宋" w:hAnsi="Times New Roman" w:eastAsia="仿宋" w:cs="Times New Roman"/>
          <w:kern w:val="2"/>
          <w:sz w:val="28"/>
          <w:szCs w:val="28"/>
          <w:lang w:val="en-US" w:eastAsia="zh-CN" w:bidi="ar-SA"/>
        </w:rPr>
        <w:fldChar w:fldCharType="separate"/>
      </w:r>
      <w:r>
        <w:rPr>
          <w:rFonts w:hint="eastAsia" w:ascii="仿宋" w:hAnsi="Times New Roman" w:eastAsia="仿宋" w:cs="Times New Roman"/>
          <w:kern w:val="2"/>
          <w:sz w:val="28"/>
          <w:szCs w:val="28"/>
          <w:lang w:val="en-US" w:eastAsia="zh-CN" w:bidi="ar-SA"/>
        </w:rPr>
        <w:t>第五部分 附表</w:t>
      </w:r>
      <w:r>
        <w:rPr>
          <w:rFonts w:hint="eastAsia" w:ascii="仿宋" w:hAnsi="Times New Roman" w:eastAsia="仿宋" w:cs="Times New Roman"/>
          <w:kern w:val="2"/>
          <w:sz w:val="28"/>
          <w:szCs w:val="28"/>
          <w:lang w:val="en-US" w:eastAsia="zh-CN" w:bidi="ar-SA"/>
        </w:rPr>
        <w:tab/>
      </w:r>
      <w:r>
        <w:rPr>
          <w:rFonts w:hint="eastAsia" w:cs="Times New Roman"/>
          <w:kern w:val="2"/>
          <w:sz w:val="28"/>
          <w:szCs w:val="28"/>
          <w:lang w:val="en-US" w:eastAsia="zh-CN" w:bidi="ar-SA"/>
        </w:rPr>
        <w:t>3</w:t>
      </w:r>
      <w:r>
        <w:rPr>
          <w:rFonts w:hint="eastAsia" w:ascii="仿宋" w:hAnsi="Times New Roman" w:eastAsia="仿宋" w:cs="Times New Roman"/>
          <w:kern w:val="2"/>
          <w:sz w:val="28"/>
          <w:szCs w:val="28"/>
          <w:lang w:val="en-US" w:eastAsia="zh-CN" w:bidi="ar-SA"/>
        </w:rPr>
        <w:fldChar w:fldCharType="end"/>
      </w:r>
      <w:r>
        <w:rPr>
          <w:rFonts w:hint="eastAsia" w:cs="Times New Roman"/>
          <w:kern w:val="2"/>
          <w:sz w:val="28"/>
          <w:szCs w:val="28"/>
          <w:lang w:val="en-US" w:eastAsia="zh-CN" w:bidi="ar-SA"/>
        </w:rPr>
        <w:t>3</w:t>
      </w:r>
    </w:p>
    <w:p>
      <w:pPr>
        <w:pStyle w:val="18"/>
        <w:rPr>
          <w:rFonts w:hint="eastAsia" w:ascii="仿宋" w:eastAsia="仿宋" w:cs="Arial"/>
          <w:sz w:val="28"/>
          <w:szCs w:val="28"/>
          <w:lang w:val="en-US" w:eastAsia="zh-CN"/>
        </w:rPr>
      </w:pPr>
      <w:r>
        <w:rPr>
          <w:rFonts w:hint="eastAsia" w:ascii="仿宋" w:hAnsi="Times New Roman" w:eastAsia="仿宋" w:cs="Times New Roman"/>
          <w:kern w:val="2"/>
          <w:sz w:val="28"/>
          <w:szCs w:val="28"/>
          <w:lang w:val="en-US" w:eastAsia="zh-CN" w:bidi="ar-SA"/>
        </w:rPr>
        <w:fldChar w:fldCharType="end"/>
      </w: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w:t>
      </w:r>
      <w:r>
        <w:rPr>
          <w:rFonts w:hint="eastAsia" w:ascii="仿宋" w:eastAsia="仿宋"/>
          <w:sz w:val="28"/>
          <w:szCs w:val="28"/>
          <w:lang w:val="en-US" w:eastAsia="zh-CN"/>
        </w:rPr>
        <w:t>决算总表...................................3</w:t>
      </w:r>
      <w:r>
        <w:rPr>
          <w:rFonts w:ascii="仿宋" w:eastAsia="仿宋"/>
          <w:sz w:val="28"/>
          <w:szCs w:val="28"/>
        </w:rPr>
        <w:fldChar w:fldCharType="end"/>
      </w:r>
      <w:r>
        <w:rPr>
          <w:rFonts w:hint="eastAsia" w:ascii="仿宋" w:eastAsia="仿宋"/>
          <w:sz w:val="28"/>
          <w:szCs w:val="28"/>
          <w:lang w:val="en-US" w:eastAsia="zh-CN"/>
        </w:rPr>
        <w:t>3</w:t>
      </w:r>
    </w:p>
    <w:p>
      <w:pPr>
        <w:pStyle w:val="18"/>
        <w:rPr>
          <w:rFonts w:hint="default" w:ascii="仿宋" w:eastAsia="仿宋"/>
          <w:sz w:val="28"/>
          <w:szCs w:val="28"/>
          <w:lang w:val="en-US" w:eastAsia="zh-CN"/>
        </w:rPr>
      </w:pPr>
      <w:r>
        <w:rPr>
          <w:rFonts w:hint="eastAsia" w:ascii="仿宋" w:eastAsia="仿宋"/>
          <w:sz w:val="28"/>
          <w:szCs w:val="28"/>
        </w:rPr>
        <w:t>二、</w:t>
      </w:r>
      <w:r>
        <w:rPr>
          <w:rFonts w:hint="eastAsia" w:ascii="仿宋" w:eastAsia="仿宋"/>
          <w:sz w:val="28"/>
          <w:szCs w:val="28"/>
        </w:rPr>
        <w:fldChar w:fldCharType="begin"/>
      </w:r>
      <w:r>
        <w:rPr>
          <w:rFonts w:hint="eastAsia" w:ascii="仿宋" w:eastAsia="仿宋"/>
          <w:sz w:val="28"/>
          <w:szCs w:val="28"/>
        </w:rPr>
        <w:instrText xml:space="preserve"> HYPERLINK \l "_Toc15396620" </w:instrText>
      </w:r>
      <w:r>
        <w:rPr>
          <w:rFonts w:hint="eastAsia" w:ascii="仿宋" w:eastAsia="仿宋"/>
          <w:sz w:val="28"/>
          <w:szCs w:val="28"/>
        </w:rPr>
        <w:fldChar w:fldCharType="separate"/>
      </w:r>
      <w:r>
        <w:rPr>
          <w:rFonts w:hint="eastAsia" w:ascii="仿宋" w:eastAsia="仿宋"/>
          <w:sz w:val="28"/>
          <w:szCs w:val="28"/>
        </w:rPr>
        <w:t>收入决算表</w:t>
      </w:r>
      <w:r>
        <w:rPr>
          <w:rFonts w:hint="eastAsia" w:ascii="仿宋" w:eastAsia="仿宋"/>
          <w:sz w:val="28"/>
          <w:szCs w:val="28"/>
          <w:lang w:val="en-US" w:eastAsia="zh-CN"/>
        </w:rPr>
        <w:t>.</w:t>
      </w:r>
      <w:r>
        <w:rPr>
          <w:rFonts w:hint="eastAsia" w:ascii="仿宋" w:eastAsia="仿宋"/>
          <w:sz w:val="28"/>
          <w:szCs w:val="28"/>
        </w:rPr>
        <w:fldChar w:fldCharType="end"/>
      </w:r>
      <w:r>
        <w:rPr>
          <w:rFonts w:hint="eastAsia" w:ascii="仿宋" w:eastAsia="仿宋"/>
          <w:sz w:val="28"/>
          <w:szCs w:val="28"/>
          <w:lang w:val="en-US" w:eastAsia="zh-CN"/>
        </w:rPr>
        <w:t>.......................................33</w:t>
      </w:r>
    </w:p>
    <w:p>
      <w:pPr>
        <w:pStyle w:val="18"/>
        <w:rPr>
          <w:rFonts w:hint="default" w:ascii="仿宋" w:eastAsia="仿宋"/>
          <w:sz w:val="28"/>
          <w:szCs w:val="28"/>
          <w:lang w:val="en-US" w:eastAsia="zh-CN"/>
        </w:rPr>
      </w:pPr>
      <w:r>
        <w:rPr>
          <w:rFonts w:hint="eastAsia" w:ascii="仿宋" w:eastAsia="仿宋"/>
          <w:sz w:val="28"/>
          <w:szCs w:val="28"/>
          <w:lang w:val="en-US" w:eastAsia="zh-CN"/>
        </w:rPr>
        <w:t>三、</w:t>
      </w:r>
      <w:r>
        <w:rPr>
          <w:rFonts w:hint="eastAsia" w:ascii="仿宋" w:eastAsia="仿宋"/>
          <w:sz w:val="28"/>
          <w:szCs w:val="28"/>
          <w:lang w:val="en-US" w:eastAsia="zh-CN"/>
        </w:rPr>
        <w:fldChar w:fldCharType="begin"/>
      </w:r>
      <w:r>
        <w:rPr>
          <w:rFonts w:hint="eastAsia" w:ascii="仿宋" w:eastAsia="仿宋"/>
          <w:sz w:val="28"/>
          <w:szCs w:val="28"/>
          <w:lang w:val="en-US" w:eastAsia="zh-CN"/>
        </w:rPr>
        <w:instrText xml:space="preserve"> HYPERLINK \l "_Toc15396621" </w:instrText>
      </w:r>
      <w:r>
        <w:rPr>
          <w:rFonts w:hint="eastAsia" w:ascii="仿宋" w:eastAsia="仿宋"/>
          <w:sz w:val="28"/>
          <w:szCs w:val="28"/>
          <w:lang w:val="en-US" w:eastAsia="zh-CN"/>
        </w:rPr>
        <w:fldChar w:fldCharType="separate"/>
      </w:r>
      <w:r>
        <w:rPr>
          <w:rFonts w:hint="eastAsia" w:ascii="仿宋" w:eastAsia="仿宋"/>
          <w:sz w:val="28"/>
          <w:szCs w:val="28"/>
          <w:lang w:val="en-US" w:eastAsia="zh-CN"/>
        </w:rPr>
        <w:t>支出决算表........................................3</w:t>
      </w:r>
      <w:r>
        <w:rPr>
          <w:rFonts w:hint="eastAsia" w:ascii="仿宋" w:eastAsia="仿宋"/>
          <w:sz w:val="28"/>
          <w:szCs w:val="28"/>
          <w:lang w:val="en-US" w:eastAsia="zh-CN"/>
        </w:rPr>
        <w:fldChar w:fldCharType="end"/>
      </w:r>
      <w:r>
        <w:rPr>
          <w:rFonts w:hint="eastAsia" w:ascii="仿宋" w:eastAsia="仿宋"/>
          <w:sz w:val="28"/>
          <w:szCs w:val="28"/>
          <w:lang w:val="en-US" w:eastAsia="zh-CN"/>
        </w:rPr>
        <w:t>3</w:t>
      </w:r>
    </w:p>
    <w:p>
      <w:pPr>
        <w:pStyle w:val="18"/>
        <w:rPr>
          <w:rFonts w:hint="eastAsia" w:ascii="仿宋" w:eastAsia="仿宋"/>
          <w:sz w:val="28"/>
          <w:szCs w:val="28"/>
          <w:lang w:val="en-US" w:eastAsia="zh-CN"/>
        </w:rPr>
      </w:pPr>
      <w:r>
        <w:rPr>
          <w:rFonts w:hint="eastAsia" w:ascii="仿宋" w:eastAsia="仿宋"/>
          <w:sz w:val="28"/>
          <w:szCs w:val="28"/>
          <w:lang w:val="en-US" w:eastAsia="zh-CN"/>
        </w:rPr>
        <w:t>四、</w:t>
      </w:r>
      <w:r>
        <w:rPr>
          <w:rFonts w:hint="eastAsia" w:ascii="仿宋" w:eastAsia="仿宋"/>
          <w:sz w:val="28"/>
          <w:szCs w:val="28"/>
          <w:lang w:val="en-US" w:eastAsia="zh-CN"/>
        </w:rPr>
        <w:fldChar w:fldCharType="begin"/>
      </w:r>
      <w:r>
        <w:rPr>
          <w:rFonts w:hint="eastAsia" w:ascii="仿宋" w:eastAsia="仿宋"/>
          <w:sz w:val="28"/>
          <w:szCs w:val="28"/>
          <w:lang w:val="en-US" w:eastAsia="zh-CN"/>
        </w:rPr>
        <w:instrText xml:space="preserve"> HYPERLINK \l "_Toc15396622" </w:instrText>
      </w:r>
      <w:r>
        <w:rPr>
          <w:rFonts w:hint="eastAsia" w:ascii="仿宋" w:eastAsia="仿宋"/>
          <w:sz w:val="28"/>
          <w:szCs w:val="28"/>
          <w:lang w:val="en-US" w:eastAsia="zh-CN"/>
        </w:rPr>
        <w:fldChar w:fldCharType="separate"/>
      </w:r>
      <w:r>
        <w:rPr>
          <w:rFonts w:hint="eastAsia" w:ascii="仿宋" w:eastAsia="仿宋"/>
          <w:sz w:val="28"/>
          <w:szCs w:val="28"/>
          <w:lang w:val="en-US" w:eastAsia="zh-CN"/>
        </w:rPr>
        <w:t>财政拨款收入支出决算总表...........................3</w:t>
      </w:r>
      <w:r>
        <w:rPr>
          <w:rFonts w:hint="eastAsia" w:ascii="仿宋" w:eastAsia="仿宋"/>
          <w:sz w:val="28"/>
          <w:szCs w:val="28"/>
          <w:lang w:val="en-US" w:eastAsia="zh-CN"/>
        </w:rPr>
        <w:fldChar w:fldCharType="end"/>
      </w:r>
      <w:r>
        <w:rPr>
          <w:rFonts w:hint="eastAsia" w:ascii="仿宋" w:eastAsia="仿宋"/>
          <w:sz w:val="28"/>
          <w:szCs w:val="28"/>
          <w:lang w:val="en-US" w:eastAsia="zh-CN"/>
        </w:rPr>
        <w:t>3</w:t>
      </w:r>
    </w:p>
    <w:p>
      <w:pPr>
        <w:pStyle w:val="18"/>
        <w:rPr>
          <w:rFonts w:hint="eastAsia" w:ascii="仿宋" w:eastAsia="仿宋"/>
          <w:sz w:val="28"/>
          <w:szCs w:val="28"/>
          <w:lang w:val="en-US" w:eastAsia="zh-CN"/>
        </w:rPr>
      </w:pPr>
      <w:r>
        <w:rPr>
          <w:rFonts w:hint="eastAsia" w:ascii="仿宋" w:eastAsia="仿宋"/>
          <w:sz w:val="28"/>
          <w:szCs w:val="28"/>
          <w:lang w:val="en-US" w:eastAsia="zh-CN"/>
        </w:rPr>
        <w:t>五、财政拨款</w:t>
      </w:r>
      <w:r>
        <w:rPr>
          <w:rFonts w:hint="eastAsia" w:ascii="仿宋" w:eastAsia="仿宋"/>
          <w:sz w:val="28"/>
          <w:szCs w:val="28"/>
          <w:lang w:val="en-US" w:eastAsia="zh-CN"/>
        </w:rPr>
        <w:fldChar w:fldCharType="begin"/>
      </w:r>
      <w:r>
        <w:rPr>
          <w:rFonts w:hint="eastAsia" w:ascii="仿宋" w:eastAsia="仿宋"/>
          <w:sz w:val="28"/>
          <w:szCs w:val="28"/>
          <w:lang w:val="en-US" w:eastAsia="zh-CN"/>
        </w:rPr>
        <w:instrText xml:space="preserve"> HYPERLINK \l "_Toc15396623" </w:instrText>
      </w:r>
      <w:r>
        <w:rPr>
          <w:rFonts w:hint="eastAsia" w:ascii="仿宋" w:eastAsia="仿宋"/>
          <w:sz w:val="28"/>
          <w:szCs w:val="28"/>
          <w:lang w:val="en-US" w:eastAsia="zh-CN"/>
        </w:rPr>
        <w:fldChar w:fldCharType="separate"/>
      </w:r>
      <w:r>
        <w:rPr>
          <w:rFonts w:hint="eastAsia" w:ascii="仿宋" w:eastAsia="仿宋"/>
          <w:sz w:val="28"/>
          <w:szCs w:val="28"/>
          <w:lang w:val="en-US" w:eastAsia="zh-CN"/>
        </w:rPr>
        <w:t>支出决算明细表.............................3</w:t>
      </w:r>
      <w:r>
        <w:rPr>
          <w:rFonts w:hint="eastAsia" w:ascii="仿宋" w:eastAsia="仿宋"/>
          <w:sz w:val="28"/>
          <w:szCs w:val="28"/>
          <w:lang w:val="en-US" w:eastAsia="zh-CN"/>
        </w:rPr>
        <w:fldChar w:fldCharType="end"/>
      </w:r>
      <w:r>
        <w:rPr>
          <w:rFonts w:hint="eastAsia" w:ascii="仿宋" w:eastAsia="仿宋"/>
          <w:sz w:val="28"/>
          <w:szCs w:val="28"/>
          <w:lang w:val="en-US" w:eastAsia="zh-CN"/>
        </w:rPr>
        <w:t>3</w:t>
      </w:r>
    </w:p>
    <w:p>
      <w:pPr>
        <w:pStyle w:val="18"/>
        <w:rPr>
          <w:rFonts w:hint="eastAsia" w:ascii="仿宋" w:eastAsia="仿宋"/>
          <w:sz w:val="28"/>
          <w:szCs w:val="28"/>
          <w:lang w:val="en-US" w:eastAsia="zh-CN"/>
        </w:rPr>
      </w:pPr>
      <w:r>
        <w:rPr>
          <w:rFonts w:hint="eastAsia" w:ascii="仿宋" w:eastAsia="仿宋"/>
          <w:sz w:val="28"/>
          <w:szCs w:val="28"/>
          <w:lang w:val="en-US" w:eastAsia="zh-CN"/>
        </w:rPr>
        <w:t>六、</w:t>
      </w:r>
      <w:r>
        <w:rPr>
          <w:rFonts w:hint="eastAsia" w:ascii="仿宋" w:eastAsia="仿宋"/>
          <w:sz w:val="28"/>
          <w:szCs w:val="28"/>
          <w:lang w:val="en-US" w:eastAsia="zh-CN"/>
        </w:rPr>
        <w:fldChar w:fldCharType="begin"/>
      </w:r>
      <w:r>
        <w:rPr>
          <w:rFonts w:hint="eastAsia" w:ascii="仿宋" w:eastAsia="仿宋"/>
          <w:sz w:val="28"/>
          <w:szCs w:val="28"/>
          <w:lang w:val="en-US" w:eastAsia="zh-CN"/>
        </w:rPr>
        <w:instrText xml:space="preserve"> HYPERLINK \l "_Toc15396625" </w:instrText>
      </w:r>
      <w:r>
        <w:rPr>
          <w:rFonts w:hint="eastAsia" w:ascii="仿宋" w:eastAsia="仿宋"/>
          <w:sz w:val="28"/>
          <w:szCs w:val="28"/>
          <w:lang w:val="en-US" w:eastAsia="zh-CN"/>
        </w:rPr>
        <w:fldChar w:fldCharType="separate"/>
      </w:r>
      <w:r>
        <w:rPr>
          <w:rFonts w:hint="eastAsia" w:ascii="仿宋" w:eastAsia="仿宋"/>
          <w:sz w:val="28"/>
          <w:szCs w:val="28"/>
          <w:lang w:val="en-US" w:eastAsia="zh-CN"/>
        </w:rPr>
        <w:t>一般公共预算财政拨款支出决算表....................3</w:t>
      </w:r>
      <w:r>
        <w:rPr>
          <w:rFonts w:hint="eastAsia" w:ascii="仿宋" w:eastAsia="仿宋"/>
          <w:sz w:val="28"/>
          <w:szCs w:val="28"/>
          <w:lang w:val="en-US" w:eastAsia="zh-CN"/>
        </w:rPr>
        <w:fldChar w:fldCharType="end"/>
      </w:r>
      <w:r>
        <w:rPr>
          <w:rFonts w:hint="eastAsia" w:ascii="仿宋" w:eastAsia="仿宋"/>
          <w:sz w:val="28"/>
          <w:szCs w:val="28"/>
          <w:lang w:val="en-US" w:eastAsia="zh-CN"/>
        </w:rPr>
        <w:t>3</w:t>
      </w:r>
    </w:p>
    <w:p>
      <w:pPr>
        <w:pStyle w:val="18"/>
        <w:rPr>
          <w:rFonts w:hint="eastAsia" w:ascii="仿宋" w:eastAsia="仿宋"/>
          <w:sz w:val="28"/>
          <w:szCs w:val="28"/>
          <w:lang w:val="en-US" w:eastAsia="zh-CN"/>
        </w:rPr>
      </w:pPr>
      <w:r>
        <w:rPr>
          <w:rFonts w:hint="eastAsia" w:ascii="仿宋" w:eastAsia="仿宋"/>
          <w:sz w:val="28"/>
          <w:szCs w:val="28"/>
          <w:lang w:val="en-US" w:eastAsia="zh-CN"/>
        </w:rPr>
        <w:t>七、</w:t>
      </w:r>
      <w:r>
        <w:rPr>
          <w:rFonts w:hint="eastAsia" w:ascii="仿宋" w:eastAsia="仿宋"/>
          <w:sz w:val="28"/>
          <w:szCs w:val="28"/>
          <w:lang w:val="en-US" w:eastAsia="zh-CN"/>
        </w:rPr>
        <w:fldChar w:fldCharType="begin"/>
      </w:r>
      <w:r>
        <w:rPr>
          <w:rFonts w:hint="eastAsia" w:ascii="仿宋" w:eastAsia="仿宋"/>
          <w:sz w:val="28"/>
          <w:szCs w:val="28"/>
          <w:lang w:val="en-US" w:eastAsia="zh-CN"/>
        </w:rPr>
        <w:instrText xml:space="preserve"> HYPERLINK \l "_Toc15396626" </w:instrText>
      </w:r>
      <w:r>
        <w:rPr>
          <w:rFonts w:hint="eastAsia" w:ascii="仿宋" w:eastAsia="仿宋"/>
          <w:sz w:val="28"/>
          <w:szCs w:val="28"/>
          <w:lang w:val="en-US" w:eastAsia="zh-CN"/>
        </w:rPr>
        <w:fldChar w:fldCharType="separate"/>
      </w:r>
      <w:r>
        <w:rPr>
          <w:rFonts w:hint="eastAsia" w:ascii="仿宋" w:eastAsia="仿宋"/>
          <w:sz w:val="28"/>
          <w:szCs w:val="28"/>
          <w:lang w:val="en-US" w:eastAsia="zh-CN"/>
        </w:rPr>
        <w:t>一般公共预算财政拨款基本支出决算明细表.............3</w:t>
      </w:r>
      <w:r>
        <w:rPr>
          <w:rFonts w:hint="eastAsia" w:ascii="仿宋" w:eastAsia="仿宋"/>
          <w:sz w:val="28"/>
          <w:szCs w:val="28"/>
          <w:lang w:val="en-US" w:eastAsia="zh-CN"/>
        </w:rPr>
        <w:fldChar w:fldCharType="end"/>
      </w:r>
      <w:r>
        <w:rPr>
          <w:rFonts w:hint="eastAsia" w:ascii="仿宋" w:eastAsia="仿宋"/>
          <w:sz w:val="28"/>
          <w:szCs w:val="28"/>
          <w:lang w:val="en-US" w:eastAsia="zh-CN"/>
        </w:rPr>
        <w:t>3</w:t>
      </w:r>
    </w:p>
    <w:p>
      <w:pPr>
        <w:pStyle w:val="18"/>
        <w:rPr>
          <w:rFonts w:hint="eastAsia" w:ascii="仿宋" w:eastAsia="仿宋"/>
          <w:sz w:val="28"/>
          <w:szCs w:val="28"/>
          <w:lang w:val="en-US" w:eastAsia="zh-CN"/>
        </w:rPr>
      </w:pPr>
      <w:r>
        <w:rPr>
          <w:rFonts w:hint="eastAsia" w:ascii="仿宋" w:eastAsia="仿宋"/>
          <w:sz w:val="28"/>
          <w:szCs w:val="28"/>
          <w:lang w:val="en-US" w:eastAsia="zh-CN"/>
        </w:rPr>
        <w:t>八、</w:t>
      </w:r>
      <w:r>
        <w:rPr>
          <w:rFonts w:hint="eastAsia" w:ascii="仿宋" w:eastAsia="仿宋"/>
          <w:sz w:val="28"/>
          <w:szCs w:val="28"/>
          <w:lang w:val="en-US" w:eastAsia="zh-CN"/>
        </w:rPr>
        <w:fldChar w:fldCharType="begin"/>
      </w:r>
      <w:r>
        <w:rPr>
          <w:rFonts w:hint="eastAsia" w:ascii="仿宋" w:eastAsia="仿宋"/>
          <w:sz w:val="28"/>
          <w:szCs w:val="28"/>
          <w:lang w:val="en-US" w:eastAsia="zh-CN"/>
        </w:rPr>
        <w:instrText xml:space="preserve"> HYPERLINK \l "_Toc15396626" </w:instrText>
      </w:r>
      <w:r>
        <w:rPr>
          <w:rFonts w:hint="eastAsia" w:ascii="仿宋" w:eastAsia="仿宋"/>
          <w:sz w:val="28"/>
          <w:szCs w:val="28"/>
          <w:lang w:val="en-US" w:eastAsia="zh-CN"/>
        </w:rPr>
        <w:fldChar w:fldCharType="separate"/>
      </w:r>
      <w:r>
        <w:rPr>
          <w:rFonts w:hint="eastAsia" w:ascii="仿宋" w:eastAsia="仿宋"/>
          <w:sz w:val="28"/>
          <w:szCs w:val="28"/>
          <w:lang w:val="en-US" w:eastAsia="zh-CN"/>
        </w:rPr>
        <w:t>一般公共预算财政拨款基本支出决算表................3</w:t>
      </w:r>
      <w:r>
        <w:rPr>
          <w:rFonts w:hint="eastAsia" w:ascii="仿宋" w:eastAsia="仿宋"/>
          <w:sz w:val="28"/>
          <w:szCs w:val="28"/>
          <w:lang w:val="en-US" w:eastAsia="zh-CN"/>
        </w:rPr>
        <w:fldChar w:fldCharType="end"/>
      </w:r>
      <w:r>
        <w:rPr>
          <w:rFonts w:hint="eastAsia" w:ascii="仿宋" w:eastAsia="仿宋"/>
          <w:sz w:val="28"/>
          <w:szCs w:val="28"/>
          <w:lang w:val="en-US" w:eastAsia="zh-CN"/>
        </w:rPr>
        <w:t>3</w:t>
      </w:r>
    </w:p>
    <w:p>
      <w:pPr>
        <w:pStyle w:val="18"/>
        <w:rPr>
          <w:rFonts w:hint="eastAsia"/>
          <w:lang w:val="en-US" w:eastAsia="zh-CN"/>
        </w:rPr>
      </w:pPr>
      <w:r>
        <w:rPr>
          <w:rFonts w:hint="eastAsia" w:ascii="仿宋" w:eastAsia="仿宋"/>
          <w:sz w:val="28"/>
          <w:szCs w:val="28"/>
          <w:lang w:val="en-US" w:eastAsia="zh-CN"/>
        </w:rPr>
        <w:t>九、</w:t>
      </w:r>
      <w:r>
        <w:rPr>
          <w:rFonts w:hint="eastAsia" w:ascii="仿宋" w:eastAsia="仿宋"/>
          <w:sz w:val="28"/>
          <w:szCs w:val="28"/>
          <w:lang w:val="en-US" w:eastAsia="zh-CN"/>
        </w:rPr>
        <w:fldChar w:fldCharType="begin"/>
      </w:r>
      <w:r>
        <w:rPr>
          <w:rFonts w:hint="eastAsia" w:ascii="仿宋" w:eastAsia="仿宋"/>
          <w:sz w:val="28"/>
          <w:szCs w:val="28"/>
          <w:lang w:val="en-US" w:eastAsia="zh-CN"/>
        </w:rPr>
        <w:instrText xml:space="preserve"> HYPERLINK \l "_Toc15396626" </w:instrText>
      </w:r>
      <w:r>
        <w:rPr>
          <w:rFonts w:hint="eastAsia" w:ascii="仿宋" w:eastAsia="仿宋"/>
          <w:sz w:val="28"/>
          <w:szCs w:val="28"/>
          <w:lang w:val="en-US" w:eastAsia="zh-CN"/>
        </w:rPr>
        <w:fldChar w:fldCharType="separate"/>
      </w:r>
      <w:r>
        <w:rPr>
          <w:rFonts w:hint="eastAsia" w:ascii="仿宋" w:eastAsia="仿宋"/>
          <w:sz w:val="28"/>
          <w:szCs w:val="28"/>
          <w:lang w:val="en-US" w:eastAsia="zh-CN"/>
        </w:rPr>
        <w:t>一般公共预算财政拨款项目支出决算表................3</w:t>
      </w:r>
      <w:r>
        <w:rPr>
          <w:rFonts w:hint="eastAsia" w:ascii="仿宋" w:eastAsia="仿宋"/>
          <w:sz w:val="28"/>
          <w:szCs w:val="28"/>
          <w:lang w:val="en-US" w:eastAsia="zh-CN"/>
        </w:rPr>
        <w:fldChar w:fldCharType="end"/>
      </w:r>
      <w:r>
        <w:rPr>
          <w:rFonts w:hint="eastAsia" w:ascii="仿宋" w:eastAsia="仿宋"/>
          <w:sz w:val="28"/>
          <w:szCs w:val="28"/>
          <w:lang w:val="en-US" w:eastAsia="zh-CN"/>
        </w:rPr>
        <w:t>3</w:t>
      </w:r>
    </w:p>
    <w:p>
      <w:pPr>
        <w:pStyle w:val="18"/>
        <w:rPr>
          <w:rFonts w:hint="default" w:ascii="仿宋" w:eastAsia="仿宋"/>
          <w:sz w:val="28"/>
          <w:szCs w:val="28"/>
          <w:lang w:val="en-US" w:eastAsia="zh-CN"/>
        </w:rPr>
      </w:pPr>
      <w:r>
        <w:rPr>
          <w:rFonts w:hint="eastAsia" w:ascii="仿宋" w:eastAsia="仿宋"/>
          <w:sz w:val="28"/>
          <w:szCs w:val="28"/>
          <w:lang w:val="en-US" w:eastAsia="zh-CN"/>
        </w:rPr>
        <w:t>十、</w:t>
      </w:r>
      <w:r>
        <w:rPr>
          <w:rFonts w:hint="eastAsia" w:ascii="仿宋" w:eastAsia="仿宋"/>
          <w:sz w:val="28"/>
          <w:szCs w:val="28"/>
          <w:lang w:val="en-US" w:eastAsia="zh-CN"/>
        </w:rPr>
        <w:fldChar w:fldCharType="begin"/>
      </w:r>
      <w:r>
        <w:rPr>
          <w:rFonts w:hint="eastAsia" w:ascii="仿宋" w:eastAsia="仿宋"/>
          <w:sz w:val="28"/>
          <w:szCs w:val="28"/>
          <w:lang w:val="en-US" w:eastAsia="zh-CN"/>
        </w:rPr>
        <w:instrText xml:space="preserve"> HYPERLINK \l "_Toc15396627" </w:instrText>
      </w:r>
      <w:r>
        <w:rPr>
          <w:rFonts w:hint="eastAsia" w:ascii="仿宋" w:eastAsia="仿宋"/>
          <w:sz w:val="28"/>
          <w:szCs w:val="28"/>
          <w:lang w:val="en-US" w:eastAsia="zh-CN"/>
        </w:rPr>
        <w:fldChar w:fldCharType="separate"/>
      </w:r>
      <w:r>
        <w:rPr>
          <w:rFonts w:hint="eastAsia" w:ascii="仿宋" w:eastAsia="仿宋"/>
          <w:sz w:val="28"/>
          <w:szCs w:val="28"/>
          <w:lang w:val="en-US" w:eastAsia="zh-CN"/>
        </w:rPr>
        <w:t>政府性基金预算财政拨款收入支出决算表..............3</w:t>
      </w:r>
      <w:r>
        <w:rPr>
          <w:rFonts w:hint="eastAsia" w:ascii="仿宋" w:eastAsia="仿宋"/>
          <w:sz w:val="28"/>
          <w:szCs w:val="28"/>
          <w:lang w:val="en-US" w:eastAsia="zh-CN"/>
        </w:rPr>
        <w:fldChar w:fldCharType="end"/>
      </w:r>
      <w:r>
        <w:rPr>
          <w:rFonts w:hint="eastAsia" w:ascii="仿宋" w:eastAsia="仿宋"/>
          <w:sz w:val="28"/>
          <w:szCs w:val="28"/>
          <w:lang w:val="en-US" w:eastAsia="zh-CN"/>
        </w:rPr>
        <w:t>3</w:t>
      </w:r>
    </w:p>
    <w:p>
      <w:pPr>
        <w:pStyle w:val="18"/>
        <w:rPr>
          <w:rFonts w:hint="default" w:ascii="仿宋" w:eastAsia="仿宋"/>
          <w:sz w:val="28"/>
          <w:szCs w:val="28"/>
          <w:lang w:val="en-US" w:eastAsia="zh-CN"/>
        </w:rPr>
      </w:pPr>
      <w:r>
        <w:rPr>
          <w:rFonts w:hint="eastAsia" w:ascii="仿宋" w:eastAsia="仿宋"/>
          <w:sz w:val="28"/>
          <w:szCs w:val="28"/>
          <w:lang w:val="en-US" w:eastAsia="zh-CN"/>
        </w:rPr>
        <w:t>十一、</w:t>
      </w:r>
      <w:r>
        <w:rPr>
          <w:rFonts w:hint="eastAsia" w:ascii="仿宋" w:eastAsia="仿宋"/>
          <w:sz w:val="28"/>
          <w:szCs w:val="28"/>
          <w:lang w:val="en-US" w:eastAsia="zh-CN"/>
        </w:rPr>
        <w:fldChar w:fldCharType="begin"/>
      </w:r>
      <w:r>
        <w:rPr>
          <w:rFonts w:hint="eastAsia" w:ascii="仿宋" w:eastAsia="仿宋"/>
          <w:sz w:val="28"/>
          <w:szCs w:val="28"/>
          <w:lang w:val="en-US" w:eastAsia="zh-CN"/>
        </w:rPr>
        <w:instrText xml:space="preserve"> HYPERLINK \l "_Toc15396629" </w:instrText>
      </w:r>
      <w:r>
        <w:rPr>
          <w:rFonts w:hint="eastAsia" w:ascii="仿宋" w:eastAsia="仿宋"/>
          <w:sz w:val="28"/>
          <w:szCs w:val="28"/>
          <w:lang w:val="en-US" w:eastAsia="zh-CN"/>
        </w:rPr>
        <w:fldChar w:fldCharType="separate"/>
      </w:r>
      <w:r>
        <w:rPr>
          <w:rFonts w:hint="eastAsia" w:ascii="仿宋" w:eastAsia="仿宋"/>
          <w:sz w:val="28"/>
          <w:szCs w:val="28"/>
          <w:lang w:val="en-US" w:eastAsia="zh-CN"/>
        </w:rPr>
        <w:t>国有资本经营预算财政拨款收入支出决算表..........3</w:t>
      </w:r>
      <w:r>
        <w:rPr>
          <w:rFonts w:hint="eastAsia" w:ascii="仿宋" w:eastAsia="仿宋"/>
          <w:sz w:val="28"/>
          <w:szCs w:val="28"/>
          <w:lang w:val="en-US" w:eastAsia="zh-CN"/>
        </w:rPr>
        <w:fldChar w:fldCharType="end"/>
      </w:r>
      <w:r>
        <w:rPr>
          <w:rFonts w:hint="eastAsia" w:ascii="仿宋" w:eastAsia="仿宋"/>
          <w:sz w:val="28"/>
          <w:szCs w:val="28"/>
          <w:lang w:val="en-US" w:eastAsia="zh-CN"/>
        </w:rPr>
        <w:t>3</w:t>
      </w:r>
    </w:p>
    <w:p>
      <w:pPr>
        <w:pStyle w:val="18"/>
        <w:rPr>
          <w:rFonts w:hint="eastAsia" w:ascii="仿宋" w:eastAsia="仿宋"/>
          <w:sz w:val="28"/>
          <w:szCs w:val="28"/>
          <w:lang w:val="en-US" w:eastAsia="zh-CN"/>
        </w:rPr>
      </w:pPr>
      <w:r>
        <w:rPr>
          <w:rFonts w:hint="eastAsia" w:ascii="仿宋" w:eastAsia="仿宋"/>
          <w:sz w:val="28"/>
          <w:szCs w:val="28"/>
          <w:lang w:val="en-US" w:eastAsia="zh-CN"/>
        </w:rPr>
        <w:t>十二、</w:t>
      </w:r>
      <w:r>
        <w:rPr>
          <w:rFonts w:hint="eastAsia" w:ascii="仿宋" w:eastAsia="仿宋"/>
          <w:sz w:val="28"/>
          <w:szCs w:val="28"/>
          <w:lang w:val="en-US" w:eastAsia="zh-CN"/>
        </w:rPr>
        <w:fldChar w:fldCharType="begin"/>
      </w:r>
      <w:r>
        <w:rPr>
          <w:rFonts w:hint="eastAsia" w:ascii="仿宋" w:eastAsia="仿宋"/>
          <w:sz w:val="28"/>
          <w:szCs w:val="28"/>
          <w:lang w:val="en-US" w:eastAsia="zh-CN"/>
        </w:rPr>
        <w:instrText xml:space="preserve"> HYPERLINK \l "_Toc15396629" </w:instrText>
      </w:r>
      <w:r>
        <w:rPr>
          <w:rFonts w:hint="eastAsia" w:ascii="仿宋" w:eastAsia="仿宋"/>
          <w:sz w:val="28"/>
          <w:szCs w:val="28"/>
          <w:lang w:val="en-US" w:eastAsia="zh-CN"/>
        </w:rPr>
        <w:fldChar w:fldCharType="separate"/>
      </w:r>
      <w:r>
        <w:rPr>
          <w:rFonts w:hint="eastAsia" w:ascii="仿宋" w:eastAsia="仿宋"/>
          <w:sz w:val="28"/>
          <w:szCs w:val="28"/>
          <w:lang w:val="en-US" w:eastAsia="zh-CN"/>
        </w:rPr>
        <w:t>国有资本经营预算财政拨款支出决算表..............3</w:t>
      </w:r>
      <w:r>
        <w:rPr>
          <w:rFonts w:hint="eastAsia" w:ascii="仿宋" w:eastAsia="仿宋"/>
          <w:sz w:val="28"/>
          <w:szCs w:val="28"/>
          <w:lang w:val="en-US" w:eastAsia="zh-CN"/>
        </w:rPr>
        <w:fldChar w:fldCharType="end"/>
      </w:r>
      <w:r>
        <w:rPr>
          <w:rFonts w:hint="eastAsia" w:ascii="仿宋" w:eastAsia="仿宋"/>
          <w:sz w:val="28"/>
          <w:szCs w:val="28"/>
          <w:lang w:val="en-US" w:eastAsia="zh-CN"/>
        </w:rPr>
        <w:t>3</w:t>
      </w:r>
    </w:p>
    <w:p>
      <w:pPr>
        <w:pStyle w:val="18"/>
        <w:rPr>
          <w:rFonts w:hint="default" w:ascii="仿宋" w:hAnsi="Times New Roman" w:eastAsia="仿宋" w:cs="Times New Roman"/>
          <w:b w:val="0"/>
          <w:bCs w:val="0"/>
          <w:kern w:val="2"/>
          <w:sz w:val="28"/>
          <w:szCs w:val="28"/>
          <w:lang w:val="en-US" w:eastAsia="zh-CN" w:bidi="ar-SA"/>
        </w:rPr>
      </w:pPr>
      <w:r>
        <w:rPr>
          <w:rFonts w:hint="eastAsia" w:ascii="仿宋" w:eastAsia="仿宋"/>
          <w:sz w:val="28"/>
          <w:szCs w:val="28"/>
          <w:lang w:val="en-US" w:eastAsia="zh-CN"/>
        </w:rPr>
        <w:t>十三、</w:t>
      </w:r>
      <w:r>
        <w:rPr>
          <w:rFonts w:hint="eastAsia" w:ascii="仿宋" w:eastAsia="仿宋"/>
          <w:sz w:val="28"/>
          <w:szCs w:val="28"/>
          <w:lang w:val="en-US" w:eastAsia="zh-CN"/>
        </w:rPr>
        <w:fldChar w:fldCharType="begin"/>
      </w:r>
      <w:r>
        <w:rPr>
          <w:rFonts w:hint="eastAsia" w:ascii="仿宋" w:eastAsia="仿宋"/>
          <w:sz w:val="28"/>
          <w:szCs w:val="28"/>
          <w:lang w:val="en-US" w:eastAsia="zh-CN"/>
        </w:rPr>
        <w:instrText xml:space="preserve"> HYPERLINK \l "_Toc15396629" </w:instrText>
      </w:r>
      <w:r>
        <w:rPr>
          <w:rFonts w:hint="eastAsia" w:ascii="仿宋" w:eastAsia="仿宋"/>
          <w:sz w:val="28"/>
          <w:szCs w:val="28"/>
          <w:lang w:val="en-US" w:eastAsia="zh-CN"/>
        </w:rPr>
        <w:fldChar w:fldCharType="separate"/>
      </w:r>
      <w:r>
        <w:rPr>
          <w:rFonts w:hint="eastAsia" w:ascii="仿宋" w:eastAsia="仿宋"/>
          <w:sz w:val="28"/>
          <w:szCs w:val="28"/>
          <w:lang w:val="en-US" w:eastAsia="zh-CN"/>
        </w:rPr>
        <w:t>财政拨款“三公”经费支出决算表..................3</w:t>
      </w:r>
      <w:r>
        <w:rPr>
          <w:rFonts w:hint="eastAsia" w:ascii="仿宋" w:eastAsia="仿宋"/>
          <w:sz w:val="28"/>
          <w:szCs w:val="28"/>
          <w:lang w:val="en-US" w:eastAsia="zh-CN"/>
        </w:rPr>
        <w:fldChar w:fldCharType="end"/>
      </w:r>
      <w:r>
        <w:rPr>
          <w:rFonts w:hint="eastAsia" w:ascii="仿宋" w:eastAsia="仿宋"/>
          <w:sz w:val="28"/>
          <w:szCs w:val="28"/>
          <w:lang w:val="en-US" w:eastAsia="zh-CN"/>
        </w:rPr>
        <w:t>3</w:t>
      </w:r>
    </w:p>
    <w:p>
      <w:pPr>
        <w:pStyle w:val="4"/>
        <w:ind w:firstLine="281" w:firstLineChars="100"/>
        <w:rPr>
          <w:rFonts w:hint="eastAsia" w:ascii="仿宋" w:hAnsi="Times New Roman" w:eastAsia="仿宋" w:cs="Times New Roman"/>
          <w:kern w:val="2"/>
          <w:sz w:val="28"/>
          <w:szCs w:val="28"/>
          <w:lang w:val="en-US" w:eastAsia="zh-CN" w:bidi="ar-SA"/>
        </w:rPr>
      </w:pPr>
    </w:p>
    <w:p>
      <w:pPr>
        <w:widowControl/>
        <w:jc w:val="left"/>
        <w:rPr>
          <w:rFonts w:ascii="黑体" w:eastAsia="黑体"/>
          <w:bCs/>
          <w:kern w:val="44"/>
          <w:sz w:val="44"/>
          <w:szCs w:val="44"/>
        </w:rPr>
      </w:pPr>
      <w:bookmarkStart w:id="12" w:name="_Toc15396599"/>
      <w:bookmarkStart w:id="13" w:name="_Toc15377196"/>
      <w:r>
        <w:rPr>
          <w:rFonts w:ascii="黑体" w:eastAsia="黑体"/>
          <w:b/>
        </w:rPr>
        <w:br w:type="page"/>
      </w:r>
    </w:p>
    <w:p>
      <w:pPr>
        <w:pStyle w:val="3"/>
        <w:jc w:val="center"/>
        <w:rPr>
          <w:rFonts w:ascii="黑体" w:eastAsia="黑体"/>
          <w:color w:val="000000"/>
          <w:sz w:val="32"/>
          <w:szCs w:val="32"/>
        </w:rPr>
      </w:pPr>
      <w:r>
        <w:rPr>
          <w:rFonts w:hint="eastAsia" w:ascii="黑体" w:eastAsia="黑体"/>
          <w:b w:val="0"/>
        </w:rPr>
        <w:t xml:space="preserve">第一部分 </w:t>
      </w:r>
      <w:r>
        <w:rPr>
          <w:rStyle w:val="24"/>
          <w:rFonts w:hint="eastAsia" w:ascii="黑体" w:eastAsia="黑体"/>
          <w:b w:val="0"/>
          <w:bCs w:val="0"/>
        </w:rPr>
        <w:t>部门概况</w:t>
      </w:r>
      <w:bookmarkEnd w:id="12"/>
      <w:bookmarkEnd w:id="13"/>
    </w:p>
    <w:p>
      <w:pPr>
        <w:pStyle w:val="4"/>
        <w:keepNext/>
        <w:keepLines/>
        <w:pageBreakBefore w:val="0"/>
        <w:widowControl w:val="0"/>
        <w:kinsoku/>
        <w:wordWrap/>
        <w:overflowPunct/>
        <w:topLinePunct w:val="0"/>
        <w:autoSpaceDE/>
        <w:autoSpaceDN/>
        <w:bidi w:val="0"/>
        <w:adjustRightInd/>
        <w:snapToGrid/>
        <w:spacing w:before="0" w:after="0" w:line="240" w:lineRule="auto"/>
        <w:ind w:left="640" w:hanging="640" w:hangingChars="200"/>
        <w:textAlignment w:val="auto"/>
        <w:rPr>
          <w:rStyle w:val="25"/>
          <w:rFonts w:hint="eastAsia" w:ascii="黑体" w:eastAsia="黑体"/>
          <w:b w:val="0"/>
          <w:bCs w:val="0"/>
        </w:rPr>
      </w:pPr>
      <w:bookmarkStart w:id="14" w:name="_Toc15396600"/>
      <w:bookmarkStart w:id="15" w:name="_Toc15377197"/>
      <w:r>
        <w:rPr>
          <w:rFonts w:hint="eastAsia" w:ascii="黑体" w:eastAsia="黑体"/>
          <w:b w:val="0"/>
          <w:color w:val="000000"/>
        </w:rPr>
        <w:t>一、基</w:t>
      </w:r>
      <w:r>
        <w:rPr>
          <w:rStyle w:val="25"/>
          <w:rFonts w:hint="eastAsia" w:ascii="黑体" w:eastAsia="黑体"/>
          <w:b w:val="0"/>
          <w:bCs w:val="0"/>
        </w:rPr>
        <w:t>本职能及主要工作</w:t>
      </w:r>
      <w:bookmarkEnd w:id="14"/>
      <w:bookmarkEnd w:id="15"/>
      <w:bookmarkStart w:id="16" w:name="_Toc15377198"/>
      <w:bookmarkStart w:id="17" w:name="_Toc15378445"/>
    </w:p>
    <w:p>
      <w:pPr>
        <w:pStyle w:val="4"/>
        <w:keepNext/>
        <w:keepLines/>
        <w:pageBreakBefore w:val="0"/>
        <w:widowControl w:val="0"/>
        <w:kinsoku/>
        <w:wordWrap/>
        <w:overflowPunct/>
        <w:topLinePunct w:val="0"/>
        <w:autoSpaceDE/>
        <w:autoSpaceDN/>
        <w:bidi w:val="0"/>
        <w:adjustRightInd/>
        <w:snapToGrid/>
        <w:spacing w:before="0" w:after="0" w:line="240" w:lineRule="auto"/>
        <w:ind w:left="642" w:leftChars="153" w:hanging="321" w:hangingChars="100"/>
        <w:textAlignment w:val="auto"/>
        <w:rPr>
          <w:rFonts w:hint="eastAsia" w:ascii="楷体" w:eastAsia="楷体" w:cs="楷体"/>
          <w:bCs/>
          <w:color w:val="000000"/>
          <w:sz w:val="32"/>
          <w:szCs w:val="32"/>
        </w:rPr>
      </w:pPr>
      <w:r>
        <w:rPr>
          <w:rFonts w:hint="eastAsia" w:ascii="楷体" w:eastAsia="楷体" w:cs="楷体"/>
          <w:bCs/>
          <w:color w:val="000000"/>
          <w:sz w:val="32"/>
          <w:szCs w:val="32"/>
        </w:rPr>
        <w:t>（一）主要职能</w:t>
      </w:r>
      <w:bookmarkEnd w:id="16"/>
      <w:bookmarkEnd w:id="17"/>
      <w:bookmarkStart w:id="18" w:name="_Toc15377199"/>
      <w:bookmarkStart w:id="19" w:name="_Toc15378446"/>
    </w:p>
    <w:p>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一）贯彻执行国家、省、州住房和城乡建设的法律、法规和方针政策。研究拟定住房保障、工程建设、城乡建设、建筑业、房屋装饰装修业、住宅与房地产业、勘察设计咨询业、市政公用事业的有关地方性法规和规章草案，负责本系统、本部门依法行政工作，落实行政执法责任制。</w:t>
      </w:r>
    </w:p>
    <w:p>
      <w:pPr>
        <w:spacing w:line="480" w:lineRule="exact"/>
        <w:ind w:firstLine="480" w:firstLineChars="150"/>
        <w:rPr>
          <w:rFonts w:hint="eastAsia" w:ascii="仿宋_GB2312" w:eastAsia="仿宋_GB2312"/>
          <w:sz w:val="32"/>
          <w:szCs w:val="32"/>
        </w:rPr>
      </w:pPr>
      <w:r>
        <w:rPr>
          <w:rFonts w:hint="eastAsia" w:ascii="仿宋_GB2312" w:eastAsia="仿宋_GB2312"/>
          <w:sz w:val="32"/>
          <w:szCs w:val="32"/>
        </w:rPr>
        <w:t>（二）承担推进住房制度改革、保障城镇低收入家庭住房的责任。拟定全县住房及住房保障相关政策并指导实施，指导住房建设和住房制度改革。拟订廉租住房规划及政策，会同有关部门做好国家、省、州有关廉租住房资金安排并监督地方组织实施。编制住房保障发展规划和年度计划并监督实施。</w:t>
      </w:r>
    </w:p>
    <w:p>
      <w:pPr>
        <w:spacing w:line="480" w:lineRule="exact"/>
        <w:ind w:firstLine="480" w:firstLineChars="150"/>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三</w:t>
      </w:r>
      <w:r>
        <w:rPr>
          <w:rFonts w:hint="eastAsia" w:ascii="仿宋_GB2312" w:eastAsia="仿宋_GB2312"/>
          <w:sz w:val="32"/>
          <w:szCs w:val="32"/>
        </w:rPr>
        <w:t>）承担建立全县工程建设标准体系的责任。组织实施工程建设实施阶段的国家标准、四川省统一定额和行业标准定额，组织制定工程建设的地方标准，拟订建设项目可行性研究评价方法、经济参数、建设标准和工程造价的管理制度，指导监督各类工程建设标准定额的实施和工程造价计价，组织发布工程造价信息。</w:t>
      </w:r>
    </w:p>
    <w:p>
      <w:pPr>
        <w:spacing w:line="480" w:lineRule="exact"/>
        <w:ind w:firstLine="480" w:firstLineChars="150"/>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四</w:t>
      </w:r>
      <w:r>
        <w:rPr>
          <w:rFonts w:hint="eastAsia" w:ascii="仿宋_GB2312" w:eastAsia="仿宋_GB2312"/>
          <w:sz w:val="32"/>
          <w:szCs w:val="32"/>
        </w:rPr>
        <w:t>）承担规范房地产市场秩序、监督管理房地产市场的责任。会同有关部门组织拟订房地产市场监督管理政策并监督执行，指导城镇土地使用权有偿转让和开发利用工作，提出房地产业的行业发展规划和产业政策，制定房地产开发、房屋权属管理、房屋租赁、房屋面积管理、危房鉴定、白蚁防治、房地产估价与经济管理、物业管理、房屋征收拆迁的规章制度并监督执行。</w:t>
      </w:r>
    </w:p>
    <w:p>
      <w:pPr>
        <w:spacing w:line="480" w:lineRule="exact"/>
        <w:ind w:firstLine="480" w:firstLineChars="150"/>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五</w:t>
      </w:r>
      <w:r>
        <w:rPr>
          <w:rFonts w:hint="eastAsia" w:ascii="仿宋_GB2312" w:eastAsia="仿宋_GB2312"/>
          <w:sz w:val="32"/>
          <w:szCs w:val="32"/>
        </w:rPr>
        <w:t>）承担监督管理建筑市场、规范市场各方主体行为的责任。指导全县建筑活动，拟订工程建设、建筑业及装饰装修业发展战略、中长期规划、改革方案、产业政策、规章制度并监督执行。配合相关部门开展房屋建筑和市政基础设施工程项目招投标活动的监督。拟订建设工程施工、监理以及规范建筑市场各方主体行为的规章制度并监督执行。负责建筑工程质量安全监督管理工作，拟订建筑工程质量、建筑安全生产和竣工验收备案的政策、规章制度并监督执行，组织或参与工程重大质量、安全事故的调查处理。</w:t>
      </w:r>
    </w:p>
    <w:p>
      <w:pPr>
        <w:widowControl/>
        <w:spacing w:line="560" w:lineRule="exact"/>
        <w:ind w:firstLine="720"/>
        <w:rPr>
          <w:rFonts w:hint="eastAsia" w:ascii="仿宋_GB2312" w:hAnsi="宋体" w:eastAsia="仿宋_GB2312" w:cs="宋体"/>
          <w:kern w:val="0"/>
          <w:sz w:val="32"/>
          <w:szCs w:val="32"/>
        </w:rPr>
      </w:pPr>
      <w:r>
        <w:rPr>
          <w:rFonts w:hint="eastAsia" w:ascii="仿宋_GB2312" w:eastAsia="仿宋_GB2312"/>
          <w:sz w:val="32"/>
          <w:szCs w:val="32"/>
        </w:rPr>
        <w:t>（</w:t>
      </w:r>
      <w:r>
        <w:rPr>
          <w:rFonts w:hint="eastAsia" w:ascii="仿宋_GB2312" w:eastAsia="仿宋_GB2312"/>
          <w:sz w:val="32"/>
          <w:szCs w:val="32"/>
          <w:lang w:eastAsia="zh-CN"/>
        </w:rPr>
        <w:t>六</w:t>
      </w:r>
      <w:r>
        <w:rPr>
          <w:rFonts w:hint="eastAsia" w:ascii="仿宋_GB2312" w:eastAsia="仿宋_GB2312"/>
          <w:sz w:val="32"/>
          <w:szCs w:val="32"/>
        </w:rPr>
        <w:t>）</w:t>
      </w:r>
      <w:r>
        <w:rPr>
          <w:rFonts w:hint="eastAsia" w:ascii="仿宋_GB2312" w:hAnsi="宋体" w:eastAsia="仿宋_GB2312" w:cs="宋体"/>
          <w:kern w:val="0"/>
          <w:sz w:val="32"/>
          <w:szCs w:val="32"/>
        </w:rPr>
        <w:t>承担监督管理勘察设计咨询市场秩序和勘察设计咨询质量的责任。拟订工程勘察设计咨询业的发展战略、中长期规划、改革方案、产业和技术政策、规章制度并指导实施。指导建设工程抗震设防工作，组织编制并实施房屋建筑和市政设施抗震技术地方规范和标准图集，组织开展城镇建筑物抗震性能普查、鉴定加固和改造工作，指导村镇和农村建设抗震工作，指导和组织灾后恢复重建工作。</w:t>
      </w:r>
    </w:p>
    <w:p>
      <w:pPr>
        <w:widowControl/>
        <w:spacing w:line="560" w:lineRule="exact"/>
        <w:ind w:firstLine="72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七</w:t>
      </w:r>
      <w:r>
        <w:rPr>
          <w:rFonts w:hint="eastAsia" w:ascii="仿宋_GB2312" w:hAnsi="宋体" w:eastAsia="仿宋_GB2312" w:cs="宋体"/>
          <w:kern w:val="0"/>
          <w:sz w:val="32"/>
          <w:szCs w:val="32"/>
        </w:rPr>
        <w:t>）承担指导城镇建设管理的责任。拟订城镇建设的政策、规划并指导实施，指导城镇供水、节水、排水、燃气、污水等市政公用设施的建设管理</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指导城镇防汛排涝工作</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指导城镇建设档案管理工作。会同有关部门做好城市维护资金安排并监督组织实施</w:t>
      </w:r>
      <w:r>
        <w:rPr>
          <w:rFonts w:hint="eastAsia" w:ascii="仿宋_GB2312" w:hAnsi="宋体" w:eastAsia="仿宋_GB2312" w:cs="宋体"/>
          <w:kern w:val="0"/>
          <w:sz w:val="32"/>
          <w:szCs w:val="32"/>
          <w:lang w:eastAsia="zh-CN"/>
        </w:rPr>
        <w:t>。</w:t>
      </w:r>
    </w:p>
    <w:p>
      <w:pPr>
        <w:widowControl/>
        <w:spacing w:line="560" w:lineRule="exact"/>
        <w:ind w:firstLine="72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八</w:t>
      </w:r>
      <w:r>
        <w:rPr>
          <w:rFonts w:hint="eastAsia" w:ascii="仿宋_GB2312" w:hAnsi="宋体" w:eastAsia="仿宋_GB2312" w:cs="宋体"/>
          <w:kern w:val="0"/>
          <w:sz w:val="32"/>
          <w:szCs w:val="32"/>
        </w:rPr>
        <w:t>）承担推进建筑节能、城镇减排的责任。会同有关部门拟订建筑节能政策、规划并监督实施，组织实施重大建筑节能项目，推进城镇减排。组织实施重点科技项目成果转化工作，承担推进墙体材料革新的责任。</w:t>
      </w:r>
    </w:p>
    <w:p>
      <w:pPr>
        <w:widowControl/>
        <w:spacing w:line="560" w:lineRule="exact"/>
        <w:ind w:firstLine="640" w:firstLineChars="200"/>
        <w:rPr>
          <w:rFonts w:hint="eastAsia" w:eastAsia="仿宋_GB2312"/>
          <w:sz w:val="32"/>
          <w:szCs w:val="32"/>
        </w:rPr>
      </w:pPr>
      <w:r>
        <w:rPr>
          <w:rFonts w:hint="eastAsia" w:ascii="仿宋_GB2312" w:hAnsi="宋体" w:eastAsia="仿宋_GB2312" w:cs="宋体"/>
          <w:kern w:val="0"/>
          <w:sz w:val="32"/>
          <w:szCs w:val="32"/>
          <w:lang w:eastAsia="zh-CN"/>
        </w:rPr>
        <w:t>（九</w:t>
      </w:r>
      <w:r>
        <w:rPr>
          <w:rFonts w:hint="eastAsia" w:ascii="仿宋_GB2312" w:hAnsi="宋体" w:eastAsia="仿宋_GB2312" w:cs="宋体"/>
          <w:kern w:val="0"/>
          <w:sz w:val="32"/>
          <w:szCs w:val="32"/>
        </w:rPr>
        <w:t>）制订建设行业人才培养和教育发展规划并组织实施，指导建设行业科技人才队伍建设和执业资格管理工作。负责指导住房和城乡建设系统的信访工作，督查督办重大信访案件。开展住房和城乡建设方面的交流与合作。</w:t>
      </w:r>
    </w:p>
    <w:p>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（十）承担县政府公布的有关行政审批事项。</w:t>
      </w:r>
    </w:p>
    <w:p>
      <w:pPr>
        <w:spacing w:line="480" w:lineRule="exact"/>
        <w:ind w:left="481" w:leftChars="229" w:firstLine="160" w:firstLineChars="50"/>
        <w:rPr>
          <w:rFonts w:hint="eastAsia" w:ascii="仿宋_GB2312" w:eastAsia="仿宋_GB2312"/>
          <w:sz w:val="32"/>
          <w:szCs w:val="32"/>
        </w:rPr>
      </w:pPr>
      <w:r>
        <w:rPr>
          <w:rFonts w:hint="eastAsia" w:ascii="仿宋_GB2312" w:eastAsia="仿宋_GB2312"/>
          <w:sz w:val="32"/>
          <w:szCs w:val="32"/>
        </w:rPr>
        <w:t>（十</w:t>
      </w:r>
      <w:r>
        <w:rPr>
          <w:rFonts w:hint="eastAsia" w:ascii="仿宋_GB2312" w:eastAsia="仿宋_GB2312"/>
          <w:sz w:val="32"/>
          <w:szCs w:val="32"/>
          <w:lang w:eastAsia="zh-CN"/>
        </w:rPr>
        <w:t>一</w:t>
      </w:r>
      <w:r>
        <w:rPr>
          <w:rFonts w:hint="eastAsia" w:ascii="仿宋_GB2312" w:eastAsia="仿宋_GB2312"/>
          <w:sz w:val="32"/>
          <w:szCs w:val="32"/>
        </w:rPr>
        <w:t>）承办县政府交办的其他事项。</w:t>
      </w:r>
    </w:p>
    <w:p>
      <w:pPr>
        <w:pStyle w:val="4"/>
        <w:spacing w:before="0" w:after="0" w:line="240" w:lineRule="auto"/>
        <w:ind w:firstLine="643" w:firstLineChars="200"/>
        <w:rPr>
          <w:rFonts w:hint="eastAsia" w:ascii="楷体" w:eastAsia="楷体" w:cs="楷体"/>
          <w:bCs/>
          <w:color w:val="C0504D" w:themeColor="accent2"/>
          <w:sz w:val="32"/>
          <w:szCs w:val="32"/>
          <w14:textFill>
            <w14:solidFill>
              <w14:schemeClr w14:val="accent2"/>
            </w14:solidFill>
          </w14:textFill>
        </w:rPr>
      </w:pPr>
      <w:r>
        <w:rPr>
          <w:rFonts w:hint="eastAsia" w:ascii="楷体" w:eastAsia="楷体" w:cs="楷体"/>
          <w:bCs/>
          <w:color w:val="000000" w:themeColor="text1"/>
          <w:sz w:val="32"/>
          <w:szCs w:val="32"/>
          <w14:textFill>
            <w14:solidFill>
              <w14:schemeClr w14:val="tx1"/>
            </w14:solidFill>
          </w14:textFill>
        </w:rPr>
        <w:t>（二）20</w:t>
      </w:r>
      <w:r>
        <w:rPr>
          <w:rFonts w:hint="eastAsia" w:ascii="楷体" w:eastAsia="楷体" w:cs="楷体"/>
          <w:bCs/>
          <w:color w:val="000000" w:themeColor="text1"/>
          <w:sz w:val="32"/>
          <w:szCs w:val="32"/>
          <w:lang w:val="en-US" w:eastAsia="zh-CN"/>
          <w14:textFill>
            <w14:solidFill>
              <w14:schemeClr w14:val="tx1"/>
            </w14:solidFill>
          </w14:textFill>
        </w:rPr>
        <w:t>24</w:t>
      </w:r>
      <w:r>
        <w:rPr>
          <w:rFonts w:hint="eastAsia" w:ascii="楷体" w:eastAsia="楷体" w:cs="楷体"/>
          <w:bCs/>
          <w:color w:val="000000" w:themeColor="text1"/>
          <w:sz w:val="32"/>
          <w:szCs w:val="32"/>
          <w14:textFill>
            <w14:solidFill>
              <w14:schemeClr w14:val="tx1"/>
            </w14:solidFill>
          </w14:textFill>
        </w:rPr>
        <w:t>年重点工作完成情况</w:t>
      </w:r>
      <w:bookmarkEnd w:id="18"/>
      <w:bookmarkEnd w:id="19"/>
    </w:p>
    <w:p>
      <w:pPr>
        <w:snapToGrid w:val="0"/>
        <w:spacing w:line="360" w:lineRule="auto"/>
        <w:ind w:firstLine="640" w:firstLineChars="200"/>
        <w:rPr>
          <w:rFonts w:hint="eastAsia" w:ascii="仿宋_GB2312" w:hAnsi="仿宋_GB2312" w:eastAsia="仿宋_GB2312" w:cs="仿宋_GB2312"/>
          <w:sz w:val="32"/>
          <w:szCs w:val="32"/>
          <w:lang w:val="en-US" w:eastAsia="zh-CN"/>
        </w:rPr>
      </w:pPr>
      <w:bookmarkStart w:id="20" w:name="_Toc15377200"/>
      <w:bookmarkStart w:id="21" w:name="_Toc15396601"/>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lang w:val="en-US" w:eastAsia="zh-CN"/>
        </w:rPr>
        <w:t>严字当头，</w:t>
      </w:r>
      <w:r>
        <w:rPr>
          <w:rFonts w:hint="eastAsia" w:ascii="仿宋_GB2312" w:hAnsi="仿宋_GB2312" w:eastAsia="仿宋_GB2312" w:cs="仿宋_GB2312"/>
          <w:sz w:val="32"/>
          <w:szCs w:val="32"/>
        </w:rPr>
        <w:t>全面加强党的政治建设</w:t>
      </w:r>
    </w:p>
    <w:p>
      <w:pPr>
        <w:snapToGrid w:val="0"/>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一是</w:t>
      </w:r>
      <w:r>
        <w:rPr>
          <w:rFonts w:hint="eastAsia" w:ascii="仿宋_GB2312" w:hAnsi="仿宋_GB2312" w:eastAsia="仿宋_GB2312" w:cs="仿宋_GB2312"/>
          <w:sz w:val="32"/>
          <w:szCs w:val="32"/>
          <w:lang w:val="en-US" w:eastAsia="zh-CN"/>
        </w:rPr>
        <w:t>强化宣传学习。</w:t>
      </w:r>
      <w:r>
        <w:rPr>
          <w:rFonts w:hint="eastAsia" w:ascii="仿宋_GB2312" w:hAnsi="仿宋_GB2312" w:eastAsia="仿宋_GB2312" w:cs="仿宋_GB2312"/>
          <w:sz w:val="32"/>
          <w:szCs w:val="32"/>
        </w:rPr>
        <w:t>组织学习宣传党的</w:t>
      </w:r>
      <w:r>
        <w:rPr>
          <w:rFonts w:hint="eastAsia" w:ascii="仿宋_GB2312" w:hAnsi="仿宋_GB2312" w:eastAsia="仿宋_GB2312" w:cs="仿宋_GB2312"/>
          <w:sz w:val="32"/>
          <w:szCs w:val="32"/>
          <w:lang w:val="en-US" w:eastAsia="zh-CN"/>
        </w:rPr>
        <w:t>二十</w:t>
      </w:r>
      <w:r>
        <w:rPr>
          <w:rFonts w:hint="eastAsia" w:ascii="仿宋_GB2312" w:hAnsi="仿宋_GB2312" w:eastAsia="仿宋_GB2312" w:cs="仿宋_GB2312"/>
          <w:sz w:val="32"/>
          <w:szCs w:val="32"/>
        </w:rPr>
        <w:t>大精神，学习宣传习近平新时代中国特色社会主义思想，</w:t>
      </w:r>
      <w:r>
        <w:rPr>
          <w:rFonts w:hint="eastAsia" w:ascii="仿宋_GB2312" w:hAnsi="仿宋_GB2312" w:eastAsia="仿宋_GB2312" w:cs="仿宋_GB2312"/>
          <w:sz w:val="32"/>
          <w:szCs w:val="32"/>
          <w:lang w:val="en-US" w:eastAsia="zh-CN"/>
        </w:rPr>
        <w:t>开展集中学习3次，深入学习二十届三中全会、省委十二届五次六次全会、州委十二届四次五次全会及县委十三届四次全会等精神</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落实在岗位上、落实在行动上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二是强化使命担当，压实党风廉政主体责任。始终把党风廉政主体责任扛在肩上、抓在手上、落实在行动上。认真履行“一岗双责”，将党风廉政建设和各项工作同研究、同规划、同部署、同落实、同检查、同考核，形成层层推动、齐抓共管工作合力。三是强化纪律规矩，推进作风建设。开展党纪学习4次，通过坚持通报身边典型案例等形式，深化党性党风党纪和廉洁从政意识，提高思想认识，切实加强干部职工廉政风险意识。</w:t>
      </w:r>
    </w:p>
    <w:p>
      <w:pPr>
        <w:snapToGrid w:val="0"/>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（二）咬定目标，全力推进项目建设</w:t>
      </w:r>
    </w:p>
    <w:p>
      <w:pPr>
        <w:snapToGrid w:val="0"/>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2024年我局全年共实施项目共计41个，其中（新建项目2个、续建项目12个、将建项目10个），储备项目17个。一是有序推进续建项目。6个项目全面完工，投入资金1.6716亿（城区防洪堤防提升加固、安宁镇顺河路市政基础设施、2022年老旧小区改造配套基础设施项目及金川县2022年老旧小区环境综合整治项目、2023年老旧小区配套基础设施项目、金川县观音桥镇生活污水处理工程已全面完工）；3个项目主体完工（勒乌镇滨河路市政基础设施（一期）、沙耳乡临江路市政基础设施、金川县乡镇干部周转房（一期）建设项目已主体完工）；金川县观音桥生活垃圾无害化处理站建设项目、金川县勒乌镇勒乌沟口至拦河坝市政基础设施建设等项目有序推进。二是新建项目全面推进。金川县乡镇干部职工周转宿舍建设（二期）已完成总工程量的88%、金川2023年老旧小区改造项目基本完成改造任务，预计12月底前完成竣工验收、金川县2024年老旧小区改造项目已完成总工程量的80%、金川县双柏树新区地下公共停车建设项目已完成总工程量的30%。三是扎实谋划项目储备。已申报一般债卷项目2个、专项债卷4个、超长期国债项目5个、申报藏项目5个，力争更多项目纳入中央、省资金盘，为全县经济高质量发展增加动力。四是全面提升集镇建设。目前观音桥镇生活污水处理工程项目、安宁镇顺河路市政基础设施项目已全面完工；沙尔乡沙耳尼村乡村振兴示范建设项目、金川县观音桥生活垃圾无害化处理站建设项目正在有序推进；安宁镇垃圾处理建设项目正在优化设计，力争早日开工。</w:t>
      </w:r>
    </w:p>
    <w:p>
      <w:pPr>
        <w:snapToGrid w:val="0"/>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（三）精准施策，全力以赴做好民生保障</w:t>
      </w:r>
    </w:p>
    <w:p>
      <w:pPr>
        <w:snapToGrid w:val="0"/>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一是全力开展2024年危房改造，实施2024年危房改造项目27户，到位资金35万元，目前27户已全面完工并已验收，预计12月初全面完成资金拨付。</w:t>
      </w:r>
      <w:r>
        <w:rPr>
          <w:rFonts w:hint="eastAsia" w:ascii="仿宋_GB2312" w:hAnsi="仿宋_GB2312" w:eastAsia="仿宋_GB2312" w:cs="仿宋_GB2312"/>
          <w:sz w:val="32"/>
          <w:szCs w:val="32"/>
          <w:lang w:eastAsia="zh-CN"/>
        </w:rPr>
        <w:t>二是</w:t>
      </w:r>
      <w:r>
        <w:rPr>
          <w:rFonts w:hint="eastAsia" w:ascii="仿宋_GB2312" w:hAnsi="仿宋_GB2312" w:eastAsia="仿宋_GB2312" w:cs="仿宋_GB2312"/>
          <w:sz w:val="32"/>
          <w:szCs w:val="32"/>
          <w:lang w:val="en-US" w:eastAsia="zh-CN"/>
        </w:rPr>
        <w:t>持续开展自建房安全排查整治工作，</w:t>
      </w:r>
      <w:r>
        <w:rPr>
          <w:rFonts w:hint="eastAsia" w:ascii="仿宋_GB2312" w:hAnsi="仿宋_GB2312" w:eastAsia="仿宋_GB2312" w:cs="仿宋_GB2312"/>
          <w:sz w:val="32"/>
          <w:szCs w:val="32"/>
          <w:lang w:eastAsia="zh-CN"/>
        </w:rPr>
        <w:t>持续开展自建房安全隐患排查整治工作，</w:t>
      </w:r>
      <w:r>
        <w:rPr>
          <w:rFonts w:hint="eastAsia" w:ascii="仿宋_GB2312" w:hAnsi="仿宋_GB2312" w:eastAsia="仿宋_GB2312" w:cs="仿宋_GB2312"/>
          <w:sz w:val="32"/>
          <w:szCs w:val="32"/>
        </w:rPr>
        <w:t>加强组织领导，强化工作举措，集中力量、集中时间、集中攻坚，自建房</w:t>
      </w:r>
      <w:r>
        <w:rPr>
          <w:rFonts w:hint="eastAsia" w:ascii="仿宋_GB2312" w:hAnsi="仿宋_GB2312" w:eastAsia="仿宋_GB2312" w:cs="仿宋_GB2312"/>
          <w:sz w:val="32"/>
          <w:szCs w:val="32"/>
          <w:lang w:eastAsia="zh-CN"/>
        </w:rPr>
        <w:t>隐患</w:t>
      </w:r>
      <w:r>
        <w:rPr>
          <w:rFonts w:hint="eastAsia" w:ascii="仿宋_GB2312" w:hAnsi="仿宋_GB2312" w:eastAsia="仿宋_GB2312" w:cs="仿宋_GB2312"/>
          <w:sz w:val="32"/>
          <w:szCs w:val="32"/>
        </w:rPr>
        <w:t>排查整治工作取得</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阶段性成效，一大批隐患</w:t>
      </w:r>
      <w:r>
        <w:rPr>
          <w:rFonts w:hint="eastAsia" w:ascii="仿宋_GB2312" w:hAnsi="仿宋_GB2312" w:eastAsia="仿宋_GB2312" w:cs="仿宋_GB2312"/>
          <w:sz w:val="32"/>
          <w:szCs w:val="32"/>
          <w:lang w:eastAsia="zh-CN"/>
        </w:rPr>
        <w:t>房屋</w:t>
      </w:r>
      <w:r>
        <w:rPr>
          <w:rFonts w:hint="eastAsia" w:ascii="仿宋_GB2312" w:hAnsi="仿宋_GB2312" w:eastAsia="仿宋_GB2312" w:cs="仿宋_GB2312"/>
          <w:sz w:val="32"/>
          <w:szCs w:val="32"/>
        </w:rPr>
        <w:t>得以发现，一大批</w:t>
      </w:r>
      <w:r>
        <w:rPr>
          <w:rFonts w:hint="eastAsia" w:ascii="仿宋_GB2312" w:hAnsi="仿宋_GB2312" w:eastAsia="仿宋_GB2312" w:cs="仿宋_GB2312"/>
          <w:sz w:val="32"/>
          <w:szCs w:val="32"/>
          <w:lang w:eastAsia="zh-CN"/>
        </w:rPr>
        <w:t>安全</w:t>
      </w:r>
      <w:r>
        <w:rPr>
          <w:rFonts w:hint="eastAsia" w:ascii="仿宋_GB2312" w:hAnsi="仿宋_GB2312" w:eastAsia="仿宋_GB2312" w:cs="仿宋_GB2312"/>
          <w:sz w:val="32"/>
          <w:szCs w:val="32"/>
        </w:rPr>
        <w:t>隐患得</w:t>
      </w:r>
      <w:r>
        <w:rPr>
          <w:rFonts w:hint="eastAsia" w:ascii="仿宋_GB2312" w:hAnsi="仿宋_GB2312" w:eastAsia="仿宋_GB2312" w:cs="仿宋_GB2312"/>
          <w:sz w:val="32"/>
          <w:szCs w:val="32"/>
          <w:lang w:eastAsia="zh-CN"/>
        </w:rPr>
        <w:t>到</w:t>
      </w:r>
      <w:r>
        <w:rPr>
          <w:rFonts w:hint="eastAsia" w:ascii="仿宋_GB2312" w:hAnsi="仿宋_GB2312" w:eastAsia="仿宋_GB2312" w:cs="仿宋_GB2312"/>
          <w:sz w:val="32"/>
          <w:szCs w:val="32"/>
        </w:rPr>
        <w:t>管控和</w:t>
      </w:r>
      <w:r>
        <w:rPr>
          <w:rFonts w:hint="eastAsia" w:ascii="仿宋_GB2312" w:hAnsi="仿宋_GB2312" w:eastAsia="仿宋_GB2312" w:cs="仿宋_GB2312"/>
          <w:sz w:val="32"/>
          <w:szCs w:val="32"/>
          <w:lang w:eastAsia="zh-CN"/>
        </w:rPr>
        <w:t>整治</w:t>
      </w:r>
      <w:r>
        <w:rPr>
          <w:rFonts w:hint="eastAsia" w:ascii="仿宋_GB2312" w:hAnsi="仿宋_GB2312" w:eastAsia="仿宋_GB2312" w:cs="仿宋_GB2312"/>
          <w:sz w:val="32"/>
          <w:szCs w:val="32"/>
        </w:rPr>
        <w:t>，自建房安全形势有所好转。</w:t>
      </w:r>
      <w:r>
        <w:rPr>
          <w:rFonts w:hint="eastAsia" w:ascii="仿宋_GB2312" w:hAnsi="仿宋_GB2312" w:eastAsia="仿宋_GB2312" w:cs="仿宋_GB2312"/>
          <w:sz w:val="32"/>
          <w:szCs w:val="32"/>
          <w:lang w:val="en-US" w:eastAsia="zh-CN"/>
        </w:rPr>
        <w:t>三是全力开展老旧小区电梯加装工作。州下达我县10部城镇既有住宅加装电梯任务，目前开工建设14部，完工10部，预计12月底前完成补助资金拨付。目前已完成2024年目标任务。</w:t>
      </w:r>
    </w:p>
    <w:p>
      <w:pPr>
        <w:snapToGrid w:val="0"/>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（四）突出重点，强化住建领域市场监管</w:t>
      </w:r>
    </w:p>
    <w:p>
      <w:pPr>
        <w:snapToGrid w:val="0"/>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一是全力保障房地产领域平稳运行。</w:t>
      </w:r>
      <w:r>
        <w:rPr>
          <w:rFonts w:hint="eastAsia" w:ascii="仿宋_GB2312" w:hAnsi="仿宋_GB2312" w:eastAsia="仿宋_GB2312" w:cs="仿宋_GB2312"/>
          <w:sz w:val="32"/>
          <w:szCs w:val="32"/>
          <w:lang w:val="en" w:eastAsia="zh-CN"/>
        </w:rPr>
        <w:t>切实加强物业小区的规范化管理及强化房地产项目监管，完善管理办法。</w:t>
      </w:r>
      <w:r>
        <w:rPr>
          <w:rFonts w:hint="eastAsia" w:ascii="仿宋_GB2312" w:hAnsi="仿宋_GB2312" w:eastAsia="仿宋_GB2312" w:cs="仿宋_GB2312"/>
          <w:sz w:val="32"/>
          <w:szCs w:val="32"/>
          <w:lang w:eastAsia="zh-CN"/>
        </w:rPr>
        <w:t>截至目前，成立业主委员会</w:t>
      </w:r>
      <w:r>
        <w:rPr>
          <w:rFonts w:hint="eastAsia" w:ascii="仿宋_GB2312" w:hAnsi="仿宋_GB2312" w:eastAsia="仿宋_GB2312" w:cs="仿宋_GB2312"/>
          <w:sz w:val="32"/>
          <w:szCs w:val="32"/>
          <w:lang w:val="en-US" w:eastAsia="zh-CN"/>
        </w:rPr>
        <w:t>31个，成立物业企业党支部1家</w:t>
      </w:r>
      <w:r>
        <w:rPr>
          <w:rFonts w:hint="eastAsia" w:ascii="仿宋_GB2312" w:hAnsi="仿宋_GB2312" w:eastAsia="仿宋_GB2312" w:cs="仿宋_GB2312"/>
          <w:sz w:val="32"/>
          <w:szCs w:val="32"/>
          <w:lang w:val="en" w:eastAsia="zh-CN"/>
        </w:rPr>
        <w:t>；</w:t>
      </w:r>
      <w:r>
        <w:rPr>
          <w:rFonts w:hint="eastAsia" w:ascii="仿宋_GB2312" w:hAnsi="仿宋_GB2312" w:eastAsia="仿宋_GB2312" w:cs="仿宋_GB2312"/>
          <w:sz w:val="32"/>
          <w:szCs w:val="32"/>
          <w:lang w:val="en-US" w:eastAsia="zh-CN"/>
        </w:rPr>
        <w:t>完成房屋登记查询2000余件、干部信息核查1500余人次。二是全力推进建筑业高质量发展。</w:t>
      </w:r>
      <w:r>
        <w:rPr>
          <w:rFonts w:hint="eastAsia" w:ascii="仿宋_GB2312" w:hAnsi="仿宋_GB2312" w:eastAsia="仿宋_GB2312" w:cs="仿宋_GB2312"/>
          <w:sz w:val="32"/>
          <w:szCs w:val="32"/>
          <w:lang w:eastAsia="zh-CN"/>
        </w:rPr>
        <w:t>出台《</w:t>
      </w:r>
      <w:r>
        <w:rPr>
          <w:rFonts w:hint="eastAsia" w:ascii="仿宋_GB2312" w:hAnsi="仿宋_GB2312" w:eastAsia="仿宋_GB2312" w:cs="仿宋_GB2312"/>
          <w:sz w:val="32"/>
          <w:szCs w:val="32"/>
        </w:rPr>
        <w:t>金川县促进建筑业高质量发展实施意见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通过政策加力，多方并进，</w:t>
      </w:r>
      <w:r>
        <w:rPr>
          <w:rFonts w:hint="eastAsia" w:ascii="仿宋_GB2312" w:hAnsi="仿宋_GB2312" w:eastAsia="仿宋_GB2312" w:cs="仿宋_GB2312"/>
          <w:sz w:val="32"/>
          <w:szCs w:val="32"/>
          <w:lang w:eastAsia="zh-CN"/>
        </w:rPr>
        <w:t>目前已吸引</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家二级建筑企业回流金川；</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家建筑企业由三级企业成功升级为二级企业，</w:t>
      </w:r>
      <w:r>
        <w:rPr>
          <w:rFonts w:hint="eastAsia" w:ascii="仿宋_GB2312" w:hAnsi="仿宋_GB2312" w:eastAsia="仿宋_GB2312" w:cs="仿宋_GB2312"/>
          <w:sz w:val="32"/>
          <w:szCs w:val="32"/>
          <w:lang w:val="en-US" w:eastAsia="zh-CN"/>
        </w:rPr>
        <w:t>新成立一家由华西集团与金川国资公司联合成立二级建筑企业。2024年完成建筑业产值共计11592.5万元，增速112.4%。</w:t>
      </w:r>
    </w:p>
    <w:p>
      <w:pPr>
        <w:snapToGrid w:val="0"/>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（五）强化监督，安全生产持续稳定</w:t>
      </w:r>
    </w:p>
    <w:p>
      <w:pPr>
        <w:snapToGrid w:val="0"/>
        <w:spacing w:line="360" w:lineRule="auto"/>
        <w:ind w:firstLine="640" w:firstLineChars="200"/>
        <w:rPr>
          <w:rFonts w:hint="eastAsia" w:ascii="仿宋_GB2312" w:hAnsi="仿宋_GB2312" w:eastAsia="仿宋_GB2312" w:cs="仿宋_GB2312"/>
          <w:sz w:val="32"/>
          <w:szCs w:val="32"/>
          <w:lang w:val="en" w:eastAsia="zh-CN"/>
        </w:rPr>
      </w:pPr>
      <w:r>
        <w:rPr>
          <w:rFonts w:hint="eastAsia" w:ascii="仿宋_GB2312" w:hAnsi="仿宋_GB2312" w:eastAsia="仿宋_GB2312" w:cs="仿宋_GB2312"/>
          <w:sz w:val="32"/>
          <w:szCs w:val="32"/>
        </w:rPr>
        <w:t>紧盯“住房、燃气</w:t>
      </w:r>
      <w:r>
        <w:rPr>
          <w:rFonts w:hint="eastAsia" w:ascii="仿宋_GB2312" w:hAnsi="仿宋_GB2312" w:eastAsia="仿宋_GB2312" w:cs="仿宋_GB2312"/>
          <w:sz w:val="32"/>
          <w:szCs w:val="32"/>
          <w:lang w:eastAsia="zh-CN"/>
        </w:rPr>
        <w:t>、在建工地</w:t>
      </w:r>
      <w:r>
        <w:rPr>
          <w:rFonts w:hint="eastAsia" w:ascii="仿宋_GB2312" w:hAnsi="仿宋_GB2312" w:eastAsia="仿宋_GB2312" w:cs="仿宋_GB2312"/>
          <w:sz w:val="32"/>
          <w:szCs w:val="32"/>
        </w:rPr>
        <w:t>”领域，</w:t>
      </w:r>
      <w:r>
        <w:rPr>
          <w:rFonts w:hint="eastAsia" w:ascii="仿宋_GB2312" w:hAnsi="仿宋_GB2312" w:eastAsia="仿宋_GB2312" w:cs="仿宋_GB2312"/>
          <w:sz w:val="32"/>
          <w:szCs w:val="32"/>
          <w:lang w:eastAsia="zh-CN"/>
        </w:rPr>
        <w:t>全力开展自建房排查、燃气安全、在建工地安全排查工作，确保安全事故零发生。一是强化</w:t>
      </w:r>
      <w:r>
        <w:rPr>
          <w:rFonts w:hint="eastAsia" w:ascii="仿宋_GB2312" w:hAnsi="仿宋_GB2312" w:eastAsia="仿宋_GB2312" w:cs="仿宋_GB2312"/>
          <w:sz w:val="32"/>
          <w:szCs w:val="32"/>
          <w:lang w:val="en" w:eastAsia="zh-CN"/>
        </w:rPr>
        <w:t>在建项目安全监管，</w:t>
      </w:r>
      <w:r>
        <w:rPr>
          <w:rFonts w:hint="eastAsia" w:ascii="仿宋_GB2312" w:hAnsi="仿宋_GB2312" w:eastAsia="仿宋_GB2312" w:cs="仿宋_GB2312"/>
          <w:sz w:val="32"/>
          <w:szCs w:val="32"/>
          <w:lang w:val="en-US" w:eastAsia="zh-CN"/>
        </w:rPr>
        <w:t>全面落实企业安全生产主体责任，持续强化对工程建设全过程的质量安全监管，进一步加强工程质量安全监督检查。截至目前，</w:t>
      </w:r>
      <w:r>
        <w:rPr>
          <w:rFonts w:hint="eastAsia" w:ascii="仿宋_GB2312" w:hAnsi="仿宋_GB2312" w:eastAsia="仿宋_GB2312" w:cs="仿宋_GB2312"/>
          <w:sz w:val="32"/>
          <w:szCs w:val="32"/>
          <w:lang w:val="en" w:eastAsia="zh-CN"/>
        </w:rPr>
        <w:t>组织开展在建工地</w:t>
      </w:r>
      <w:r>
        <w:rPr>
          <w:rFonts w:hint="eastAsia" w:ascii="仿宋_GB2312" w:hAnsi="仿宋_GB2312" w:eastAsia="仿宋_GB2312" w:cs="仿宋_GB2312"/>
          <w:sz w:val="32"/>
          <w:szCs w:val="32"/>
          <w:lang w:val="en-US" w:eastAsia="zh-CN"/>
        </w:rPr>
        <w:t>安全生产、工地乱象整治检查120余次，</w:t>
      </w:r>
      <w:r>
        <w:rPr>
          <w:rFonts w:hint="eastAsia" w:ascii="仿宋_GB2312" w:hAnsi="仿宋_GB2312" w:eastAsia="仿宋_GB2312" w:cs="仿宋_GB2312"/>
          <w:sz w:val="32"/>
          <w:szCs w:val="32"/>
          <w:lang w:val="en" w:eastAsia="zh-CN"/>
        </w:rPr>
        <w:t>下达隐患整改通知书</w:t>
      </w:r>
      <w:r>
        <w:rPr>
          <w:rFonts w:hint="eastAsia" w:ascii="仿宋_GB2312" w:hAnsi="仿宋_GB2312" w:eastAsia="仿宋_GB2312" w:cs="仿宋_GB2312"/>
          <w:sz w:val="32"/>
          <w:szCs w:val="32"/>
          <w:lang w:val="en-US" w:eastAsia="zh-CN"/>
        </w:rPr>
        <w:t>80余</w:t>
      </w:r>
      <w:r>
        <w:rPr>
          <w:rFonts w:hint="eastAsia" w:ascii="仿宋_GB2312" w:hAnsi="仿宋_GB2312" w:eastAsia="仿宋_GB2312" w:cs="仿宋_GB2312"/>
          <w:sz w:val="32"/>
          <w:szCs w:val="32"/>
          <w:lang w:val="en" w:eastAsia="zh-CN"/>
        </w:rPr>
        <w:t>份，交办问题</w:t>
      </w:r>
      <w:r>
        <w:rPr>
          <w:rFonts w:hint="eastAsia" w:ascii="仿宋_GB2312" w:hAnsi="仿宋_GB2312" w:eastAsia="仿宋_GB2312" w:cs="仿宋_GB2312"/>
          <w:sz w:val="32"/>
          <w:szCs w:val="32"/>
          <w:lang w:val="en-US" w:eastAsia="zh-CN"/>
        </w:rPr>
        <w:t>100余</w:t>
      </w:r>
      <w:r>
        <w:rPr>
          <w:rFonts w:hint="eastAsia" w:ascii="仿宋_GB2312" w:hAnsi="仿宋_GB2312" w:eastAsia="仿宋_GB2312" w:cs="仿宋_GB2312"/>
          <w:sz w:val="32"/>
          <w:szCs w:val="32"/>
          <w:lang w:val="en" w:eastAsia="zh-CN"/>
        </w:rPr>
        <w:t>个、完成整改</w:t>
      </w:r>
      <w:r>
        <w:rPr>
          <w:rFonts w:hint="eastAsia" w:ascii="仿宋_GB2312" w:hAnsi="仿宋_GB2312" w:eastAsia="仿宋_GB2312" w:cs="仿宋_GB2312"/>
          <w:sz w:val="32"/>
          <w:szCs w:val="32"/>
          <w:lang w:val="en-US" w:eastAsia="zh-CN"/>
        </w:rPr>
        <w:t>100余个，</w:t>
      </w:r>
      <w:r>
        <w:rPr>
          <w:rFonts w:hint="eastAsia" w:ascii="仿宋_GB2312" w:hAnsi="仿宋_GB2312" w:eastAsia="仿宋_GB2312" w:cs="仿宋_GB2312"/>
          <w:sz w:val="32"/>
          <w:szCs w:val="32"/>
          <w:lang w:val="en" w:eastAsia="zh-CN"/>
        </w:rPr>
        <w:t>切实做到销号闭环管理，确保施工安全。</w:t>
      </w:r>
      <w:r>
        <w:rPr>
          <w:rFonts w:hint="eastAsia" w:ascii="仿宋_GB2312" w:hAnsi="仿宋_GB2312" w:eastAsia="仿宋_GB2312" w:cs="仿宋_GB2312"/>
          <w:sz w:val="32"/>
          <w:szCs w:val="32"/>
          <w:lang w:eastAsia="zh-CN"/>
        </w:rPr>
        <w:t>二是</w:t>
      </w:r>
      <w:r>
        <w:rPr>
          <w:rFonts w:hint="eastAsia" w:ascii="仿宋_GB2312" w:hAnsi="仿宋_GB2312" w:eastAsia="仿宋_GB2312" w:cs="仿宋_GB2312"/>
          <w:sz w:val="32"/>
          <w:szCs w:val="32"/>
          <w:lang w:val="en-US" w:eastAsia="zh-CN"/>
        </w:rPr>
        <w:t>全力开展城镇燃气安全排查。始终坚持以问题为导向，强化联合监督检查</w:t>
      </w:r>
      <w:r>
        <w:rPr>
          <w:rFonts w:hint="eastAsia" w:ascii="仿宋_GB2312" w:hAnsi="仿宋_GB2312" w:eastAsia="仿宋_GB2312" w:cs="仿宋_GB2312"/>
          <w:sz w:val="32"/>
          <w:szCs w:val="32"/>
          <w:lang w:val="en" w:eastAsia="zh-CN"/>
        </w:rPr>
        <w:t>，</w:t>
      </w:r>
      <w:r>
        <w:rPr>
          <w:rFonts w:hint="eastAsia" w:ascii="仿宋_GB2312" w:hAnsi="仿宋_GB2312" w:eastAsia="仿宋_GB2312" w:cs="仿宋_GB2312"/>
          <w:sz w:val="32"/>
          <w:szCs w:val="32"/>
          <w:lang w:val="en-US" w:eastAsia="zh-CN"/>
        </w:rPr>
        <w:t>共开展燃气安全排查20次，下达整改通知18份，</w:t>
      </w:r>
      <w:r>
        <w:rPr>
          <w:rFonts w:hint="eastAsia" w:ascii="仿宋_GB2312" w:hAnsi="仿宋_GB2312" w:eastAsia="仿宋_GB2312" w:cs="仿宋_GB2312"/>
          <w:sz w:val="32"/>
          <w:szCs w:val="32"/>
          <w:lang w:val="en" w:eastAsia="zh-CN"/>
        </w:rPr>
        <w:t>目前已全面整改完成。同时</w:t>
      </w:r>
      <w:r>
        <w:rPr>
          <w:rFonts w:hint="eastAsia" w:ascii="仿宋_GB2312" w:hAnsi="仿宋_GB2312" w:eastAsia="仿宋_GB2312" w:cs="仿宋_GB2312"/>
          <w:sz w:val="32"/>
          <w:szCs w:val="32"/>
          <w:lang w:val="en-US" w:eastAsia="zh-CN"/>
        </w:rPr>
        <w:t>全力推进“瓶改管”工作，开工186户，完工186户，全面完成2024年目标任务</w:t>
      </w:r>
      <w:r>
        <w:rPr>
          <w:rFonts w:hint="eastAsia" w:ascii="仿宋_GB2312" w:hAnsi="仿宋_GB2312" w:eastAsia="仿宋_GB2312" w:cs="仿宋_GB2312"/>
          <w:sz w:val="32"/>
          <w:szCs w:val="32"/>
          <w:lang w:val="en" w:eastAsia="zh-CN"/>
        </w:rPr>
        <w:t>。</w:t>
      </w:r>
    </w:p>
    <w:p>
      <w:pPr>
        <w:snapToGrid w:val="0"/>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（六）对标对表，全力整改环保问题</w:t>
      </w:r>
    </w:p>
    <w:p>
      <w:pPr>
        <w:snapToGrid w:val="0"/>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坚持以整改各级环保督察反馈问题为核心。一是全力推进“三推”项目，全力推进金川县城市污水处理厂（二期）建设项目已完成前期工作，正在争取资金，待资金下达后赓即启动招标工作。目前按照3.5平方公里，1.5万人建成区人口测算，县城的污水处理率已达到95%；观音桥镇生活污水处理工程已全面完工，正在试运行阶段；观音桥生活垃圾无害化处理站建设项目有序推进。以上项目建成后观音桥镇污水处理率达到80%，安宁镇污水处理率达到64%，综合测算我县建制镇污水处理率能达到50%，观音桥片区垃圾处理率达100%；金川县安宁镇生活垃圾无害化处理站建设项目正在设计优化中。二是落实生态环境督察问题整改，强化县城污水处理厂运营管理。完成10条生态环保督察问题整改销号，制定污水处理厂运营管理办法及相关考核办法，规范污水处理厂运营管理。</w:t>
      </w:r>
    </w:p>
    <w:p>
      <w:pPr>
        <w:snapToGrid w:val="0"/>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（七）夯实责任，全力城乡环境质量提升工作</w:t>
      </w:r>
    </w:p>
    <w:p>
      <w:pPr>
        <w:snapToGrid w:val="0"/>
        <w:spacing w:line="360" w:lineRule="auto"/>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是强化排查整治。共开展建筑工地乱象、环境卫生检查30余次，与执法局联合执法，共计下发整改通知书39份、白色督办单20份、黄色督办单2份，14家施工单位已缴纳罚款30.8万元；跟踪督导州级白色督办单15份、黄色督办单1份（涉及27项问题），截止目前已全面完成整改。二是强化项目建设。我县城乡环境质量提升项目共计100个，截至目前，所有项目正有序推进中，其中已完工项目47个（州项目16个，县31个）、全面开工项目49个（州项目15个，县项目34个）、开展前期工作的4个（县项目4个），项目整体开工率达96%，完工率47%。</w:t>
      </w:r>
    </w:p>
    <w:p>
      <w:pPr>
        <w:pStyle w:val="4"/>
        <w:keepNext/>
        <w:keepLines/>
        <w:pageBreakBefore w:val="0"/>
        <w:widowControl w:val="0"/>
        <w:kinsoku/>
        <w:wordWrap/>
        <w:overflowPunct/>
        <w:topLinePunct w:val="0"/>
        <w:autoSpaceDE/>
        <w:autoSpaceDN/>
        <w:bidi w:val="0"/>
        <w:adjustRightInd/>
        <w:snapToGrid/>
        <w:spacing w:before="0" w:after="0" w:line="240" w:lineRule="auto"/>
        <w:ind w:left="640" w:hanging="640" w:hangingChars="200"/>
        <w:textAlignment w:val="auto"/>
        <w:rPr>
          <w:rFonts w:hint="eastAsia" w:ascii="黑体" w:eastAsia="黑体" w:cs="Times New Roman"/>
          <w:b w:val="0"/>
          <w:color w:val="000000"/>
        </w:rPr>
      </w:pPr>
      <w:r>
        <w:rPr>
          <w:rFonts w:hint="eastAsia" w:ascii="黑体" w:eastAsia="黑体" w:cs="Times New Roman"/>
          <w:b w:val="0"/>
          <w:color w:val="000000"/>
        </w:rPr>
        <w:t>二、机构设置</w:t>
      </w:r>
      <w:bookmarkEnd w:id="20"/>
      <w:bookmarkEnd w:id="21"/>
    </w:p>
    <w:p>
      <w:pPr>
        <w:ind w:firstLine="800" w:firstLineChars="250"/>
        <w:rPr>
          <w:rFonts w:ascii="仿宋" w:eastAsia="仿宋"/>
          <w:sz w:val="32"/>
          <w:szCs w:val="32"/>
        </w:rPr>
      </w:pPr>
      <w:bookmarkStart w:id="22" w:name="_Toc15377204"/>
      <w:bookmarkStart w:id="23" w:name="_Toc15396602"/>
      <w:r>
        <w:rPr>
          <w:rFonts w:hint="eastAsia" w:ascii="仿宋_GB2312" w:hAnsi="仿宋_GB2312" w:eastAsia="仿宋_GB2312" w:cs="仿宋_GB2312"/>
          <w:sz w:val="32"/>
          <w:szCs w:val="32"/>
          <w:lang w:val="en-US" w:eastAsia="zh-CN"/>
        </w:rPr>
        <w:t>阿坝州金川县住房和城乡建设局下属二级预算单位2个，其中行政单位1个，参照公务员法管理的事业单位0个，</w:t>
      </w:r>
      <w:r>
        <w:rPr>
          <w:rFonts w:hint="eastAsia" w:ascii="仿宋" w:eastAsia="仿宋"/>
          <w:sz w:val="32"/>
          <w:szCs w:val="32"/>
        </w:rPr>
        <w:t>其他事业单位</w:t>
      </w:r>
      <w:r>
        <w:rPr>
          <w:rFonts w:hint="eastAsia" w:ascii="仿宋" w:eastAsia="仿宋"/>
          <w:sz w:val="32"/>
          <w:szCs w:val="32"/>
          <w:lang w:val="en-US" w:eastAsia="zh-CN"/>
        </w:rPr>
        <w:t>1</w:t>
      </w:r>
      <w:r>
        <w:rPr>
          <w:rFonts w:hint="eastAsia" w:ascii="仿宋" w:eastAsia="仿宋"/>
          <w:sz w:val="32"/>
          <w:szCs w:val="32"/>
        </w:rPr>
        <w:t>个。</w:t>
      </w:r>
    </w:p>
    <w:p>
      <w:pPr>
        <w:pStyle w:val="6"/>
        <w:adjustRightInd w:val="0"/>
        <w:snapToGrid w:val="0"/>
        <w:spacing w:before="93" w:beforeLines="0" w:line="600" w:lineRule="exact"/>
        <w:ind w:firstLine="640" w:firstLineChars="200"/>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纳入阿坝州金川县住房和城乡建设局2023年度部门决算编制范围的二级预算单位包括：</w:t>
      </w:r>
    </w:p>
    <w:p>
      <w:pPr>
        <w:pStyle w:val="6"/>
        <w:numPr>
          <w:ilvl w:val="0"/>
          <w:numId w:val="1"/>
        </w:numPr>
        <w:adjustRightInd w:val="0"/>
        <w:snapToGrid w:val="0"/>
        <w:spacing w:before="93" w:beforeLines="0" w:line="600" w:lineRule="exact"/>
        <w:outlineLvl w:val="2"/>
        <w:rPr>
          <w:rFonts w:ascii="仿宋" w:eastAsia="仿宋"/>
          <w:sz w:val="32"/>
          <w:szCs w:val="32"/>
        </w:rPr>
      </w:pPr>
      <w:r>
        <w:rPr>
          <w:rFonts w:hint="eastAsia" w:ascii="仿宋" w:eastAsia="仿宋"/>
          <w:sz w:val="32"/>
          <w:szCs w:val="32"/>
          <w:lang w:val="en-US" w:eastAsia="zh-CN"/>
        </w:rPr>
        <w:t>金川县住房和城乡建设局</w:t>
      </w:r>
    </w:p>
    <w:p>
      <w:pPr>
        <w:pStyle w:val="6"/>
        <w:numPr>
          <w:ilvl w:val="0"/>
          <w:numId w:val="1"/>
        </w:numPr>
        <w:adjustRightInd w:val="0"/>
        <w:snapToGrid w:val="0"/>
        <w:spacing w:before="93" w:beforeLines="0" w:line="600" w:lineRule="exact"/>
        <w:outlineLvl w:val="2"/>
        <w:rPr>
          <w:rFonts w:ascii="仿宋" w:eastAsia="仿宋"/>
          <w:sz w:val="32"/>
          <w:szCs w:val="32"/>
        </w:rPr>
      </w:pPr>
      <w:r>
        <w:rPr>
          <w:rFonts w:hint="eastAsia" w:ascii="仿宋" w:eastAsia="仿宋"/>
          <w:sz w:val="32"/>
          <w:szCs w:val="32"/>
          <w:lang w:val="en-US" w:eastAsia="zh-CN"/>
        </w:rPr>
        <w:t>金川县建设工程质量安全监督站</w:t>
      </w:r>
    </w:p>
    <w:p>
      <w:pPr>
        <w:pStyle w:val="3"/>
        <w:numPr>
          <w:ilvl w:val="0"/>
          <w:numId w:val="2"/>
        </w:numPr>
        <w:ind w:right="440"/>
        <w:jc w:val="right"/>
      </w:pPr>
      <w:r>
        <w:rPr>
          <w:rStyle w:val="24"/>
          <w:rFonts w:hint="eastAsia" w:ascii="黑体" w:eastAsia="黑体"/>
          <w:b w:val="0"/>
          <w:bCs w:val="0"/>
        </w:rPr>
        <w:t>20</w:t>
      </w:r>
      <w:r>
        <w:rPr>
          <w:rStyle w:val="24"/>
          <w:rFonts w:hint="eastAsia" w:ascii="黑体" w:eastAsia="黑体"/>
          <w:b w:val="0"/>
          <w:bCs w:val="0"/>
          <w:lang w:val="en-US"/>
        </w:rPr>
        <w:t>24</w:t>
      </w:r>
      <w:r>
        <w:rPr>
          <w:rStyle w:val="24"/>
          <w:rFonts w:hint="eastAsia" w:ascii="黑体" w:eastAsia="黑体"/>
          <w:b w:val="0"/>
          <w:bCs w:val="0"/>
        </w:rPr>
        <w:t>年度部门决算情况说明</w:t>
      </w:r>
      <w:bookmarkEnd w:id="22"/>
      <w:bookmarkEnd w:id="23"/>
    </w:p>
    <w:p>
      <w:pPr>
        <w:pStyle w:val="30"/>
        <w:numPr>
          <w:ilvl w:val="0"/>
          <w:numId w:val="3"/>
        </w:numPr>
        <w:spacing w:line="240" w:lineRule="auto"/>
        <w:ind w:left="0" w:firstLine="0" w:firstLineChars="0"/>
        <w:outlineLvl w:val="1"/>
        <w:rPr>
          <w:rStyle w:val="25"/>
          <w:rFonts w:ascii="黑体" w:eastAsia="黑体"/>
          <w:b w:val="0"/>
        </w:rPr>
      </w:pPr>
      <w:bookmarkStart w:id="24" w:name="_Toc15377205"/>
      <w:bookmarkStart w:id="25" w:name="_Toc15396603"/>
      <w:r>
        <w:rPr>
          <w:rFonts w:hint="eastAsia" w:ascii="黑体" w:eastAsia="黑体"/>
          <w:color w:val="000000"/>
          <w:sz w:val="32"/>
          <w:szCs w:val="32"/>
        </w:rPr>
        <w:t>收</w:t>
      </w:r>
      <w:r>
        <w:rPr>
          <w:rStyle w:val="25"/>
          <w:rFonts w:hint="eastAsia" w:ascii="黑体" w:eastAsia="黑体"/>
          <w:b w:val="0"/>
        </w:rPr>
        <w:t>入支出决算总体情况说明</w:t>
      </w:r>
      <w:bookmarkEnd w:id="24"/>
      <w:bookmarkEnd w:id="25"/>
    </w:p>
    <w:p>
      <w:pPr>
        <w:snapToGrid w:val="0"/>
        <w:spacing w:line="520" w:lineRule="exact"/>
        <w:ind w:firstLine="632" w:firstLineChars="200"/>
        <w:rPr>
          <w:rFonts w:hint="eastAsia" w:ascii="仿宋_GB2312" w:eastAsia="仿宋_GB2312"/>
          <w:color w:val="000000"/>
          <w:spacing w:val="-2"/>
          <w:kern w:val="2"/>
          <w:sz w:val="32"/>
          <w:szCs w:val="32"/>
          <w:lang w:val="en-US" w:eastAsia="zh-CN" w:bidi="ar-SA"/>
        </w:rPr>
      </w:pPr>
      <w:r>
        <w:rPr>
          <w:rFonts w:hint="eastAsia" w:ascii="仿宋_GB2312" w:eastAsia="仿宋_GB2312"/>
          <w:color w:val="000000"/>
          <w:spacing w:val="-2"/>
          <w:kern w:val="2"/>
          <w:sz w:val="32"/>
          <w:szCs w:val="32"/>
          <w:lang w:val="en-US" w:eastAsia="zh-CN" w:bidi="ar-SA"/>
        </w:rPr>
        <w:t>2024年度总收入15024.04万元</w:t>
      </w:r>
      <w:r>
        <w:rPr>
          <w:rFonts w:hint="eastAsia" w:ascii="宋体" w:hAnsi="宋体" w:cs="宋体"/>
          <w:sz w:val="24"/>
          <w:szCs w:val="24"/>
          <w:lang w:val="en-US" w:eastAsia="zh-CN"/>
        </w:rPr>
        <w:t>，</w:t>
      </w:r>
      <w:r>
        <w:rPr>
          <w:rFonts w:hint="eastAsia" w:ascii="仿宋_GB2312" w:eastAsia="仿宋_GB2312"/>
          <w:color w:val="000000"/>
          <w:spacing w:val="-2"/>
          <w:kern w:val="2"/>
          <w:sz w:val="32"/>
          <w:szCs w:val="32"/>
          <w:lang w:val="en-US" w:eastAsia="zh-CN" w:bidi="ar-SA"/>
        </w:rPr>
        <w:t>较上年收入增加2983.18万元，增加24.78%。增加的主要原因是2023年项目资金增加。</w:t>
      </w:r>
    </w:p>
    <w:p>
      <w:pPr>
        <w:snapToGrid w:val="0"/>
        <w:spacing w:line="520" w:lineRule="exact"/>
        <w:ind w:firstLine="632" w:firstLineChars="200"/>
        <w:rPr>
          <w:rFonts w:hint="eastAsia" w:ascii="仿宋_GB2312" w:eastAsia="仿宋_GB2312"/>
          <w:color w:val="000000"/>
          <w:spacing w:val="-2"/>
          <w:kern w:val="2"/>
          <w:sz w:val="32"/>
          <w:szCs w:val="32"/>
          <w:lang w:val="en-US" w:eastAsia="zh-CN" w:bidi="ar-SA"/>
        </w:rPr>
      </w:pPr>
      <w:r>
        <w:rPr>
          <w:rFonts w:hint="eastAsia" w:ascii="仿宋_GB2312" w:eastAsia="仿宋_GB2312"/>
          <w:color w:val="auto"/>
          <w:spacing w:val="-2"/>
          <w:kern w:val="2"/>
          <w:sz w:val="32"/>
          <w:szCs w:val="32"/>
          <w:lang w:val="en-US" w:eastAsia="zh-CN" w:bidi="ar-SA"/>
        </w:rPr>
        <w:t>2024年总支出</w:t>
      </w:r>
      <w:r>
        <w:rPr>
          <w:rFonts w:hint="eastAsia" w:ascii="仿宋_GB2312" w:eastAsia="仿宋_GB2312"/>
          <w:color w:val="000000"/>
          <w:spacing w:val="-2"/>
          <w:kern w:val="2"/>
          <w:sz w:val="32"/>
          <w:szCs w:val="32"/>
          <w:lang w:val="en-US" w:eastAsia="zh-CN" w:bidi="ar-SA"/>
        </w:rPr>
        <w:t>15024.04</w:t>
      </w:r>
      <w:r>
        <w:rPr>
          <w:rFonts w:hint="eastAsia" w:ascii="仿宋_GB2312" w:eastAsia="仿宋_GB2312"/>
          <w:color w:val="auto"/>
          <w:spacing w:val="-2"/>
          <w:kern w:val="2"/>
          <w:sz w:val="32"/>
          <w:szCs w:val="32"/>
          <w:lang w:val="en-US" w:eastAsia="zh-CN" w:bidi="ar-SA"/>
        </w:rPr>
        <w:t>万元，</w:t>
      </w:r>
      <w:r>
        <w:rPr>
          <w:rFonts w:hint="eastAsia" w:ascii="仿宋_GB2312" w:eastAsia="仿宋_GB2312"/>
          <w:color w:val="000000"/>
          <w:spacing w:val="-2"/>
          <w:kern w:val="2"/>
          <w:sz w:val="32"/>
          <w:szCs w:val="32"/>
          <w:lang w:val="en-US" w:eastAsia="zh-CN" w:bidi="ar-SA"/>
        </w:rPr>
        <w:t>较上年收入增加2983.18万元，增加24.78%。增加的主要原因是2023年项目资金增加。</w:t>
      </w:r>
    </w:p>
    <w:p>
      <w:pPr>
        <w:snapToGrid w:val="0"/>
        <w:spacing w:line="520" w:lineRule="exact"/>
        <w:ind w:firstLine="632" w:firstLineChars="200"/>
        <w:rPr>
          <w:rFonts w:hint="eastAsia" w:ascii="仿宋_GB2312" w:eastAsia="仿宋_GB2312"/>
          <w:color w:val="auto"/>
          <w:spacing w:val="-2"/>
          <w:kern w:val="2"/>
          <w:sz w:val="32"/>
          <w:szCs w:val="32"/>
          <w:lang w:val="en-US" w:eastAsia="zh-CN" w:bidi="ar-SA"/>
        </w:rPr>
      </w:pPr>
    </w:p>
    <w:p>
      <w:pPr>
        <w:rPr>
          <w:rFonts w:hint="eastAsia"/>
          <w:lang w:val="en-US" w:eastAsia="zh-CN"/>
        </w:rPr>
      </w:pPr>
      <w:bookmarkStart w:id="26" w:name="_Toc15396604"/>
      <w:bookmarkStart w:id="27" w:name="_Toc15377206"/>
      <w:r>
        <w:rPr>
          <w:rFonts w:hint="eastAsia"/>
          <w:lang w:val="en-US" w:eastAsia="zh-CN"/>
        </w:rPr>
        <w:t xml:space="preserve">    </w:t>
      </w:r>
    </w:p>
    <w:p>
      <w:pPr>
        <w:rPr>
          <w:rFonts w:hint="eastAsia"/>
          <w:lang w:val="en-US" w:eastAsia="zh-CN"/>
        </w:rPr>
      </w:pPr>
      <w:r>
        <w:drawing>
          <wp:inline distT="0" distB="0" distL="114300" distR="114300">
            <wp:extent cx="4572000" cy="2743200"/>
            <wp:effectExtent l="4445" t="4445" r="14605" b="14605"/>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rPr>
          <w:rStyle w:val="25"/>
          <w:rFonts w:ascii="黑体" w:eastAsia="黑体"/>
          <w:b w:val="0"/>
        </w:rPr>
      </w:pPr>
      <w:r>
        <w:rPr>
          <w:rFonts w:hint="eastAsia"/>
          <w:lang w:val="en-US" w:eastAsia="zh-CN"/>
        </w:rPr>
        <w:t xml:space="preserve"> </w:t>
      </w:r>
      <w:r>
        <w:rPr>
          <w:rFonts w:hint="eastAsia" w:ascii="黑体" w:eastAsia="黑体" w:cs="Times New Roman"/>
          <w:color w:val="000000"/>
          <w:kern w:val="2"/>
          <w:sz w:val="32"/>
          <w:szCs w:val="32"/>
          <w:lang w:val="en-US" w:eastAsia="zh-CN" w:bidi="ar-SA"/>
        </w:rPr>
        <w:t>二、收入决</w:t>
      </w:r>
      <w:r>
        <w:rPr>
          <w:rStyle w:val="25"/>
          <w:rFonts w:hint="eastAsia" w:ascii="黑体" w:eastAsia="黑体"/>
          <w:b w:val="0"/>
        </w:rPr>
        <w:t>算情况说明</w:t>
      </w:r>
      <w:bookmarkEnd w:id="26"/>
      <w:bookmarkEnd w:id="27"/>
    </w:p>
    <w:p>
      <w:pPr>
        <w:spacing w:line="600" w:lineRule="exact"/>
        <w:ind w:firstLine="640" w:firstLineChars="200"/>
        <w:outlineLvl w:val="1"/>
        <w:rPr>
          <w:rFonts w:hint="eastAsia" w:ascii="仿宋" w:eastAsia="仿宋"/>
          <w:color w:val="000000"/>
          <w:sz w:val="32"/>
          <w:szCs w:val="32"/>
          <w:lang w:val="en-US" w:eastAsia="zh-CN"/>
        </w:rPr>
      </w:pPr>
      <w:r>
        <w:rPr>
          <w:rFonts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w:t>
      </w:r>
      <w:r>
        <w:rPr>
          <w:rFonts w:hint="eastAsia" w:ascii="仿宋" w:eastAsia="仿宋"/>
          <w:color w:val="000000"/>
          <w:sz w:val="32"/>
          <w:szCs w:val="32"/>
          <w:lang w:val="en-US" w:eastAsia="zh-CN"/>
        </w:rPr>
        <w:t>总</w:t>
      </w:r>
      <w:r>
        <w:rPr>
          <w:rFonts w:hint="eastAsia" w:ascii="仿宋" w:eastAsia="仿宋"/>
          <w:color w:val="000000"/>
          <w:sz w:val="32"/>
          <w:szCs w:val="32"/>
        </w:rPr>
        <w:t>收入</w:t>
      </w:r>
      <w:r>
        <w:rPr>
          <w:rFonts w:hint="eastAsia" w:ascii="仿宋_GB2312" w:eastAsia="仿宋_GB2312"/>
          <w:color w:val="000000"/>
          <w:spacing w:val="-2"/>
          <w:kern w:val="2"/>
          <w:sz w:val="32"/>
          <w:szCs w:val="32"/>
          <w:lang w:val="en-US" w:eastAsia="zh-CN" w:bidi="ar-SA"/>
        </w:rPr>
        <w:t>15024.04</w:t>
      </w:r>
      <w:r>
        <w:rPr>
          <w:rFonts w:hint="eastAsia" w:ascii="仿宋" w:eastAsia="仿宋"/>
          <w:color w:val="000000"/>
          <w:sz w:val="32"/>
          <w:szCs w:val="32"/>
        </w:rPr>
        <w:t>万元，其中：一般公共预算财政拨款收入</w:t>
      </w:r>
      <w:r>
        <w:rPr>
          <w:rFonts w:hint="eastAsia" w:ascii="仿宋" w:eastAsia="仿宋"/>
          <w:color w:val="000000"/>
          <w:sz w:val="32"/>
          <w:szCs w:val="32"/>
          <w:lang w:val="en-US" w:eastAsia="zh-CN"/>
        </w:rPr>
        <w:t>11235.89</w:t>
      </w:r>
      <w:r>
        <w:rPr>
          <w:rFonts w:hint="eastAsia" w:ascii="仿宋" w:eastAsia="仿宋"/>
          <w:color w:val="000000"/>
          <w:sz w:val="32"/>
          <w:szCs w:val="32"/>
        </w:rPr>
        <w:t>万元，占</w:t>
      </w:r>
      <w:r>
        <w:rPr>
          <w:rFonts w:hint="eastAsia" w:ascii="仿宋" w:eastAsia="仿宋"/>
          <w:color w:val="000000"/>
          <w:sz w:val="32"/>
          <w:szCs w:val="32"/>
          <w:lang w:val="en-US" w:eastAsia="zh-CN"/>
        </w:rPr>
        <w:t>74.78</w:t>
      </w:r>
      <w:r>
        <w:rPr>
          <w:rFonts w:ascii="仿宋" w:eastAsia="仿宋"/>
          <w:color w:val="000000"/>
          <w:sz w:val="32"/>
          <w:szCs w:val="32"/>
        </w:rPr>
        <w:t>%</w:t>
      </w:r>
      <w:r>
        <w:rPr>
          <w:rFonts w:hint="eastAsia" w:ascii="仿宋" w:eastAsia="仿宋"/>
          <w:color w:val="000000"/>
          <w:sz w:val="32"/>
          <w:szCs w:val="32"/>
        </w:rPr>
        <w:t>；政府性基金预算财政拨款收入</w:t>
      </w:r>
      <w:r>
        <w:rPr>
          <w:rFonts w:hint="eastAsia" w:ascii="仿宋" w:eastAsia="仿宋"/>
          <w:color w:val="000000"/>
          <w:sz w:val="32"/>
          <w:szCs w:val="32"/>
          <w:lang w:val="en-US" w:eastAsia="zh-CN"/>
        </w:rPr>
        <w:t>3788.14</w:t>
      </w:r>
      <w:r>
        <w:rPr>
          <w:rFonts w:hint="eastAsia" w:ascii="仿宋" w:eastAsia="仿宋"/>
          <w:color w:val="000000"/>
          <w:sz w:val="32"/>
          <w:szCs w:val="32"/>
        </w:rPr>
        <w:t>万元，占</w:t>
      </w:r>
      <w:r>
        <w:rPr>
          <w:rFonts w:hint="eastAsia" w:ascii="仿宋" w:eastAsia="仿宋"/>
          <w:color w:val="000000"/>
          <w:sz w:val="32"/>
          <w:szCs w:val="32"/>
          <w:lang w:val="en-US" w:eastAsia="zh-CN"/>
        </w:rPr>
        <w:t>25.22</w:t>
      </w:r>
      <w:r>
        <w:rPr>
          <w:rFonts w:ascii="仿宋" w:eastAsia="仿宋"/>
          <w:color w:val="000000"/>
          <w:sz w:val="32"/>
          <w:szCs w:val="32"/>
        </w:rPr>
        <w:t>%</w:t>
      </w:r>
      <w:r>
        <w:rPr>
          <w:rFonts w:hint="eastAsia" w:ascii="仿宋" w:eastAsia="仿宋"/>
          <w:color w:val="000000"/>
          <w:sz w:val="32"/>
          <w:szCs w:val="32"/>
        </w:rPr>
        <w:t>；国有资本经营预算财政拨款收入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；事业收入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；经营收入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；附属单位上缴收入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；其他收入</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w:t>
      </w:r>
      <w:r>
        <w:rPr>
          <w:rFonts w:hint="eastAsia" w:ascii="仿宋" w:eastAsia="仿宋"/>
          <w:color w:val="000000"/>
          <w:sz w:val="32"/>
          <w:szCs w:val="32"/>
          <w:lang w:val="en-US" w:eastAsia="zh-CN"/>
        </w:rPr>
        <w:t>。</w:t>
      </w:r>
    </w:p>
    <w:p>
      <w:pPr>
        <w:spacing w:line="600" w:lineRule="exact"/>
        <w:ind w:firstLine="420" w:firstLineChars="200"/>
        <w:outlineLvl w:val="1"/>
        <w:rPr>
          <w:rFonts w:hint="eastAsia"/>
          <w:lang w:val="en-US" w:eastAsia="zh-CN"/>
        </w:rPr>
      </w:pPr>
      <w:bookmarkStart w:id="28" w:name="_Toc15377207"/>
      <w:bookmarkStart w:id="29" w:name="_Toc15396605"/>
      <w:r>
        <w:rPr>
          <w:rFonts w:hint="eastAsia"/>
          <w:lang w:val="en-US" w:eastAsia="zh-CN"/>
        </w:rPr>
        <w:t xml:space="preserve"> </w:t>
      </w:r>
    </w:p>
    <w:p>
      <w:pPr>
        <w:rPr>
          <w:rFonts w:hint="eastAsia"/>
          <w:lang w:val="en-US" w:eastAsia="zh-CN"/>
        </w:rPr>
      </w:pPr>
      <w:r>
        <w:rPr>
          <w:rFonts w:hint="eastAsia"/>
          <w:lang w:val="en-US" w:eastAsia="zh-CN"/>
        </w:rPr>
        <w:drawing>
          <wp:inline distT="0" distB="0" distL="114300" distR="114300">
            <wp:extent cx="5080000" cy="3810000"/>
            <wp:effectExtent l="4445" t="4445" r="20955" b="1460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420" w:firstLineChars="200"/>
        <w:outlineLvl w:val="1"/>
        <w:rPr>
          <w:rStyle w:val="25"/>
          <w:rFonts w:ascii="黑体" w:eastAsia="黑体"/>
          <w:b w:val="0"/>
        </w:rPr>
      </w:pPr>
      <w:r>
        <w:rPr>
          <w:rFonts w:hint="eastAsia"/>
          <w:lang w:val="en-US" w:eastAsia="zh-CN"/>
        </w:rPr>
        <w:t xml:space="preserve">  </w:t>
      </w:r>
      <w:r>
        <w:rPr>
          <w:rFonts w:hint="eastAsia" w:ascii="黑体" w:eastAsia="黑体" w:cs="Times New Roman"/>
          <w:color w:val="000000"/>
          <w:kern w:val="2"/>
          <w:sz w:val="32"/>
          <w:szCs w:val="32"/>
          <w:lang w:val="en-US" w:eastAsia="zh-CN" w:bidi="ar-SA"/>
        </w:rPr>
        <w:t>三、支出决</w:t>
      </w:r>
      <w:r>
        <w:rPr>
          <w:rStyle w:val="25"/>
          <w:rFonts w:hint="eastAsia" w:ascii="黑体" w:eastAsia="黑体"/>
          <w:b w:val="0"/>
        </w:rPr>
        <w:t>算情况说明</w:t>
      </w:r>
      <w:bookmarkEnd w:id="28"/>
      <w:bookmarkEnd w:id="29"/>
    </w:p>
    <w:p>
      <w:pPr>
        <w:spacing w:line="600" w:lineRule="exact"/>
        <w:ind w:firstLine="640"/>
        <w:rPr>
          <w:rFonts w:hint="eastAsia" w:ascii="仿宋" w:eastAsia="仿宋"/>
          <w:color w:val="000000"/>
          <w:sz w:val="32"/>
          <w:szCs w:val="32"/>
        </w:rPr>
      </w:pPr>
      <w:r>
        <w:rPr>
          <w:rFonts w:hint="eastAsia"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_GB2312" w:eastAsia="仿宋_GB2312"/>
          <w:color w:val="000000"/>
          <w:spacing w:val="-2"/>
          <w:kern w:val="2"/>
          <w:sz w:val="32"/>
          <w:szCs w:val="32"/>
          <w:lang w:val="en-US" w:eastAsia="zh-CN" w:bidi="ar-SA"/>
        </w:rPr>
        <w:t>15024.04</w:t>
      </w:r>
      <w:r>
        <w:rPr>
          <w:rFonts w:hint="eastAsia" w:ascii="仿宋" w:eastAsia="仿宋"/>
          <w:color w:val="000000"/>
          <w:sz w:val="32"/>
          <w:szCs w:val="32"/>
        </w:rPr>
        <w:t>万元，其中：基本支出</w:t>
      </w:r>
    </w:p>
    <w:p>
      <w:pPr>
        <w:spacing w:line="600" w:lineRule="exact"/>
        <w:rPr>
          <w:rFonts w:ascii="仿宋" w:eastAsia="仿宋"/>
          <w:color w:val="000000"/>
          <w:sz w:val="32"/>
          <w:szCs w:val="32"/>
          <w:shd w:val="pct10" w:color="auto" w:fill="FFFFFF"/>
        </w:rPr>
      </w:pPr>
      <w:r>
        <w:rPr>
          <w:rFonts w:hint="eastAsia" w:ascii="仿宋" w:eastAsia="仿宋"/>
          <w:color w:val="000000"/>
          <w:sz w:val="32"/>
          <w:szCs w:val="32"/>
          <w:lang w:val="en-US" w:eastAsia="zh-CN"/>
        </w:rPr>
        <w:t>479.27</w:t>
      </w:r>
      <w:r>
        <w:rPr>
          <w:rFonts w:hint="eastAsia" w:ascii="仿宋" w:eastAsia="仿宋"/>
          <w:color w:val="000000"/>
          <w:sz w:val="32"/>
          <w:szCs w:val="32"/>
        </w:rPr>
        <w:t>万元，占</w:t>
      </w:r>
      <w:r>
        <w:rPr>
          <w:rFonts w:hint="eastAsia" w:ascii="仿宋" w:eastAsia="仿宋"/>
          <w:color w:val="000000"/>
          <w:sz w:val="32"/>
          <w:szCs w:val="32"/>
          <w:lang w:val="en-US" w:eastAsia="zh-CN"/>
        </w:rPr>
        <w:t>3.2</w:t>
      </w:r>
      <w:r>
        <w:rPr>
          <w:rFonts w:hint="eastAsia" w:ascii="仿宋" w:eastAsia="仿宋"/>
          <w:color w:val="000000"/>
          <w:sz w:val="32"/>
          <w:szCs w:val="32"/>
        </w:rPr>
        <w:t>%；项目支出</w:t>
      </w:r>
      <w:r>
        <w:rPr>
          <w:rFonts w:hint="eastAsia" w:ascii="仿宋" w:eastAsia="仿宋"/>
          <w:color w:val="000000"/>
          <w:sz w:val="32"/>
          <w:szCs w:val="32"/>
          <w:lang w:val="en-US" w:eastAsia="zh-CN"/>
        </w:rPr>
        <w:t>14544.76</w:t>
      </w:r>
      <w:r>
        <w:rPr>
          <w:rFonts w:hint="eastAsia" w:ascii="仿宋" w:eastAsia="仿宋"/>
          <w:color w:val="000000"/>
          <w:sz w:val="32"/>
          <w:szCs w:val="32"/>
        </w:rPr>
        <w:t>万元，占</w:t>
      </w:r>
      <w:r>
        <w:rPr>
          <w:rFonts w:hint="eastAsia" w:ascii="仿宋" w:eastAsia="仿宋"/>
          <w:color w:val="000000"/>
          <w:sz w:val="32"/>
          <w:szCs w:val="32"/>
          <w:lang w:val="en-US" w:eastAsia="zh-CN"/>
        </w:rPr>
        <w:t>96.8</w:t>
      </w:r>
      <w:r>
        <w:rPr>
          <w:rFonts w:hint="eastAsia" w:ascii="仿宋" w:eastAsia="仿宋"/>
          <w:color w:val="000000"/>
          <w:sz w:val="32"/>
          <w:szCs w:val="32"/>
        </w:rPr>
        <w:t>%；上缴上级支出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hint="eastAsia" w:ascii="仿宋" w:eastAsia="仿宋"/>
          <w:color w:val="000000"/>
          <w:sz w:val="32"/>
          <w:szCs w:val="32"/>
        </w:rPr>
        <w:t>%；经营支出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；对附属单位补助支出</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w:t>
      </w:r>
    </w:p>
    <w:p>
      <w:pPr>
        <w:spacing w:line="600" w:lineRule="exact"/>
        <w:rPr>
          <w:rFonts w:hint="eastAsia" w:ascii="仿宋_GB2312" w:eastAsia="仿宋_GB2312"/>
          <w:color w:val="FF0000"/>
          <w:sz w:val="32"/>
          <w:szCs w:val="32"/>
          <w:lang w:eastAsia="zh-CN"/>
        </w:rPr>
      </w:pPr>
    </w:p>
    <w:p>
      <w:pPr>
        <w:spacing w:line="600" w:lineRule="exact"/>
        <w:ind w:firstLine="640" w:firstLineChars="200"/>
        <w:outlineLvl w:val="1"/>
        <w:rPr>
          <w:rFonts w:hint="eastAsia" w:ascii="黑体" w:eastAsia="黑体"/>
          <w:color w:val="000000"/>
          <w:sz w:val="32"/>
          <w:szCs w:val="32"/>
        </w:rPr>
      </w:pPr>
      <w:bookmarkStart w:id="30" w:name="_Toc15396606"/>
      <w:bookmarkStart w:id="31" w:name="_Toc15377208"/>
    </w:p>
    <w:p>
      <w:pPr>
        <w:pStyle w:val="17"/>
        <w:rPr>
          <w:rFonts w:hint="eastAsia" w:ascii="黑体" w:eastAsia="黑体"/>
          <w:color w:val="000000"/>
          <w:sz w:val="32"/>
          <w:szCs w:val="32"/>
        </w:rPr>
      </w:pPr>
    </w:p>
    <w:p>
      <w:pPr>
        <w:rPr>
          <w:rFonts w:hint="eastAsia" w:ascii="黑体" w:eastAsia="黑体"/>
          <w:color w:val="000000"/>
          <w:sz w:val="32"/>
          <w:szCs w:val="32"/>
        </w:rPr>
      </w:pPr>
    </w:p>
    <w:p>
      <w:pPr>
        <w:pStyle w:val="17"/>
        <w:rPr>
          <w:rFonts w:hint="eastAsia" w:ascii="黑体" w:eastAsia="黑体"/>
          <w:color w:val="000000"/>
          <w:sz w:val="32"/>
          <w:szCs w:val="32"/>
        </w:rPr>
      </w:pPr>
    </w:p>
    <w:p>
      <w:pPr>
        <w:rPr>
          <w:rFonts w:hint="eastAsia" w:ascii="黑体" w:eastAsia="黑体"/>
          <w:color w:val="000000"/>
          <w:sz w:val="32"/>
          <w:szCs w:val="32"/>
        </w:rPr>
      </w:pPr>
      <w:r>
        <w:rPr>
          <w:rFonts w:hint="eastAsia" w:ascii="仿宋_GB2312" w:eastAsia="仿宋_GB2312"/>
          <w:color w:val="FF0000"/>
          <w:sz w:val="32"/>
          <w:szCs w:val="32"/>
          <w:lang w:val="en-US" w:eastAsia="zh-CN"/>
        </w:rPr>
        <w:drawing>
          <wp:anchor distT="0" distB="0" distL="114300" distR="114300" simplePos="0" relativeHeight="251666432" behindDoc="1" locked="0" layoutInCell="1" allowOverlap="1">
            <wp:simplePos x="0" y="0"/>
            <wp:positionH relativeFrom="column">
              <wp:posOffset>332105</wp:posOffset>
            </wp:positionH>
            <wp:positionV relativeFrom="paragraph">
              <wp:posOffset>-6932930</wp:posOffset>
            </wp:positionV>
            <wp:extent cx="5080000" cy="3810000"/>
            <wp:effectExtent l="4445" t="4445" r="20955" b="14605"/>
            <wp:wrapThrough wrapText="bothSides">
              <wp:wrapPolygon>
                <wp:start x="-19" y="-25"/>
                <wp:lineTo x="-19" y="21575"/>
                <wp:lineTo x="21527" y="21575"/>
                <wp:lineTo x="21527" y="-25"/>
                <wp:lineTo x="-19" y="-25"/>
              </wp:wrapPolygon>
            </wp:wrapThrough>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outlineLvl w:val="1"/>
        <w:rPr>
          <w:rFonts w:hint="eastAsia" w:ascii="仿宋_GB2312" w:eastAsia="仿宋_GB2312"/>
          <w:color w:val="FF0000"/>
          <w:sz w:val="32"/>
          <w:szCs w:val="32"/>
          <w:lang w:val="en-US" w:eastAsia="zh-CN"/>
        </w:rPr>
      </w:pPr>
    </w:p>
    <w:p>
      <w:pPr>
        <w:spacing w:line="600" w:lineRule="exact"/>
        <w:outlineLvl w:val="1"/>
        <w:rPr>
          <w:rFonts w:hint="eastAsia" w:ascii="仿宋_GB2312" w:eastAsia="仿宋_GB2312"/>
          <w:color w:val="FF0000"/>
          <w:sz w:val="32"/>
          <w:szCs w:val="32"/>
          <w:lang w:val="en-US" w:eastAsia="zh-CN"/>
        </w:rPr>
      </w:pPr>
      <w:r>
        <w:rPr>
          <w:rFonts w:hint="eastAsia" w:ascii="仿宋_GB2312" w:eastAsia="仿宋_GB2312"/>
          <w:color w:val="FF0000"/>
          <w:sz w:val="32"/>
          <w:szCs w:val="32"/>
          <w:lang w:val="en-US" w:eastAsia="zh-CN"/>
        </w:rPr>
        <w:t xml:space="preserve">  </w:t>
      </w:r>
    </w:p>
    <w:p>
      <w:pPr>
        <w:spacing w:line="600" w:lineRule="exact"/>
        <w:outlineLvl w:val="1"/>
        <w:rPr>
          <w:rFonts w:hint="eastAsia" w:ascii="仿宋_GB2312" w:eastAsia="仿宋_GB2312"/>
          <w:color w:val="FF0000"/>
          <w:sz w:val="32"/>
          <w:szCs w:val="32"/>
          <w:lang w:val="en-US" w:eastAsia="zh-CN"/>
        </w:rPr>
      </w:pPr>
      <w:r>
        <w:rPr>
          <w:rFonts w:hint="eastAsia" w:ascii="仿宋_GB2312" w:eastAsia="仿宋_GB2312"/>
          <w:color w:val="FF0000"/>
          <w:sz w:val="32"/>
          <w:szCs w:val="32"/>
          <w:lang w:val="en-US" w:eastAsia="zh-CN"/>
        </w:rPr>
        <w:t xml:space="preserve">    </w:t>
      </w:r>
    </w:p>
    <w:p>
      <w:pPr>
        <w:spacing w:line="600" w:lineRule="exact"/>
        <w:outlineLvl w:val="1"/>
        <w:rPr>
          <w:rFonts w:hint="eastAsia" w:ascii="仿宋_GB2312" w:eastAsia="仿宋_GB2312"/>
          <w:color w:val="FF0000"/>
          <w:sz w:val="32"/>
          <w:szCs w:val="32"/>
          <w:lang w:val="en-US" w:eastAsia="zh-CN"/>
        </w:rPr>
      </w:pPr>
    </w:p>
    <w:p>
      <w:pPr>
        <w:spacing w:line="600" w:lineRule="exact"/>
        <w:outlineLvl w:val="1"/>
        <w:rPr>
          <w:rFonts w:hint="eastAsia" w:ascii="仿宋_GB2312" w:eastAsia="仿宋_GB2312"/>
          <w:color w:val="FF0000"/>
          <w:sz w:val="32"/>
          <w:szCs w:val="32"/>
          <w:lang w:val="en-US" w:eastAsia="zh-CN"/>
        </w:rPr>
      </w:pPr>
    </w:p>
    <w:p>
      <w:pPr>
        <w:spacing w:line="600" w:lineRule="exact"/>
        <w:ind w:firstLine="640" w:firstLineChars="200"/>
        <w:outlineLvl w:val="1"/>
        <w:rPr>
          <w:rFonts w:hint="eastAsia" w:ascii="黑体" w:eastAsia="黑体"/>
          <w:color w:val="000000"/>
          <w:sz w:val="32"/>
          <w:szCs w:val="32"/>
        </w:rPr>
      </w:pPr>
    </w:p>
    <w:p>
      <w:pPr>
        <w:spacing w:line="600" w:lineRule="exact"/>
        <w:ind w:firstLine="640" w:firstLineChars="200"/>
        <w:outlineLvl w:val="1"/>
        <w:rPr>
          <w:rStyle w:val="25"/>
          <w:rFonts w:ascii="黑体" w:eastAsia="黑体"/>
          <w:b w:val="0"/>
        </w:rPr>
      </w:pPr>
      <w:r>
        <w:rPr>
          <w:rFonts w:hint="eastAsia" w:ascii="黑体" w:eastAsia="黑体"/>
          <w:color w:val="000000"/>
          <w:sz w:val="32"/>
          <w:szCs w:val="32"/>
        </w:rPr>
        <w:t>四、财</w:t>
      </w:r>
      <w:r>
        <w:rPr>
          <w:rStyle w:val="25"/>
          <w:rFonts w:hint="eastAsia" w:ascii="黑体" w:eastAsia="黑体"/>
          <w:b w:val="0"/>
        </w:rPr>
        <w:t>政拨款收入支出决算总体情况说明</w:t>
      </w:r>
      <w:bookmarkEnd w:id="30"/>
      <w:bookmarkEnd w:id="31"/>
    </w:p>
    <w:p>
      <w:pPr>
        <w:snapToGrid w:val="0"/>
        <w:spacing w:line="520" w:lineRule="exact"/>
        <w:ind w:firstLine="640" w:firstLineChars="200"/>
        <w:rPr>
          <w:rFonts w:hint="eastAsia" w:ascii="仿宋_GB2312" w:eastAsia="仿宋_GB2312"/>
          <w:color w:val="000000"/>
          <w:spacing w:val="-2"/>
          <w:kern w:val="2"/>
          <w:sz w:val="32"/>
          <w:szCs w:val="32"/>
          <w:lang w:val="en-US" w:eastAsia="zh-CN" w:bidi="ar-SA"/>
        </w:rPr>
      </w:pPr>
      <w:r>
        <w:rPr>
          <w:rFonts w:hint="eastAsia" w:ascii="仿宋" w:hAnsi="Times New Roman" w:eastAsia="仿宋" w:cs="Times New Roman"/>
          <w:color w:val="000000"/>
          <w:sz w:val="32"/>
          <w:szCs w:val="32"/>
          <w:lang w:val="en-US" w:eastAsia="zh-CN"/>
        </w:rPr>
        <w:t>202</w:t>
      </w:r>
      <w:r>
        <w:rPr>
          <w:rFonts w:hint="eastAsia" w:ascii="仿宋" w:eastAsia="仿宋" w:cs="Times New Roman"/>
          <w:color w:val="000000"/>
          <w:sz w:val="32"/>
          <w:szCs w:val="32"/>
          <w:lang w:val="en-US" w:eastAsia="zh-CN"/>
        </w:rPr>
        <w:t>4</w:t>
      </w:r>
      <w:r>
        <w:rPr>
          <w:rFonts w:hint="eastAsia" w:ascii="仿宋" w:hAnsi="Times New Roman" w:eastAsia="仿宋" w:cs="Times New Roman"/>
          <w:color w:val="000000"/>
          <w:sz w:val="32"/>
          <w:szCs w:val="32"/>
          <w:lang w:val="en-US" w:eastAsia="zh-CN"/>
        </w:rPr>
        <w:t>年财政拨款收入</w:t>
      </w:r>
      <w:r>
        <w:rPr>
          <w:rFonts w:hint="eastAsia" w:ascii="仿宋_GB2312" w:eastAsia="仿宋_GB2312"/>
          <w:color w:val="000000"/>
          <w:spacing w:val="-2"/>
          <w:kern w:val="2"/>
          <w:sz w:val="32"/>
          <w:szCs w:val="32"/>
          <w:lang w:val="en-US" w:eastAsia="zh-CN" w:bidi="ar-SA"/>
        </w:rPr>
        <w:t>15024.04</w:t>
      </w:r>
      <w:r>
        <w:rPr>
          <w:rFonts w:hint="eastAsia" w:ascii="仿宋" w:hAnsi="Times New Roman" w:eastAsia="仿宋" w:cs="Times New Roman"/>
          <w:color w:val="000000"/>
          <w:sz w:val="32"/>
          <w:szCs w:val="32"/>
          <w:lang w:val="en-US" w:eastAsia="zh-CN"/>
        </w:rPr>
        <w:t>万元。与202</w:t>
      </w:r>
      <w:r>
        <w:rPr>
          <w:rFonts w:hint="eastAsia" w:ascii="仿宋" w:eastAsia="仿宋" w:cs="Times New Roman"/>
          <w:color w:val="000000"/>
          <w:sz w:val="32"/>
          <w:szCs w:val="32"/>
          <w:lang w:val="en-US" w:eastAsia="zh-CN"/>
        </w:rPr>
        <w:t>3</w:t>
      </w:r>
      <w:r>
        <w:rPr>
          <w:rFonts w:hint="eastAsia" w:ascii="仿宋" w:hAnsi="Times New Roman" w:eastAsia="仿宋" w:cs="Times New Roman"/>
          <w:color w:val="000000"/>
          <w:sz w:val="32"/>
          <w:szCs w:val="32"/>
          <w:lang w:val="en-US" w:eastAsia="zh-CN"/>
        </w:rPr>
        <w:t>年相比，一般公共预算财政拨款收入较上年减少719.86万元，减少6.02%。减少的主要原因是2024年项目资金减少；政府性基金预算财政拨款收入较上年增加3703.04万元，增加的主要原因是202</w:t>
      </w:r>
      <w:r>
        <w:rPr>
          <w:rFonts w:hint="eastAsia" w:ascii="仿宋" w:eastAsia="仿宋" w:cs="Times New Roman"/>
          <w:color w:val="000000"/>
          <w:sz w:val="32"/>
          <w:szCs w:val="32"/>
          <w:lang w:val="en-US" w:eastAsia="zh-CN"/>
        </w:rPr>
        <w:t>4</w:t>
      </w:r>
      <w:r>
        <w:rPr>
          <w:rFonts w:hint="eastAsia" w:ascii="仿宋" w:hAnsi="Times New Roman" w:eastAsia="仿宋" w:cs="Times New Roman"/>
          <w:color w:val="000000"/>
          <w:sz w:val="32"/>
          <w:szCs w:val="32"/>
          <w:lang w:val="en-US" w:eastAsia="zh-CN"/>
        </w:rPr>
        <w:t>年增加了政府性基金项目支出。202</w:t>
      </w:r>
      <w:r>
        <w:rPr>
          <w:rFonts w:hint="eastAsia" w:ascii="仿宋" w:eastAsia="仿宋" w:cs="Times New Roman"/>
          <w:color w:val="000000"/>
          <w:sz w:val="32"/>
          <w:szCs w:val="32"/>
          <w:lang w:val="en-US" w:eastAsia="zh-CN"/>
        </w:rPr>
        <w:t>4</w:t>
      </w:r>
      <w:r>
        <w:rPr>
          <w:rFonts w:hint="eastAsia" w:ascii="仿宋" w:hAnsi="Times New Roman" w:eastAsia="仿宋" w:cs="Times New Roman"/>
          <w:color w:val="000000"/>
          <w:sz w:val="32"/>
          <w:szCs w:val="32"/>
          <w:lang w:val="en-US" w:eastAsia="zh-CN"/>
        </w:rPr>
        <w:t>年财政拨款支出</w:t>
      </w:r>
      <w:r>
        <w:rPr>
          <w:rFonts w:hint="eastAsia" w:ascii="仿宋_GB2312" w:eastAsia="仿宋_GB2312"/>
          <w:color w:val="000000"/>
          <w:spacing w:val="-2"/>
          <w:kern w:val="2"/>
          <w:sz w:val="32"/>
          <w:szCs w:val="32"/>
          <w:lang w:val="en-US" w:eastAsia="zh-CN" w:bidi="ar-SA"/>
        </w:rPr>
        <w:t>15024.04</w:t>
      </w:r>
      <w:r>
        <w:rPr>
          <w:rFonts w:hint="eastAsia" w:ascii="仿宋" w:hAnsi="Times New Roman" w:eastAsia="仿宋" w:cs="Times New Roman"/>
          <w:color w:val="000000"/>
          <w:sz w:val="32"/>
          <w:szCs w:val="32"/>
          <w:lang w:val="en-US" w:eastAsia="zh-CN"/>
        </w:rPr>
        <w:t>万元，较上年支出</w:t>
      </w:r>
      <w:r>
        <w:rPr>
          <w:rFonts w:hint="eastAsia" w:ascii="仿宋_GB2312" w:eastAsia="仿宋_GB2312"/>
          <w:color w:val="000000"/>
          <w:spacing w:val="-2"/>
          <w:kern w:val="2"/>
          <w:sz w:val="32"/>
          <w:szCs w:val="32"/>
          <w:lang w:val="en-US" w:eastAsia="zh-CN" w:bidi="ar-SA"/>
        </w:rPr>
        <w:t>增加2983.18万元，增加24.78%。</w:t>
      </w:r>
    </w:p>
    <w:p>
      <w:pPr>
        <w:spacing w:line="600" w:lineRule="exact"/>
        <w:ind w:firstLine="640"/>
        <w:rPr>
          <w:rFonts w:hint="eastAsia" w:ascii="仿宋" w:hAnsi="Times New Roman" w:eastAsia="仿宋" w:cs="Times New Roman"/>
          <w:color w:val="000000"/>
          <w:sz w:val="32"/>
          <w:szCs w:val="32"/>
          <w:lang w:val="en-US" w:eastAsia="zh-CN"/>
        </w:rPr>
      </w:pPr>
    </w:p>
    <w:p>
      <w:pPr>
        <w:spacing w:line="600" w:lineRule="exact"/>
        <w:ind w:firstLine="640" w:firstLineChars="200"/>
        <w:rPr>
          <w:rFonts w:hint="eastAsia" w:ascii="黑体" w:eastAsia="黑体"/>
          <w:color w:val="000000"/>
          <w:sz w:val="32"/>
          <w:szCs w:val="32"/>
          <w:lang w:eastAsia="zh-CN"/>
        </w:rPr>
      </w:pPr>
      <w:bookmarkStart w:id="32" w:name="_Toc15396607"/>
      <w:bookmarkStart w:id="33" w:name="_Toc15377209"/>
    </w:p>
    <w:p>
      <w:pPr>
        <w:pStyle w:val="17"/>
        <w:ind w:left="0" w:leftChars="0" w:firstLine="0" w:firstLineChars="0"/>
        <w:rPr>
          <w:rFonts w:hint="eastAsia"/>
        </w:rPr>
      </w:pPr>
    </w:p>
    <w:p>
      <w:pPr>
        <w:rPr>
          <w:rFonts w:hint="eastAsia"/>
        </w:rPr>
      </w:pPr>
    </w:p>
    <w:p>
      <w:pPr>
        <w:pStyle w:val="17"/>
        <w:rPr>
          <w:rFonts w:hint="eastAsia"/>
        </w:rPr>
      </w:pPr>
    </w:p>
    <w:p>
      <w:pPr>
        <w:spacing w:line="600" w:lineRule="exact"/>
        <w:ind w:firstLine="420" w:firstLineChars="200"/>
        <w:rPr>
          <w:rFonts w:hint="eastAsia"/>
        </w:rPr>
      </w:pPr>
    </w:p>
    <w:p>
      <w:pPr>
        <w:spacing w:line="600" w:lineRule="exact"/>
        <w:ind w:firstLine="640" w:firstLineChars="200"/>
        <w:rPr>
          <w:rStyle w:val="25"/>
          <w:rFonts w:ascii="黑体" w:eastAsia="黑体"/>
          <w:b w:val="0"/>
        </w:rPr>
      </w:pPr>
      <w:r>
        <w:rPr>
          <w:rFonts w:hint="eastAsia" w:ascii="黑体" w:eastAsia="黑体"/>
          <w:color w:val="000000"/>
          <w:sz w:val="32"/>
          <w:szCs w:val="32"/>
          <w:highlight w:val="red"/>
          <w:lang w:eastAsia="zh-CN"/>
        </w:rPr>
        <w:drawing>
          <wp:anchor distT="0" distB="0" distL="114300" distR="114300" simplePos="0" relativeHeight="251667456" behindDoc="1" locked="0" layoutInCell="1" allowOverlap="1">
            <wp:simplePos x="0" y="0"/>
            <wp:positionH relativeFrom="column">
              <wp:posOffset>346075</wp:posOffset>
            </wp:positionH>
            <wp:positionV relativeFrom="paragraph">
              <wp:posOffset>292100</wp:posOffset>
            </wp:positionV>
            <wp:extent cx="5080000" cy="3810000"/>
            <wp:effectExtent l="4445" t="4445" r="20955" b="14605"/>
            <wp:wrapTight wrapText="bothSides">
              <wp:wrapPolygon>
                <wp:start x="-19" y="-25"/>
                <wp:lineTo x="-19" y="21575"/>
                <wp:lineTo x="21527" y="21575"/>
                <wp:lineTo x="21527" y="-25"/>
                <wp:lineTo x="-19" y="-25"/>
              </wp:wrapPolygon>
            </wp:wrapTight>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黑体" w:eastAsia="黑体"/>
          <w:color w:val="000000"/>
          <w:sz w:val="32"/>
          <w:szCs w:val="32"/>
        </w:rPr>
        <w:t>五、</w:t>
      </w:r>
      <w:r>
        <w:rPr>
          <w:rFonts w:hint="eastAsia" w:ascii="黑体" w:eastAsia="黑体"/>
          <w:b/>
          <w:color w:val="000000"/>
          <w:sz w:val="32"/>
          <w:szCs w:val="32"/>
        </w:rPr>
        <w:t>一</w:t>
      </w:r>
      <w:r>
        <w:rPr>
          <w:rStyle w:val="25"/>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Fonts w:hint="eastAsia" w:ascii="仿宋_GB2312" w:eastAsia="仿宋_GB2312"/>
          <w:color w:val="auto"/>
          <w:spacing w:val="-2"/>
          <w:kern w:val="2"/>
          <w:sz w:val="32"/>
          <w:szCs w:val="32"/>
          <w:lang w:val="en-US" w:eastAsia="zh-CN" w:bidi="ar-SA"/>
        </w:rPr>
      </w:pPr>
      <w:r>
        <w:rPr>
          <w:rFonts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w:t>
      </w:r>
      <w:r>
        <w:rPr>
          <w:rFonts w:hint="eastAsia" w:ascii="仿宋_GB2312" w:eastAsia="仿宋_GB2312"/>
          <w:spacing w:val="-2"/>
          <w:kern w:val="2"/>
          <w:sz w:val="32"/>
          <w:szCs w:val="32"/>
          <w:lang w:val="en-US" w:eastAsia="zh-CN" w:bidi="ar-SA"/>
        </w:rPr>
        <w:t>一般公共预算财政拨款支出</w:t>
      </w:r>
      <w:r>
        <w:rPr>
          <w:rFonts w:hint="eastAsia" w:ascii="仿宋" w:eastAsia="仿宋"/>
          <w:color w:val="000000"/>
          <w:sz w:val="32"/>
          <w:szCs w:val="32"/>
          <w:lang w:val="en-US" w:eastAsia="zh-CN"/>
        </w:rPr>
        <w:t>11235.89</w:t>
      </w:r>
      <w:r>
        <w:rPr>
          <w:rFonts w:hint="eastAsia" w:ascii="仿宋_GB2312" w:eastAsia="仿宋_GB2312"/>
          <w:spacing w:val="-2"/>
          <w:kern w:val="2"/>
          <w:sz w:val="32"/>
          <w:szCs w:val="32"/>
          <w:lang w:val="en-US" w:eastAsia="zh-CN" w:bidi="ar-SA"/>
        </w:rPr>
        <w:t>万元，</w:t>
      </w:r>
      <w:r>
        <w:rPr>
          <w:rFonts w:hint="eastAsia" w:ascii="仿宋" w:eastAsia="仿宋"/>
          <w:color w:val="000000"/>
          <w:sz w:val="32"/>
          <w:szCs w:val="32"/>
        </w:rPr>
        <w:t>占本年</w:t>
      </w:r>
      <w:r>
        <w:rPr>
          <w:rFonts w:hint="eastAsia" w:ascii="仿宋" w:eastAsia="仿宋"/>
          <w:color w:val="000000"/>
          <w:sz w:val="32"/>
          <w:szCs w:val="32"/>
          <w:lang w:val="en-US" w:eastAsia="zh-CN"/>
        </w:rPr>
        <w:t>总</w:t>
      </w:r>
      <w:r>
        <w:rPr>
          <w:rFonts w:hint="eastAsia" w:ascii="仿宋" w:eastAsia="仿宋"/>
          <w:color w:val="000000"/>
          <w:sz w:val="32"/>
          <w:szCs w:val="32"/>
        </w:rPr>
        <w:t>支出</w:t>
      </w:r>
      <w:r>
        <w:rPr>
          <w:rFonts w:hint="eastAsia" w:ascii="仿宋" w:eastAsia="仿宋"/>
          <w:color w:val="000000"/>
          <w:sz w:val="32"/>
          <w:szCs w:val="32"/>
          <w:lang w:val="en-US" w:eastAsia="zh-CN"/>
        </w:rPr>
        <w:t>的74.78</w:t>
      </w:r>
      <w:r>
        <w:rPr>
          <w:rFonts w:ascii="仿宋" w:eastAsia="仿宋"/>
          <w:color w:val="000000"/>
          <w:sz w:val="32"/>
          <w:szCs w:val="32"/>
        </w:rPr>
        <w:t>%</w:t>
      </w:r>
      <w:r>
        <w:rPr>
          <w:rFonts w:hint="eastAsia" w:ascii="仿宋" w:eastAsia="仿宋"/>
          <w:color w:val="000000"/>
          <w:sz w:val="32"/>
          <w:szCs w:val="32"/>
          <w:lang w:eastAsia="zh-CN"/>
        </w:rPr>
        <w:t>。</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lang w:val="en-US" w:eastAsia="zh-CN"/>
        </w:rPr>
        <w:t>23</w:t>
      </w:r>
      <w:r>
        <w:rPr>
          <w:rFonts w:hint="eastAsia" w:ascii="仿宋" w:eastAsia="仿宋"/>
          <w:color w:val="000000"/>
          <w:sz w:val="32"/>
          <w:szCs w:val="32"/>
        </w:rPr>
        <w:t>年相比，一般公共预算财政拨款</w:t>
      </w:r>
      <w:r>
        <w:rPr>
          <w:rFonts w:hint="eastAsia" w:ascii="仿宋_GB2312" w:eastAsia="仿宋_GB2312"/>
          <w:spacing w:val="-2"/>
          <w:kern w:val="2"/>
          <w:sz w:val="32"/>
          <w:szCs w:val="32"/>
          <w:lang w:val="en-US" w:eastAsia="zh-CN" w:bidi="ar-SA"/>
        </w:rPr>
        <w:t>支出减少719.86万元，减少6.02%。</w:t>
      </w:r>
      <w:r>
        <w:rPr>
          <w:rFonts w:hint="eastAsia" w:ascii="仿宋_GB2312" w:eastAsia="仿宋_GB2312"/>
          <w:color w:val="auto"/>
          <w:spacing w:val="-2"/>
          <w:kern w:val="2"/>
          <w:sz w:val="32"/>
          <w:szCs w:val="32"/>
          <w:lang w:val="en-US" w:eastAsia="zh-CN" w:bidi="ar-SA"/>
        </w:rPr>
        <w:t>主要原因是当年部门预算安排项目支出较上年有所减少。</w:t>
      </w:r>
    </w:p>
    <w:p>
      <w:pPr>
        <w:pStyle w:val="17"/>
        <w:rPr>
          <w:rFonts w:hint="eastAsia"/>
          <w:lang w:val="en-US" w:eastAsia="zh-CN"/>
        </w:rPr>
      </w:pPr>
    </w:p>
    <w:p>
      <w:pPr>
        <w:pStyle w:val="17"/>
        <w:rPr>
          <w:rFonts w:hint="eastAsia"/>
          <w:lang w:val="en-US" w:eastAsia="zh-CN"/>
        </w:rPr>
      </w:pPr>
    </w:p>
    <w:p>
      <w:pPr>
        <w:rPr>
          <w:rFonts w:hint="eastAsia"/>
          <w:lang w:val="en-US" w:eastAsia="zh-CN"/>
        </w:rPr>
      </w:pPr>
    </w:p>
    <w:p>
      <w:pPr>
        <w:pStyle w:val="17"/>
        <w:rPr>
          <w:rFonts w:hint="eastAsia"/>
          <w:lang w:val="en-US" w:eastAsia="zh-CN"/>
        </w:rPr>
      </w:pPr>
    </w:p>
    <w:p>
      <w:pPr>
        <w:rPr>
          <w:rFonts w:hint="eastAsia"/>
          <w:lang w:val="en-US" w:eastAsia="zh-CN"/>
        </w:rPr>
      </w:pPr>
    </w:p>
    <w:p>
      <w:pPr>
        <w:pStyle w:val="17"/>
        <w:rPr>
          <w:rFonts w:hint="eastAsia"/>
          <w:lang w:val="en-US" w:eastAsia="zh-CN"/>
        </w:rPr>
      </w:pPr>
    </w:p>
    <w:p>
      <w:pPr>
        <w:rPr>
          <w:rFonts w:hint="eastAsia"/>
          <w:lang w:val="en-US" w:eastAsia="zh-CN"/>
        </w:rPr>
      </w:pPr>
    </w:p>
    <w:p>
      <w:pPr>
        <w:pStyle w:val="17"/>
        <w:rPr>
          <w:rFonts w:hint="eastAsia"/>
          <w:lang w:val="en-US" w:eastAsia="zh-CN"/>
        </w:rPr>
      </w:pPr>
      <w:r>
        <w:rPr>
          <w:rFonts w:hint="eastAsia"/>
          <w:lang w:val="en-US" w:eastAsia="zh-CN"/>
        </w:rPr>
        <w:drawing>
          <wp:inline distT="0" distB="0" distL="114300" distR="114300">
            <wp:extent cx="5506720" cy="3886835"/>
            <wp:effectExtent l="4445" t="4445" r="13335" b="1397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rPr>
          <w:rFonts w:hint="eastAsia"/>
          <w:lang w:val="en-US" w:eastAsia="zh-CN"/>
        </w:rPr>
      </w:pPr>
    </w:p>
    <w:p>
      <w:pPr>
        <w:pStyle w:val="17"/>
        <w:rPr>
          <w:rFonts w:hint="eastAsia"/>
          <w:lang w:val="en-US" w:eastAsia="zh-CN"/>
        </w:rPr>
      </w:pPr>
    </w:p>
    <w:p>
      <w:pPr>
        <w:snapToGrid w:val="0"/>
        <w:spacing w:line="520" w:lineRule="exact"/>
        <w:rPr>
          <w:rFonts w:ascii="仿宋" w:eastAsia="仿宋"/>
          <w:b/>
          <w:color w:val="000000"/>
          <w:sz w:val="32"/>
          <w:szCs w:val="32"/>
        </w:rPr>
      </w:pP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hint="eastAsia" w:ascii="仿宋" w:eastAsia="仿宋"/>
          <w:color w:val="000000"/>
          <w:sz w:val="32"/>
          <w:szCs w:val="32"/>
          <w:lang w:eastAsia="zh-CN"/>
        </w:rPr>
      </w:pPr>
      <w:r>
        <w:rPr>
          <w:rFonts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年一般公共预算财政拨款支出</w:t>
      </w:r>
      <w:r>
        <w:rPr>
          <w:rFonts w:hint="eastAsia" w:ascii="仿宋" w:eastAsia="仿宋"/>
          <w:color w:val="000000"/>
          <w:sz w:val="32"/>
          <w:szCs w:val="32"/>
          <w:lang w:val="en-US" w:eastAsia="zh-CN"/>
        </w:rPr>
        <w:t>11235.89</w:t>
      </w:r>
      <w:r>
        <w:rPr>
          <w:rFonts w:hint="eastAsia" w:ascii="仿宋" w:eastAsia="仿宋"/>
          <w:color w:val="000000"/>
          <w:sz w:val="32"/>
          <w:szCs w:val="32"/>
        </w:rPr>
        <w:t>万元，主要用于以下方面</w:t>
      </w:r>
      <w:r>
        <w:rPr>
          <w:rFonts w:ascii="仿宋" w:eastAsia="仿宋"/>
          <w:color w:val="000000"/>
          <w:sz w:val="32"/>
          <w:szCs w:val="32"/>
        </w:rPr>
        <w:t>:</w:t>
      </w:r>
      <w:r>
        <w:rPr>
          <w:rFonts w:hint="eastAsia" w:ascii="仿宋" w:eastAsia="仿宋"/>
          <w:b/>
          <w:color w:val="000000"/>
          <w:sz w:val="32"/>
          <w:szCs w:val="32"/>
        </w:rPr>
        <w:t>社会保障和就业支出（类）</w:t>
      </w:r>
      <w:r>
        <w:rPr>
          <w:rFonts w:hint="eastAsia" w:ascii="仿宋" w:eastAsia="仿宋"/>
          <w:color w:val="000000"/>
          <w:sz w:val="32"/>
          <w:szCs w:val="32"/>
          <w:lang w:val="en-US" w:eastAsia="zh-CN"/>
        </w:rPr>
        <w:t>77.54</w:t>
      </w:r>
      <w:r>
        <w:rPr>
          <w:rFonts w:hint="eastAsia" w:ascii="仿宋" w:eastAsia="仿宋"/>
          <w:color w:val="000000"/>
          <w:sz w:val="32"/>
          <w:szCs w:val="32"/>
        </w:rPr>
        <w:t>万元，占</w:t>
      </w:r>
      <w:r>
        <w:rPr>
          <w:rFonts w:hint="eastAsia" w:ascii="仿宋" w:eastAsia="仿宋"/>
          <w:color w:val="000000"/>
          <w:sz w:val="32"/>
          <w:szCs w:val="32"/>
          <w:lang w:val="en-US" w:eastAsia="zh-CN"/>
        </w:rPr>
        <w:t>0.69</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卫生健康支出（类）</w:t>
      </w:r>
      <w:r>
        <w:rPr>
          <w:rFonts w:hint="eastAsia" w:ascii="仿宋" w:eastAsia="仿宋"/>
          <w:color w:val="000000"/>
          <w:sz w:val="32"/>
          <w:szCs w:val="32"/>
          <w:lang w:val="en-US" w:eastAsia="zh-CN"/>
        </w:rPr>
        <w:t>25.46，</w:t>
      </w:r>
      <w:r>
        <w:rPr>
          <w:rFonts w:hint="eastAsia" w:ascii="仿宋" w:eastAsia="仿宋"/>
          <w:color w:val="000000"/>
          <w:sz w:val="32"/>
          <w:szCs w:val="32"/>
        </w:rPr>
        <w:t>占</w:t>
      </w:r>
      <w:r>
        <w:rPr>
          <w:rFonts w:hint="eastAsia" w:ascii="仿宋" w:eastAsia="仿宋"/>
          <w:color w:val="000000"/>
          <w:sz w:val="32"/>
          <w:szCs w:val="32"/>
          <w:lang w:val="en-US" w:eastAsia="zh-CN"/>
        </w:rPr>
        <w:t>0.23</w:t>
      </w:r>
      <w:r>
        <w:rPr>
          <w:rFonts w:ascii="仿宋" w:eastAsia="仿宋"/>
          <w:color w:val="000000"/>
          <w:sz w:val="32"/>
          <w:szCs w:val="32"/>
        </w:rPr>
        <w:t>%</w:t>
      </w:r>
      <w:r>
        <w:rPr>
          <w:rFonts w:hint="eastAsia" w:ascii="宋体" w:hAnsi="宋体" w:cs="宋体"/>
          <w:sz w:val="24"/>
          <w:szCs w:val="24"/>
          <w:lang w:val="en-US" w:eastAsia="zh-CN"/>
        </w:rPr>
        <w:t>；</w:t>
      </w:r>
      <w:r>
        <w:rPr>
          <w:rFonts w:hint="eastAsia" w:ascii="仿宋" w:hAnsi="Times New Roman" w:eastAsia="仿宋" w:cs="Times New Roman"/>
          <w:b/>
          <w:bCs/>
          <w:color w:val="000000"/>
          <w:sz w:val="32"/>
          <w:szCs w:val="32"/>
          <w:lang w:val="en-US" w:eastAsia="zh-CN"/>
        </w:rPr>
        <w:t>节能环保支出</w:t>
      </w:r>
      <w:r>
        <w:rPr>
          <w:rFonts w:hint="eastAsia" w:ascii="仿宋" w:eastAsia="仿宋"/>
          <w:b/>
          <w:color w:val="000000"/>
          <w:sz w:val="32"/>
          <w:szCs w:val="32"/>
        </w:rPr>
        <w:t>（类）</w:t>
      </w:r>
      <w:r>
        <w:rPr>
          <w:rFonts w:hint="eastAsia" w:ascii="仿宋" w:hAnsi="Times New Roman" w:eastAsia="仿宋" w:cs="Times New Roman"/>
          <w:color w:val="000000"/>
          <w:sz w:val="32"/>
          <w:szCs w:val="32"/>
          <w:lang w:val="en-US" w:eastAsia="zh-CN"/>
        </w:rPr>
        <w:t>1294.66万元，占11.52%</w:t>
      </w:r>
      <w:r>
        <w:rPr>
          <w:rFonts w:hint="eastAsia" w:ascii="仿宋" w:eastAsia="仿宋"/>
          <w:b/>
          <w:bCs/>
          <w:color w:val="000000"/>
          <w:sz w:val="32"/>
          <w:szCs w:val="32"/>
        </w:rPr>
        <w:t>城乡社区支出</w:t>
      </w:r>
      <w:r>
        <w:rPr>
          <w:rFonts w:hint="eastAsia" w:ascii="仿宋" w:eastAsia="仿宋"/>
          <w:b/>
          <w:color w:val="000000"/>
          <w:sz w:val="32"/>
          <w:szCs w:val="32"/>
        </w:rPr>
        <w:t>（类）</w:t>
      </w:r>
      <w:r>
        <w:rPr>
          <w:rFonts w:hint="eastAsia" w:ascii="仿宋" w:eastAsia="仿宋"/>
          <w:color w:val="000000"/>
          <w:sz w:val="32"/>
          <w:szCs w:val="32"/>
          <w:lang w:val="en-US" w:eastAsia="zh-CN"/>
        </w:rPr>
        <w:t>5247.75</w:t>
      </w:r>
      <w:r>
        <w:rPr>
          <w:rFonts w:hint="eastAsia" w:ascii="仿宋" w:eastAsia="仿宋"/>
          <w:color w:val="000000"/>
          <w:sz w:val="32"/>
          <w:szCs w:val="32"/>
        </w:rPr>
        <w:t>万元，占</w:t>
      </w:r>
      <w:r>
        <w:rPr>
          <w:rFonts w:hint="eastAsia" w:ascii="仿宋" w:eastAsia="仿宋"/>
          <w:color w:val="000000"/>
          <w:sz w:val="32"/>
          <w:szCs w:val="32"/>
          <w:lang w:val="en-US" w:eastAsia="zh-CN"/>
        </w:rPr>
        <w:t>46.7</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bCs/>
          <w:color w:val="000000"/>
          <w:sz w:val="32"/>
          <w:szCs w:val="32"/>
        </w:rPr>
        <w:t>农林水支出</w:t>
      </w:r>
      <w:r>
        <w:rPr>
          <w:rFonts w:hint="eastAsia" w:ascii="仿宋" w:eastAsia="仿宋"/>
          <w:b/>
          <w:color w:val="000000"/>
          <w:sz w:val="32"/>
          <w:szCs w:val="32"/>
        </w:rPr>
        <w:t>（类）</w:t>
      </w:r>
      <w:r>
        <w:rPr>
          <w:rFonts w:hint="eastAsia" w:ascii="仿宋" w:eastAsia="仿宋"/>
          <w:color w:val="000000"/>
          <w:sz w:val="32"/>
          <w:szCs w:val="32"/>
          <w:lang w:val="en-US" w:eastAsia="zh-CN"/>
        </w:rPr>
        <w:t>370.83万元</w:t>
      </w:r>
      <w:r>
        <w:rPr>
          <w:rFonts w:hint="eastAsia" w:ascii="仿宋" w:eastAsia="仿宋"/>
          <w:b w:val="0"/>
          <w:bCs w:val="0"/>
          <w:color w:val="000000"/>
          <w:sz w:val="32"/>
          <w:szCs w:val="32"/>
          <w:lang w:val="en-US" w:eastAsia="zh-CN"/>
        </w:rPr>
        <w:t>，占3.3%；</w:t>
      </w:r>
      <w:r>
        <w:rPr>
          <w:rFonts w:hint="eastAsia" w:ascii="仿宋" w:eastAsia="仿宋"/>
          <w:b/>
          <w:bCs/>
          <w:color w:val="000000"/>
          <w:sz w:val="32"/>
          <w:szCs w:val="32"/>
        </w:rPr>
        <w:t>住房保障支出</w:t>
      </w:r>
      <w:r>
        <w:rPr>
          <w:rFonts w:hint="eastAsia" w:ascii="仿宋" w:eastAsia="仿宋"/>
          <w:b/>
          <w:color w:val="000000"/>
          <w:sz w:val="32"/>
          <w:szCs w:val="32"/>
        </w:rPr>
        <w:t>（类）</w:t>
      </w:r>
      <w:r>
        <w:rPr>
          <w:rFonts w:hint="eastAsia" w:ascii="仿宋" w:eastAsia="仿宋"/>
          <w:color w:val="000000"/>
          <w:sz w:val="32"/>
          <w:szCs w:val="32"/>
          <w:lang w:val="en-US" w:eastAsia="zh-CN"/>
        </w:rPr>
        <w:t>4219.64</w:t>
      </w:r>
      <w:r>
        <w:rPr>
          <w:rFonts w:hint="eastAsia" w:ascii="仿宋" w:eastAsia="仿宋"/>
          <w:color w:val="000000"/>
          <w:sz w:val="32"/>
          <w:szCs w:val="32"/>
        </w:rPr>
        <w:t>万元，占</w:t>
      </w:r>
      <w:r>
        <w:rPr>
          <w:rFonts w:hint="eastAsia" w:ascii="仿宋" w:eastAsia="仿宋"/>
          <w:color w:val="000000"/>
          <w:sz w:val="32"/>
          <w:szCs w:val="32"/>
          <w:lang w:val="en-US" w:eastAsia="zh-CN"/>
        </w:rPr>
        <w:t>37.56</w:t>
      </w:r>
      <w:r>
        <w:rPr>
          <w:rFonts w:ascii="仿宋" w:eastAsia="仿宋"/>
          <w:color w:val="000000"/>
          <w:sz w:val="32"/>
          <w:szCs w:val="32"/>
        </w:rPr>
        <w:t>%</w:t>
      </w:r>
      <w:r>
        <w:rPr>
          <w:rFonts w:hint="eastAsia" w:ascii="仿宋" w:eastAsia="仿宋"/>
          <w:color w:val="000000"/>
          <w:sz w:val="32"/>
          <w:szCs w:val="32"/>
          <w:lang w:eastAsia="zh-CN"/>
        </w:rPr>
        <w:t>。</w:t>
      </w:r>
    </w:p>
    <w:p>
      <w:pPr>
        <w:spacing w:line="600" w:lineRule="exact"/>
        <w:ind w:firstLine="8353" w:firstLineChars="2600"/>
        <w:outlineLvl w:val="2"/>
        <w:rPr>
          <w:rFonts w:hint="eastAsia" w:ascii="仿宋" w:eastAsia="仿宋"/>
          <w:b/>
          <w:color w:val="000000"/>
          <w:sz w:val="32"/>
          <w:szCs w:val="32"/>
          <w:lang w:val="en-US" w:eastAsia="zh-CN"/>
        </w:rPr>
      </w:pPr>
      <w:bookmarkStart w:id="36" w:name="_Toc15378460"/>
      <w:bookmarkStart w:id="37" w:name="_Toc15377444"/>
      <w:bookmarkStart w:id="38" w:name="_Toc15377213"/>
      <w:r>
        <w:rPr>
          <w:rFonts w:hint="eastAsia" w:ascii="仿宋" w:eastAsia="仿宋"/>
          <w:b/>
          <w:color w:val="000000"/>
          <w:sz w:val="32"/>
          <w:szCs w:val="32"/>
          <w:lang w:val="en-US" w:eastAsia="zh-CN"/>
        </w:rPr>
        <w:drawing>
          <wp:anchor distT="0" distB="0" distL="114300" distR="114300" simplePos="0" relativeHeight="251668480" behindDoc="1" locked="0" layoutInCell="1" allowOverlap="1">
            <wp:simplePos x="0" y="0"/>
            <wp:positionH relativeFrom="column">
              <wp:posOffset>168910</wp:posOffset>
            </wp:positionH>
            <wp:positionV relativeFrom="paragraph">
              <wp:posOffset>108585</wp:posOffset>
            </wp:positionV>
            <wp:extent cx="5080000" cy="3810000"/>
            <wp:effectExtent l="4445" t="4445" r="20955" b="14605"/>
            <wp:wrapTight wrapText="bothSides">
              <wp:wrapPolygon>
                <wp:start x="-19" y="-25"/>
                <wp:lineTo x="-19" y="21575"/>
                <wp:lineTo x="21527" y="21575"/>
                <wp:lineTo x="21527" y="-25"/>
                <wp:lineTo x="-19" y="-25"/>
              </wp:wrapPolygon>
            </wp:wrapTight>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outlineLvl w:val="2"/>
        <w:rPr>
          <w:rFonts w:hint="eastAsia" w:ascii="仿宋" w:eastAsia="仿宋"/>
          <w:b/>
          <w:color w:val="000000"/>
          <w:sz w:val="32"/>
          <w:szCs w:val="32"/>
          <w:lang w:val="en-US" w:eastAsia="zh-CN"/>
        </w:rPr>
      </w:pPr>
      <w:bookmarkStart w:id="39" w:name="_Toc15377212"/>
    </w:p>
    <w:p>
      <w:pPr>
        <w:spacing w:line="600" w:lineRule="exact"/>
        <w:outlineLvl w:val="2"/>
        <w:rPr>
          <w:rFonts w:hint="eastAsia" w:ascii="仿宋" w:eastAsia="仿宋"/>
          <w:b/>
          <w:color w:val="000000"/>
          <w:sz w:val="32"/>
          <w:szCs w:val="32"/>
          <w:lang w:val="en-US" w:eastAsia="zh-CN"/>
        </w:rPr>
      </w:pPr>
    </w:p>
    <w:p>
      <w:pPr>
        <w:spacing w:line="600" w:lineRule="exact"/>
        <w:outlineLvl w:val="2"/>
        <w:rPr>
          <w:rFonts w:hint="eastAsia" w:ascii="仿宋" w:eastAsia="仿宋"/>
          <w:b/>
          <w:color w:val="000000"/>
          <w:sz w:val="32"/>
          <w:szCs w:val="32"/>
          <w:lang w:val="en-US" w:eastAsia="zh-CN"/>
        </w:rPr>
      </w:pPr>
    </w:p>
    <w:p>
      <w:pPr>
        <w:spacing w:line="600" w:lineRule="exact"/>
        <w:outlineLvl w:val="2"/>
        <w:rPr>
          <w:rFonts w:hint="eastAsia" w:ascii="仿宋" w:eastAsia="仿宋"/>
          <w:b/>
          <w:color w:val="000000"/>
          <w:sz w:val="32"/>
          <w:szCs w:val="32"/>
          <w:lang w:val="en-US" w:eastAsia="zh-CN"/>
        </w:rPr>
      </w:pPr>
    </w:p>
    <w:p>
      <w:pPr>
        <w:spacing w:line="600" w:lineRule="exact"/>
        <w:outlineLvl w:val="2"/>
        <w:rPr>
          <w:rFonts w:hint="eastAsia" w:ascii="仿宋" w:eastAsia="仿宋"/>
          <w:b/>
          <w:color w:val="000000"/>
          <w:sz w:val="32"/>
          <w:szCs w:val="32"/>
          <w:lang w:val="en-US" w:eastAsia="zh-CN"/>
        </w:rPr>
      </w:pPr>
    </w:p>
    <w:p>
      <w:pPr>
        <w:spacing w:line="600" w:lineRule="exact"/>
        <w:outlineLvl w:val="2"/>
        <w:rPr>
          <w:rFonts w:hint="eastAsia" w:ascii="仿宋" w:eastAsia="仿宋"/>
          <w:b/>
          <w:color w:val="000000"/>
          <w:sz w:val="32"/>
          <w:szCs w:val="32"/>
          <w:lang w:val="en-US" w:eastAsia="zh-CN"/>
        </w:rPr>
      </w:pPr>
    </w:p>
    <w:p>
      <w:pPr>
        <w:spacing w:line="600" w:lineRule="exact"/>
        <w:ind w:firstLine="643" w:firstLineChars="200"/>
        <w:outlineLvl w:val="2"/>
        <w:rPr>
          <w:rFonts w:hint="eastAsia" w:ascii="仿宋" w:eastAsia="仿宋"/>
          <w:b/>
          <w:color w:val="000000"/>
          <w:sz w:val="32"/>
          <w:szCs w:val="32"/>
          <w:lang w:val="en-US" w:eastAsia="zh-CN"/>
        </w:rPr>
      </w:pPr>
      <w:r>
        <w:rPr>
          <w:rFonts w:hint="eastAsia" w:ascii="仿宋" w:eastAsia="仿宋"/>
          <w:b/>
          <w:color w:val="000000"/>
          <w:sz w:val="32"/>
          <w:szCs w:val="32"/>
        </w:rPr>
        <w:t>（三）一般公共预算财政拨款支出决算具体情况</w:t>
      </w:r>
      <w:bookmarkEnd w:id="39"/>
    </w:p>
    <w:p>
      <w:pPr>
        <w:spacing w:line="600" w:lineRule="exact"/>
        <w:outlineLvl w:val="2"/>
        <w:rPr>
          <w:rFonts w:ascii="仿宋" w:eastAsia="仿宋"/>
          <w:b w:val="0"/>
          <w:bCs/>
          <w:color w:val="FF0000"/>
          <w:sz w:val="32"/>
          <w:szCs w:val="32"/>
        </w:rPr>
      </w:pPr>
      <w:r>
        <w:rPr>
          <w:rFonts w:hint="eastAsia" w:ascii="仿宋" w:eastAsia="仿宋"/>
          <w:b w:val="0"/>
          <w:bCs/>
          <w:color w:val="000000"/>
          <w:sz w:val="32"/>
          <w:szCs w:val="32"/>
          <w:lang w:val="en-US" w:eastAsia="zh-CN"/>
        </w:rPr>
        <w:t xml:space="preserve">    </w:t>
      </w:r>
      <w:r>
        <w:rPr>
          <w:rFonts w:hint="eastAsia" w:ascii="仿宋" w:eastAsia="仿宋"/>
          <w:b w:val="0"/>
          <w:bCs/>
          <w:color w:val="000000"/>
          <w:sz w:val="32"/>
          <w:szCs w:val="32"/>
        </w:rPr>
        <w:t>20</w:t>
      </w:r>
      <w:r>
        <w:rPr>
          <w:rFonts w:hint="eastAsia" w:ascii="仿宋" w:eastAsia="仿宋"/>
          <w:b w:val="0"/>
          <w:bCs/>
          <w:color w:val="000000"/>
          <w:sz w:val="32"/>
          <w:szCs w:val="32"/>
          <w:lang w:val="en-US" w:eastAsia="zh-CN"/>
        </w:rPr>
        <w:t>24</w:t>
      </w:r>
      <w:r>
        <w:rPr>
          <w:rFonts w:hint="eastAsia" w:ascii="仿宋" w:eastAsia="仿宋"/>
          <w:b w:val="0"/>
          <w:bCs/>
          <w:color w:val="000000"/>
          <w:sz w:val="32"/>
          <w:szCs w:val="32"/>
        </w:rPr>
        <w:t>年</w:t>
      </w:r>
      <w:r>
        <w:rPr>
          <w:rFonts w:hint="eastAsia" w:ascii="仿宋" w:eastAsia="仿宋"/>
          <w:b w:val="0"/>
          <w:bCs/>
          <w:color w:val="000000"/>
          <w:sz w:val="32"/>
          <w:szCs w:val="32"/>
          <w:lang w:eastAsia="zh-CN"/>
        </w:rPr>
        <w:t>一</w:t>
      </w:r>
      <w:r>
        <w:rPr>
          <w:rFonts w:hint="eastAsia" w:ascii="仿宋" w:eastAsia="仿宋"/>
          <w:b w:val="0"/>
          <w:bCs/>
          <w:color w:val="000000"/>
          <w:sz w:val="32"/>
          <w:szCs w:val="32"/>
        </w:rPr>
        <w:t>般公共预算财政拨款收入预算</w:t>
      </w:r>
      <w:r>
        <w:rPr>
          <w:rFonts w:hint="eastAsia" w:ascii="仿宋" w:eastAsia="仿宋"/>
          <w:b w:val="0"/>
          <w:bCs/>
          <w:color w:val="000000"/>
          <w:sz w:val="32"/>
          <w:szCs w:val="32"/>
          <w:lang w:val="en-US" w:eastAsia="zh-CN"/>
        </w:rPr>
        <w:t>数为</w:t>
      </w:r>
      <w:r>
        <w:rPr>
          <w:rFonts w:hint="eastAsia" w:ascii="仿宋" w:eastAsia="仿宋"/>
          <w:color w:val="000000"/>
          <w:sz w:val="32"/>
          <w:szCs w:val="32"/>
          <w:lang w:val="en-US" w:eastAsia="zh-CN"/>
        </w:rPr>
        <w:t>11235.89</w:t>
      </w:r>
      <w:r>
        <w:rPr>
          <w:rFonts w:hint="eastAsia" w:ascii="仿宋" w:eastAsia="仿宋"/>
          <w:b w:val="0"/>
          <w:bCs/>
          <w:color w:val="000000"/>
          <w:sz w:val="32"/>
          <w:szCs w:val="32"/>
          <w:lang w:val="en-US" w:eastAsia="zh-CN"/>
        </w:rPr>
        <w:t>万元，</w:t>
      </w:r>
      <w:r>
        <w:rPr>
          <w:rFonts w:hint="eastAsia" w:ascii="仿宋" w:eastAsia="仿宋"/>
          <w:b w:val="0"/>
          <w:bCs/>
          <w:color w:val="000000"/>
          <w:sz w:val="32"/>
          <w:szCs w:val="32"/>
        </w:rPr>
        <w:t>支出决算数为</w:t>
      </w:r>
      <w:r>
        <w:rPr>
          <w:rFonts w:hint="eastAsia" w:ascii="仿宋" w:eastAsia="仿宋"/>
          <w:color w:val="000000"/>
          <w:sz w:val="32"/>
          <w:szCs w:val="32"/>
          <w:lang w:val="en-US" w:eastAsia="zh-CN"/>
        </w:rPr>
        <w:t>11235.89</w:t>
      </w:r>
      <w:r>
        <w:rPr>
          <w:rFonts w:hint="eastAsia" w:ascii="仿宋" w:eastAsia="仿宋"/>
          <w:b w:val="0"/>
          <w:bCs/>
          <w:color w:val="000000"/>
          <w:sz w:val="32"/>
          <w:szCs w:val="32"/>
          <w:lang w:val="en-US" w:eastAsia="zh-CN"/>
        </w:rPr>
        <w:t>万元</w:t>
      </w:r>
      <w:r>
        <w:rPr>
          <w:rFonts w:hint="eastAsia" w:ascii="仿宋" w:eastAsia="仿宋"/>
          <w:b w:val="0"/>
          <w:bCs/>
          <w:color w:val="000000"/>
          <w:sz w:val="32"/>
          <w:szCs w:val="32"/>
        </w:rPr>
        <w:t>，完</w:t>
      </w:r>
      <w:r>
        <w:rPr>
          <w:rStyle w:val="22"/>
          <w:rFonts w:hint="eastAsia" w:ascii="仿宋" w:eastAsia="仿宋"/>
          <w:b w:val="0"/>
          <w:bCs/>
          <w:color w:val="000000"/>
          <w:sz w:val="32"/>
          <w:szCs w:val="32"/>
        </w:rPr>
        <w:t>成预算</w:t>
      </w:r>
      <w:r>
        <w:rPr>
          <w:rStyle w:val="22"/>
          <w:rFonts w:hint="eastAsia" w:ascii="仿宋" w:eastAsia="仿宋"/>
          <w:b w:val="0"/>
          <w:bCs/>
          <w:color w:val="000000"/>
          <w:sz w:val="32"/>
          <w:szCs w:val="32"/>
          <w:lang w:val="en-US" w:eastAsia="zh-CN"/>
        </w:rPr>
        <w:t>100</w:t>
      </w:r>
      <w:r>
        <w:rPr>
          <w:rStyle w:val="22"/>
          <w:rFonts w:ascii="仿宋" w:eastAsia="仿宋"/>
          <w:b w:val="0"/>
          <w:bCs/>
          <w:color w:val="000000"/>
          <w:sz w:val="32"/>
          <w:szCs w:val="32"/>
        </w:rPr>
        <w:t>%</w:t>
      </w:r>
      <w:r>
        <w:rPr>
          <w:rStyle w:val="22"/>
          <w:rFonts w:hint="eastAsia" w:ascii="仿宋" w:eastAsia="仿宋"/>
          <w:b w:val="0"/>
          <w:bCs/>
          <w:color w:val="000000"/>
          <w:sz w:val="32"/>
          <w:szCs w:val="32"/>
        </w:rPr>
        <w:t>。</w:t>
      </w:r>
      <w:r>
        <w:rPr>
          <w:rStyle w:val="22"/>
          <w:rFonts w:hint="eastAsia" w:ascii="仿宋" w:eastAsia="仿宋"/>
          <w:b w:val="0"/>
          <w:bCs/>
          <w:color w:val="000000"/>
          <w:sz w:val="32"/>
          <w:szCs w:val="32"/>
          <w:lang w:val="en-US" w:eastAsia="zh-CN"/>
        </w:rPr>
        <w:t>2024年结转下年0万元。</w:t>
      </w:r>
      <w:r>
        <w:rPr>
          <w:rStyle w:val="22"/>
          <w:rFonts w:hint="eastAsia" w:ascii="仿宋" w:eastAsia="仿宋"/>
          <w:b w:val="0"/>
          <w:bCs/>
          <w:color w:val="000000"/>
          <w:sz w:val="32"/>
          <w:szCs w:val="32"/>
        </w:rPr>
        <w:t>其中：</w:t>
      </w:r>
      <w:bookmarkEnd w:id="36"/>
      <w:bookmarkEnd w:id="37"/>
      <w:bookmarkEnd w:id="38"/>
    </w:p>
    <w:p>
      <w:pPr>
        <w:spacing w:line="600" w:lineRule="exact"/>
        <w:ind w:firstLine="643" w:firstLineChars="200"/>
        <w:rPr>
          <w:rStyle w:val="22"/>
          <w:rFonts w:hint="eastAsia" w:ascii="仿宋" w:eastAsia="仿宋"/>
          <w:bCs/>
          <w:color w:val="000000"/>
          <w:sz w:val="32"/>
          <w:szCs w:val="32"/>
          <w:lang w:val="en-US" w:eastAsia="zh-CN"/>
        </w:rPr>
      </w:pPr>
    </w:p>
    <w:p>
      <w:pPr>
        <w:spacing w:line="600" w:lineRule="exact"/>
        <w:ind w:firstLine="643" w:firstLineChars="200"/>
        <w:rPr>
          <w:rStyle w:val="22"/>
          <w:rFonts w:hint="eastAsia" w:ascii="仿宋" w:eastAsia="仿宋"/>
          <w:b w:val="0"/>
          <w:bCs/>
          <w:color w:val="000000"/>
          <w:sz w:val="32"/>
          <w:szCs w:val="32"/>
        </w:rPr>
      </w:pPr>
      <w:r>
        <w:rPr>
          <w:rStyle w:val="22"/>
          <w:rFonts w:hint="eastAsia" w:ascii="仿宋" w:eastAsia="仿宋"/>
          <w:bCs/>
          <w:color w:val="000000"/>
          <w:sz w:val="32"/>
          <w:szCs w:val="32"/>
          <w:lang w:val="en-US" w:eastAsia="zh-CN"/>
        </w:rPr>
        <w:t>1.</w:t>
      </w:r>
      <w:r>
        <w:rPr>
          <w:rStyle w:val="22"/>
          <w:rFonts w:hint="eastAsia" w:ascii="仿宋" w:eastAsia="仿宋"/>
          <w:bCs/>
          <w:color w:val="000000"/>
          <w:sz w:val="32"/>
          <w:szCs w:val="32"/>
        </w:rPr>
        <w:t>社会保障和就业支出（类</w:t>
      </w:r>
      <w:r>
        <w:rPr>
          <w:rStyle w:val="22"/>
          <w:rFonts w:hint="eastAsia" w:ascii="仿宋" w:eastAsia="仿宋"/>
          <w:bCs/>
          <w:color w:val="000000"/>
          <w:sz w:val="32"/>
          <w:szCs w:val="32"/>
          <w:lang w:eastAsia="zh-CN"/>
        </w:rPr>
        <w:t>）</w:t>
      </w:r>
      <w:r>
        <w:rPr>
          <w:rStyle w:val="22"/>
          <w:rFonts w:hint="eastAsia" w:ascii="仿宋" w:eastAsia="仿宋"/>
          <w:bCs/>
          <w:color w:val="000000"/>
          <w:sz w:val="32"/>
          <w:szCs w:val="32"/>
        </w:rPr>
        <w:t>行政事业单位养老支出（款）</w:t>
      </w:r>
      <w:r>
        <w:rPr>
          <w:rStyle w:val="22"/>
          <w:rFonts w:hint="eastAsia" w:ascii="仿宋" w:eastAsia="仿宋"/>
          <w:bCs/>
          <w:color w:val="000000"/>
          <w:sz w:val="32"/>
          <w:szCs w:val="32"/>
          <w:lang w:val="en-US" w:eastAsia="zh-CN"/>
        </w:rPr>
        <w:t xml:space="preserve"> 机关事业单位基本养老保险缴费支出</w:t>
      </w:r>
      <w:r>
        <w:rPr>
          <w:rStyle w:val="22"/>
          <w:rFonts w:hint="eastAsia" w:ascii="仿宋" w:eastAsia="仿宋"/>
          <w:bCs/>
          <w:color w:val="000000"/>
          <w:sz w:val="32"/>
          <w:szCs w:val="32"/>
        </w:rPr>
        <w:t>（项）</w:t>
      </w:r>
      <w:r>
        <w:rPr>
          <w:rStyle w:val="22"/>
          <w:rFonts w:ascii="仿宋" w:eastAsia="仿宋"/>
          <w:bCs/>
          <w:color w:val="000000"/>
          <w:sz w:val="32"/>
          <w:szCs w:val="32"/>
        </w:rPr>
        <w:t>:</w:t>
      </w:r>
      <w:r>
        <w:rPr>
          <w:rStyle w:val="22"/>
          <w:rFonts w:ascii="仿宋" w:eastAsia="仿宋"/>
          <w:b w:val="0"/>
          <w:bCs/>
          <w:color w:val="000000"/>
          <w:sz w:val="32"/>
          <w:szCs w:val="32"/>
        </w:rPr>
        <w:t xml:space="preserve"> </w:t>
      </w:r>
      <w:r>
        <w:rPr>
          <w:rStyle w:val="22"/>
          <w:rFonts w:hint="eastAsia" w:ascii="仿宋" w:eastAsia="仿宋"/>
          <w:b w:val="0"/>
          <w:bCs/>
          <w:color w:val="000000"/>
          <w:sz w:val="32"/>
          <w:szCs w:val="32"/>
        </w:rPr>
        <w:t>支出决算为</w:t>
      </w:r>
      <w:r>
        <w:rPr>
          <w:rStyle w:val="22"/>
          <w:rFonts w:hint="eastAsia" w:ascii="仿宋" w:eastAsia="仿宋"/>
          <w:b w:val="0"/>
          <w:bCs/>
          <w:color w:val="000000"/>
          <w:sz w:val="32"/>
          <w:szCs w:val="32"/>
          <w:lang w:val="en-US" w:eastAsia="zh-CN"/>
        </w:rPr>
        <w:t>38.4</w:t>
      </w:r>
      <w:r>
        <w:rPr>
          <w:rStyle w:val="22"/>
          <w:rFonts w:hint="eastAsia" w:ascii="仿宋" w:eastAsia="仿宋"/>
          <w:b w:val="0"/>
          <w:bCs/>
          <w:color w:val="000000"/>
          <w:sz w:val="32"/>
          <w:szCs w:val="32"/>
        </w:rPr>
        <w:t>万元，完成预算</w:t>
      </w:r>
      <w:r>
        <w:rPr>
          <w:rStyle w:val="22"/>
          <w:rFonts w:hint="eastAsia" w:ascii="仿宋" w:eastAsia="仿宋"/>
          <w:b w:val="0"/>
          <w:bCs/>
          <w:color w:val="000000"/>
          <w:sz w:val="32"/>
          <w:szCs w:val="32"/>
          <w:lang w:val="en-US" w:eastAsia="zh-CN"/>
        </w:rPr>
        <w:t>100</w:t>
      </w:r>
      <w:r>
        <w:rPr>
          <w:rStyle w:val="22"/>
          <w:rFonts w:ascii="仿宋" w:eastAsia="仿宋"/>
          <w:b w:val="0"/>
          <w:bCs/>
          <w:color w:val="000000"/>
          <w:sz w:val="32"/>
          <w:szCs w:val="32"/>
        </w:rPr>
        <w:t>%</w:t>
      </w:r>
      <w:r>
        <w:rPr>
          <w:rStyle w:val="22"/>
          <w:rFonts w:hint="eastAsia" w:ascii="仿宋" w:eastAsia="仿宋"/>
          <w:b w:val="0"/>
          <w:bCs/>
          <w:color w:val="000000"/>
          <w:sz w:val="32"/>
          <w:szCs w:val="32"/>
        </w:rPr>
        <w:t>，决算数等于预算数。</w:t>
      </w:r>
    </w:p>
    <w:p>
      <w:pPr>
        <w:spacing w:line="600" w:lineRule="exact"/>
        <w:ind w:firstLine="643" w:firstLineChars="200"/>
        <w:rPr>
          <w:rStyle w:val="22"/>
          <w:rFonts w:hint="eastAsia" w:ascii="仿宋" w:eastAsia="仿宋"/>
          <w:b w:val="0"/>
          <w:bCs/>
          <w:color w:val="auto"/>
          <w:sz w:val="32"/>
          <w:szCs w:val="32"/>
        </w:rPr>
      </w:pPr>
      <w:r>
        <w:rPr>
          <w:rStyle w:val="22"/>
          <w:rFonts w:ascii="仿宋" w:eastAsia="仿宋"/>
          <w:bCs/>
          <w:color w:val="auto"/>
          <w:sz w:val="32"/>
          <w:szCs w:val="32"/>
        </w:rPr>
        <w:t>2.</w:t>
      </w:r>
      <w:r>
        <w:rPr>
          <w:rStyle w:val="22"/>
          <w:rFonts w:hint="eastAsia" w:ascii="仿宋" w:eastAsia="仿宋"/>
          <w:bCs/>
          <w:color w:val="auto"/>
          <w:sz w:val="32"/>
          <w:szCs w:val="32"/>
        </w:rPr>
        <w:t>社会保障和就业支出（类</w:t>
      </w:r>
      <w:r>
        <w:rPr>
          <w:rStyle w:val="22"/>
          <w:rFonts w:hint="eastAsia" w:ascii="仿宋" w:eastAsia="仿宋"/>
          <w:bCs/>
          <w:color w:val="auto"/>
          <w:sz w:val="32"/>
          <w:szCs w:val="32"/>
          <w:lang w:eastAsia="zh-CN"/>
        </w:rPr>
        <w:t>）</w:t>
      </w:r>
      <w:r>
        <w:rPr>
          <w:rStyle w:val="22"/>
          <w:rFonts w:hint="eastAsia" w:ascii="仿宋" w:eastAsia="仿宋"/>
          <w:bCs/>
          <w:color w:val="auto"/>
          <w:sz w:val="32"/>
          <w:szCs w:val="32"/>
        </w:rPr>
        <w:t>行政事业单位养老支出（款）</w:t>
      </w:r>
      <w:r>
        <w:rPr>
          <w:rStyle w:val="22"/>
          <w:rFonts w:hint="eastAsia" w:ascii="仿宋" w:eastAsia="仿宋"/>
          <w:bCs/>
          <w:color w:val="auto"/>
          <w:sz w:val="32"/>
          <w:szCs w:val="32"/>
          <w:lang w:val="en-US" w:eastAsia="zh-CN"/>
        </w:rPr>
        <w:t>机关事业单位职业年金缴费支出</w:t>
      </w:r>
      <w:r>
        <w:rPr>
          <w:rStyle w:val="22"/>
          <w:rFonts w:hint="eastAsia" w:ascii="仿宋" w:eastAsia="仿宋"/>
          <w:bCs/>
          <w:color w:val="auto"/>
          <w:sz w:val="32"/>
          <w:szCs w:val="32"/>
        </w:rPr>
        <w:t>（项）</w:t>
      </w:r>
      <w:r>
        <w:rPr>
          <w:rStyle w:val="22"/>
          <w:rFonts w:ascii="仿宋" w:eastAsia="仿宋"/>
          <w:bCs/>
          <w:color w:val="auto"/>
          <w:sz w:val="32"/>
          <w:szCs w:val="32"/>
        </w:rPr>
        <w:t>:</w:t>
      </w:r>
      <w:r>
        <w:rPr>
          <w:rStyle w:val="22"/>
          <w:rFonts w:ascii="仿宋" w:eastAsia="仿宋"/>
          <w:b w:val="0"/>
          <w:bCs/>
          <w:color w:val="auto"/>
          <w:sz w:val="32"/>
          <w:szCs w:val="32"/>
        </w:rPr>
        <w:t xml:space="preserve"> </w:t>
      </w:r>
      <w:r>
        <w:rPr>
          <w:rStyle w:val="22"/>
          <w:rFonts w:hint="eastAsia" w:ascii="仿宋" w:eastAsia="仿宋"/>
          <w:b w:val="0"/>
          <w:bCs/>
          <w:color w:val="auto"/>
          <w:sz w:val="32"/>
          <w:szCs w:val="32"/>
        </w:rPr>
        <w:t>支出决算为</w:t>
      </w:r>
      <w:r>
        <w:rPr>
          <w:rStyle w:val="22"/>
          <w:rFonts w:hint="eastAsia" w:ascii="仿宋" w:eastAsia="仿宋"/>
          <w:b w:val="0"/>
          <w:bCs/>
          <w:color w:val="auto"/>
          <w:sz w:val="32"/>
          <w:szCs w:val="32"/>
          <w:lang w:val="en-US" w:eastAsia="zh-CN"/>
        </w:rPr>
        <w:t>18.92</w:t>
      </w:r>
      <w:r>
        <w:rPr>
          <w:rStyle w:val="22"/>
          <w:rFonts w:hint="eastAsia" w:ascii="仿宋" w:eastAsia="仿宋"/>
          <w:b w:val="0"/>
          <w:bCs/>
          <w:color w:val="auto"/>
          <w:sz w:val="32"/>
          <w:szCs w:val="32"/>
        </w:rPr>
        <w:t>万元，完成预算</w:t>
      </w:r>
      <w:r>
        <w:rPr>
          <w:rStyle w:val="22"/>
          <w:rFonts w:hint="eastAsia" w:ascii="仿宋" w:eastAsia="仿宋"/>
          <w:b w:val="0"/>
          <w:bCs/>
          <w:color w:val="auto"/>
          <w:sz w:val="32"/>
          <w:szCs w:val="32"/>
          <w:lang w:val="en-US" w:eastAsia="zh-CN"/>
        </w:rPr>
        <w:t>100</w:t>
      </w:r>
      <w:r>
        <w:rPr>
          <w:rStyle w:val="22"/>
          <w:rFonts w:ascii="仿宋" w:eastAsia="仿宋"/>
          <w:b w:val="0"/>
          <w:bCs/>
          <w:color w:val="auto"/>
          <w:sz w:val="32"/>
          <w:szCs w:val="32"/>
        </w:rPr>
        <w:t>%</w:t>
      </w:r>
      <w:r>
        <w:rPr>
          <w:rStyle w:val="22"/>
          <w:rFonts w:hint="eastAsia" w:ascii="仿宋" w:eastAsia="仿宋"/>
          <w:b w:val="0"/>
          <w:bCs/>
          <w:color w:val="auto"/>
          <w:sz w:val="32"/>
          <w:szCs w:val="32"/>
          <w:lang w:val="en-US" w:eastAsia="zh-CN"/>
        </w:rPr>
        <w:t>,</w:t>
      </w:r>
      <w:r>
        <w:rPr>
          <w:rStyle w:val="22"/>
          <w:rFonts w:hint="eastAsia" w:ascii="仿宋" w:eastAsia="仿宋"/>
          <w:b w:val="0"/>
          <w:bCs/>
          <w:color w:val="auto"/>
          <w:sz w:val="32"/>
          <w:szCs w:val="32"/>
        </w:rPr>
        <w:t>决算数等于预算数。</w:t>
      </w:r>
    </w:p>
    <w:p>
      <w:pPr>
        <w:spacing w:line="600" w:lineRule="exact"/>
        <w:ind w:firstLine="640" w:firstLineChars="200"/>
        <w:rPr>
          <w:rStyle w:val="22"/>
          <w:rFonts w:hint="eastAsia" w:ascii="仿宋" w:eastAsia="仿宋"/>
          <w:b w:val="0"/>
          <w:bCs/>
          <w:color w:val="auto"/>
          <w:sz w:val="32"/>
          <w:szCs w:val="32"/>
        </w:rPr>
      </w:pPr>
      <w:r>
        <w:rPr>
          <w:rStyle w:val="22"/>
          <w:rFonts w:hint="eastAsia" w:ascii="仿宋" w:eastAsia="仿宋"/>
          <w:b w:val="0"/>
          <w:bCs/>
          <w:color w:val="auto"/>
          <w:sz w:val="32"/>
          <w:szCs w:val="32"/>
          <w:lang w:val="en-US" w:eastAsia="zh-CN"/>
        </w:rPr>
        <w:t>3.</w:t>
      </w:r>
      <w:r>
        <w:rPr>
          <w:rStyle w:val="22"/>
          <w:rFonts w:hint="eastAsia" w:ascii="仿宋" w:eastAsia="仿宋"/>
          <w:bCs/>
          <w:color w:val="auto"/>
          <w:sz w:val="32"/>
          <w:szCs w:val="32"/>
        </w:rPr>
        <w:t>社会保障和就业支出（类</w:t>
      </w:r>
      <w:r>
        <w:rPr>
          <w:rStyle w:val="22"/>
          <w:rFonts w:hint="eastAsia" w:ascii="仿宋" w:eastAsia="仿宋"/>
          <w:bCs/>
          <w:color w:val="auto"/>
          <w:sz w:val="32"/>
          <w:szCs w:val="32"/>
          <w:lang w:eastAsia="zh-CN"/>
        </w:rPr>
        <w:t>）</w:t>
      </w:r>
      <w:r>
        <w:rPr>
          <w:rStyle w:val="22"/>
          <w:rFonts w:hint="eastAsia" w:ascii="仿宋" w:eastAsia="仿宋"/>
          <w:bCs/>
          <w:color w:val="auto"/>
          <w:sz w:val="32"/>
          <w:szCs w:val="32"/>
          <w:lang w:val="en-US" w:eastAsia="zh-CN"/>
        </w:rPr>
        <w:t>抚恤</w:t>
      </w:r>
      <w:r>
        <w:rPr>
          <w:rStyle w:val="22"/>
          <w:rFonts w:hint="eastAsia" w:ascii="仿宋" w:eastAsia="仿宋"/>
          <w:bCs/>
          <w:color w:val="auto"/>
          <w:sz w:val="32"/>
          <w:szCs w:val="32"/>
        </w:rPr>
        <w:t>（款）</w:t>
      </w:r>
      <w:r>
        <w:rPr>
          <w:rStyle w:val="22"/>
          <w:rFonts w:hint="eastAsia" w:ascii="仿宋" w:eastAsia="仿宋"/>
          <w:bCs/>
          <w:color w:val="auto"/>
          <w:sz w:val="32"/>
          <w:szCs w:val="32"/>
          <w:lang w:val="en-US" w:eastAsia="zh-CN"/>
        </w:rPr>
        <w:t>死亡抚恤</w:t>
      </w:r>
      <w:r>
        <w:rPr>
          <w:rStyle w:val="22"/>
          <w:rFonts w:hint="eastAsia" w:ascii="仿宋" w:eastAsia="仿宋"/>
          <w:bCs/>
          <w:color w:val="auto"/>
          <w:sz w:val="32"/>
          <w:szCs w:val="32"/>
        </w:rPr>
        <w:t>（项）</w:t>
      </w:r>
      <w:r>
        <w:rPr>
          <w:rStyle w:val="22"/>
          <w:rFonts w:hint="eastAsia" w:ascii="仿宋" w:eastAsia="仿宋"/>
          <w:bCs/>
          <w:color w:val="auto"/>
          <w:sz w:val="32"/>
          <w:szCs w:val="32"/>
          <w:lang w:eastAsia="zh-CN"/>
        </w:rPr>
        <w:t>：</w:t>
      </w:r>
      <w:r>
        <w:rPr>
          <w:rStyle w:val="22"/>
          <w:rFonts w:hint="eastAsia" w:ascii="仿宋" w:eastAsia="仿宋"/>
          <w:b w:val="0"/>
          <w:bCs/>
          <w:color w:val="auto"/>
          <w:sz w:val="32"/>
          <w:szCs w:val="32"/>
        </w:rPr>
        <w:t>出决算为</w:t>
      </w:r>
      <w:r>
        <w:rPr>
          <w:rStyle w:val="22"/>
          <w:rFonts w:hint="eastAsia" w:ascii="仿宋" w:eastAsia="仿宋"/>
          <w:b w:val="0"/>
          <w:bCs/>
          <w:color w:val="auto"/>
          <w:sz w:val="32"/>
          <w:szCs w:val="32"/>
          <w:lang w:val="en-US" w:eastAsia="zh-CN"/>
        </w:rPr>
        <w:t>20.21</w:t>
      </w:r>
      <w:r>
        <w:rPr>
          <w:rStyle w:val="22"/>
          <w:rFonts w:hint="eastAsia" w:ascii="仿宋" w:eastAsia="仿宋"/>
          <w:b w:val="0"/>
          <w:bCs/>
          <w:color w:val="auto"/>
          <w:sz w:val="32"/>
          <w:szCs w:val="32"/>
        </w:rPr>
        <w:t>万元，完成预算</w:t>
      </w:r>
      <w:r>
        <w:rPr>
          <w:rStyle w:val="22"/>
          <w:rFonts w:hint="eastAsia" w:ascii="仿宋" w:eastAsia="仿宋"/>
          <w:b w:val="0"/>
          <w:bCs/>
          <w:color w:val="auto"/>
          <w:sz w:val="32"/>
          <w:szCs w:val="32"/>
          <w:lang w:val="en-US" w:eastAsia="zh-CN"/>
        </w:rPr>
        <w:t>100</w:t>
      </w:r>
      <w:r>
        <w:rPr>
          <w:rStyle w:val="22"/>
          <w:rFonts w:ascii="仿宋" w:eastAsia="仿宋"/>
          <w:b w:val="0"/>
          <w:bCs/>
          <w:color w:val="auto"/>
          <w:sz w:val="32"/>
          <w:szCs w:val="32"/>
        </w:rPr>
        <w:t>%</w:t>
      </w:r>
      <w:r>
        <w:rPr>
          <w:rStyle w:val="22"/>
          <w:rFonts w:hint="eastAsia" w:ascii="仿宋" w:eastAsia="仿宋"/>
          <w:b w:val="0"/>
          <w:bCs/>
          <w:color w:val="auto"/>
          <w:sz w:val="32"/>
          <w:szCs w:val="32"/>
          <w:lang w:val="en-US" w:eastAsia="zh-CN"/>
        </w:rPr>
        <w:t>,</w:t>
      </w:r>
      <w:r>
        <w:rPr>
          <w:rStyle w:val="22"/>
          <w:rFonts w:hint="eastAsia" w:ascii="仿宋" w:eastAsia="仿宋"/>
          <w:b w:val="0"/>
          <w:bCs/>
          <w:color w:val="auto"/>
          <w:sz w:val="32"/>
          <w:szCs w:val="32"/>
        </w:rPr>
        <w:t>决算数等于预算数。</w:t>
      </w:r>
    </w:p>
    <w:p>
      <w:pPr>
        <w:pStyle w:val="11"/>
        <w:rPr>
          <w:rFonts w:hint="default" w:eastAsia="仿宋"/>
          <w:color w:val="auto"/>
          <w:lang w:val="en-US" w:eastAsia="zh-CN"/>
        </w:rPr>
      </w:pPr>
    </w:p>
    <w:p>
      <w:pPr>
        <w:spacing w:line="600" w:lineRule="exact"/>
        <w:ind w:firstLine="643" w:firstLineChars="200"/>
        <w:rPr>
          <w:rStyle w:val="22"/>
          <w:rFonts w:hint="eastAsia" w:ascii="仿宋" w:eastAsia="仿宋"/>
          <w:b w:val="0"/>
          <w:bCs/>
          <w:color w:val="auto"/>
          <w:sz w:val="32"/>
          <w:szCs w:val="32"/>
        </w:rPr>
      </w:pPr>
      <w:r>
        <w:rPr>
          <w:rStyle w:val="22"/>
          <w:rFonts w:hint="eastAsia" w:ascii="仿宋" w:eastAsia="仿宋"/>
          <w:bCs/>
          <w:color w:val="auto"/>
          <w:sz w:val="32"/>
          <w:szCs w:val="32"/>
          <w:lang w:val="en-US" w:eastAsia="zh-CN"/>
        </w:rPr>
        <w:t>4.</w:t>
      </w:r>
      <w:r>
        <w:rPr>
          <w:rStyle w:val="22"/>
          <w:rFonts w:hint="eastAsia" w:ascii="仿宋" w:eastAsia="仿宋"/>
          <w:bCs/>
          <w:color w:val="auto"/>
          <w:sz w:val="32"/>
          <w:szCs w:val="32"/>
          <w:lang w:eastAsia="zh-CN"/>
        </w:rPr>
        <w:t>卫生健康支出</w:t>
      </w:r>
      <w:r>
        <w:rPr>
          <w:rStyle w:val="22"/>
          <w:rFonts w:hint="eastAsia" w:ascii="仿宋" w:eastAsia="仿宋"/>
          <w:bCs/>
          <w:color w:val="auto"/>
          <w:sz w:val="32"/>
          <w:szCs w:val="32"/>
        </w:rPr>
        <w:t>（类）</w:t>
      </w:r>
      <w:r>
        <w:rPr>
          <w:rStyle w:val="22"/>
          <w:rFonts w:hint="eastAsia" w:ascii="仿宋" w:eastAsia="仿宋"/>
          <w:bCs/>
          <w:color w:val="auto"/>
          <w:sz w:val="32"/>
          <w:szCs w:val="32"/>
          <w:lang w:val="en-US" w:eastAsia="zh-CN"/>
        </w:rPr>
        <w:t>行政事业单位医疗</w:t>
      </w:r>
      <w:r>
        <w:rPr>
          <w:rStyle w:val="22"/>
          <w:rFonts w:hint="eastAsia" w:ascii="仿宋" w:eastAsia="仿宋"/>
          <w:bCs/>
          <w:color w:val="auto"/>
          <w:sz w:val="32"/>
          <w:szCs w:val="32"/>
        </w:rPr>
        <w:t>（款）</w:t>
      </w:r>
      <w:r>
        <w:rPr>
          <w:rStyle w:val="22"/>
          <w:rFonts w:hint="eastAsia" w:ascii="仿宋" w:eastAsia="仿宋"/>
          <w:bCs/>
          <w:color w:val="auto"/>
          <w:sz w:val="32"/>
          <w:szCs w:val="32"/>
          <w:lang w:val="en-US" w:eastAsia="zh-CN"/>
        </w:rPr>
        <w:t>行政单位医疗</w:t>
      </w:r>
      <w:r>
        <w:rPr>
          <w:rStyle w:val="22"/>
          <w:rFonts w:hint="eastAsia" w:ascii="仿宋" w:eastAsia="仿宋"/>
          <w:bCs/>
          <w:color w:val="auto"/>
          <w:sz w:val="32"/>
          <w:szCs w:val="32"/>
        </w:rPr>
        <w:t>（项）</w:t>
      </w:r>
      <w:r>
        <w:rPr>
          <w:rStyle w:val="22"/>
          <w:rFonts w:ascii="仿宋" w:eastAsia="仿宋"/>
          <w:bCs/>
          <w:color w:val="auto"/>
          <w:sz w:val="32"/>
          <w:szCs w:val="32"/>
        </w:rPr>
        <w:t>:</w:t>
      </w:r>
      <w:r>
        <w:rPr>
          <w:rStyle w:val="22"/>
          <w:rFonts w:hint="eastAsia" w:ascii="仿宋" w:eastAsia="仿宋"/>
          <w:b w:val="0"/>
          <w:bCs/>
          <w:color w:val="auto"/>
          <w:sz w:val="32"/>
          <w:szCs w:val="32"/>
        </w:rPr>
        <w:t>支出决算为</w:t>
      </w:r>
      <w:r>
        <w:rPr>
          <w:rStyle w:val="22"/>
          <w:rFonts w:hint="eastAsia" w:ascii="仿宋" w:eastAsia="仿宋"/>
          <w:b w:val="0"/>
          <w:bCs/>
          <w:color w:val="auto"/>
          <w:sz w:val="32"/>
          <w:szCs w:val="32"/>
          <w:lang w:val="en-US" w:eastAsia="zh-CN"/>
        </w:rPr>
        <w:t>9.09</w:t>
      </w:r>
      <w:r>
        <w:rPr>
          <w:rStyle w:val="22"/>
          <w:rFonts w:hint="eastAsia" w:ascii="仿宋" w:eastAsia="仿宋"/>
          <w:b w:val="0"/>
          <w:bCs/>
          <w:color w:val="auto"/>
          <w:sz w:val="32"/>
          <w:szCs w:val="32"/>
        </w:rPr>
        <w:t>万元，完成预算</w:t>
      </w:r>
      <w:r>
        <w:rPr>
          <w:rStyle w:val="22"/>
          <w:rFonts w:hint="eastAsia" w:ascii="仿宋" w:eastAsia="仿宋"/>
          <w:b w:val="0"/>
          <w:bCs/>
          <w:color w:val="auto"/>
          <w:sz w:val="32"/>
          <w:szCs w:val="32"/>
          <w:lang w:val="en-US" w:eastAsia="zh-CN"/>
        </w:rPr>
        <w:t>100</w:t>
      </w:r>
      <w:r>
        <w:rPr>
          <w:rStyle w:val="22"/>
          <w:rFonts w:ascii="仿宋" w:eastAsia="仿宋"/>
          <w:b w:val="0"/>
          <w:bCs/>
          <w:color w:val="auto"/>
          <w:sz w:val="32"/>
          <w:szCs w:val="32"/>
        </w:rPr>
        <w:t>%</w:t>
      </w:r>
      <w:r>
        <w:rPr>
          <w:rStyle w:val="22"/>
          <w:rFonts w:hint="eastAsia" w:ascii="仿宋" w:eastAsia="仿宋"/>
          <w:b w:val="0"/>
          <w:bCs/>
          <w:color w:val="auto"/>
          <w:sz w:val="32"/>
          <w:szCs w:val="32"/>
        </w:rPr>
        <w:t>，决算数等于预算数。</w:t>
      </w:r>
    </w:p>
    <w:p>
      <w:pPr>
        <w:spacing w:line="600" w:lineRule="exact"/>
        <w:ind w:firstLine="643" w:firstLineChars="200"/>
        <w:rPr>
          <w:color w:val="auto"/>
        </w:rPr>
      </w:pPr>
      <w:r>
        <w:rPr>
          <w:rStyle w:val="22"/>
          <w:rFonts w:hint="eastAsia" w:ascii="仿宋" w:eastAsia="仿宋"/>
          <w:bCs/>
          <w:color w:val="auto"/>
          <w:sz w:val="32"/>
          <w:szCs w:val="32"/>
          <w:lang w:val="en-US" w:eastAsia="zh-CN"/>
        </w:rPr>
        <w:t>5.</w:t>
      </w:r>
      <w:r>
        <w:rPr>
          <w:rStyle w:val="22"/>
          <w:rFonts w:hint="eastAsia" w:ascii="仿宋" w:eastAsia="仿宋"/>
          <w:bCs/>
          <w:color w:val="auto"/>
          <w:sz w:val="32"/>
          <w:szCs w:val="32"/>
          <w:lang w:eastAsia="zh-CN"/>
        </w:rPr>
        <w:t>卫生健康支出</w:t>
      </w:r>
      <w:r>
        <w:rPr>
          <w:rStyle w:val="22"/>
          <w:rFonts w:hint="eastAsia" w:ascii="仿宋" w:eastAsia="仿宋"/>
          <w:bCs/>
          <w:color w:val="auto"/>
          <w:sz w:val="32"/>
          <w:szCs w:val="32"/>
        </w:rPr>
        <w:t>（类）</w:t>
      </w:r>
      <w:r>
        <w:rPr>
          <w:rStyle w:val="22"/>
          <w:rFonts w:hint="eastAsia" w:ascii="仿宋" w:eastAsia="仿宋"/>
          <w:bCs/>
          <w:color w:val="auto"/>
          <w:sz w:val="32"/>
          <w:szCs w:val="32"/>
          <w:lang w:val="en-US" w:eastAsia="zh-CN"/>
        </w:rPr>
        <w:t>行政事业单位医疗</w:t>
      </w:r>
      <w:r>
        <w:rPr>
          <w:rStyle w:val="22"/>
          <w:rFonts w:hint="eastAsia" w:ascii="仿宋" w:eastAsia="仿宋"/>
          <w:bCs/>
          <w:color w:val="auto"/>
          <w:sz w:val="32"/>
          <w:szCs w:val="32"/>
        </w:rPr>
        <w:t>（款）</w:t>
      </w:r>
      <w:r>
        <w:rPr>
          <w:rStyle w:val="22"/>
          <w:rFonts w:hint="eastAsia" w:ascii="仿宋" w:eastAsia="仿宋"/>
          <w:bCs/>
          <w:color w:val="auto"/>
          <w:sz w:val="32"/>
          <w:szCs w:val="32"/>
          <w:lang w:val="en-US" w:eastAsia="zh-CN"/>
        </w:rPr>
        <w:t>事业单位医疗</w:t>
      </w:r>
      <w:r>
        <w:rPr>
          <w:rStyle w:val="22"/>
          <w:rFonts w:hint="eastAsia" w:ascii="仿宋" w:eastAsia="仿宋"/>
          <w:bCs/>
          <w:color w:val="auto"/>
          <w:sz w:val="32"/>
          <w:szCs w:val="32"/>
        </w:rPr>
        <w:t>（项）</w:t>
      </w:r>
      <w:r>
        <w:rPr>
          <w:rStyle w:val="22"/>
          <w:rFonts w:ascii="仿宋" w:eastAsia="仿宋"/>
          <w:bCs/>
          <w:color w:val="auto"/>
          <w:sz w:val="32"/>
          <w:szCs w:val="32"/>
        </w:rPr>
        <w:t>:</w:t>
      </w:r>
      <w:r>
        <w:rPr>
          <w:rStyle w:val="22"/>
          <w:rFonts w:hint="eastAsia" w:ascii="仿宋" w:eastAsia="仿宋"/>
          <w:b w:val="0"/>
          <w:bCs/>
          <w:color w:val="auto"/>
          <w:sz w:val="32"/>
          <w:szCs w:val="32"/>
        </w:rPr>
        <w:t>支出决算为</w:t>
      </w:r>
      <w:r>
        <w:rPr>
          <w:rStyle w:val="22"/>
          <w:rFonts w:hint="eastAsia" w:ascii="仿宋" w:eastAsia="仿宋"/>
          <w:b w:val="0"/>
          <w:bCs/>
          <w:color w:val="auto"/>
          <w:sz w:val="32"/>
          <w:szCs w:val="32"/>
          <w:lang w:val="en-US" w:eastAsia="zh-CN"/>
        </w:rPr>
        <w:t>9.46</w:t>
      </w:r>
      <w:r>
        <w:rPr>
          <w:rStyle w:val="22"/>
          <w:rFonts w:hint="eastAsia" w:ascii="仿宋" w:eastAsia="仿宋"/>
          <w:b w:val="0"/>
          <w:bCs/>
          <w:color w:val="auto"/>
          <w:sz w:val="32"/>
          <w:szCs w:val="32"/>
        </w:rPr>
        <w:t>万元，完成预算</w:t>
      </w:r>
      <w:r>
        <w:rPr>
          <w:rStyle w:val="22"/>
          <w:rFonts w:hint="eastAsia" w:ascii="仿宋" w:eastAsia="仿宋"/>
          <w:b w:val="0"/>
          <w:bCs/>
          <w:color w:val="auto"/>
          <w:sz w:val="32"/>
          <w:szCs w:val="32"/>
          <w:lang w:val="en-US" w:eastAsia="zh-CN"/>
        </w:rPr>
        <w:t>100</w:t>
      </w:r>
      <w:r>
        <w:rPr>
          <w:rStyle w:val="22"/>
          <w:rFonts w:ascii="仿宋" w:eastAsia="仿宋"/>
          <w:b w:val="0"/>
          <w:bCs/>
          <w:color w:val="auto"/>
          <w:sz w:val="32"/>
          <w:szCs w:val="32"/>
        </w:rPr>
        <w:t>%</w:t>
      </w:r>
      <w:r>
        <w:rPr>
          <w:rStyle w:val="22"/>
          <w:rFonts w:hint="eastAsia" w:ascii="仿宋" w:eastAsia="仿宋"/>
          <w:b w:val="0"/>
          <w:bCs/>
          <w:color w:val="auto"/>
          <w:sz w:val="32"/>
          <w:szCs w:val="32"/>
        </w:rPr>
        <w:t>，决算数等于预算数。</w:t>
      </w:r>
    </w:p>
    <w:p>
      <w:pPr>
        <w:spacing w:line="600" w:lineRule="exact"/>
        <w:ind w:firstLine="643" w:firstLineChars="200"/>
        <w:rPr>
          <w:rStyle w:val="22"/>
          <w:rFonts w:hint="eastAsia" w:ascii="仿宋" w:eastAsia="仿宋"/>
          <w:b w:val="0"/>
          <w:bCs/>
          <w:color w:val="auto"/>
          <w:sz w:val="32"/>
          <w:szCs w:val="32"/>
        </w:rPr>
      </w:pPr>
      <w:r>
        <w:rPr>
          <w:rStyle w:val="22"/>
          <w:rFonts w:hint="eastAsia" w:ascii="仿宋" w:eastAsia="仿宋"/>
          <w:bCs/>
          <w:color w:val="auto"/>
          <w:sz w:val="32"/>
          <w:szCs w:val="32"/>
          <w:lang w:val="en-US" w:eastAsia="zh-CN"/>
        </w:rPr>
        <w:t>6.</w:t>
      </w:r>
      <w:r>
        <w:rPr>
          <w:rStyle w:val="22"/>
          <w:rFonts w:hint="eastAsia" w:ascii="仿宋" w:eastAsia="仿宋"/>
          <w:bCs/>
          <w:color w:val="auto"/>
          <w:sz w:val="32"/>
          <w:szCs w:val="32"/>
          <w:lang w:eastAsia="zh-CN"/>
        </w:rPr>
        <w:t>卫生健康支出</w:t>
      </w:r>
      <w:r>
        <w:rPr>
          <w:rStyle w:val="22"/>
          <w:rFonts w:hint="eastAsia" w:ascii="仿宋" w:eastAsia="仿宋"/>
          <w:bCs/>
          <w:color w:val="auto"/>
          <w:sz w:val="32"/>
          <w:szCs w:val="32"/>
        </w:rPr>
        <w:t>（类）</w:t>
      </w:r>
      <w:r>
        <w:rPr>
          <w:rStyle w:val="22"/>
          <w:rFonts w:hint="eastAsia" w:ascii="仿宋" w:eastAsia="仿宋"/>
          <w:bCs/>
          <w:color w:val="auto"/>
          <w:sz w:val="32"/>
          <w:szCs w:val="32"/>
          <w:lang w:val="en-US" w:eastAsia="zh-CN"/>
        </w:rPr>
        <w:t>行政事业单位医疗</w:t>
      </w:r>
      <w:r>
        <w:rPr>
          <w:rStyle w:val="22"/>
          <w:rFonts w:hint="eastAsia" w:ascii="仿宋" w:eastAsia="仿宋"/>
          <w:bCs/>
          <w:color w:val="auto"/>
          <w:sz w:val="32"/>
          <w:szCs w:val="32"/>
        </w:rPr>
        <w:t>（款）</w:t>
      </w:r>
      <w:r>
        <w:rPr>
          <w:rStyle w:val="22"/>
          <w:rFonts w:hint="eastAsia" w:ascii="仿宋" w:eastAsia="仿宋"/>
          <w:bCs/>
          <w:color w:val="auto"/>
          <w:sz w:val="32"/>
          <w:szCs w:val="32"/>
          <w:lang w:val="en-US" w:eastAsia="zh-CN"/>
        </w:rPr>
        <w:t>公务员医疗补助</w:t>
      </w:r>
      <w:r>
        <w:rPr>
          <w:rStyle w:val="22"/>
          <w:rFonts w:hint="eastAsia" w:ascii="仿宋" w:eastAsia="仿宋"/>
          <w:bCs/>
          <w:color w:val="auto"/>
          <w:sz w:val="32"/>
          <w:szCs w:val="32"/>
        </w:rPr>
        <w:t>（项）</w:t>
      </w:r>
      <w:r>
        <w:rPr>
          <w:rStyle w:val="22"/>
          <w:rFonts w:ascii="仿宋" w:eastAsia="仿宋"/>
          <w:bCs/>
          <w:color w:val="auto"/>
          <w:sz w:val="32"/>
          <w:szCs w:val="32"/>
        </w:rPr>
        <w:t>:</w:t>
      </w:r>
      <w:r>
        <w:rPr>
          <w:rStyle w:val="22"/>
          <w:rFonts w:hint="eastAsia" w:ascii="仿宋" w:eastAsia="仿宋"/>
          <w:b w:val="0"/>
          <w:bCs/>
          <w:color w:val="auto"/>
          <w:sz w:val="32"/>
          <w:szCs w:val="32"/>
        </w:rPr>
        <w:t>支出决算为4</w:t>
      </w:r>
      <w:r>
        <w:rPr>
          <w:rStyle w:val="22"/>
          <w:rFonts w:hint="eastAsia" w:ascii="仿宋" w:eastAsia="仿宋"/>
          <w:b w:val="0"/>
          <w:bCs/>
          <w:color w:val="auto"/>
          <w:sz w:val="32"/>
          <w:szCs w:val="32"/>
          <w:lang w:val="en-US" w:eastAsia="zh-CN"/>
        </w:rPr>
        <w:t>.8</w:t>
      </w:r>
      <w:r>
        <w:rPr>
          <w:rStyle w:val="22"/>
          <w:rFonts w:hint="eastAsia" w:ascii="仿宋" w:eastAsia="仿宋"/>
          <w:b w:val="0"/>
          <w:bCs/>
          <w:color w:val="auto"/>
          <w:sz w:val="32"/>
          <w:szCs w:val="32"/>
        </w:rPr>
        <w:t>万元，完成预算</w:t>
      </w:r>
      <w:r>
        <w:rPr>
          <w:rStyle w:val="22"/>
          <w:rFonts w:hint="eastAsia" w:ascii="仿宋" w:eastAsia="仿宋"/>
          <w:b w:val="0"/>
          <w:bCs/>
          <w:color w:val="auto"/>
          <w:sz w:val="32"/>
          <w:szCs w:val="32"/>
          <w:lang w:val="en-US" w:eastAsia="zh-CN"/>
        </w:rPr>
        <w:t>100</w:t>
      </w:r>
      <w:r>
        <w:rPr>
          <w:rStyle w:val="22"/>
          <w:rFonts w:ascii="仿宋" w:eastAsia="仿宋"/>
          <w:b w:val="0"/>
          <w:bCs/>
          <w:color w:val="auto"/>
          <w:sz w:val="32"/>
          <w:szCs w:val="32"/>
        </w:rPr>
        <w:t>%</w:t>
      </w:r>
      <w:r>
        <w:rPr>
          <w:rStyle w:val="22"/>
          <w:rFonts w:hint="eastAsia" w:ascii="仿宋" w:eastAsia="仿宋"/>
          <w:b w:val="0"/>
          <w:bCs/>
          <w:color w:val="auto"/>
          <w:sz w:val="32"/>
          <w:szCs w:val="32"/>
        </w:rPr>
        <w:t>，决算数等于预算数。</w:t>
      </w:r>
    </w:p>
    <w:p>
      <w:pPr>
        <w:spacing w:line="600" w:lineRule="exact"/>
        <w:ind w:firstLine="643" w:firstLineChars="200"/>
        <w:rPr>
          <w:rFonts w:ascii="仿宋" w:eastAsia="仿宋"/>
          <w:color w:val="auto"/>
          <w:sz w:val="32"/>
          <w:szCs w:val="32"/>
        </w:rPr>
      </w:pPr>
      <w:r>
        <w:rPr>
          <w:rStyle w:val="22"/>
          <w:rFonts w:hint="eastAsia" w:ascii="仿宋" w:eastAsia="仿宋"/>
          <w:bCs/>
          <w:color w:val="auto"/>
          <w:sz w:val="32"/>
          <w:szCs w:val="32"/>
          <w:lang w:val="en-US" w:eastAsia="zh-CN"/>
        </w:rPr>
        <w:t>7.</w:t>
      </w:r>
      <w:r>
        <w:rPr>
          <w:rStyle w:val="22"/>
          <w:rFonts w:hint="eastAsia" w:ascii="仿宋" w:eastAsia="仿宋"/>
          <w:bCs/>
          <w:color w:val="auto"/>
          <w:sz w:val="32"/>
          <w:szCs w:val="32"/>
          <w:lang w:eastAsia="zh-CN"/>
        </w:rPr>
        <w:t>卫生健康支出</w:t>
      </w:r>
      <w:r>
        <w:rPr>
          <w:rStyle w:val="22"/>
          <w:rFonts w:hint="eastAsia" w:ascii="仿宋" w:eastAsia="仿宋"/>
          <w:bCs/>
          <w:color w:val="auto"/>
          <w:sz w:val="32"/>
          <w:szCs w:val="32"/>
        </w:rPr>
        <w:t>（类）</w:t>
      </w:r>
      <w:r>
        <w:rPr>
          <w:rStyle w:val="22"/>
          <w:rFonts w:hint="eastAsia" w:ascii="仿宋" w:eastAsia="仿宋"/>
          <w:bCs/>
          <w:color w:val="auto"/>
          <w:sz w:val="32"/>
          <w:szCs w:val="32"/>
          <w:lang w:val="en-US" w:eastAsia="zh-CN"/>
        </w:rPr>
        <w:t>行政事业单位医疗</w:t>
      </w:r>
      <w:r>
        <w:rPr>
          <w:rStyle w:val="22"/>
          <w:rFonts w:hint="eastAsia" w:ascii="仿宋" w:eastAsia="仿宋"/>
          <w:bCs/>
          <w:color w:val="auto"/>
          <w:sz w:val="32"/>
          <w:szCs w:val="32"/>
        </w:rPr>
        <w:t>（款）</w:t>
      </w:r>
      <w:r>
        <w:rPr>
          <w:rStyle w:val="22"/>
          <w:rFonts w:hint="eastAsia" w:ascii="仿宋" w:eastAsia="仿宋"/>
          <w:bCs/>
          <w:color w:val="auto"/>
          <w:sz w:val="32"/>
          <w:szCs w:val="32"/>
          <w:lang w:val="en-US" w:eastAsia="zh-CN"/>
        </w:rPr>
        <w:t>其他行政事业单位医疗支出</w:t>
      </w:r>
      <w:r>
        <w:rPr>
          <w:rStyle w:val="22"/>
          <w:rFonts w:hint="eastAsia" w:ascii="仿宋" w:eastAsia="仿宋"/>
          <w:bCs/>
          <w:color w:val="auto"/>
          <w:sz w:val="32"/>
          <w:szCs w:val="32"/>
        </w:rPr>
        <w:t>（项）</w:t>
      </w:r>
      <w:r>
        <w:rPr>
          <w:rStyle w:val="22"/>
          <w:rFonts w:ascii="仿宋" w:eastAsia="仿宋"/>
          <w:bCs/>
          <w:color w:val="auto"/>
          <w:sz w:val="32"/>
          <w:szCs w:val="32"/>
        </w:rPr>
        <w:t>:</w:t>
      </w:r>
      <w:r>
        <w:rPr>
          <w:rStyle w:val="22"/>
          <w:rFonts w:hint="eastAsia" w:ascii="仿宋" w:eastAsia="仿宋"/>
          <w:b w:val="0"/>
          <w:bCs/>
          <w:color w:val="auto"/>
          <w:sz w:val="32"/>
          <w:szCs w:val="32"/>
        </w:rPr>
        <w:t>支出决算为2</w:t>
      </w:r>
      <w:r>
        <w:rPr>
          <w:rStyle w:val="22"/>
          <w:rFonts w:hint="eastAsia" w:ascii="仿宋" w:eastAsia="仿宋"/>
          <w:b w:val="0"/>
          <w:bCs/>
          <w:color w:val="auto"/>
          <w:sz w:val="32"/>
          <w:szCs w:val="32"/>
          <w:lang w:val="en-US" w:eastAsia="zh-CN"/>
        </w:rPr>
        <w:t>.1</w:t>
      </w:r>
      <w:r>
        <w:rPr>
          <w:rStyle w:val="22"/>
          <w:rFonts w:hint="eastAsia" w:ascii="仿宋" w:eastAsia="仿宋"/>
          <w:b w:val="0"/>
          <w:bCs/>
          <w:color w:val="auto"/>
          <w:sz w:val="32"/>
          <w:szCs w:val="32"/>
        </w:rPr>
        <w:t>万元，完成预算</w:t>
      </w:r>
      <w:r>
        <w:rPr>
          <w:rStyle w:val="22"/>
          <w:rFonts w:hint="eastAsia" w:ascii="仿宋" w:eastAsia="仿宋"/>
          <w:b w:val="0"/>
          <w:bCs/>
          <w:color w:val="auto"/>
          <w:sz w:val="32"/>
          <w:szCs w:val="32"/>
          <w:lang w:val="en-US" w:eastAsia="zh-CN"/>
        </w:rPr>
        <w:t>100</w:t>
      </w:r>
      <w:r>
        <w:rPr>
          <w:rStyle w:val="22"/>
          <w:rFonts w:ascii="仿宋" w:eastAsia="仿宋"/>
          <w:b w:val="0"/>
          <w:bCs/>
          <w:color w:val="auto"/>
          <w:sz w:val="32"/>
          <w:szCs w:val="32"/>
        </w:rPr>
        <w:t>%</w:t>
      </w:r>
      <w:r>
        <w:rPr>
          <w:rStyle w:val="22"/>
          <w:rFonts w:hint="eastAsia" w:ascii="仿宋" w:eastAsia="仿宋"/>
          <w:b w:val="0"/>
          <w:bCs/>
          <w:color w:val="auto"/>
          <w:sz w:val="32"/>
          <w:szCs w:val="32"/>
        </w:rPr>
        <w:t>，决算数等于预算数。</w:t>
      </w:r>
    </w:p>
    <w:p>
      <w:pPr>
        <w:spacing w:line="600" w:lineRule="exact"/>
        <w:ind w:firstLine="643" w:firstLineChars="200"/>
        <w:rPr>
          <w:rStyle w:val="22"/>
          <w:rFonts w:hint="eastAsia" w:ascii="仿宋" w:eastAsia="仿宋"/>
          <w:b w:val="0"/>
          <w:bCs/>
          <w:color w:val="auto"/>
          <w:sz w:val="32"/>
          <w:szCs w:val="32"/>
        </w:rPr>
      </w:pPr>
      <w:bookmarkStart w:id="40" w:name="_Toc15396608"/>
      <w:bookmarkStart w:id="41" w:name="_Toc15377214"/>
      <w:r>
        <w:rPr>
          <w:rStyle w:val="22"/>
          <w:rFonts w:hint="eastAsia" w:ascii="仿宋" w:eastAsia="仿宋"/>
          <w:bCs/>
          <w:color w:val="auto"/>
          <w:sz w:val="32"/>
          <w:szCs w:val="32"/>
          <w:lang w:val="en-US" w:eastAsia="zh-CN"/>
        </w:rPr>
        <w:t>8.城乡社区支出</w:t>
      </w:r>
      <w:r>
        <w:rPr>
          <w:rStyle w:val="22"/>
          <w:rFonts w:hint="eastAsia" w:ascii="仿宋" w:eastAsia="仿宋"/>
          <w:bCs/>
          <w:color w:val="auto"/>
          <w:sz w:val="32"/>
          <w:szCs w:val="32"/>
        </w:rPr>
        <w:t>（类）</w:t>
      </w:r>
      <w:r>
        <w:rPr>
          <w:rStyle w:val="22"/>
          <w:rFonts w:hint="eastAsia" w:ascii="仿宋" w:eastAsia="仿宋"/>
          <w:bCs/>
          <w:color w:val="auto"/>
          <w:sz w:val="32"/>
          <w:szCs w:val="32"/>
          <w:lang w:val="en-US" w:eastAsia="zh-CN"/>
        </w:rPr>
        <w:t>城乡社区管理事务</w:t>
      </w:r>
      <w:r>
        <w:rPr>
          <w:rStyle w:val="22"/>
          <w:rFonts w:hint="eastAsia" w:ascii="仿宋" w:eastAsia="仿宋"/>
          <w:bCs/>
          <w:color w:val="auto"/>
          <w:sz w:val="32"/>
          <w:szCs w:val="32"/>
        </w:rPr>
        <w:t>（款）</w:t>
      </w:r>
      <w:r>
        <w:rPr>
          <w:rStyle w:val="22"/>
          <w:rFonts w:hint="eastAsia" w:ascii="仿宋" w:eastAsia="仿宋"/>
          <w:bCs/>
          <w:color w:val="auto"/>
          <w:sz w:val="32"/>
          <w:szCs w:val="32"/>
          <w:lang w:val="en-US" w:eastAsia="zh-CN"/>
        </w:rPr>
        <w:t>行政运行</w:t>
      </w:r>
      <w:r>
        <w:rPr>
          <w:rStyle w:val="22"/>
          <w:rFonts w:hint="eastAsia" w:ascii="仿宋" w:eastAsia="仿宋"/>
          <w:bCs/>
          <w:color w:val="auto"/>
          <w:sz w:val="32"/>
          <w:szCs w:val="32"/>
        </w:rPr>
        <w:t>（项）</w:t>
      </w:r>
      <w:r>
        <w:rPr>
          <w:rStyle w:val="22"/>
          <w:rFonts w:hint="eastAsia" w:ascii="仿宋" w:eastAsia="仿宋"/>
          <w:bCs/>
          <w:color w:val="auto"/>
          <w:sz w:val="32"/>
          <w:szCs w:val="32"/>
          <w:lang w:eastAsia="zh-CN"/>
        </w:rPr>
        <w:t>：</w:t>
      </w:r>
      <w:r>
        <w:rPr>
          <w:rStyle w:val="22"/>
          <w:rFonts w:hint="eastAsia" w:ascii="仿宋" w:eastAsia="仿宋"/>
          <w:b w:val="0"/>
          <w:bCs/>
          <w:color w:val="auto"/>
          <w:sz w:val="32"/>
          <w:szCs w:val="32"/>
        </w:rPr>
        <w:t>支出决算为</w:t>
      </w:r>
      <w:r>
        <w:rPr>
          <w:rStyle w:val="22"/>
          <w:rFonts w:hint="eastAsia" w:ascii="仿宋" w:eastAsia="仿宋"/>
          <w:b w:val="0"/>
          <w:bCs/>
          <w:color w:val="auto"/>
          <w:sz w:val="32"/>
          <w:szCs w:val="32"/>
          <w:lang w:val="en-US" w:eastAsia="zh-CN"/>
        </w:rPr>
        <w:t>196.33</w:t>
      </w:r>
      <w:r>
        <w:rPr>
          <w:rStyle w:val="22"/>
          <w:rFonts w:hint="eastAsia" w:ascii="仿宋" w:eastAsia="仿宋"/>
          <w:b w:val="0"/>
          <w:bCs/>
          <w:color w:val="auto"/>
          <w:sz w:val="32"/>
          <w:szCs w:val="32"/>
        </w:rPr>
        <w:t>万元，完成预算</w:t>
      </w:r>
      <w:r>
        <w:rPr>
          <w:rStyle w:val="22"/>
          <w:rFonts w:hint="eastAsia" w:ascii="仿宋" w:eastAsia="仿宋"/>
          <w:b w:val="0"/>
          <w:bCs/>
          <w:color w:val="auto"/>
          <w:sz w:val="32"/>
          <w:szCs w:val="32"/>
          <w:lang w:val="en-US" w:eastAsia="zh-CN"/>
        </w:rPr>
        <w:t>100</w:t>
      </w:r>
      <w:r>
        <w:rPr>
          <w:rStyle w:val="22"/>
          <w:rFonts w:ascii="仿宋" w:eastAsia="仿宋"/>
          <w:b w:val="0"/>
          <w:bCs/>
          <w:color w:val="auto"/>
          <w:sz w:val="32"/>
          <w:szCs w:val="32"/>
        </w:rPr>
        <w:t>%</w:t>
      </w:r>
      <w:r>
        <w:rPr>
          <w:rStyle w:val="22"/>
          <w:rFonts w:hint="eastAsia" w:ascii="仿宋" w:eastAsia="仿宋"/>
          <w:b w:val="0"/>
          <w:bCs/>
          <w:color w:val="auto"/>
          <w:sz w:val="32"/>
          <w:szCs w:val="32"/>
        </w:rPr>
        <w:t>，决算数等于预算数。</w:t>
      </w:r>
    </w:p>
    <w:p>
      <w:pPr>
        <w:spacing w:line="600" w:lineRule="exact"/>
        <w:ind w:firstLine="643" w:firstLineChars="200"/>
        <w:rPr>
          <w:rStyle w:val="22"/>
          <w:rFonts w:hint="eastAsia" w:ascii="仿宋" w:eastAsia="仿宋"/>
          <w:bCs/>
          <w:color w:val="auto"/>
          <w:sz w:val="32"/>
          <w:szCs w:val="32"/>
          <w:lang w:eastAsia="zh-CN"/>
        </w:rPr>
      </w:pPr>
      <w:r>
        <w:rPr>
          <w:rStyle w:val="22"/>
          <w:rFonts w:hint="eastAsia" w:ascii="仿宋" w:eastAsia="仿宋"/>
          <w:bCs/>
          <w:color w:val="auto"/>
          <w:sz w:val="32"/>
          <w:szCs w:val="32"/>
          <w:lang w:val="en-US" w:eastAsia="zh-CN"/>
        </w:rPr>
        <w:t>9.城乡社区支出</w:t>
      </w:r>
      <w:r>
        <w:rPr>
          <w:rStyle w:val="22"/>
          <w:rFonts w:hint="eastAsia" w:ascii="仿宋" w:eastAsia="仿宋"/>
          <w:bCs/>
          <w:color w:val="auto"/>
          <w:sz w:val="32"/>
          <w:szCs w:val="32"/>
        </w:rPr>
        <w:t>（类）</w:t>
      </w:r>
      <w:r>
        <w:rPr>
          <w:rStyle w:val="22"/>
          <w:rFonts w:hint="eastAsia" w:ascii="仿宋" w:eastAsia="仿宋"/>
          <w:bCs/>
          <w:color w:val="auto"/>
          <w:sz w:val="32"/>
          <w:szCs w:val="32"/>
          <w:lang w:val="en-US" w:eastAsia="zh-CN"/>
        </w:rPr>
        <w:t>城乡社区管理事务</w:t>
      </w:r>
      <w:r>
        <w:rPr>
          <w:rStyle w:val="22"/>
          <w:rFonts w:hint="eastAsia" w:ascii="仿宋" w:eastAsia="仿宋"/>
          <w:bCs/>
          <w:color w:val="auto"/>
          <w:sz w:val="32"/>
          <w:szCs w:val="32"/>
        </w:rPr>
        <w:t>（款）</w:t>
      </w:r>
      <w:r>
        <w:rPr>
          <w:rStyle w:val="22"/>
          <w:rFonts w:hint="eastAsia" w:ascii="仿宋" w:eastAsia="仿宋"/>
          <w:bCs/>
          <w:color w:val="auto"/>
          <w:sz w:val="32"/>
          <w:szCs w:val="32"/>
          <w:lang w:val="en-US" w:eastAsia="zh-CN"/>
        </w:rPr>
        <w:t>机关服务</w:t>
      </w:r>
      <w:r>
        <w:rPr>
          <w:rStyle w:val="22"/>
          <w:rFonts w:hint="eastAsia" w:ascii="仿宋" w:eastAsia="仿宋"/>
          <w:bCs/>
          <w:color w:val="auto"/>
          <w:sz w:val="32"/>
          <w:szCs w:val="32"/>
        </w:rPr>
        <w:t>（项）</w:t>
      </w:r>
      <w:r>
        <w:rPr>
          <w:rStyle w:val="22"/>
          <w:rFonts w:hint="eastAsia" w:ascii="仿宋" w:eastAsia="仿宋"/>
          <w:bCs/>
          <w:color w:val="auto"/>
          <w:sz w:val="32"/>
          <w:szCs w:val="32"/>
          <w:lang w:eastAsia="zh-CN"/>
        </w:rPr>
        <w:t>：</w:t>
      </w:r>
      <w:r>
        <w:rPr>
          <w:rStyle w:val="22"/>
          <w:rFonts w:hint="eastAsia" w:ascii="仿宋" w:eastAsia="仿宋"/>
          <w:b w:val="0"/>
          <w:bCs/>
          <w:color w:val="auto"/>
          <w:sz w:val="32"/>
          <w:szCs w:val="32"/>
        </w:rPr>
        <w:t>支出决算为16</w:t>
      </w:r>
      <w:r>
        <w:rPr>
          <w:rStyle w:val="22"/>
          <w:rFonts w:hint="eastAsia" w:ascii="仿宋" w:eastAsia="仿宋"/>
          <w:b w:val="0"/>
          <w:bCs/>
          <w:color w:val="auto"/>
          <w:sz w:val="32"/>
          <w:szCs w:val="32"/>
          <w:lang w:val="en-US" w:eastAsia="zh-CN"/>
        </w:rPr>
        <w:t>7.08</w:t>
      </w:r>
      <w:r>
        <w:rPr>
          <w:rStyle w:val="22"/>
          <w:rFonts w:hint="eastAsia" w:ascii="仿宋" w:eastAsia="仿宋"/>
          <w:b w:val="0"/>
          <w:bCs/>
          <w:color w:val="auto"/>
          <w:sz w:val="32"/>
          <w:szCs w:val="32"/>
        </w:rPr>
        <w:t>万元，完成预算</w:t>
      </w:r>
      <w:r>
        <w:rPr>
          <w:rStyle w:val="22"/>
          <w:rFonts w:hint="eastAsia" w:ascii="仿宋" w:eastAsia="仿宋"/>
          <w:b w:val="0"/>
          <w:bCs/>
          <w:color w:val="auto"/>
          <w:sz w:val="32"/>
          <w:szCs w:val="32"/>
          <w:lang w:val="en-US" w:eastAsia="zh-CN"/>
        </w:rPr>
        <w:t>100</w:t>
      </w:r>
      <w:r>
        <w:rPr>
          <w:rStyle w:val="22"/>
          <w:rFonts w:ascii="仿宋" w:eastAsia="仿宋"/>
          <w:b w:val="0"/>
          <w:bCs/>
          <w:color w:val="auto"/>
          <w:sz w:val="32"/>
          <w:szCs w:val="32"/>
        </w:rPr>
        <w:t>%</w:t>
      </w:r>
      <w:r>
        <w:rPr>
          <w:rStyle w:val="22"/>
          <w:rFonts w:hint="eastAsia" w:ascii="仿宋" w:eastAsia="仿宋"/>
          <w:b w:val="0"/>
          <w:bCs/>
          <w:color w:val="auto"/>
          <w:sz w:val="32"/>
          <w:szCs w:val="32"/>
        </w:rPr>
        <w:t>，决算数等于预算数。</w:t>
      </w:r>
    </w:p>
    <w:p>
      <w:pPr>
        <w:spacing w:line="600" w:lineRule="exact"/>
        <w:ind w:firstLine="643" w:firstLineChars="200"/>
        <w:rPr>
          <w:rStyle w:val="22"/>
          <w:rFonts w:hint="eastAsia" w:ascii="仿宋" w:eastAsia="仿宋"/>
          <w:bCs/>
          <w:color w:val="auto"/>
          <w:sz w:val="32"/>
          <w:szCs w:val="32"/>
          <w:lang w:val="en-US" w:eastAsia="zh-CN"/>
        </w:rPr>
      </w:pPr>
      <w:r>
        <w:rPr>
          <w:rStyle w:val="22"/>
          <w:rFonts w:hint="eastAsia" w:ascii="仿宋" w:eastAsia="仿宋"/>
          <w:bCs/>
          <w:color w:val="auto"/>
          <w:sz w:val="32"/>
          <w:szCs w:val="32"/>
          <w:lang w:val="en-US" w:eastAsia="zh-CN"/>
        </w:rPr>
        <w:t>10.节能环保支出</w:t>
      </w:r>
      <w:r>
        <w:rPr>
          <w:rStyle w:val="22"/>
          <w:rFonts w:hint="eastAsia" w:ascii="仿宋" w:eastAsia="仿宋"/>
          <w:bCs/>
          <w:color w:val="auto"/>
          <w:sz w:val="32"/>
          <w:szCs w:val="32"/>
        </w:rPr>
        <w:t>（类）</w:t>
      </w:r>
      <w:r>
        <w:rPr>
          <w:rStyle w:val="22"/>
          <w:rFonts w:hint="eastAsia" w:ascii="仿宋" w:eastAsia="仿宋"/>
          <w:bCs/>
          <w:color w:val="auto"/>
          <w:sz w:val="32"/>
          <w:szCs w:val="32"/>
          <w:lang w:val="en-US" w:eastAsia="zh-CN"/>
        </w:rPr>
        <w:t>生态保护</w:t>
      </w:r>
      <w:r>
        <w:rPr>
          <w:rStyle w:val="22"/>
          <w:rFonts w:hint="eastAsia" w:ascii="仿宋" w:eastAsia="仿宋"/>
          <w:bCs/>
          <w:color w:val="auto"/>
          <w:sz w:val="32"/>
          <w:szCs w:val="32"/>
        </w:rPr>
        <w:t>（款）</w:t>
      </w:r>
      <w:r>
        <w:rPr>
          <w:rStyle w:val="22"/>
          <w:rFonts w:hint="eastAsia" w:ascii="仿宋" w:eastAsia="仿宋"/>
          <w:bCs/>
          <w:color w:val="auto"/>
          <w:sz w:val="32"/>
          <w:szCs w:val="32"/>
          <w:lang w:val="en-US" w:eastAsia="zh-CN"/>
        </w:rPr>
        <w:t>生态保护</w:t>
      </w:r>
      <w:r>
        <w:rPr>
          <w:rStyle w:val="22"/>
          <w:rFonts w:hint="eastAsia" w:ascii="仿宋" w:eastAsia="仿宋"/>
          <w:bCs/>
          <w:color w:val="auto"/>
          <w:sz w:val="32"/>
          <w:szCs w:val="32"/>
        </w:rPr>
        <w:t>（项）</w:t>
      </w:r>
      <w:r>
        <w:rPr>
          <w:rStyle w:val="22"/>
          <w:rFonts w:hint="eastAsia" w:ascii="仿宋" w:eastAsia="仿宋"/>
          <w:bCs/>
          <w:color w:val="auto"/>
          <w:sz w:val="32"/>
          <w:szCs w:val="32"/>
          <w:lang w:eastAsia="zh-CN"/>
        </w:rPr>
        <w:t>：</w:t>
      </w:r>
      <w:r>
        <w:rPr>
          <w:rStyle w:val="22"/>
          <w:rFonts w:hint="eastAsia" w:ascii="仿宋" w:eastAsia="仿宋"/>
          <w:b w:val="0"/>
          <w:bCs/>
          <w:color w:val="auto"/>
          <w:sz w:val="32"/>
          <w:szCs w:val="32"/>
        </w:rPr>
        <w:t>支出决算为</w:t>
      </w:r>
      <w:r>
        <w:rPr>
          <w:rStyle w:val="22"/>
          <w:rFonts w:hint="eastAsia" w:ascii="仿宋" w:eastAsia="仿宋"/>
          <w:b w:val="0"/>
          <w:bCs/>
          <w:color w:val="auto"/>
          <w:sz w:val="32"/>
          <w:szCs w:val="32"/>
          <w:lang w:val="en-US" w:eastAsia="zh-CN"/>
        </w:rPr>
        <w:t>4.95</w:t>
      </w:r>
      <w:r>
        <w:rPr>
          <w:rStyle w:val="22"/>
          <w:rFonts w:hint="eastAsia" w:ascii="仿宋" w:eastAsia="仿宋"/>
          <w:b w:val="0"/>
          <w:bCs/>
          <w:color w:val="auto"/>
          <w:sz w:val="32"/>
          <w:szCs w:val="32"/>
        </w:rPr>
        <w:t>万元，完成预算</w:t>
      </w:r>
      <w:r>
        <w:rPr>
          <w:rStyle w:val="22"/>
          <w:rFonts w:hint="eastAsia" w:ascii="仿宋" w:eastAsia="仿宋"/>
          <w:b w:val="0"/>
          <w:bCs/>
          <w:color w:val="auto"/>
          <w:sz w:val="32"/>
          <w:szCs w:val="32"/>
          <w:lang w:val="en-US" w:eastAsia="zh-CN"/>
        </w:rPr>
        <w:t>100</w:t>
      </w:r>
      <w:r>
        <w:rPr>
          <w:rStyle w:val="22"/>
          <w:rFonts w:ascii="仿宋" w:eastAsia="仿宋"/>
          <w:b w:val="0"/>
          <w:bCs/>
          <w:color w:val="auto"/>
          <w:sz w:val="32"/>
          <w:szCs w:val="32"/>
        </w:rPr>
        <w:t>%</w:t>
      </w:r>
      <w:r>
        <w:rPr>
          <w:rStyle w:val="22"/>
          <w:rFonts w:hint="eastAsia" w:ascii="仿宋" w:eastAsia="仿宋"/>
          <w:b w:val="0"/>
          <w:bCs/>
          <w:color w:val="auto"/>
          <w:sz w:val="32"/>
          <w:szCs w:val="32"/>
        </w:rPr>
        <w:t>，决算数等于预算数</w:t>
      </w:r>
      <w:r>
        <w:rPr>
          <w:rStyle w:val="22"/>
          <w:rFonts w:hint="eastAsia" w:ascii="仿宋" w:eastAsia="仿宋"/>
          <w:b w:val="0"/>
          <w:bCs/>
          <w:color w:val="auto"/>
          <w:sz w:val="32"/>
          <w:szCs w:val="32"/>
          <w:lang w:eastAsia="zh-CN"/>
        </w:rPr>
        <w:t>。</w:t>
      </w:r>
    </w:p>
    <w:p>
      <w:pPr>
        <w:spacing w:line="600" w:lineRule="exact"/>
        <w:ind w:firstLine="643" w:firstLineChars="200"/>
        <w:rPr>
          <w:rStyle w:val="22"/>
          <w:rFonts w:hint="default" w:ascii="仿宋" w:eastAsia="仿宋"/>
          <w:bCs/>
          <w:color w:val="auto"/>
          <w:sz w:val="32"/>
          <w:szCs w:val="32"/>
          <w:lang w:val="en-US" w:eastAsia="zh-CN"/>
        </w:rPr>
      </w:pPr>
      <w:r>
        <w:rPr>
          <w:rStyle w:val="22"/>
          <w:rFonts w:hint="eastAsia" w:ascii="仿宋" w:eastAsia="仿宋"/>
          <w:bCs/>
          <w:color w:val="auto"/>
          <w:sz w:val="32"/>
          <w:szCs w:val="32"/>
          <w:lang w:val="en-US" w:eastAsia="zh-CN"/>
        </w:rPr>
        <w:t>11.节能环保支出</w:t>
      </w:r>
      <w:r>
        <w:rPr>
          <w:rStyle w:val="22"/>
          <w:rFonts w:hint="eastAsia" w:ascii="仿宋" w:eastAsia="仿宋"/>
          <w:bCs/>
          <w:color w:val="auto"/>
          <w:sz w:val="32"/>
          <w:szCs w:val="32"/>
        </w:rPr>
        <w:t>（类）</w:t>
      </w:r>
      <w:r>
        <w:rPr>
          <w:rStyle w:val="22"/>
          <w:rFonts w:hint="eastAsia" w:ascii="仿宋" w:eastAsia="仿宋"/>
          <w:bCs/>
          <w:color w:val="auto"/>
          <w:sz w:val="32"/>
          <w:szCs w:val="32"/>
          <w:lang w:val="en-US" w:eastAsia="zh-CN"/>
        </w:rPr>
        <w:t>其他节能环保支出（款）其他节能环保支出（项</w:t>
      </w:r>
      <w:r>
        <w:rPr>
          <w:rStyle w:val="22"/>
          <w:rFonts w:hint="eastAsia" w:ascii="仿宋" w:eastAsia="仿宋"/>
          <w:bCs/>
          <w:color w:val="auto"/>
          <w:sz w:val="32"/>
          <w:szCs w:val="32"/>
        </w:rPr>
        <w:t>）</w:t>
      </w:r>
      <w:r>
        <w:rPr>
          <w:rStyle w:val="22"/>
          <w:rFonts w:hint="eastAsia" w:ascii="仿宋" w:eastAsia="仿宋"/>
          <w:bCs/>
          <w:color w:val="auto"/>
          <w:sz w:val="32"/>
          <w:szCs w:val="32"/>
          <w:lang w:eastAsia="zh-CN"/>
        </w:rPr>
        <w:t>：</w:t>
      </w:r>
      <w:r>
        <w:rPr>
          <w:rStyle w:val="22"/>
          <w:rFonts w:hint="eastAsia" w:ascii="仿宋" w:eastAsia="仿宋"/>
          <w:b w:val="0"/>
          <w:bCs/>
          <w:color w:val="auto"/>
          <w:sz w:val="32"/>
          <w:szCs w:val="32"/>
        </w:rPr>
        <w:t>支出决算</w:t>
      </w:r>
      <w:r>
        <w:rPr>
          <w:rStyle w:val="22"/>
          <w:rFonts w:hint="eastAsia" w:ascii="仿宋" w:eastAsia="仿宋"/>
          <w:b w:val="0"/>
          <w:bCs/>
          <w:color w:val="auto"/>
          <w:sz w:val="32"/>
          <w:szCs w:val="32"/>
          <w:lang w:val="en-US" w:eastAsia="zh-CN"/>
        </w:rPr>
        <w:t>为1289.70万元</w:t>
      </w:r>
      <w:r>
        <w:rPr>
          <w:rStyle w:val="22"/>
          <w:rFonts w:hint="eastAsia" w:ascii="仿宋" w:eastAsia="仿宋"/>
          <w:b w:val="0"/>
          <w:bCs/>
          <w:color w:val="auto"/>
          <w:sz w:val="32"/>
          <w:szCs w:val="32"/>
        </w:rPr>
        <w:t>，完成预算</w:t>
      </w:r>
      <w:r>
        <w:rPr>
          <w:rStyle w:val="22"/>
          <w:rFonts w:hint="eastAsia" w:ascii="仿宋" w:eastAsia="仿宋"/>
          <w:b w:val="0"/>
          <w:bCs/>
          <w:color w:val="auto"/>
          <w:sz w:val="32"/>
          <w:szCs w:val="32"/>
          <w:lang w:val="en-US" w:eastAsia="zh-CN"/>
        </w:rPr>
        <w:t>100</w:t>
      </w:r>
      <w:r>
        <w:rPr>
          <w:rStyle w:val="22"/>
          <w:rFonts w:ascii="仿宋" w:eastAsia="仿宋"/>
          <w:b w:val="0"/>
          <w:bCs/>
          <w:color w:val="auto"/>
          <w:sz w:val="32"/>
          <w:szCs w:val="32"/>
        </w:rPr>
        <w:t>%</w:t>
      </w:r>
      <w:r>
        <w:rPr>
          <w:rStyle w:val="22"/>
          <w:rFonts w:hint="eastAsia" w:ascii="仿宋" w:eastAsia="仿宋"/>
          <w:b w:val="0"/>
          <w:bCs/>
          <w:color w:val="auto"/>
          <w:sz w:val="32"/>
          <w:szCs w:val="32"/>
        </w:rPr>
        <w:t>，决算数等于预算数</w:t>
      </w:r>
      <w:r>
        <w:rPr>
          <w:rStyle w:val="22"/>
          <w:rFonts w:hint="eastAsia" w:ascii="仿宋" w:eastAsia="仿宋"/>
          <w:b w:val="0"/>
          <w:bCs/>
          <w:color w:val="auto"/>
          <w:sz w:val="32"/>
          <w:szCs w:val="32"/>
          <w:lang w:eastAsia="zh-CN"/>
        </w:rPr>
        <w:t>。</w:t>
      </w:r>
    </w:p>
    <w:p>
      <w:pPr>
        <w:spacing w:line="600" w:lineRule="exact"/>
        <w:ind w:firstLine="643" w:firstLineChars="200"/>
        <w:rPr>
          <w:rFonts w:hint="eastAsia"/>
          <w:color w:val="auto"/>
          <w:lang w:eastAsia="zh-CN"/>
        </w:rPr>
      </w:pPr>
      <w:r>
        <w:rPr>
          <w:rStyle w:val="22"/>
          <w:rFonts w:hint="eastAsia" w:ascii="仿宋" w:eastAsia="仿宋"/>
          <w:bCs/>
          <w:color w:val="auto"/>
          <w:sz w:val="32"/>
          <w:szCs w:val="32"/>
          <w:lang w:val="en-US" w:eastAsia="zh-CN"/>
        </w:rPr>
        <w:t>12.城乡社区支出</w:t>
      </w:r>
      <w:r>
        <w:rPr>
          <w:rStyle w:val="22"/>
          <w:rFonts w:hint="eastAsia" w:ascii="仿宋" w:eastAsia="仿宋"/>
          <w:bCs/>
          <w:color w:val="auto"/>
          <w:sz w:val="32"/>
          <w:szCs w:val="32"/>
        </w:rPr>
        <w:t>（类）</w:t>
      </w:r>
      <w:r>
        <w:rPr>
          <w:rStyle w:val="22"/>
          <w:rFonts w:hint="eastAsia" w:ascii="仿宋" w:eastAsia="仿宋"/>
          <w:bCs/>
          <w:color w:val="auto"/>
          <w:sz w:val="32"/>
          <w:szCs w:val="32"/>
          <w:lang w:val="en-US" w:eastAsia="zh-CN"/>
        </w:rPr>
        <w:t>城乡社区管理事务</w:t>
      </w:r>
      <w:r>
        <w:rPr>
          <w:rStyle w:val="22"/>
          <w:rFonts w:hint="eastAsia" w:ascii="仿宋" w:eastAsia="仿宋"/>
          <w:bCs/>
          <w:color w:val="auto"/>
          <w:sz w:val="32"/>
          <w:szCs w:val="32"/>
        </w:rPr>
        <w:t>（款）</w:t>
      </w:r>
      <w:r>
        <w:rPr>
          <w:rStyle w:val="22"/>
          <w:rFonts w:hint="eastAsia" w:ascii="仿宋" w:eastAsia="仿宋"/>
          <w:bCs/>
          <w:color w:val="auto"/>
          <w:sz w:val="32"/>
          <w:szCs w:val="32"/>
          <w:lang w:val="en-US" w:eastAsia="zh-CN"/>
        </w:rPr>
        <w:t>其他城乡社区管理事务支出</w:t>
      </w:r>
      <w:r>
        <w:rPr>
          <w:rStyle w:val="22"/>
          <w:rFonts w:hint="eastAsia" w:ascii="仿宋" w:eastAsia="仿宋"/>
          <w:bCs/>
          <w:color w:val="auto"/>
          <w:sz w:val="32"/>
          <w:szCs w:val="32"/>
        </w:rPr>
        <w:t>（项）</w:t>
      </w:r>
      <w:r>
        <w:rPr>
          <w:rStyle w:val="22"/>
          <w:rFonts w:hint="eastAsia" w:ascii="仿宋" w:eastAsia="仿宋"/>
          <w:bCs/>
          <w:color w:val="auto"/>
          <w:sz w:val="32"/>
          <w:szCs w:val="32"/>
          <w:lang w:eastAsia="zh-CN"/>
        </w:rPr>
        <w:t>：</w:t>
      </w:r>
      <w:r>
        <w:rPr>
          <w:rStyle w:val="22"/>
          <w:rFonts w:hint="eastAsia" w:ascii="仿宋" w:eastAsia="仿宋"/>
          <w:b w:val="0"/>
          <w:bCs/>
          <w:color w:val="auto"/>
          <w:sz w:val="32"/>
          <w:szCs w:val="32"/>
        </w:rPr>
        <w:t>支出决算为</w:t>
      </w:r>
      <w:r>
        <w:rPr>
          <w:rStyle w:val="22"/>
          <w:rFonts w:hint="eastAsia" w:ascii="仿宋" w:eastAsia="仿宋"/>
          <w:b w:val="0"/>
          <w:bCs/>
          <w:color w:val="auto"/>
          <w:sz w:val="32"/>
          <w:szCs w:val="32"/>
          <w:lang w:val="en-US" w:eastAsia="zh-CN"/>
        </w:rPr>
        <w:t>1050.44</w:t>
      </w:r>
      <w:r>
        <w:rPr>
          <w:rStyle w:val="22"/>
          <w:rFonts w:hint="eastAsia" w:ascii="仿宋" w:eastAsia="仿宋"/>
          <w:b w:val="0"/>
          <w:bCs/>
          <w:color w:val="auto"/>
          <w:sz w:val="32"/>
          <w:szCs w:val="32"/>
        </w:rPr>
        <w:t>万元，完成预算</w:t>
      </w:r>
      <w:r>
        <w:rPr>
          <w:rStyle w:val="22"/>
          <w:rFonts w:hint="eastAsia" w:ascii="仿宋" w:eastAsia="仿宋"/>
          <w:b w:val="0"/>
          <w:bCs/>
          <w:color w:val="auto"/>
          <w:sz w:val="32"/>
          <w:szCs w:val="32"/>
          <w:lang w:val="en-US" w:eastAsia="zh-CN"/>
        </w:rPr>
        <w:t>100</w:t>
      </w:r>
      <w:r>
        <w:rPr>
          <w:rStyle w:val="22"/>
          <w:rFonts w:ascii="仿宋" w:eastAsia="仿宋"/>
          <w:b w:val="0"/>
          <w:bCs/>
          <w:color w:val="auto"/>
          <w:sz w:val="32"/>
          <w:szCs w:val="32"/>
        </w:rPr>
        <w:t>%</w:t>
      </w:r>
      <w:r>
        <w:rPr>
          <w:rStyle w:val="22"/>
          <w:rFonts w:hint="eastAsia" w:ascii="仿宋" w:eastAsia="仿宋"/>
          <w:b w:val="0"/>
          <w:bCs/>
          <w:color w:val="auto"/>
          <w:sz w:val="32"/>
          <w:szCs w:val="32"/>
        </w:rPr>
        <w:t>，决算数等于预算数</w:t>
      </w:r>
    </w:p>
    <w:p>
      <w:pPr>
        <w:spacing w:line="600" w:lineRule="exact"/>
        <w:ind w:firstLine="643" w:firstLineChars="200"/>
        <w:rPr>
          <w:rStyle w:val="22"/>
          <w:rFonts w:hint="eastAsia" w:ascii="仿宋" w:eastAsia="仿宋"/>
          <w:b w:val="0"/>
          <w:bCs/>
          <w:color w:val="auto"/>
          <w:sz w:val="32"/>
          <w:szCs w:val="32"/>
          <w:lang w:eastAsia="zh-CN"/>
        </w:rPr>
      </w:pPr>
      <w:r>
        <w:rPr>
          <w:rStyle w:val="22"/>
          <w:rFonts w:hint="eastAsia" w:ascii="仿宋" w:eastAsia="仿宋"/>
          <w:bCs/>
          <w:color w:val="auto"/>
          <w:sz w:val="32"/>
          <w:szCs w:val="32"/>
          <w:lang w:val="en-US" w:eastAsia="zh-CN"/>
        </w:rPr>
        <w:t>13.城乡社区支出（类）城乡社区规划与管理（款）城乡社区规划与管理（项</w:t>
      </w:r>
      <w:r>
        <w:rPr>
          <w:rStyle w:val="22"/>
          <w:rFonts w:hint="eastAsia" w:ascii="仿宋" w:eastAsia="仿宋"/>
          <w:bCs/>
          <w:color w:val="auto"/>
          <w:sz w:val="32"/>
          <w:szCs w:val="32"/>
        </w:rPr>
        <w:t>）</w:t>
      </w:r>
      <w:r>
        <w:rPr>
          <w:rStyle w:val="22"/>
          <w:rFonts w:hint="eastAsia" w:ascii="仿宋" w:eastAsia="仿宋"/>
          <w:bCs/>
          <w:color w:val="auto"/>
          <w:sz w:val="32"/>
          <w:szCs w:val="32"/>
          <w:lang w:eastAsia="zh-CN"/>
        </w:rPr>
        <w:t>：</w:t>
      </w:r>
      <w:r>
        <w:rPr>
          <w:rStyle w:val="22"/>
          <w:rFonts w:hint="eastAsia" w:ascii="仿宋" w:eastAsia="仿宋"/>
          <w:b w:val="0"/>
          <w:bCs/>
          <w:color w:val="auto"/>
          <w:sz w:val="32"/>
          <w:szCs w:val="32"/>
        </w:rPr>
        <w:t>支出决算为</w:t>
      </w:r>
      <w:r>
        <w:rPr>
          <w:rStyle w:val="22"/>
          <w:rFonts w:hint="eastAsia" w:ascii="仿宋" w:eastAsia="仿宋"/>
          <w:b w:val="0"/>
          <w:bCs/>
          <w:color w:val="auto"/>
          <w:sz w:val="32"/>
          <w:szCs w:val="32"/>
          <w:lang w:val="en-US" w:eastAsia="zh-CN"/>
        </w:rPr>
        <w:t>99.6</w:t>
      </w:r>
      <w:r>
        <w:rPr>
          <w:rStyle w:val="22"/>
          <w:rFonts w:hint="eastAsia" w:ascii="仿宋" w:eastAsia="仿宋"/>
          <w:b w:val="0"/>
          <w:bCs/>
          <w:color w:val="auto"/>
          <w:sz w:val="32"/>
          <w:szCs w:val="32"/>
        </w:rPr>
        <w:t>万元，完成预算</w:t>
      </w:r>
      <w:r>
        <w:rPr>
          <w:rStyle w:val="22"/>
          <w:rFonts w:hint="eastAsia" w:ascii="仿宋" w:eastAsia="仿宋"/>
          <w:b w:val="0"/>
          <w:bCs/>
          <w:color w:val="auto"/>
          <w:sz w:val="32"/>
          <w:szCs w:val="32"/>
          <w:lang w:val="en-US" w:eastAsia="zh-CN"/>
        </w:rPr>
        <w:t>100</w:t>
      </w:r>
      <w:r>
        <w:rPr>
          <w:rStyle w:val="22"/>
          <w:rFonts w:ascii="仿宋" w:eastAsia="仿宋"/>
          <w:b w:val="0"/>
          <w:bCs/>
          <w:color w:val="auto"/>
          <w:sz w:val="32"/>
          <w:szCs w:val="32"/>
        </w:rPr>
        <w:t>%</w:t>
      </w:r>
      <w:r>
        <w:rPr>
          <w:rStyle w:val="22"/>
          <w:rFonts w:hint="eastAsia" w:ascii="仿宋" w:eastAsia="仿宋"/>
          <w:b w:val="0"/>
          <w:bCs/>
          <w:color w:val="auto"/>
          <w:sz w:val="32"/>
          <w:szCs w:val="32"/>
        </w:rPr>
        <w:t>，决算数等于预算数</w:t>
      </w:r>
      <w:r>
        <w:rPr>
          <w:rStyle w:val="22"/>
          <w:rFonts w:hint="eastAsia" w:ascii="仿宋" w:eastAsia="仿宋"/>
          <w:b w:val="0"/>
          <w:bCs/>
          <w:color w:val="auto"/>
          <w:sz w:val="32"/>
          <w:szCs w:val="32"/>
          <w:lang w:eastAsia="zh-CN"/>
        </w:rPr>
        <w:t>。</w:t>
      </w:r>
    </w:p>
    <w:p>
      <w:pPr>
        <w:pStyle w:val="11"/>
        <w:rPr>
          <w:rStyle w:val="22"/>
          <w:rFonts w:hint="eastAsia" w:ascii="仿宋" w:eastAsia="仿宋"/>
          <w:b w:val="0"/>
          <w:bCs/>
          <w:color w:val="auto"/>
          <w:sz w:val="32"/>
          <w:szCs w:val="32"/>
          <w:lang w:eastAsia="zh-CN"/>
        </w:rPr>
      </w:pPr>
      <w:r>
        <w:rPr>
          <w:rStyle w:val="22"/>
          <w:rFonts w:hint="eastAsia" w:ascii="仿宋" w:eastAsia="仿宋"/>
          <w:bCs/>
          <w:color w:val="auto"/>
          <w:sz w:val="32"/>
          <w:szCs w:val="32"/>
          <w:lang w:val="en-US" w:eastAsia="zh-CN"/>
        </w:rPr>
        <w:t>14.城乡社区支出（类）城乡社区公共设施（款）小城镇基础设施建设（项</w:t>
      </w:r>
      <w:r>
        <w:rPr>
          <w:rStyle w:val="22"/>
          <w:rFonts w:hint="eastAsia" w:ascii="仿宋" w:eastAsia="仿宋"/>
          <w:bCs/>
          <w:color w:val="auto"/>
          <w:sz w:val="32"/>
          <w:szCs w:val="32"/>
        </w:rPr>
        <w:t>）</w:t>
      </w:r>
      <w:r>
        <w:rPr>
          <w:rStyle w:val="22"/>
          <w:rFonts w:hint="eastAsia" w:ascii="仿宋" w:eastAsia="仿宋"/>
          <w:bCs/>
          <w:color w:val="auto"/>
          <w:sz w:val="32"/>
          <w:szCs w:val="32"/>
          <w:lang w:eastAsia="zh-CN"/>
        </w:rPr>
        <w:t>：</w:t>
      </w:r>
      <w:r>
        <w:rPr>
          <w:rStyle w:val="22"/>
          <w:rFonts w:hint="eastAsia" w:ascii="仿宋" w:eastAsia="仿宋"/>
          <w:b w:val="0"/>
          <w:bCs/>
          <w:color w:val="auto"/>
          <w:sz w:val="32"/>
          <w:szCs w:val="32"/>
        </w:rPr>
        <w:t>支出决算为</w:t>
      </w:r>
      <w:r>
        <w:rPr>
          <w:rStyle w:val="22"/>
          <w:rFonts w:hint="eastAsia" w:ascii="仿宋" w:eastAsia="仿宋"/>
          <w:b w:val="0"/>
          <w:bCs/>
          <w:color w:val="auto"/>
          <w:sz w:val="32"/>
          <w:szCs w:val="32"/>
          <w:lang w:val="en-US" w:eastAsia="zh-CN"/>
        </w:rPr>
        <w:t>125.54</w:t>
      </w:r>
      <w:r>
        <w:rPr>
          <w:rStyle w:val="22"/>
          <w:rFonts w:hint="eastAsia" w:ascii="仿宋" w:eastAsia="仿宋"/>
          <w:b w:val="0"/>
          <w:bCs/>
          <w:color w:val="auto"/>
          <w:sz w:val="32"/>
          <w:szCs w:val="32"/>
        </w:rPr>
        <w:t>万元，完成预算</w:t>
      </w:r>
      <w:r>
        <w:rPr>
          <w:rStyle w:val="22"/>
          <w:rFonts w:hint="eastAsia" w:ascii="仿宋" w:eastAsia="仿宋"/>
          <w:b w:val="0"/>
          <w:bCs/>
          <w:color w:val="auto"/>
          <w:sz w:val="32"/>
          <w:szCs w:val="32"/>
          <w:lang w:val="en-US" w:eastAsia="zh-CN"/>
        </w:rPr>
        <w:t>100</w:t>
      </w:r>
      <w:r>
        <w:rPr>
          <w:rStyle w:val="22"/>
          <w:rFonts w:ascii="仿宋" w:eastAsia="仿宋"/>
          <w:b w:val="0"/>
          <w:bCs/>
          <w:color w:val="auto"/>
          <w:sz w:val="32"/>
          <w:szCs w:val="32"/>
        </w:rPr>
        <w:t>%</w:t>
      </w:r>
      <w:r>
        <w:rPr>
          <w:rStyle w:val="22"/>
          <w:rFonts w:hint="eastAsia" w:ascii="仿宋" w:eastAsia="仿宋"/>
          <w:b w:val="0"/>
          <w:bCs/>
          <w:color w:val="auto"/>
          <w:sz w:val="32"/>
          <w:szCs w:val="32"/>
        </w:rPr>
        <w:t>，决算数等于预算数</w:t>
      </w:r>
      <w:r>
        <w:rPr>
          <w:rStyle w:val="22"/>
          <w:rFonts w:hint="eastAsia" w:ascii="仿宋" w:eastAsia="仿宋"/>
          <w:b w:val="0"/>
          <w:bCs/>
          <w:color w:val="auto"/>
          <w:sz w:val="32"/>
          <w:szCs w:val="32"/>
          <w:lang w:eastAsia="zh-CN"/>
        </w:rPr>
        <w:t>。</w:t>
      </w:r>
    </w:p>
    <w:p>
      <w:pPr>
        <w:pStyle w:val="11"/>
        <w:rPr>
          <w:rStyle w:val="22"/>
          <w:rFonts w:hint="eastAsia" w:ascii="仿宋" w:eastAsia="仿宋"/>
          <w:b w:val="0"/>
          <w:bCs/>
          <w:color w:val="auto"/>
          <w:sz w:val="32"/>
          <w:szCs w:val="32"/>
          <w:lang w:eastAsia="zh-CN"/>
        </w:rPr>
      </w:pPr>
      <w:r>
        <w:rPr>
          <w:rStyle w:val="22"/>
          <w:rFonts w:hint="eastAsia" w:ascii="仿宋" w:eastAsia="仿宋"/>
          <w:bCs/>
          <w:color w:val="auto"/>
          <w:sz w:val="32"/>
          <w:szCs w:val="32"/>
          <w:lang w:val="en-US" w:eastAsia="zh-CN"/>
        </w:rPr>
        <w:t>15.城乡社区支出（类）城乡社区公共设施（款）其他城乡社区公共设施支出（项</w:t>
      </w:r>
      <w:r>
        <w:rPr>
          <w:rStyle w:val="22"/>
          <w:rFonts w:hint="eastAsia" w:ascii="仿宋" w:eastAsia="仿宋"/>
          <w:bCs/>
          <w:color w:val="auto"/>
          <w:sz w:val="32"/>
          <w:szCs w:val="32"/>
        </w:rPr>
        <w:t>）</w:t>
      </w:r>
      <w:r>
        <w:rPr>
          <w:rStyle w:val="22"/>
          <w:rFonts w:hint="eastAsia" w:ascii="仿宋" w:eastAsia="仿宋"/>
          <w:bCs/>
          <w:color w:val="auto"/>
          <w:sz w:val="32"/>
          <w:szCs w:val="32"/>
          <w:lang w:eastAsia="zh-CN"/>
        </w:rPr>
        <w:t>：</w:t>
      </w:r>
      <w:r>
        <w:rPr>
          <w:rStyle w:val="22"/>
          <w:rFonts w:hint="eastAsia" w:ascii="仿宋" w:eastAsia="仿宋"/>
          <w:b w:val="0"/>
          <w:bCs/>
          <w:color w:val="auto"/>
          <w:sz w:val="32"/>
          <w:szCs w:val="32"/>
        </w:rPr>
        <w:t>支出决算为</w:t>
      </w:r>
      <w:r>
        <w:rPr>
          <w:rStyle w:val="22"/>
          <w:rFonts w:hint="eastAsia" w:ascii="仿宋" w:eastAsia="仿宋"/>
          <w:b w:val="0"/>
          <w:bCs/>
          <w:color w:val="auto"/>
          <w:sz w:val="32"/>
          <w:szCs w:val="32"/>
          <w:lang w:val="en-US" w:eastAsia="zh-CN"/>
        </w:rPr>
        <w:t>2116.09</w:t>
      </w:r>
      <w:r>
        <w:rPr>
          <w:rStyle w:val="22"/>
          <w:rFonts w:hint="eastAsia" w:ascii="仿宋" w:eastAsia="仿宋"/>
          <w:b w:val="0"/>
          <w:bCs/>
          <w:color w:val="auto"/>
          <w:sz w:val="32"/>
          <w:szCs w:val="32"/>
        </w:rPr>
        <w:t>万元，完成预算</w:t>
      </w:r>
      <w:r>
        <w:rPr>
          <w:rStyle w:val="22"/>
          <w:rFonts w:hint="eastAsia" w:ascii="仿宋" w:eastAsia="仿宋"/>
          <w:b w:val="0"/>
          <w:bCs/>
          <w:color w:val="auto"/>
          <w:sz w:val="32"/>
          <w:szCs w:val="32"/>
          <w:lang w:val="en-US" w:eastAsia="zh-CN"/>
        </w:rPr>
        <w:t>100</w:t>
      </w:r>
      <w:r>
        <w:rPr>
          <w:rStyle w:val="22"/>
          <w:rFonts w:ascii="仿宋" w:eastAsia="仿宋"/>
          <w:b w:val="0"/>
          <w:bCs/>
          <w:color w:val="auto"/>
          <w:sz w:val="32"/>
          <w:szCs w:val="32"/>
        </w:rPr>
        <w:t>%</w:t>
      </w:r>
      <w:r>
        <w:rPr>
          <w:rStyle w:val="22"/>
          <w:rFonts w:hint="eastAsia" w:ascii="仿宋" w:eastAsia="仿宋"/>
          <w:b w:val="0"/>
          <w:bCs/>
          <w:color w:val="auto"/>
          <w:sz w:val="32"/>
          <w:szCs w:val="32"/>
        </w:rPr>
        <w:t>，决算数等于预算数</w:t>
      </w:r>
      <w:r>
        <w:rPr>
          <w:rStyle w:val="22"/>
          <w:rFonts w:hint="eastAsia" w:ascii="仿宋" w:eastAsia="仿宋"/>
          <w:b w:val="0"/>
          <w:bCs/>
          <w:color w:val="auto"/>
          <w:sz w:val="32"/>
          <w:szCs w:val="32"/>
          <w:lang w:eastAsia="zh-CN"/>
        </w:rPr>
        <w:t>。</w:t>
      </w:r>
    </w:p>
    <w:p>
      <w:pPr>
        <w:pStyle w:val="11"/>
        <w:rPr>
          <w:rStyle w:val="22"/>
          <w:rFonts w:hint="eastAsia" w:ascii="仿宋" w:eastAsia="仿宋"/>
          <w:b w:val="0"/>
          <w:bCs/>
          <w:color w:val="auto"/>
          <w:sz w:val="32"/>
          <w:szCs w:val="32"/>
          <w:lang w:eastAsia="zh-CN"/>
        </w:rPr>
      </w:pPr>
    </w:p>
    <w:p>
      <w:pPr>
        <w:spacing w:line="600" w:lineRule="exact"/>
        <w:ind w:firstLine="643" w:firstLineChars="200"/>
        <w:rPr>
          <w:rStyle w:val="22"/>
          <w:rFonts w:hint="eastAsia" w:ascii="仿宋" w:eastAsia="仿宋"/>
          <w:b w:val="0"/>
          <w:bCs/>
          <w:color w:val="auto"/>
          <w:sz w:val="32"/>
          <w:szCs w:val="32"/>
          <w:lang w:eastAsia="zh-CN"/>
        </w:rPr>
      </w:pPr>
      <w:r>
        <w:rPr>
          <w:rStyle w:val="22"/>
          <w:rFonts w:hint="eastAsia" w:ascii="仿宋" w:eastAsia="仿宋"/>
          <w:bCs/>
          <w:color w:val="auto"/>
          <w:sz w:val="32"/>
          <w:szCs w:val="32"/>
          <w:lang w:val="en-US" w:eastAsia="zh-CN"/>
        </w:rPr>
        <w:t>15.城乡社区支出</w:t>
      </w:r>
      <w:r>
        <w:rPr>
          <w:rStyle w:val="22"/>
          <w:rFonts w:hint="eastAsia" w:ascii="仿宋" w:eastAsia="仿宋"/>
          <w:bCs/>
          <w:color w:val="auto"/>
          <w:sz w:val="32"/>
          <w:szCs w:val="32"/>
        </w:rPr>
        <w:t>（类）</w:t>
      </w:r>
      <w:r>
        <w:rPr>
          <w:rStyle w:val="22"/>
          <w:rFonts w:hint="eastAsia" w:ascii="仿宋" w:eastAsia="仿宋"/>
          <w:bCs/>
          <w:color w:val="auto"/>
          <w:sz w:val="32"/>
          <w:szCs w:val="32"/>
          <w:lang w:eastAsia="zh-CN"/>
        </w:rPr>
        <w:t>其他</w:t>
      </w:r>
      <w:r>
        <w:rPr>
          <w:rStyle w:val="22"/>
          <w:rFonts w:hint="eastAsia" w:ascii="仿宋" w:eastAsia="仿宋"/>
          <w:bCs/>
          <w:color w:val="auto"/>
          <w:sz w:val="32"/>
          <w:szCs w:val="32"/>
          <w:lang w:val="en-US" w:eastAsia="zh-CN"/>
        </w:rPr>
        <w:t>城乡社区支出</w:t>
      </w:r>
      <w:r>
        <w:rPr>
          <w:rStyle w:val="22"/>
          <w:rFonts w:hint="eastAsia" w:ascii="仿宋" w:eastAsia="仿宋"/>
          <w:bCs/>
          <w:color w:val="auto"/>
          <w:sz w:val="32"/>
          <w:szCs w:val="32"/>
        </w:rPr>
        <w:t>（款）</w:t>
      </w:r>
      <w:r>
        <w:rPr>
          <w:rStyle w:val="22"/>
          <w:rFonts w:hint="eastAsia" w:ascii="仿宋" w:eastAsia="仿宋"/>
          <w:bCs/>
          <w:color w:val="auto"/>
          <w:sz w:val="32"/>
          <w:szCs w:val="32"/>
          <w:lang w:eastAsia="zh-CN"/>
        </w:rPr>
        <w:t>其他</w:t>
      </w:r>
      <w:r>
        <w:rPr>
          <w:rStyle w:val="22"/>
          <w:rFonts w:hint="eastAsia" w:ascii="仿宋" w:eastAsia="仿宋"/>
          <w:bCs/>
          <w:color w:val="auto"/>
          <w:sz w:val="32"/>
          <w:szCs w:val="32"/>
          <w:lang w:val="en-US" w:eastAsia="zh-CN"/>
        </w:rPr>
        <w:t>城乡社区支出</w:t>
      </w:r>
      <w:r>
        <w:rPr>
          <w:rStyle w:val="22"/>
          <w:rFonts w:hint="eastAsia" w:ascii="仿宋" w:eastAsia="仿宋"/>
          <w:bCs/>
          <w:color w:val="auto"/>
          <w:sz w:val="32"/>
          <w:szCs w:val="32"/>
        </w:rPr>
        <w:t>（项）</w:t>
      </w:r>
      <w:r>
        <w:rPr>
          <w:rStyle w:val="22"/>
          <w:rFonts w:hint="eastAsia" w:ascii="仿宋" w:eastAsia="仿宋"/>
          <w:bCs/>
          <w:color w:val="auto"/>
          <w:sz w:val="32"/>
          <w:szCs w:val="32"/>
          <w:lang w:eastAsia="zh-CN"/>
        </w:rPr>
        <w:t>：</w:t>
      </w:r>
      <w:r>
        <w:rPr>
          <w:rStyle w:val="22"/>
          <w:rFonts w:hint="eastAsia" w:ascii="仿宋" w:eastAsia="仿宋"/>
          <w:b w:val="0"/>
          <w:bCs/>
          <w:color w:val="auto"/>
          <w:sz w:val="32"/>
          <w:szCs w:val="32"/>
        </w:rPr>
        <w:t>支出决算为</w:t>
      </w:r>
      <w:r>
        <w:rPr>
          <w:rStyle w:val="22"/>
          <w:rFonts w:hint="eastAsia" w:ascii="仿宋" w:eastAsia="仿宋"/>
          <w:b w:val="0"/>
          <w:bCs/>
          <w:color w:val="auto"/>
          <w:sz w:val="32"/>
          <w:szCs w:val="32"/>
          <w:lang w:val="en-US" w:eastAsia="zh-CN"/>
        </w:rPr>
        <w:t>1492.67</w:t>
      </w:r>
      <w:r>
        <w:rPr>
          <w:rStyle w:val="22"/>
          <w:rFonts w:hint="eastAsia" w:ascii="仿宋" w:eastAsia="仿宋"/>
          <w:b w:val="0"/>
          <w:bCs/>
          <w:color w:val="auto"/>
          <w:sz w:val="32"/>
          <w:szCs w:val="32"/>
        </w:rPr>
        <w:t>万元，完成预算</w:t>
      </w:r>
      <w:r>
        <w:rPr>
          <w:rStyle w:val="22"/>
          <w:rFonts w:hint="eastAsia" w:ascii="仿宋" w:eastAsia="仿宋"/>
          <w:b w:val="0"/>
          <w:bCs/>
          <w:color w:val="auto"/>
          <w:sz w:val="32"/>
          <w:szCs w:val="32"/>
          <w:lang w:val="en-US" w:eastAsia="zh-CN"/>
        </w:rPr>
        <w:t>100</w:t>
      </w:r>
      <w:r>
        <w:rPr>
          <w:rStyle w:val="22"/>
          <w:rFonts w:hint="eastAsia" w:ascii="仿宋" w:eastAsia="仿宋"/>
          <w:b w:val="0"/>
          <w:bCs/>
          <w:color w:val="auto"/>
          <w:sz w:val="32"/>
          <w:szCs w:val="32"/>
        </w:rPr>
        <w:t>%，决算数等于预算数</w:t>
      </w:r>
      <w:r>
        <w:rPr>
          <w:rStyle w:val="22"/>
          <w:rFonts w:hint="eastAsia" w:ascii="仿宋" w:eastAsia="仿宋"/>
          <w:b w:val="0"/>
          <w:bCs/>
          <w:color w:val="auto"/>
          <w:sz w:val="32"/>
          <w:szCs w:val="32"/>
          <w:lang w:eastAsia="zh-CN"/>
        </w:rPr>
        <w:t>。</w:t>
      </w:r>
    </w:p>
    <w:p>
      <w:pPr>
        <w:pStyle w:val="17"/>
        <w:ind w:left="0" w:leftChars="0" w:firstLine="643" w:firstLineChars="200"/>
        <w:rPr>
          <w:rFonts w:hint="eastAsia"/>
          <w:color w:val="auto"/>
          <w:lang w:eastAsia="zh-CN"/>
        </w:rPr>
      </w:pPr>
      <w:r>
        <w:rPr>
          <w:rStyle w:val="22"/>
          <w:rFonts w:hint="eastAsia" w:ascii="仿宋" w:eastAsia="仿宋"/>
          <w:bCs/>
          <w:color w:val="auto"/>
          <w:sz w:val="32"/>
          <w:szCs w:val="32"/>
          <w:lang w:val="en-US" w:eastAsia="zh-CN"/>
        </w:rPr>
        <w:t>1</w:t>
      </w:r>
      <w:r>
        <w:rPr>
          <w:rStyle w:val="22"/>
          <w:rFonts w:hint="eastAsia" w:ascii="仿宋"/>
          <w:bCs/>
          <w:color w:val="auto"/>
          <w:sz w:val="32"/>
          <w:szCs w:val="32"/>
          <w:lang w:val="en-US" w:eastAsia="zh-CN"/>
        </w:rPr>
        <w:t>6</w:t>
      </w:r>
      <w:r>
        <w:rPr>
          <w:rStyle w:val="22"/>
          <w:rFonts w:hint="eastAsia" w:ascii="仿宋" w:eastAsia="仿宋"/>
          <w:bCs/>
          <w:color w:val="auto"/>
          <w:sz w:val="32"/>
          <w:szCs w:val="32"/>
          <w:lang w:val="en-US" w:eastAsia="zh-CN"/>
        </w:rPr>
        <w:t>.</w:t>
      </w:r>
      <w:r>
        <w:rPr>
          <w:rStyle w:val="22"/>
          <w:rFonts w:hint="eastAsia" w:ascii="仿宋"/>
          <w:bCs/>
          <w:color w:val="auto"/>
          <w:sz w:val="32"/>
          <w:szCs w:val="32"/>
          <w:lang w:val="en-US" w:eastAsia="zh-CN"/>
        </w:rPr>
        <w:t>农林水支出</w:t>
      </w:r>
      <w:r>
        <w:rPr>
          <w:rStyle w:val="22"/>
          <w:rFonts w:hint="eastAsia" w:ascii="仿宋" w:eastAsia="仿宋"/>
          <w:bCs/>
          <w:color w:val="auto"/>
          <w:sz w:val="32"/>
          <w:szCs w:val="32"/>
        </w:rPr>
        <w:t>（类）</w:t>
      </w:r>
      <w:r>
        <w:rPr>
          <w:rStyle w:val="22"/>
          <w:rFonts w:hint="eastAsia" w:ascii="仿宋"/>
          <w:bCs/>
          <w:color w:val="auto"/>
          <w:sz w:val="32"/>
          <w:szCs w:val="32"/>
          <w:lang w:val="en-US" w:eastAsia="zh-CN"/>
        </w:rPr>
        <w:t>巩固脱贫攻坚成果衔接乡村振兴（款）其他巩固脱贫攻坚成果衔接乡村振新（项）：</w:t>
      </w:r>
      <w:r>
        <w:rPr>
          <w:rStyle w:val="22"/>
          <w:rFonts w:hint="eastAsia" w:ascii="仿宋" w:eastAsia="仿宋"/>
          <w:b w:val="0"/>
          <w:bCs/>
          <w:color w:val="auto"/>
          <w:sz w:val="32"/>
          <w:szCs w:val="32"/>
        </w:rPr>
        <w:t>支出决算为</w:t>
      </w:r>
      <w:r>
        <w:rPr>
          <w:rStyle w:val="22"/>
          <w:rFonts w:hint="eastAsia" w:ascii="仿宋"/>
          <w:b w:val="0"/>
          <w:bCs/>
          <w:color w:val="auto"/>
          <w:sz w:val="32"/>
          <w:szCs w:val="32"/>
          <w:lang w:val="en-US" w:eastAsia="zh-CN"/>
        </w:rPr>
        <w:t>370.83</w:t>
      </w:r>
      <w:r>
        <w:rPr>
          <w:rStyle w:val="22"/>
          <w:rFonts w:hint="eastAsia" w:ascii="仿宋" w:eastAsia="仿宋"/>
          <w:b w:val="0"/>
          <w:bCs/>
          <w:color w:val="auto"/>
          <w:sz w:val="32"/>
          <w:szCs w:val="32"/>
        </w:rPr>
        <w:t>万元，完成预算</w:t>
      </w:r>
      <w:r>
        <w:rPr>
          <w:rStyle w:val="22"/>
          <w:rFonts w:hint="eastAsia" w:ascii="仿宋" w:eastAsia="仿宋"/>
          <w:b w:val="0"/>
          <w:bCs/>
          <w:color w:val="auto"/>
          <w:sz w:val="32"/>
          <w:szCs w:val="32"/>
          <w:lang w:val="en-US" w:eastAsia="zh-CN"/>
        </w:rPr>
        <w:t>100</w:t>
      </w:r>
      <w:r>
        <w:rPr>
          <w:rStyle w:val="22"/>
          <w:rFonts w:ascii="仿宋" w:eastAsia="仿宋"/>
          <w:b w:val="0"/>
          <w:bCs/>
          <w:color w:val="auto"/>
          <w:sz w:val="32"/>
          <w:szCs w:val="32"/>
        </w:rPr>
        <w:t>%</w:t>
      </w:r>
      <w:r>
        <w:rPr>
          <w:rStyle w:val="22"/>
          <w:rFonts w:hint="eastAsia" w:ascii="仿宋" w:eastAsia="仿宋"/>
          <w:b w:val="0"/>
          <w:bCs/>
          <w:color w:val="auto"/>
          <w:sz w:val="32"/>
          <w:szCs w:val="32"/>
        </w:rPr>
        <w:t>，决算数等于预算数</w:t>
      </w:r>
      <w:r>
        <w:rPr>
          <w:rStyle w:val="22"/>
          <w:rFonts w:hint="eastAsia" w:ascii="仿宋" w:eastAsia="仿宋"/>
          <w:b w:val="0"/>
          <w:bCs/>
          <w:color w:val="auto"/>
          <w:sz w:val="32"/>
          <w:szCs w:val="32"/>
          <w:lang w:eastAsia="zh-CN"/>
        </w:rPr>
        <w:t>。</w:t>
      </w:r>
    </w:p>
    <w:p>
      <w:pPr>
        <w:spacing w:line="600" w:lineRule="exact"/>
        <w:ind w:firstLine="643" w:firstLineChars="200"/>
        <w:rPr>
          <w:rStyle w:val="22"/>
          <w:rFonts w:hint="eastAsia" w:ascii="仿宋" w:eastAsia="仿宋"/>
          <w:b w:val="0"/>
          <w:bCs/>
          <w:color w:val="auto"/>
          <w:sz w:val="32"/>
          <w:szCs w:val="32"/>
        </w:rPr>
      </w:pPr>
      <w:r>
        <w:rPr>
          <w:rStyle w:val="22"/>
          <w:rFonts w:hint="eastAsia" w:ascii="仿宋" w:eastAsia="仿宋"/>
          <w:bCs/>
          <w:color w:val="auto"/>
          <w:sz w:val="32"/>
          <w:szCs w:val="32"/>
          <w:lang w:val="en-US" w:eastAsia="zh-CN"/>
        </w:rPr>
        <w:t>17.住房保障支出（类）保障性安居工程支出（款）农村危房改造（项）：</w:t>
      </w:r>
      <w:r>
        <w:rPr>
          <w:rStyle w:val="22"/>
          <w:rFonts w:hint="eastAsia" w:ascii="仿宋" w:eastAsia="仿宋"/>
          <w:b w:val="0"/>
          <w:bCs/>
          <w:color w:val="auto"/>
          <w:sz w:val="32"/>
          <w:szCs w:val="32"/>
        </w:rPr>
        <w:t>支出决算为</w:t>
      </w:r>
      <w:r>
        <w:rPr>
          <w:rStyle w:val="22"/>
          <w:rFonts w:hint="eastAsia" w:ascii="仿宋" w:eastAsia="仿宋"/>
          <w:b w:val="0"/>
          <w:bCs/>
          <w:color w:val="auto"/>
          <w:sz w:val="32"/>
          <w:szCs w:val="32"/>
          <w:lang w:val="en-US" w:eastAsia="zh-CN"/>
        </w:rPr>
        <w:t>73.5</w:t>
      </w:r>
      <w:r>
        <w:rPr>
          <w:rStyle w:val="22"/>
          <w:rFonts w:hint="eastAsia" w:ascii="仿宋" w:eastAsia="仿宋"/>
          <w:b w:val="0"/>
          <w:bCs/>
          <w:color w:val="auto"/>
          <w:sz w:val="32"/>
          <w:szCs w:val="32"/>
        </w:rPr>
        <w:t>万元，完成预算</w:t>
      </w:r>
      <w:r>
        <w:rPr>
          <w:rStyle w:val="22"/>
          <w:rFonts w:hint="eastAsia" w:ascii="仿宋" w:eastAsia="仿宋"/>
          <w:b w:val="0"/>
          <w:bCs/>
          <w:color w:val="auto"/>
          <w:sz w:val="32"/>
          <w:szCs w:val="32"/>
          <w:lang w:val="en-US" w:eastAsia="zh-CN"/>
        </w:rPr>
        <w:t>100</w:t>
      </w:r>
      <w:r>
        <w:rPr>
          <w:rStyle w:val="22"/>
          <w:rFonts w:ascii="仿宋" w:eastAsia="仿宋"/>
          <w:b w:val="0"/>
          <w:bCs/>
          <w:color w:val="auto"/>
          <w:sz w:val="32"/>
          <w:szCs w:val="32"/>
        </w:rPr>
        <w:t>%</w:t>
      </w:r>
      <w:r>
        <w:rPr>
          <w:rStyle w:val="22"/>
          <w:rFonts w:hint="eastAsia" w:ascii="仿宋" w:eastAsia="仿宋"/>
          <w:b w:val="0"/>
          <w:bCs/>
          <w:color w:val="auto"/>
          <w:sz w:val="32"/>
          <w:szCs w:val="32"/>
        </w:rPr>
        <w:t>，决算数等于预算数。</w:t>
      </w:r>
    </w:p>
    <w:p>
      <w:pPr>
        <w:spacing w:line="600" w:lineRule="exact"/>
        <w:ind w:firstLine="643" w:firstLineChars="200"/>
        <w:rPr>
          <w:rStyle w:val="22"/>
          <w:rFonts w:hint="eastAsia" w:ascii="仿宋" w:eastAsia="仿宋"/>
          <w:b w:val="0"/>
          <w:bCs/>
          <w:color w:val="auto"/>
          <w:sz w:val="32"/>
          <w:szCs w:val="32"/>
        </w:rPr>
      </w:pPr>
      <w:r>
        <w:rPr>
          <w:rStyle w:val="22"/>
          <w:rFonts w:hint="eastAsia" w:ascii="仿宋" w:eastAsia="仿宋"/>
          <w:bCs/>
          <w:color w:val="auto"/>
          <w:sz w:val="32"/>
          <w:szCs w:val="32"/>
          <w:lang w:val="en-US" w:eastAsia="zh-CN"/>
        </w:rPr>
        <w:t>18.住房保障支出（类）保障性安居工程支出（款）老旧小区改造（项）：</w:t>
      </w:r>
      <w:r>
        <w:rPr>
          <w:rStyle w:val="22"/>
          <w:rFonts w:hint="eastAsia" w:ascii="仿宋" w:eastAsia="仿宋"/>
          <w:b w:val="0"/>
          <w:bCs/>
          <w:color w:val="auto"/>
          <w:sz w:val="32"/>
          <w:szCs w:val="32"/>
        </w:rPr>
        <w:t>支出决算为</w:t>
      </w:r>
      <w:r>
        <w:rPr>
          <w:rStyle w:val="22"/>
          <w:rFonts w:hint="eastAsia" w:ascii="仿宋" w:eastAsia="仿宋"/>
          <w:b w:val="0"/>
          <w:bCs/>
          <w:color w:val="auto"/>
          <w:sz w:val="32"/>
          <w:szCs w:val="32"/>
          <w:lang w:val="en-US" w:eastAsia="zh-CN"/>
        </w:rPr>
        <w:t>2230.47</w:t>
      </w:r>
      <w:r>
        <w:rPr>
          <w:rStyle w:val="22"/>
          <w:rFonts w:hint="eastAsia" w:ascii="仿宋" w:eastAsia="仿宋"/>
          <w:b w:val="0"/>
          <w:bCs/>
          <w:color w:val="auto"/>
          <w:sz w:val="32"/>
          <w:szCs w:val="32"/>
        </w:rPr>
        <w:t>万元，完成预算</w:t>
      </w:r>
      <w:r>
        <w:rPr>
          <w:rStyle w:val="22"/>
          <w:rFonts w:hint="eastAsia" w:ascii="仿宋" w:eastAsia="仿宋"/>
          <w:b w:val="0"/>
          <w:bCs/>
          <w:color w:val="auto"/>
          <w:sz w:val="32"/>
          <w:szCs w:val="32"/>
          <w:lang w:val="en-US" w:eastAsia="zh-CN"/>
        </w:rPr>
        <w:t>100</w:t>
      </w:r>
      <w:r>
        <w:rPr>
          <w:rStyle w:val="22"/>
          <w:rFonts w:ascii="仿宋" w:eastAsia="仿宋"/>
          <w:b w:val="0"/>
          <w:bCs/>
          <w:color w:val="auto"/>
          <w:sz w:val="32"/>
          <w:szCs w:val="32"/>
        </w:rPr>
        <w:t>%</w:t>
      </w:r>
      <w:r>
        <w:rPr>
          <w:rStyle w:val="22"/>
          <w:rFonts w:hint="eastAsia" w:ascii="仿宋" w:eastAsia="仿宋"/>
          <w:b w:val="0"/>
          <w:bCs/>
          <w:color w:val="auto"/>
          <w:sz w:val="32"/>
          <w:szCs w:val="32"/>
        </w:rPr>
        <w:t>，决算数等于预算数。</w:t>
      </w:r>
    </w:p>
    <w:p>
      <w:pPr>
        <w:spacing w:line="600" w:lineRule="exact"/>
        <w:ind w:firstLine="643" w:firstLineChars="200"/>
        <w:rPr>
          <w:rStyle w:val="22"/>
          <w:rFonts w:hint="eastAsia" w:ascii="仿宋" w:eastAsia="仿宋"/>
          <w:b w:val="0"/>
          <w:bCs/>
          <w:color w:val="auto"/>
          <w:sz w:val="32"/>
          <w:szCs w:val="32"/>
        </w:rPr>
      </w:pPr>
      <w:r>
        <w:rPr>
          <w:rStyle w:val="22"/>
          <w:rFonts w:hint="eastAsia" w:ascii="仿宋" w:eastAsia="仿宋"/>
          <w:bCs/>
          <w:color w:val="auto"/>
          <w:sz w:val="32"/>
          <w:szCs w:val="32"/>
          <w:lang w:val="en-US" w:eastAsia="zh-CN"/>
        </w:rPr>
        <w:t>19.住房保障支出（类）保障性安居工程支出（款）其他保障性安居工程支出（项）：</w:t>
      </w:r>
      <w:r>
        <w:rPr>
          <w:rStyle w:val="22"/>
          <w:rFonts w:hint="eastAsia" w:ascii="仿宋" w:eastAsia="仿宋"/>
          <w:b w:val="0"/>
          <w:bCs/>
          <w:color w:val="auto"/>
          <w:sz w:val="32"/>
          <w:szCs w:val="32"/>
        </w:rPr>
        <w:t>支出决算为</w:t>
      </w:r>
      <w:r>
        <w:rPr>
          <w:rStyle w:val="22"/>
          <w:rFonts w:hint="eastAsia" w:ascii="仿宋" w:eastAsia="仿宋"/>
          <w:b w:val="0"/>
          <w:bCs/>
          <w:color w:val="auto"/>
          <w:sz w:val="32"/>
          <w:szCs w:val="32"/>
          <w:lang w:val="en-US" w:eastAsia="zh-CN"/>
        </w:rPr>
        <w:t>1840.56</w:t>
      </w:r>
      <w:r>
        <w:rPr>
          <w:rStyle w:val="22"/>
          <w:rFonts w:hint="eastAsia" w:ascii="仿宋" w:eastAsia="仿宋"/>
          <w:b w:val="0"/>
          <w:bCs/>
          <w:color w:val="auto"/>
          <w:sz w:val="32"/>
          <w:szCs w:val="32"/>
        </w:rPr>
        <w:t>万元，完成预算</w:t>
      </w:r>
      <w:r>
        <w:rPr>
          <w:rStyle w:val="22"/>
          <w:rFonts w:hint="eastAsia" w:ascii="仿宋" w:eastAsia="仿宋"/>
          <w:b w:val="0"/>
          <w:bCs/>
          <w:color w:val="auto"/>
          <w:sz w:val="32"/>
          <w:szCs w:val="32"/>
          <w:lang w:val="en-US" w:eastAsia="zh-CN"/>
        </w:rPr>
        <w:t>100</w:t>
      </w:r>
      <w:r>
        <w:rPr>
          <w:rStyle w:val="22"/>
          <w:rFonts w:ascii="仿宋" w:eastAsia="仿宋"/>
          <w:b w:val="0"/>
          <w:bCs/>
          <w:color w:val="auto"/>
          <w:sz w:val="32"/>
          <w:szCs w:val="32"/>
        </w:rPr>
        <w:t>%</w:t>
      </w:r>
      <w:r>
        <w:rPr>
          <w:rStyle w:val="22"/>
          <w:rFonts w:hint="eastAsia" w:ascii="仿宋" w:eastAsia="仿宋"/>
          <w:b w:val="0"/>
          <w:bCs/>
          <w:color w:val="auto"/>
          <w:sz w:val="32"/>
          <w:szCs w:val="32"/>
        </w:rPr>
        <w:t>，决算数等于预算数。</w:t>
      </w:r>
    </w:p>
    <w:p>
      <w:pPr>
        <w:spacing w:line="600" w:lineRule="exact"/>
        <w:ind w:firstLine="643" w:firstLineChars="200"/>
        <w:rPr>
          <w:rStyle w:val="22"/>
          <w:rFonts w:hint="eastAsia" w:ascii="仿宋" w:eastAsia="仿宋"/>
          <w:b w:val="0"/>
          <w:bCs/>
          <w:color w:val="auto"/>
          <w:sz w:val="32"/>
          <w:szCs w:val="32"/>
          <w:lang w:val="en-US" w:eastAsia="zh-CN"/>
        </w:rPr>
      </w:pPr>
      <w:r>
        <w:rPr>
          <w:rStyle w:val="22"/>
          <w:rFonts w:hint="eastAsia" w:ascii="仿宋" w:eastAsia="仿宋"/>
          <w:bCs/>
          <w:color w:val="auto"/>
          <w:sz w:val="32"/>
          <w:szCs w:val="32"/>
          <w:lang w:val="en-US" w:eastAsia="zh-CN"/>
        </w:rPr>
        <w:t>20.住房保障支出（类）住房改革支出（款）住房公积金（项）：</w:t>
      </w:r>
      <w:r>
        <w:rPr>
          <w:rStyle w:val="22"/>
          <w:rFonts w:hint="eastAsia" w:ascii="仿宋" w:eastAsia="仿宋"/>
          <w:b w:val="0"/>
          <w:bCs/>
          <w:color w:val="auto"/>
          <w:sz w:val="32"/>
          <w:szCs w:val="32"/>
        </w:rPr>
        <w:t>支出决算为</w:t>
      </w:r>
      <w:r>
        <w:rPr>
          <w:rStyle w:val="22"/>
          <w:rFonts w:hint="eastAsia" w:ascii="仿宋" w:eastAsia="仿宋"/>
          <w:b w:val="0"/>
          <w:bCs/>
          <w:color w:val="auto"/>
          <w:sz w:val="32"/>
          <w:szCs w:val="32"/>
          <w:lang w:val="en-US" w:eastAsia="zh-CN"/>
        </w:rPr>
        <w:t>29.86</w:t>
      </w:r>
      <w:r>
        <w:rPr>
          <w:rStyle w:val="22"/>
          <w:rFonts w:hint="eastAsia" w:ascii="仿宋" w:eastAsia="仿宋"/>
          <w:b w:val="0"/>
          <w:bCs/>
          <w:color w:val="auto"/>
          <w:sz w:val="32"/>
          <w:szCs w:val="32"/>
        </w:rPr>
        <w:t>万元，完成预算</w:t>
      </w:r>
      <w:r>
        <w:rPr>
          <w:rStyle w:val="22"/>
          <w:rFonts w:hint="eastAsia" w:ascii="仿宋" w:eastAsia="仿宋"/>
          <w:b w:val="0"/>
          <w:bCs/>
          <w:color w:val="auto"/>
          <w:sz w:val="32"/>
          <w:szCs w:val="32"/>
          <w:lang w:val="en-US" w:eastAsia="zh-CN"/>
        </w:rPr>
        <w:t>100</w:t>
      </w:r>
      <w:r>
        <w:rPr>
          <w:rStyle w:val="22"/>
          <w:rFonts w:ascii="仿宋" w:eastAsia="仿宋"/>
          <w:b w:val="0"/>
          <w:bCs/>
          <w:color w:val="auto"/>
          <w:sz w:val="32"/>
          <w:szCs w:val="32"/>
        </w:rPr>
        <w:t>%</w:t>
      </w:r>
      <w:r>
        <w:rPr>
          <w:rStyle w:val="22"/>
          <w:rFonts w:hint="eastAsia" w:ascii="仿宋" w:eastAsia="仿宋"/>
          <w:b w:val="0"/>
          <w:bCs/>
          <w:color w:val="auto"/>
          <w:sz w:val="32"/>
          <w:szCs w:val="32"/>
        </w:rPr>
        <w:t>，决算数等于预算数。</w:t>
      </w:r>
    </w:p>
    <w:p>
      <w:pPr>
        <w:spacing w:line="600" w:lineRule="exact"/>
        <w:ind w:firstLine="643" w:firstLineChars="200"/>
        <w:rPr>
          <w:rStyle w:val="22"/>
          <w:rFonts w:hint="eastAsia" w:ascii="仿宋" w:eastAsia="仿宋"/>
          <w:b w:val="0"/>
          <w:bCs/>
          <w:color w:val="auto"/>
          <w:sz w:val="32"/>
          <w:szCs w:val="32"/>
        </w:rPr>
      </w:pPr>
      <w:r>
        <w:rPr>
          <w:rStyle w:val="22"/>
          <w:rFonts w:hint="eastAsia" w:ascii="仿宋" w:eastAsia="仿宋"/>
          <w:bCs/>
          <w:color w:val="auto"/>
          <w:sz w:val="32"/>
          <w:szCs w:val="32"/>
          <w:lang w:val="en-US" w:eastAsia="zh-CN"/>
        </w:rPr>
        <w:t>21.住房保障支出（类）住房改革支出（款）购房补贴：</w:t>
      </w:r>
      <w:r>
        <w:rPr>
          <w:rStyle w:val="22"/>
          <w:rFonts w:hint="eastAsia" w:ascii="仿宋" w:eastAsia="仿宋"/>
          <w:b w:val="0"/>
          <w:bCs/>
          <w:color w:val="auto"/>
          <w:sz w:val="32"/>
          <w:szCs w:val="32"/>
        </w:rPr>
        <w:t>支出决算为</w:t>
      </w:r>
      <w:r>
        <w:rPr>
          <w:rStyle w:val="22"/>
          <w:rFonts w:hint="eastAsia" w:ascii="仿宋" w:eastAsia="仿宋"/>
          <w:b w:val="0"/>
          <w:bCs/>
          <w:color w:val="auto"/>
          <w:sz w:val="32"/>
          <w:szCs w:val="32"/>
          <w:lang w:val="en-US" w:eastAsia="zh-CN"/>
        </w:rPr>
        <w:t>3.2</w:t>
      </w:r>
      <w:r>
        <w:rPr>
          <w:rStyle w:val="22"/>
          <w:rFonts w:hint="eastAsia" w:ascii="仿宋" w:eastAsia="仿宋"/>
          <w:b w:val="0"/>
          <w:bCs/>
          <w:color w:val="auto"/>
          <w:sz w:val="32"/>
          <w:szCs w:val="32"/>
        </w:rPr>
        <w:t>万元，完成预算</w:t>
      </w:r>
      <w:r>
        <w:rPr>
          <w:rStyle w:val="22"/>
          <w:rFonts w:hint="eastAsia" w:ascii="仿宋" w:eastAsia="仿宋"/>
          <w:b w:val="0"/>
          <w:bCs/>
          <w:color w:val="auto"/>
          <w:sz w:val="32"/>
          <w:szCs w:val="32"/>
          <w:lang w:val="en-US" w:eastAsia="zh-CN"/>
        </w:rPr>
        <w:t>100</w:t>
      </w:r>
      <w:r>
        <w:rPr>
          <w:rStyle w:val="22"/>
          <w:rFonts w:ascii="仿宋" w:eastAsia="仿宋"/>
          <w:b w:val="0"/>
          <w:bCs/>
          <w:color w:val="auto"/>
          <w:sz w:val="32"/>
          <w:szCs w:val="32"/>
        </w:rPr>
        <w:t>%</w:t>
      </w:r>
      <w:r>
        <w:rPr>
          <w:rStyle w:val="22"/>
          <w:rFonts w:hint="eastAsia" w:ascii="仿宋" w:eastAsia="仿宋"/>
          <w:b w:val="0"/>
          <w:bCs/>
          <w:color w:val="auto"/>
          <w:sz w:val="32"/>
          <w:szCs w:val="32"/>
        </w:rPr>
        <w:t>，决算数等于预算数。</w:t>
      </w:r>
    </w:p>
    <w:p>
      <w:pPr>
        <w:pStyle w:val="11"/>
        <w:rPr>
          <w:rStyle w:val="22"/>
          <w:rFonts w:hint="eastAsia" w:ascii="仿宋" w:eastAsia="仿宋"/>
          <w:b w:val="0"/>
          <w:bCs/>
          <w:color w:val="auto"/>
          <w:sz w:val="32"/>
          <w:szCs w:val="32"/>
        </w:rPr>
      </w:pPr>
      <w:r>
        <w:rPr>
          <w:rStyle w:val="22"/>
          <w:rFonts w:hint="eastAsia" w:ascii="仿宋" w:eastAsia="仿宋"/>
          <w:bCs/>
          <w:color w:val="auto"/>
          <w:sz w:val="32"/>
          <w:szCs w:val="32"/>
          <w:lang w:val="en-US" w:eastAsia="zh-CN"/>
        </w:rPr>
        <w:t>22.住房保障支出（类）城乡社区住宅（款）公有住房建设和维修改造支出：</w:t>
      </w:r>
      <w:r>
        <w:rPr>
          <w:rStyle w:val="22"/>
          <w:rFonts w:hint="eastAsia" w:ascii="仿宋" w:eastAsia="仿宋"/>
          <w:b w:val="0"/>
          <w:bCs/>
          <w:color w:val="auto"/>
          <w:sz w:val="32"/>
          <w:szCs w:val="32"/>
        </w:rPr>
        <w:t>支出决算为</w:t>
      </w:r>
      <w:r>
        <w:rPr>
          <w:rStyle w:val="22"/>
          <w:rFonts w:hint="eastAsia" w:ascii="仿宋" w:eastAsia="仿宋"/>
          <w:b w:val="0"/>
          <w:bCs/>
          <w:color w:val="auto"/>
          <w:sz w:val="32"/>
          <w:szCs w:val="32"/>
          <w:lang w:val="en-US" w:eastAsia="zh-CN"/>
        </w:rPr>
        <w:t>19.02</w:t>
      </w:r>
      <w:r>
        <w:rPr>
          <w:rStyle w:val="22"/>
          <w:rFonts w:hint="eastAsia" w:ascii="仿宋" w:eastAsia="仿宋"/>
          <w:b w:val="0"/>
          <w:bCs/>
          <w:color w:val="auto"/>
          <w:sz w:val="32"/>
          <w:szCs w:val="32"/>
        </w:rPr>
        <w:t>万元，完成预算</w:t>
      </w:r>
      <w:r>
        <w:rPr>
          <w:rStyle w:val="22"/>
          <w:rFonts w:hint="eastAsia" w:ascii="仿宋" w:eastAsia="仿宋"/>
          <w:b w:val="0"/>
          <w:bCs/>
          <w:color w:val="auto"/>
          <w:sz w:val="32"/>
          <w:szCs w:val="32"/>
          <w:lang w:val="en-US" w:eastAsia="zh-CN"/>
        </w:rPr>
        <w:t>100</w:t>
      </w:r>
      <w:r>
        <w:rPr>
          <w:rStyle w:val="22"/>
          <w:rFonts w:ascii="仿宋" w:eastAsia="仿宋"/>
          <w:b w:val="0"/>
          <w:bCs/>
          <w:color w:val="auto"/>
          <w:sz w:val="32"/>
          <w:szCs w:val="32"/>
        </w:rPr>
        <w:t>%</w:t>
      </w:r>
      <w:r>
        <w:rPr>
          <w:rStyle w:val="22"/>
          <w:rFonts w:hint="eastAsia" w:ascii="仿宋" w:eastAsia="仿宋"/>
          <w:b w:val="0"/>
          <w:bCs/>
          <w:color w:val="auto"/>
          <w:sz w:val="32"/>
          <w:szCs w:val="32"/>
        </w:rPr>
        <w:t>，决算数等于预算数。</w:t>
      </w:r>
    </w:p>
    <w:p>
      <w:pPr>
        <w:pStyle w:val="11"/>
        <w:rPr>
          <w:rStyle w:val="22"/>
          <w:rFonts w:hint="eastAsia" w:ascii="仿宋" w:eastAsia="仿宋"/>
          <w:b w:val="0"/>
          <w:bCs/>
          <w:color w:val="auto"/>
          <w:sz w:val="32"/>
          <w:szCs w:val="32"/>
        </w:rPr>
      </w:pPr>
      <w:r>
        <w:rPr>
          <w:rStyle w:val="22"/>
          <w:rFonts w:hint="eastAsia" w:ascii="仿宋" w:eastAsia="仿宋"/>
          <w:bCs/>
          <w:color w:val="auto"/>
          <w:sz w:val="32"/>
          <w:szCs w:val="32"/>
          <w:lang w:val="en-US" w:eastAsia="zh-CN"/>
        </w:rPr>
        <w:t>23.住房保障支出（类）城乡社区住宅（款）其他城乡社区住宅支出：</w:t>
      </w:r>
      <w:r>
        <w:rPr>
          <w:rStyle w:val="22"/>
          <w:rFonts w:hint="eastAsia" w:ascii="仿宋" w:eastAsia="仿宋"/>
          <w:b w:val="0"/>
          <w:bCs/>
          <w:color w:val="auto"/>
          <w:sz w:val="32"/>
          <w:szCs w:val="32"/>
        </w:rPr>
        <w:t>支出决算为</w:t>
      </w:r>
      <w:r>
        <w:rPr>
          <w:rStyle w:val="22"/>
          <w:rFonts w:hint="eastAsia" w:ascii="仿宋" w:eastAsia="仿宋"/>
          <w:b w:val="0"/>
          <w:bCs/>
          <w:color w:val="auto"/>
          <w:sz w:val="32"/>
          <w:szCs w:val="32"/>
          <w:lang w:val="en-US" w:eastAsia="zh-CN"/>
        </w:rPr>
        <w:t>23</w:t>
      </w:r>
      <w:r>
        <w:rPr>
          <w:rStyle w:val="22"/>
          <w:rFonts w:hint="eastAsia" w:ascii="仿宋" w:eastAsia="仿宋"/>
          <w:b w:val="0"/>
          <w:bCs/>
          <w:color w:val="auto"/>
          <w:sz w:val="32"/>
          <w:szCs w:val="32"/>
        </w:rPr>
        <w:t>万元，完成预算</w:t>
      </w:r>
      <w:r>
        <w:rPr>
          <w:rStyle w:val="22"/>
          <w:rFonts w:hint="eastAsia" w:ascii="仿宋" w:eastAsia="仿宋"/>
          <w:b w:val="0"/>
          <w:bCs/>
          <w:color w:val="auto"/>
          <w:sz w:val="32"/>
          <w:szCs w:val="32"/>
          <w:lang w:val="en-US" w:eastAsia="zh-CN"/>
        </w:rPr>
        <w:t>100</w:t>
      </w:r>
      <w:r>
        <w:rPr>
          <w:rStyle w:val="22"/>
          <w:rFonts w:ascii="仿宋" w:eastAsia="仿宋"/>
          <w:b w:val="0"/>
          <w:bCs/>
          <w:color w:val="auto"/>
          <w:sz w:val="32"/>
          <w:szCs w:val="32"/>
        </w:rPr>
        <w:t>%</w:t>
      </w:r>
      <w:r>
        <w:rPr>
          <w:rStyle w:val="22"/>
          <w:rFonts w:hint="eastAsia" w:ascii="仿宋" w:eastAsia="仿宋"/>
          <w:b w:val="0"/>
          <w:bCs/>
          <w:color w:val="auto"/>
          <w:sz w:val="32"/>
          <w:szCs w:val="32"/>
        </w:rPr>
        <w:t>，决算数等于预算数。</w:t>
      </w:r>
    </w:p>
    <w:p>
      <w:pPr>
        <w:pStyle w:val="11"/>
        <w:rPr>
          <w:rStyle w:val="22"/>
          <w:rFonts w:hint="eastAsia" w:ascii="仿宋" w:eastAsia="仿宋"/>
          <w:b w:val="0"/>
          <w:bCs/>
          <w:color w:val="auto"/>
          <w:sz w:val="32"/>
          <w:szCs w:val="32"/>
          <w:lang w:val="en-US" w:eastAsia="zh-CN"/>
        </w:rPr>
      </w:pPr>
    </w:p>
    <w:p>
      <w:pPr>
        <w:spacing w:line="600" w:lineRule="exact"/>
        <w:ind w:firstLine="640" w:firstLineChars="200"/>
        <w:rPr>
          <w:rStyle w:val="22"/>
          <w:rFonts w:hint="eastAsia" w:ascii="仿宋" w:eastAsia="仿宋"/>
          <w:b w:val="0"/>
          <w:bCs/>
          <w:color w:val="auto"/>
          <w:sz w:val="32"/>
          <w:szCs w:val="32"/>
          <w:lang w:val="en-US" w:eastAsia="zh-CN"/>
        </w:rPr>
      </w:pPr>
    </w:p>
    <w:p>
      <w:pPr>
        <w:spacing w:line="600" w:lineRule="exact"/>
        <w:ind w:firstLine="640"/>
        <w:rPr>
          <w:rStyle w:val="25"/>
        </w:rPr>
      </w:pPr>
      <w:r>
        <w:rPr>
          <w:rFonts w:hint="eastAsia" w:ascii="黑体" w:eastAsia="黑体"/>
          <w:color w:val="000000"/>
          <w:sz w:val="32"/>
          <w:szCs w:val="32"/>
        </w:rPr>
        <w:t>六</w:t>
      </w:r>
      <w:r>
        <w:rPr>
          <w:rFonts w:hint="eastAsia" w:ascii="黑体" w:eastAsia="黑体"/>
          <w:b/>
          <w:color w:val="000000"/>
          <w:sz w:val="32"/>
          <w:szCs w:val="32"/>
        </w:rPr>
        <w:t>、一</w:t>
      </w:r>
      <w:r>
        <w:rPr>
          <w:rStyle w:val="25"/>
          <w:rFonts w:hint="eastAsia" w:ascii="黑体" w:eastAsia="黑体"/>
          <w:b w:val="0"/>
        </w:rPr>
        <w:t>般公共预算财政拨款基本支出决算情况说明</w:t>
      </w:r>
      <w:bookmarkEnd w:id="40"/>
      <w:bookmarkEnd w:id="41"/>
      <w:r>
        <w:rPr>
          <w:rStyle w:val="25"/>
          <w:rFonts w:ascii="黑体" w:eastAsia="黑体"/>
          <w:b w:val="0"/>
        </w:rPr>
        <w:tab/>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479.27</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lang w:val="en-US"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415.79</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77.61万元</w:t>
      </w:r>
      <w:r>
        <w:rPr>
          <w:rFonts w:hint="eastAsia" w:ascii="仿宋" w:eastAsia="仿宋"/>
          <w:color w:val="000000"/>
          <w:sz w:val="32"/>
          <w:szCs w:val="32"/>
        </w:rPr>
        <w:t>、津贴补贴</w:t>
      </w:r>
      <w:r>
        <w:rPr>
          <w:rFonts w:hint="eastAsia" w:ascii="仿宋" w:eastAsia="仿宋"/>
          <w:color w:val="000000"/>
          <w:sz w:val="32"/>
          <w:szCs w:val="32"/>
          <w:lang w:val="en-US" w:eastAsia="zh-CN"/>
        </w:rPr>
        <w:t>65.32万元</w:t>
      </w:r>
      <w:r>
        <w:rPr>
          <w:rFonts w:hint="eastAsia" w:ascii="仿宋" w:eastAsia="仿宋"/>
          <w:color w:val="000000"/>
          <w:sz w:val="32"/>
          <w:szCs w:val="32"/>
        </w:rPr>
        <w:t>、奖金</w:t>
      </w:r>
      <w:r>
        <w:rPr>
          <w:rFonts w:hint="eastAsia" w:ascii="仿宋" w:eastAsia="仿宋"/>
          <w:color w:val="000000"/>
          <w:sz w:val="32"/>
          <w:szCs w:val="32"/>
          <w:lang w:val="en-US" w:eastAsia="zh-CN"/>
        </w:rPr>
        <w:t>92.62万元</w:t>
      </w:r>
      <w:r>
        <w:rPr>
          <w:rFonts w:hint="eastAsia" w:ascii="仿宋" w:eastAsia="仿宋"/>
          <w:color w:val="000000"/>
          <w:sz w:val="32"/>
          <w:szCs w:val="32"/>
        </w:rPr>
        <w:t>、</w:t>
      </w:r>
      <w:r>
        <w:rPr>
          <w:rFonts w:hint="eastAsia" w:ascii="仿宋" w:eastAsia="仿宋"/>
          <w:color w:val="000000"/>
          <w:sz w:val="32"/>
          <w:szCs w:val="32"/>
          <w:lang w:val="en-US" w:eastAsia="zh-CN"/>
        </w:rPr>
        <w:t>绩效工资34.6万元、</w:t>
      </w:r>
      <w:r>
        <w:rPr>
          <w:rFonts w:hint="eastAsia" w:ascii="仿宋" w:eastAsia="仿宋"/>
          <w:color w:val="000000"/>
          <w:sz w:val="32"/>
          <w:szCs w:val="32"/>
        </w:rPr>
        <w:t>机关事业单位基本养老保险缴费</w:t>
      </w:r>
      <w:r>
        <w:rPr>
          <w:rFonts w:hint="eastAsia" w:ascii="仿宋" w:eastAsia="仿宋"/>
          <w:color w:val="000000"/>
          <w:sz w:val="32"/>
          <w:szCs w:val="32"/>
          <w:lang w:val="en-US" w:eastAsia="zh-CN"/>
        </w:rPr>
        <w:t>38.4万元</w:t>
      </w:r>
      <w:r>
        <w:rPr>
          <w:rFonts w:hint="eastAsia" w:ascii="仿宋" w:eastAsia="仿宋"/>
          <w:color w:val="000000"/>
          <w:sz w:val="32"/>
          <w:szCs w:val="32"/>
        </w:rPr>
        <w:t>、职业年金缴费</w:t>
      </w:r>
      <w:r>
        <w:rPr>
          <w:rFonts w:hint="eastAsia" w:ascii="仿宋" w:eastAsia="仿宋"/>
          <w:color w:val="000000"/>
          <w:sz w:val="32"/>
          <w:szCs w:val="32"/>
          <w:lang w:val="en-US" w:eastAsia="zh-CN"/>
        </w:rPr>
        <w:t>18.93万元</w:t>
      </w:r>
      <w:r>
        <w:rPr>
          <w:rFonts w:hint="eastAsia" w:ascii="仿宋" w:eastAsia="仿宋"/>
          <w:color w:val="000000"/>
          <w:sz w:val="32"/>
          <w:szCs w:val="32"/>
        </w:rPr>
        <w:t>、</w:t>
      </w:r>
      <w:r>
        <w:rPr>
          <w:rFonts w:hint="eastAsia" w:ascii="仿宋" w:eastAsia="仿宋"/>
          <w:color w:val="000000"/>
          <w:sz w:val="32"/>
          <w:szCs w:val="32"/>
          <w:lang w:val="en-US" w:eastAsia="zh-CN"/>
        </w:rPr>
        <w:t>职工基本医疗保险缴费18.55万元、公务员医疗补助缴费4.8万元、</w:t>
      </w:r>
      <w:r>
        <w:rPr>
          <w:rFonts w:hint="eastAsia" w:ascii="仿宋" w:eastAsia="仿宋"/>
          <w:color w:val="000000"/>
          <w:sz w:val="32"/>
          <w:szCs w:val="32"/>
        </w:rPr>
        <w:t>其他社会保障缴费</w:t>
      </w:r>
      <w:r>
        <w:rPr>
          <w:rFonts w:hint="eastAsia" w:ascii="仿宋" w:eastAsia="仿宋"/>
          <w:color w:val="000000"/>
          <w:sz w:val="32"/>
          <w:szCs w:val="32"/>
          <w:lang w:val="en-US" w:eastAsia="zh-CN"/>
        </w:rPr>
        <w:t>6.79万元</w:t>
      </w:r>
      <w:r>
        <w:rPr>
          <w:rFonts w:hint="eastAsia" w:ascii="仿宋" w:eastAsia="仿宋"/>
          <w:color w:val="000000"/>
          <w:sz w:val="32"/>
          <w:szCs w:val="32"/>
        </w:rPr>
        <w:t>、住房公积金</w:t>
      </w:r>
      <w:r>
        <w:rPr>
          <w:rFonts w:hint="eastAsia" w:ascii="仿宋" w:eastAsia="仿宋"/>
          <w:color w:val="000000"/>
          <w:sz w:val="32"/>
          <w:szCs w:val="32"/>
          <w:lang w:val="en-US" w:eastAsia="zh-CN"/>
        </w:rPr>
        <w:t>29.86万元；</w:t>
      </w:r>
    </w:p>
    <w:p>
      <w:pPr>
        <w:spacing w:line="600" w:lineRule="exact"/>
        <w:ind w:firstLine="645"/>
        <w:rPr>
          <w:rFonts w:ascii="仿宋" w:eastAsia="仿宋"/>
          <w:color w:val="000000"/>
          <w:sz w:val="32"/>
          <w:szCs w:val="32"/>
        </w:rPr>
      </w:pPr>
      <w:r>
        <w:rPr>
          <w:rFonts w:hint="eastAsia" w:ascii="仿宋" w:eastAsia="仿宋"/>
          <w:color w:val="000000"/>
          <w:sz w:val="32"/>
          <w:szCs w:val="32"/>
          <w:lang w:val="en-US" w:eastAsia="zh-CN"/>
        </w:rPr>
        <w:t>对个人和家庭的补助：生活补助28.78万元</w:t>
      </w:r>
      <w:r>
        <w:rPr>
          <w:rFonts w:hint="eastAsia" w:ascii="仿宋" w:eastAsia="仿宋"/>
          <w:color w:val="000000"/>
          <w:sz w:val="32"/>
          <w:szCs w:val="32"/>
        </w:rPr>
        <w:t>。</w:t>
      </w:r>
      <w:r>
        <w:rPr>
          <w:rFonts w:ascii="仿宋" w:eastAsia="仿宋"/>
          <w:color w:val="000000"/>
          <w:sz w:val="32"/>
          <w:szCs w:val="32"/>
        </w:rPr>
        <w:br w:type="textWrapping"/>
      </w:r>
      <w:r>
        <w:rPr>
          <w:rFonts w:hint="eastAsia" w:ascii="仿宋" w:eastAsia="仿宋"/>
          <w:color w:val="000000"/>
          <w:sz w:val="32"/>
          <w:szCs w:val="32"/>
        </w:rPr>
        <w:t>　　公用经费</w:t>
      </w:r>
      <w:r>
        <w:rPr>
          <w:rFonts w:hint="eastAsia" w:ascii="仿宋" w:eastAsia="仿宋"/>
          <w:color w:val="000000"/>
          <w:sz w:val="32"/>
          <w:szCs w:val="32"/>
          <w:lang w:val="en-US" w:eastAsia="zh-CN"/>
        </w:rPr>
        <w:t>63.49</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13万元</w:t>
      </w:r>
      <w:r>
        <w:rPr>
          <w:rFonts w:hint="eastAsia" w:ascii="仿宋" w:eastAsia="仿宋"/>
          <w:color w:val="000000"/>
          <w:sz w:val="32"/>
          <w:szCs w:val="32"/>
        </w:rPr>
        <w:t>、电费</w:t>
      </w:r>
      <w:r>
        <w:rPr>
          <w:rFonts w:hint="eastAsia" w:ascii="仿宋" w:eastAsia="仿宋"/>
          <w:color w:val="000000"/>
          <w:sz w:val="32"/>
          <w:szCs w:val="32"/>
          <w:lang w:val="en-US" w:eastAsia="zh-CN"/>
        </w:rPr>
        <w:t>0.8万元</w:t>
      </w:r>
      <w:r>
        <w:rPr>
          <w:rFonts w:hint="eastAsia" w:ascii="仿宋" w:eastAsia="仿宋"/>
          <w:color w:val="000000"/>
          <w:sz w:val="32"/>
          <w:szCs w:val="32"/>
        </w:rPr>
        <w:t>、邮电费</w:t>
      </w:r>
      <w:r>
        <w:rPr>
          <w:rFonts w:hint="eastAsia" w:ascii="仿宋" w:eastAsia="仿宋"/>
          <w:color w:val="000000"/>
          <w:sz w:val="32"/>
          <w:szCs w:val="32"/>
          <w:lang w:val="en-US" w:eastAsia="zh-CN"/>
        </w:rPr>
        <w:t>6.8万元</w:t>
      </w:r>
      <w:r>
        <w:rPr>
          <w:rFonts w:hint="eastAsia" w:ascii="仿宋" w:eastAsia="仿宋"/>
          <w:color w:val="000000"/>
          <w:sz w:val="32"/>
          <w:szCs w:val="32"/>
        </w:rPr>
        <w:t>、差旅费</w:t>
      </w:r>
      <w:r>
        <w:rPr>
          <w:rFonts w:hint="eastAsia" w:ascii="仿宋" w:eastAsia="仿宋"/>
          <w:color w:val="000000"/>
          <w:sz w:val="32"/>
          <w:szCs w:val="32"/>
          <w:lang w:val="en-US" w:eastAsia="zh-CN"/>
        </w:rPr>
        <w:t>11.89万元</w:t>
      </w:r>
      <w:r>
        <w:rPr>
          <w:rFonts w:hint="eastAsia" w:ascii="仿宋" w:eastAsia="仿宋"/>
          <w:color w:val="000000"/>
          <w:sz w:val="32"/>
          <w:szCs w:val="32"/>
        </w:rPr>
        <w:t>、</w:t>
      </w:r>
      <w:r>
        <w:rPr>
          <w:rFonts w:hint="eastAsia" w:ascii="仿宋" w:eastAsia="仿宋"/>
          <w:color w:val="000000"/>
          <w:sz w:val="32"/>
          <w:szCs w:val="32"/>
          <w:lang w:val="en-US" w:eastAsia="zh-CN"/>
        </w:rPr>
        <w:t>维修（维护）费27.3万元、租赁费0.7万元、</w:t>
      </w:r>
      <w:r>
        <w:rPr>
          <w:rFonts w:hint="eastAsia" w:ascii="仿宋" w:eastAsia="仿宋"/>
          <w:color w:val="000000"/>
          <w:sz w:val="32"/>
          <w:szCs w:val="32"/>
        </w:rPr>
        <w:t>公务用车运行维护费</w:t>
      </w:r>
      <w:r>
        <w:rPr>
          <w:rFonts w:hint="eastAsia" w:ascii="仿宋" w:eastAsia="仿宋"/>
          <w:color w:val="000000"/>
          <w:sz w:val="32"/>
          <w:szCs w:val="32"/>
          <w:lang w:val="en-US" w:eastAsia="zh-CN"/>
        </w:rPr>
        <w:t>2.99万元</w:t>
      </w:r>
      <w:r>
        <w:rPr>
          <w:rFonts w:hint="eastAsia" w:ascii="仿宋" w:eastAsia="仿宋"/>
          <w:color w:val="000000"/>
          <w:sz w:val="32"/>
          <w:szCs w:val="32"/>
        </w:rPr>
        <w:t>等。</w:t>
      </w:r>
    </w:p>
    <w:p>
      <w:pPr>
        <w:spacing w:line="600" w:lineRule="exact"/>
        <w:ind w:firstLine="640" w:firstLineChars="200"/>
        <w:outlineLvl w:val="1"/>
        <w:rPr>
          <w:rStyle w:val="25"/>
          <w:rFonts w:ascii="黑体" w:eastAsia="黑体"/>
          <w:b w:val="0"/>
        </w:rPr>
      </w:pPr>
      <w:bookmarkStart w:id="42" w:name="_Toc15377215"/>
      <w:bookmarkStart w:id="43" w:name="_Toc15396609"/>
      <w:r>
        <w:rPr>
          <w:rFonts w:hint="eastAsia" w:ascii="黑体" w:eastAsia="黑体"/>
          <w:color w:val="000000"/>
          <w:sz w:val="32"/>
          <w:szCs w:val="32"/>
        </w:rPr>
        <w:t>七、</w:t>
      </w:r>
      <w:r>
        <w:rPr>
          <w:rStyle w:val="25"/>
          <w:rFonts w:hint="eastAsia" w:ascii="黑体" w:eastAsia="黑体"/>
        </w:rPr>
        <w:t>“</w:t>
      </w:r>
      <w:r>
        <w:rPr>
          <w:rStyle w:val="25"/>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年“三公”经费财政拨款支出决算为</w:t>
      </w:r>
      <w:r>
        <w:rPr>
          <w:rFonts w:hint="eastAsia" w:ascii="仿宋" w:eastAsia="仿宋"/>
          <w:color w:val="000000"/>
          <w:sz w:val="32"/>
          <w:szCs w:val="32"/>
          <w:lang w:val="en-US" w:eastAsia="zh-CN"/>
        </w:rPr>
        <w:t>2.99</w:t>
      </w:r>
      <w:r>
        <w:rPr>
          <w:rFonts w:hint="eastAsia" w:ascii="仿宋" w:eastAsia="仿宋"/>
          <w:color w:val="000000"/>
          <w:sz w:val="32"/>
          <w:szCs w:val="32"/>
        </w:rPr>
        <w:t>万元，完成预算</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，决算数</w:t>
      </w:r>
      <w:r>
        <w:rPr>
          <w:rFonts w:hint="eastAsia" w:ascii="仿宋" w:eastAsia="仿宋"/>
          <w:color w:val="000000"/>
          <w:sz w:val="32"/>
          <w:szCs w:val="32"/>
          <w:lang w:val="en-US" w:eastAsia="zh-CN"/>
        </w:rPr>
        <w:t>等于</w:t>
      </w:r>
      <w:r>
        <w:rPr>
          <w:rFonts w:hint="eastAsia" w:ascii="仿宋" w:eastAsia="仿宋"/>
          <w:color w:val="000000"/>
          <w:sz w:val="32"/>
          <w:szCs w:val="32"/>
        </w:rPr>
        <w:t>预算数。</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hint="eastAsia"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年“三公”经费财政拨款支出</w:t>
      </w:r>
      <w:r>
        <w:rPr>
          <w:rFonts w:hint="eastAsia" w:ascii="仿宋" w:eastAsia="仿宋"/>
          <w:color w:val="auto"/>
          <w:sz w:val="32"/>
          <w:szCs w:val="32"/>
        </w:rPr>
        <w:t>决算</w:t>
      </w:r>
      <w:r>
        <w:rPr>
          <w:rFonts w:hint="eastAsia" w:ascii="仿宋" w:eastAsia="仿宋"/>
          <w:color w:val="auto"/>
          <w:sz w:val="32"/>
          <w:szCs w:val="32"/>
          <w:lang w:val="en-US" w:eastAsia="zh-CN"/>
        </w:rPr>
        <w:t>2.99万元</w:t>
      </w:r>
      <w:r>
        <w:rPr>
          <w:rFonts w:hint="eastAsia" w:ascii="仿宋" w:eastAsia="仿宋"/>
          <w:color w:val="000000"/>
          <w:sz w:val="32"/>
          <w:szCs w:val="32"/>
        </w:rPr>
        <w:t>，</w:t>
      </w:r>
      <w:r>
        <w:rPr>
          <w:rFonts w:hint="eastAsia" w:ascii="仿宋" w:eastAsia="仿宋"/>
          <w:color w:val="000000"/>
          <w:sz w:val="32"/>
          <w:szCs w:val="32"/>
          <w:lang w:val="en-US" w:eastAsia="zh-CN"/>
        </w:rPr>
        <w:t>其中：</w:t>
      </w:r>
      <w:r>
        <w:rPr>
          <w:rFonts w:hint="eastAsia" w:ascii="仿宋" w:eastAsia="仿宋"/>
          <w:color w:val="000000"/>
          <w:sz w:val="32"/>
          <w:szCs w:val="32"/>
        </w:rPr>
        <w:t>因公出国（境）费支出决算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；公务用车购置</w:t>
      </w:r>
      <w:r>
        <w:rPr>
          <w:rFonts w:hint="eastAsia" w:ascii="仿宋" w:eastAsia="仿宋"/>
          <w:color w:val="000000"/>
          <w:sz w:val="32"/>
          <w:szCs w:val="32"/>
          <w:lang w:val="en-US" w:eastAsia="zh-CN"/>
        </w:rPr>
        <w:t>0万元；公务用车</w:t>
      </w:r>
      <w:r>
        <w:rPr>
          <w:rFonts w:hint="eastAsia" w:ascii="仿宋" w:eastAsia="仿宋"/>
          <w:color w:val="000000"/>
          <w:sz w:val="32"/>
          <w:szCs w:val="32"/>
        </w:rPr>
        <w:t>运行维护费支出决算</w:t>
      </w:r>
      <w:r>
        <w:rPr>
          <w:rFonts w:hint="eastAsia" w:ascii="仿宋" w:eastAsia="仿宋"/>
          <w:color w:val="000000"/>
          <w:sz w:val="32"/>
          <w:szCs w:val="32"/>
          <w:lang w:val="en-US" w:eastAsia="zh-CN"/>
        </w:rPr>
        <w:t>2.99</w:t>
      </w:r>
      <w:r>
        <w:rPr>
          <w:rFonts w:hint="eastAsia" w:ascii="仿宋" w:eastAsia="仿宋"/>
          <w:color w:val="000000"/>
          <w:sz w:val="32"/>
          <w:szCs w:val="32"/>
        </w:rPr>
        <w:t>万元，占</w:t>
      </w:r>
      <w:r>
        <w:rPr>
          <w:rFonts w:hint="eastAsia" w:ascii="仿宋" w:eastAsia="仿宋"/>
          <w:color w:val="000000"/>
          <w:sz w:val="32"/>
          <w:szCs w:val="32"/>
          <w:lang w:val="en-US" w:eastAsia="zh-CN"/>
        </w:rPr>
        <w:t>100</w:t>
      </w:r>
      <w:r>
        <w:rPr>
          <w:rFonts w:ascii="仿宋" w:eastAsia="仿宋"/>
          <w:color w:val="000000"/>
          <w:sz w:val="32"/>
          <w:szCs w:val="32"/>
        </w:rPr>
        <w:t>%</w:t>
      </w:r>
      <w:r>
        <w:rPr>
          <w:rFonts w:hint="eastAsia" w:ascii="仿宋" w:eastAsia="仿宋"/>
          <w:color w:val="000000"/>
          <w:sz w:val="32"/>
          <w:szCs w:val="32"/>
        </w:rPr>
        <w:t>；公务接待费支出决算</w:t>
      </w:r>
      <w:r>
        <w:rPr>
          <w:rFonts w:hint="eastAsia" w:ascii="仿宋" w:eastAsia="仿宋"/>
          <w:color w:val="000000"/>
          <w:sz w:val="32"/>
          <w:szCs w:val="32"/>
          <w:lang w:val="en-US" w:eastAsia="zh-CN"/>
        </w:rPr>
        <w:t>0</w:t>
      </w:r>
      <w:r>
        <w:rPr>
          <w:rFonts w:hint="eastAsia" w:ascii="仿宋" w:eastAsia="仿宋"/>
          <w:color w:val="000000"/>
          <w:sz w:val="32"/>
          <w:szCs w:val="32"/>
        </w:rPr>
        <w:t>万元，占</w:t>
      </w:r>
      <w:r>
        <w:rPr>
          <w:rFonts w:hint="eastAsia" w:ascii="仿宋" w:eastAsia="仿宋"/>
          <w:color w:val="000000"/>
          <w:sz w:val="32"/>
          <w:szCs w:val="32"/>
          <w:lang w:val="en-US" w:eastAsia="zh-CN"/>
        </w:rPr>
        <w:t>0</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hint="eastAsia" w:ascii="仿宋" w:eastAsia="仿宋"/>
          <w:color w:val="000000"/>
          <w:sz w:val="32"/>
          <w:szCs w:val="32"/>
          <w:lang w:eastAsia="zh-CN"/>
        </w:rPr>
      </w:pPr>
    </w:p>
    <w:p>
      <w:pPr>
        <w:pStyle w:val="17"/>
        <w:rPr>
          <w:rFonts w:hint="eastAsia" w:ascii="仿宋" w:eastAsia="仿宋"/>
          <w:color w:val="000000"/>
          <w:sz w:val="32"/>
          <w:szCs w:val="32"/>
          <w:lang w:eastAsia="zh-CN"/>
        </w:rPr>
      </w:pPr>
      <w:r>
        <w:rPr>
          <w:rFonts w:hint="eastAsia" w:ascii="仿宋" w:eastAsia="仿宋"/>
          <w:color w:val="000000"/>
          <w:sz w:val="32"/>
          <w:szCs w:val="32"/>
          <w:lang w:eastAsia="zh-CN"/>
        </w:rPr>
        <w:drawing>
          <wp:inline distT="0" distB="0" distL="114300" distR="114300">
            <wp:extent cx="5080000" cy="3810000"/>
            <wp:effectExtent l="4445" t="4445" r="20955" b="1460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rPr>
          <w:rFonts w:hint="eastAsia" w:ascii="仿宋" w:eastAsia="仿宋"/>
          <w:color w:val="000000"/>
          <w:sz w:val="32"/>
          <w:szCs w:val="32"/>
          <w:lang w:eastAsia="zh-CN"/>
        </w:rPr>
      </w:pPr>
    </w:p>
    <w:p>
      <w:pPr>
        <w:pStyle w:val="17"/>
        <w:rPr>
          <w:rFonts w:hint="eastAsia" w:ascii="仿宋" w:eastAsia="仿宋"/>
          <w:color w:val="000000"/>
          <w:sz w:val="32"/>
          <w:szCs w:val="32"/>
          <w:lang w:eastAsia="zh-CN"/>
        </w:rPr>
      </w:pPr>
    </w:p>
    <w:p>
      <w:pPr>
        <w:rPr>
          <w:rFonts w:hint="eastAsia" w:ascii="仿宋" w:eastAsia="仿宋"/>
          <w:color w:val="000000"/>
          <w:sz w:val="32"/>
          <w:szCs w:val="32"/>
          <w:lang w:eastAsia="zh-CN"/>
        </w:rPr>
      </w:pPr>
    </w:p>
    <w:p>
      <w:pPr>
        <w:pStyle w:val="17"/>
        <w:ind w:left="0" w:leftChars="0" w:firstLine="0" w:firstLineChars="0"/>
        <w:rPr>
          <w:rFonts w:hint="eastAsia" w:ascii="仿宋" w:eastAsia="仿宋"/>
          <w:color w:val="000000"/>
          <w:sz w:val="32"/>
          <w:szCs w:val="32"/>
          <w:lang w:eastAsia="zh-CN"/>
        </w:rPr>
      </w:pPr>
    </w:p>
    <w:p>
      <w:pPr>
        <w:rPr>
          <w:rFonts w:hint="eastAsia"/>
          <w:lang w:eastAsia="zh-CN"/>
        </w:rPr>
      </w:pP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2"/>
          <w:rFonts w:hint="eastAsia" w:ascii="仿宋" w:eastAsia="仿宋"/>
          <w:b w:val="0"/>
          <w:bCs/>
          <w:color w:val="000000"/>
          <w:sz w:val="32"/>
          <w:szCs w:val="32"/>
        </w:rPr>
        <w:t>完成预算</w:t>
      </w:r>
      <w:r>
        <w:rPr>
          <w:rStyle w:val="22"/>
          <w:rFonts w:hint="eastAsia" w:ascii="仿宋" w:eastAsia="仿宋"/>
          <w:b w:val="0"/>
          <w:bCs/>
          <w:color w:val="000000"/>
          <w:sz w:val="32"/>
          <w:szCs w:val="32"/>
          <w:lang w:val="en-US" w:eastAsia="zh-CN"/>
        </w:rPr>
        <w:t>0</w:t>
      </w:r>
      <w:r>
        <w:rPr>
          <w:rStyle w:val="22"/>
          <w:rFonts w:ascii="仿宋" w:eastAsia="仿宋"/>
          <w:b w:val="0"/>
          <w:bCs/>
          <w:color w:val="000000"/>
          <w:sz w:val="32"/>
          <w:szCs w:val="32"/>
        </w:rPr>
        <w:t>%</w:t>
      </w:r>
      <w:r>
        <w:rPr>
          <w:rStyle w:val="22"/>
          <w:rFonts w:hint="eastAsia" w:ascii="仿宋" w:eastAsia="仿宋"/>
          <w:b w:val="0"/>
          <w:bCs/>
          <w:color w:val="000000"/>
          <w:sz w:val="32"/>
          <w:szCs w:val="32"/>
        </w:rPr>
        <w:t>。</w:t>
      </w:r>
      <w:r>
        <w:rPr>
          <w:rFonts w:hint="eastAsia" w:ascii="仿宋_GB2312" w:eastAsia="仿宋_GB2312"/>
          <w:color w:val="auto"/>
          <w:sz w:val="32"/>
          <w:szCs w:val="32"/>
        </w:rPr>
        <w:t>全年安排因公出国（境）团组</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次，出国（境）</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人。因</w:t>
      </w:r>
      <w:r>
        <w:rPr>
          <w:rFonts w:hint="eastAsia" w:ascii="仿宋_GB2312" w:eastAsia="仿宋_GB2312"/>
          <w:color w:val="000000"/>
          <w:sz w:val="32"/>
          <w:szCs w:val="32"/>
        </w:rPr>
        <w:t>公出国（境）支出决算比</w:t>
      </w:r>
      <w:r>
        <w:rPr>
          <w:rFonts w:hint="eastAsia" w:ascii="仿宋_GB2312" w:eastAsia="仿宋_GB2312"/>
          <w:color w:val="000000"/>
          <w:sz w:val="32"/>
          <w:szCs w:val="32"/>
          <w:lang w:eastAsia="zh-CN"/>
        </w:rPr>
        <w:t>上</w:t>
      </w:r>
      <w:r>
        <w:rPr>
          <w:rFonts w:hint="eastAsia" w:ascii="仿宋_GB2312" w:eastAsia="仿宋_GB2312"/>
          <w:color w:val="000000"/>
          <w:sz w:val="32"/>
          <w:szCs w:val="32"/>
        </w:rPr>
        <w:t>年</w:t>
      </w:r>
      <w:r>
        <w:rPr>
          <w:rFonts w:hint="eastAsia" w:ascii="仿宋_GB2312" w:eastAsia="仿宋_GB2312" w:cs="仿宋"/>
          <w:color w:val="000000"/>
          <w:sz w:val="32"/>
          <w:szCs w:val="32"/>
          <w:lang w:val="en-US" w:eastAsia="zh-CN"/>
        </w:rPr>
        <w:t>增加0万元。</w:t>
      </w:r>
    </w:p>
    <w:p>
      <w:pPr>
        <w:spacing w:line="600" w:lineRule="exact"/>
        <w:ind w:firstLine="640"/>
        <w:rPr>
          <w:rFonts w:hint="default" w:ascii="仿宋_GB2312" w:eastAsia="仿宋_GB2312"/>
          <w:b/>
          <w:color w:val="auto"/>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lang w:val="en-US" w:eastAsia="zh-CN"/>
        </w:rPr>
        <w:t>公务</w:t>
      </w:r>
      <w:r>
        <w:rPr>
          <w:rFonts w:hint="eastAsia" w:ascii="仿宋_GB2312" w:eastAsia="仿宋_GB2312"/>
          <w:b/>
          <w:color w:val="auto"/>
          <w:sz w:val="32"/>
          <w:szCs w:val="32"/>
          <w:shd w:val="clear" w:color="auto" w:fill="auto"/>
        </w:rPr>
        <w:t>用车</w:t>
      </w:r>
      <w:r>
        <w:rPr>
          <w:rFonts w:hint="eastAsia" w:ascii="仿宋_GB2312" w:eastAsia="仿宋_GB2312"/>
          <w:b/>
          <w:color w:val="000000"/>
          <w:sz w:val="32"/>
          <w:szCs w:val="32"/>
          <w:shd w:val="clear" w:color="auto" w:fill="auto"/>
        </w:rPr>
        <w:t>购置</w:t>
      </w:r>
      <w:r>
        <w:rPr>
          <w:rFonts w:hint="eastAsia" w:ascii="仿宋_GB2312" w:eastAsia="仿宋_GB2312"/>
          <w:b/>
          <w:color w:val="000000"/>
          <w:sz w:val="32"/>
          <w:szCs w:val="32"/>
        </w:rPr>
        <w:t>及运行维护费支出</w:t>
      </w:r>
      <w:r>
        <w:rPr>
          <w:rFonts w:hint="eastAsia" w:ascii="仿宋_GB2312" w:eastAsia="仿宋_GB2312"/>
          <w:color w:val="000000"/>
          <w:sz w:val="32"/>
          <w:szCs w:val="32"/>
          <w:lang w:val="en-US" w:eastAsia="zh-CN"/>
        </w:rPr>
        <w:t>2.99</w:t>
      </w:r>
      <w:r>
        <w:rPr>
          <w:rFonts w:hint="eastAsia" w:ascii="仿宋_GB2312" w:eastAsia="仿宋_GB2312"/>
          <w:color w:val="000000"/>
          <w:sz w:val="32"/>
          <w:szCs w:val="32"/>
        </w:rPr>
        <w:t>万元,</w:t>
      </w:r>
      <w:r>
        <w:rPr>
          <w:rStyle w:val="22"/>
          <w:rFonts w:hint="eastAsia" w:ascii="仿宋" w:eastAsia="仿宋"/>
          <w:b w:val="0"/>
          <w:bCs/>
          <w:color w:val="000000"/>
          <w:sz w:val="32"/>
          <w:szCs w:val="32"/>
        </w:rPr>
        <w:t>完成预算</w:t>
      </w:r>
      <w:r>
        <w:rPr>
          <w:rStyle w:val="22"/>
          <w:rFonts w:hint="eastAsia" w:ascii="仿宋" w:eastAsia="仿宋"/>
          <w:b w:val="0"/>
          <w:bCs/>
          <w:color w:val="000000"/>
          <w:sz w:val="32"/>
          <w:szCs w:val="32"/>
          <w:lang w:val="en-US" w:eastAsia="zh-CN"/>
        </w:rPr>
        <w:t>100</w:t>
      </w:r>
      <w:r>
        <w:rPr>
          <w:rStyle w:val="22"/>
          <w:rFonts w:ascii="仿宋" w:eastAsia="仿宋"/>
          <w:b w:val="0"/>
          <w:bCs/>
          <w:color w:val="000000"/>
          <w:sz w:val="32"/>
          <w:szCs w:val="32"/>
        </w:rPr>
        <w:t>%</w:t>
      </w:r>
      <w:r>
        <w:rPr>
          <w:rStyle w:val="22"/>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w:t>
      </w:r>
      <w:r>
        <w:rPr>
          <w:rFonts w:hint="eastAsia" w:ascii="仿宋_GB2312" w:eastAsia="仿宋_GB2312"/>
          <w:color w:val="000000"/>
          <w:sz w:val="32"/>
          <w:szCs w:val="32"/>
          <w:lang w:val="en-US" w:eastAsia="zh-CN"/>
        </w:rPr>
        <w:t>比2022</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增加0.33</w:t>
      </w:r>
      <w:r>
        <w:rPr>
          <w:rFonts w:ascii="仿宋_GB2312" w:eastAsia="仿宋_GB2312"/>
          <w:color w:val="auto"/>
          <w:sz w:val="32"/>
          <w:szCs w:val="32"/>
        </w:rPr>
        <w:t>%</w:t>
      </w:r>
      <w:r>
        <w:rPr>
          <w:rFonts w:hint="eastAsia" w:ascii="仿宋_GB2312" w:eastAsia="仿宋_GB2312"/>
          <w:color w:val="auto"/>
          <w:sz w:val="32"/>
          <w:szCs w:val="32"/>
          <w:lang w:eastAsia="zh-CN"/>
        </w:rPr>
        <w:t>，</w:t>
      </w:r>
      <w:r>
        <w:rPr>
          <w:rFonts w:hint="eastAsia" w:ascii="仿宋_GB2312" w:eastAsia="仿宋_GB2312"/>
          <w:color w:val="auto"/>
          <w:sz w:val="32"/>
          <w:szCs w:val="32"/>
          <w:lang w:val="en-US" w:eastAsia="zh-CN"/>
        </w:rPr>
        <w:t>原因是2024年出差及下乡增加，用车增加。</w:t>
      </w:r>
    </w:p>
    <w:p>
      <w:pPr>
        <w:autoSpaceDE w:val="0"/>
        <w:autoSpaceDN w:val="0"/>
        <w:adjustRightInd w:val="0"/>
        <w:spacing w:line="600" w:lineRule="exact"/>
        <w:ind w:firstLine="640" w:firstLineChars="200"/>
        <w:jc w:val="left"/>
        <w:rPr>
          <w:rFonts w:hint="eastAsia" w:ascii="仿宋_GB2312" w:eastAsia="仿宋_GB2312"/>
          <w:b/>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辆，其中：部级领导干部用车0辆、主要领导干部用车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辆、特种专业技术用车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辆、离退休干部用车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val="0"/>
          <w:bCs/>
          <w:color w:val="000000"/>
          <w:sz w:val="32"/>
          <w:szCs w:val="32"/>
          <w:lang w:val="en-US" w:eastAsia="zh-CN"/>
        </w:rPr>
        <w:t>2.99</w:t>
      </w:r>
      <w:r>
        <w:rPr>
          <w:rFonts w:hint="eastAsia" w:ascii="仿宋_GB2312" w:eastAsia="仿宋_GB2312"/>
          <w:color w:val="auto"/>
          <w:sz w:val="32"/>
          <w:szCs w:val="32"/>
        </w:rPr>
        <w:t>万元。</w:t>
      </w:r>
      <w:r>
        <w:rPr>
          <w:rFonts w:hint="eastAsia" w:ascii="仿宋_GB2312" w:eastAsia="仿宋_GB2312"/>
          <w:color w:val="000000"/>
          <w:sz w:val="32"/>
          <w:szCs w:val="32"/>
        </w:rPr>
        <w:t>主要用</w:t>
      </w:r>
      <w:r>
        <w:rPr>
          <w:rFonts w:hint="eastAsia" w:ascii="仿宋_GB2312" w:eastAsia="仿宋_GB2312"/>
          <w:color w:val="000000"/>
          <w:sz w:val="32"/>
          <w:szCs w:val="32"/>
          <w:lang w:val="en-US" w:eastAsia="zh-CN"/>
        </w:rPr>
        <w:t>我单位</w:t>
      </w:r>
      <w:r>
        <w:rPr>
          <w:rFonts w:hint="eastAsia" w:ascii="仿宋_GB2312" w:eastAsia="仿宋_GB2312"/>
          <w:color w:val="000000"/>
          <w:sz w:val="32"/>
          <w:szCs w:val="32"/>
        </w:rPr>
        <w:t>所需的公务用车燃料费、维修费、过路过桥费、保险费等支出。</w:t>
      </w:r>
    </w:p>
    <w:p>
      <w:pPr>
        <w:numPr>
          <w:ilvl w:val="0"/>
          <w:numId w:val="4"/>
        </w:numPr>
        <w:spacing w:line="600" w:lineRule="exact"/>
        <w:ind w:left="0" w:firstLine="640"/>
        <w:rPr>
          <w:rFonts w:hint="eastAsia" w:ascii="仿宋_GB2312" w:eastAsia="仿宋_GB2312" w:cs="仿宋"/>
          <w:color w:val="000000"/>
          <w:sz w:val="32"/>
          <w:szCs w:val="32"/>
          <w:lang w:val="en-US" w:eastAsia="zh-CN"/>
        </w:rPr>
      </w:pPr>
      <w:r>
        <w:rPr>
          <w:rFonts w:hint="eastAsia" w:ascii="仿宋_GB2312" w:eastAsia="仿宋_GB2312"/>
          <w:b/>
          <w:color w:val="000000"/>
          <w:sz w:val="32"/>
          <w:szCs w:val="32"/>
        </w:rPr>
        <w:t>公务接待费支出</w:t>
      </w:r>
      <w:r>
        <w:rPr>
          <w:rFonts w:hint="eastAsia" w:ascii="仿宋_GB2312" w:eastAsia="仿宋_GB2312"/>
          <w:b w:val="0"/>
          <w:bCs/>
          <w:color w:val="000000"/>
          <w:sz w:val="32"/>
          <w:szCs w:val="32"/>
          <w:lang w:val="en-US" w:eastAsia="zh-CN"/>
        </w:rPr>
        <w:t>0</w:t>
      </w:r>
      <w:r>
        <w:rPr>
          <w:rFonts w:hint="eastAsia" w:ascii="仿宋_GB2312" w:eastAsia="仿宋_GB2312"/>
          <w:color w:val="000000"/>
          <w:sz w:val="32"/>
          <w:szCs w:val="32"/>
        </w:rPr>
        <w:t>万元，</w:t>
      </w:r>
      <w:r>
        <w:rPr>
          <w:rStyle w:val="22"/>
          <w:rFonts w:hint="eastAsia" w:ascii="仿宋" w:eastAsia="仿宋"/>
          <w:b w:val="0"/>
          <w:bCs/>
          <w:color w:val="000000"/>
          <w:sz w:val="32"/>
          <w:szCs w:val="32"/>
        </w:rPr>
        <w:t>完成预算</w:t>
      </w:r>
      <w:r>
        <w:rPr>
          <w:rStyle w:val="22"/>
          <w:rFonts w:hint="eastAsia" w:ascii="仿宋" w:eastAsia="仿宋"/>
          <w:b w:val="0"/>
          <w:bCs/>
          <w:color w:val="000000"/>
          <w:sz w:val="32"/>
          <w:szCs w:val="32"/>
          <w:lang w:val="en-US" w:eastAsia="zh-CN"/>
        </w:rPr>
        <w:t>0</w:t>
      </w:r>
      <w:r>
        <w:rPr>
          <w:rStyle w:val="22"/>
          <w:rFonts w:ascii="仿宋" w:eastAsia="仿宋"/>
          <w:b w:val="0"/>
          <w:bCs/>
          <w:color w:val="000000"/>
          <w:sz w:val="32"/>
          <w:szCs w:val="32"/>
        </w:rPr>
        <w:t>%</w:t>
      </w:r>
      <w:r>
        <w:rPr>
          <w:rStyle w:val="22"/>
          <w:rFonts w:hint="eastAsia" w:ascii="仿宋" w:eastAsia="仿宋"/>
          <w:b w:val="0"/>
          <w:bCs/>
          <w:color w:val="000000"/>
          <w:sz w:val="32"/>
          <w:szCs w:val="32"/>
        </w:rPr>
        <w:t>。</w:t>
      </w:r>
      <w:r>
        <w:rPr>
          <w:rFonts w:hint="eastAsia" w:ascii="仿宋_GB2312" w:eastAsia="仿宋_GB2312" w:cs="仿宋"/>
          <w:color w:val="000000"/>
          <w:sz w:val="32"/>
          <w:szCs w:val="32"/>
          <w:lang w:val="en-US" w:eastAsia="zh-CN"/>
        </w:rPr>
        <w:t>公务接待费0万元，较上年不变。</w:t>
      </w:r>
    </w:p>
    <w:p>
      <w:pPr>
        <w:spacing w:line="600" w:lineRule="exact"/>
        <w:ind w:firstLine="640"/>
        <w:outlineLvl w:val="1"/>
        <w:rPr>
          <w:rFonts w:hint="eastAsia"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lang w:val="en-US" w:eastAsia="zh-CN"/>
        </w:rPr>
        <w:t>0</w:t>
      </w:r>
      <w:r>
        <w:rPr>
          <w:rFonts w:hint="eastAsia" w:ascii="仿宋_GB2312" w:eastAsia="仿宋_GB2312"/>
          <w:color w:val="000000"/>
          <w:sz w:val="32"/>
          <w:szCs w:val="32"/>
        </w:rPr>
        <w:t>万元，外事接待</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批次，</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人，共计支出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bookmarkStart w:id="46" w:name="_Toc15396610"/>
      <w:bookmarkStart w:id="47" w:name="_Toc15377218"/>
    </w:p>
    <w:p>
      <w:pPr>
        <w:spacing w:line="600" w:lineRule="exact"/>
        <w:ind w:firstLine="640"/>
        <w:outlineLvl w:val="1"/>
        <w:rPr>
          <w:rStyle w:val="25"/>
          <w:rFonts w:ascii="黑体" w:eastAsia="黑体"/>
        </w:rPr>
      </w:pPr>
      <w:r>
        <w:rPr>
          <w:rFonts w:hint="eastAsia" w:ascii="黑体" w:eastAsia="黑体"/>
          <w:color w:val="000000"/>
          <w:sz w:val="32"/>
          <w:szCs w:val="32"/>
        </w:rPr>
        <w:t>八、</w:t>
      </w:r>
      <w:r>
        <w:rPr>
          <w:rStyle w:val="25"/>
          <w:rFonts w:hint="eastAsia" w:ascii="黑体" w:eastAsia="黑体"/>
          <w:b w:val="0"/>
        </w:rPr>
        <w:t>政府性基金预算支出决算情况说明</w:t>
      </w:r>
      <w:bookmarkEnd w:id="46"/>
      <w:bookmarkEnd w:id="47"/>
    </w:p>
    <w:p>
      <w:pPr>
        <w:spacing w:line="600" w:lineRule="exact"/>
        <w:ind w:firstLine="640"/>
        <w:rPr>
          <w:rFonts w:hint="default" w:ascii="仿宋_GB2312" w:eastAsia="仿宋_GB2312"/>
          <w:color w:val="000000"/>
          <w:sz w:val="32"/>
          <w:szCs w:val="32"/>
          <w:lang w:val="en-US"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37.88.14</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较上年有所增加，增加4351.58%，增加原因是2024年增加政府基金项目支出。</w:t>
      </w:r>
    </w:p>
    <w:p>
      <w:pPr>
        <w:numPr>
          <w:ilvl w:val="0"/>
          <w:numId w:val="5"/>
        </w:numPr>
        <w:spacing w:line="600" w:lineRule="exact"/>
        <w:ind w:left="0" w:firstLine="640"/>
        <w:outlineLvl w:val="1"/>
        <w:rPr>
          <w:rStyle w:val="25"/>
          <w:rFonts w:ascii="黑体" w:eastAsia="黑体"/>
          <w:b w:val="0"/>
        </w:rPr>
      </w:pPr>
      <w:bookmarkStart w:id="48" w:name="_Toc15396611"/>
      <w:bookmarkStart w:id="49" w:name="_Toc15377219"/>
      <w:r>
        <w:rPr>
          <w:rStyle w:val="25"/>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s="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outlineLvl w:val="1"/>
        <w:rPr>
          <w:rStyle w:val="25"/>
          <w:rFonts w:ascii="黑体" w:eastAsia="黑体"/>
        </w:rPr>
      </w:pPr>
      <w:bookmarkStart w:id="50" w:name="_Toc15396612"/>
      <w:bookmarkStart w:id="51" w:name="_Toc15377221"/>
      <w:r>
        <w:rPr>
          <w:rFonts w:hint="eastAsia" w:ascii="黑体" w:eastAsia="黑体"/>
          <w:color w:val="000000"/>
          <w:sz w:val="32"/>
          <w:szCs w:val="32"/>
        </w:rPr>
        <w:t>十</w:t>
      </w:r>
      <w:r>
        <w:rPr>
          <w:rStyle w:val="25"/>
          <w:rFonts w:hint="eastAsia" w:ascii="黑体" w:eastAsia="黑体"/>
        </w:rPr>
        <w:t>、</w:t>
      </w:r>
      <w:r>
        <w:rPr>
          <w:rStyle w:val="25"/>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firstLineChars="200"/>
        <w:rPr>
          <w:rFonts w:ascii="仿宋_GB2312" w:eastAsia="仿宋_GB2312"/>
          <w:color w:val="auto"/>
          <w:sz w:val="32"/>
          <w:szCs w:val="32"/>
          <w:lang w:val="en-US"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w:t>
      </w:r>
      <w:r>
        <w:rPr>
          <w:rFonts w:hint="eastAsia" w:ascii="仿宋_GB2312" w:eastAsia="仿宋_GB2312"/>
          <w:sz w:val="32"/>
          <w:szCs w:val="32"/>
          <w:lang w:eastAsia="zh-CN"/>
        </w:rPr>
        <w:t>金川县住房和城乡建设局</w:t>
      </w:r>
      <w:r>
        <w:rPr>
          <w:rFonts w:hint="eastAsia" w:ascii="仿宋_GB2312" w:eastAsia="仿宋_GB2312"/>
          <w:color w:val="000000"/>
          <w:sz w:val="32"/>
          <w:szCs w:val="32"/>
        </w:rPr>
        <w:t>运行经费支出</w:t>
      </w:r>
      <w:r>
        <w:rPr>
          <w:rFonts w:hint="eastAsia" w:ascii="仿宋_GB2312" w:eastAsia="仿宋_GB2312"/>
          <w:color w:val="000000"/>
          <w:sz w:val="32"/>
          <w:szCs w:val="32"/>
          <w:lang w:val="en-US" w:eastAsia="zh-CN"/>
        </w:rPr>
        <w:t>54.98</w:t>
      </w:r>
      <w:r>
        <w:rPr>
          <w:rFonts w:hint="eastAsia" w:ascii="仿宋_GB2312" w:eastAsia="仿宋_GB2312"/>
          <w:color w:val="000000"/>
          <w:sz w:val="32"/>
          <w:szCs w:val="32"/>
        </w:rPr>
        <w:t>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23</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增加47.93</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增加679</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auto"/>
          <w:sz w:val="32"/>
          <w:szCs w:val="32"/>
        </w:rPr>
        <w:t>主要原因</w:t>
      </w:r>
      <w:r>
        <w:rPr>
          <w:rFonts w:hint="eastAsia" w:ascii="仿宋_GB2312" w:eastAsia="仿宋_GB2312"/>
          <w:color w:val="auto"/>
          <w:sz w:val="32"/>
          <w:szCs w:val="32"/>
          <w:lang w:val="en-US" w:eastAsia="zh-CN"/>
        </w:rPr>
        <w:t>为本年度单位会议室维修等。</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hint="default" w:ascii="仿宋" w:eastAsia="仿宋_GB2312"/>
          <w:b/>
          <w:color w:val="auto"/>
          <w:sz w:val="32"/>
          <w:szCs w:val="32"/>
          <w:lang w:val="en-US" w:eastAsia="zh-CN"/>
        </w:rPr>
      </w:pPr>
      <w:r>
        <w:rPr>
          <w:rFonts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年，政府采购支出总额</w:t>
      </w:r>
      <w:r>
        <w:rPr>
          <w:rFonts w:hint="eastAsia" w:ascii="仿宋_GB2312" w:eastAsia="仿宋_GB2312"/>
          <w:color w:val="000000"/>
          <w:sz w:val="32"/>
          <w:szCs w:val="32"/>
          <w:lang w:val="en-US" w:eastAsia="zh-CN"/>
        </w:rPr>
        <w:t>203.6</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w:t>
      </w:r>
      <w:r>
        <w:rPr>
          <w:rFonts w:hint="eastAsia" w:ascii="仿宋_GB2312" w:eastAsia="仿宋_GB2312"/>
          <w:color w:val="000000"/>
          <w:sz w:val="32"/>
          <w:szCs w:val="32"/>
          <w:lang w:eastAsia="zh-CN"/>
        </w:rPr>
        <w:t>工程</w:t>
      </w:r>
      <w:r>
        <w:rPr>
          <w:rFonts w:hint="eastAsia" w:ascii="仿宋_GB2312" w:eastAsia="仿宋_GB2312"/>
          <w:color w:val="000000"/>
          <w:sz w:val="32"/>
          <w:szCs w:val="32"/>
        </w:rPr>
        <w:t>支出</w:t>
      </w:r>
      <w:r>
        <w:rPr>
          <w:rFonts w:hint="eastAsia" w:ascii="仿宋_GB2312" w:eastAsia="仿宋_GB2312"/>
          <w:color w:val="000000"/>
          <w:sz w:val="32"/>
          <w:szCs w:val="32"/>
          <w:lang w:val="en-US" w:eastAsia="zh-CN"/>
        </w:rPr>
        <w:t>203.6</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、政府采购服务支出0万元</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主要用于基建项目监理、勘察设计等费用。</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hint="eastAsia" w:ascii="仿宋_GB2312" w:eastAsia="仿宋_GB2312"/>
          <w:b/>
          <w:color w:val="000000"/>
          <w:sz w:val="32"/>
          <w:szCs w:val="32"/>
          <w:lang w:val="en-US" w:eastAsia="zh-CN"/>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为日常工作及</w:t>
      </w:r>
      <w:r>
        <w:rPr>
          <w:rFonts w:hint="eastAsia" w:ascii="仿宋_GB2312" w:eastAsia="仿宋_GB2312"/>
          <w:color w:val="000000"/>
          <w:sz w:val="32"/>
          <w:szCs w:val="32"/>
        </w:rPr>
        <w:t>应急保障用车</w:t>
      </w:r>
      <w:r>
        <w:rPr>
          <w:rFonts w:hint="eastAsia" w:ascii="仿宋_GB2312" w:eastAsia="仿宋_GB2312"/>
          <w:color w:val="000000"/>
          <w:sz w:val="32"/>
          <w:szCs w:val="32"/>
          <w:lang w:eastAsia="zh-CN"/>
        </w:rPr>
        <w:t>。</w:t>
      </w:r>
      <w:r>
        <w:rPr>
          <w:rFonts w:hint="eastAsia" w:ascii="仿宋_GB2312" w:eastAsia="仿宋_GB2312"/>
          <w:b/>
          <w:color w:val="000000"/>
          <w:sz w:val="32"/>
          <w:szCs w:val="32"/>
          <w:lang w:val="en-US" w:eastAsia="zh-CN"/>
        </w:rPr>
        <w:t xml:space="preserve">  </w:t>
      </w:r>
    </w:p>
    <w:p>
      <w:pPr>
        <w:widowControl/>
        <w:ind w:firstLine="643" w:firstLineChars="200"/>
        <w:jc w:val="left"/>
        <w:rPr>
          <w:rFonts w:ascii="仿宋" w:eastAsia="仿宋"/>
          <w:b/>
          <w:sz w:val="32"/>
          <w:szCs w:val="32"/>
        </w:rPr>
      </w:pPr>
      <w:r>
        <w:rPr>
          <w:rFonts w:hint="eastAsia" w:ascii="仿宋" w:eastAsia="仿宋"/>
          <w:b/>
          <w:sz w:val="32"/>
          <w:szCs w:val="32"/>
        </w:rPr>
        <w:t>（四）预算绩效管理情况</w:t>
      </w:r>
    </w:p>
    <w:p>
      <w:pPr>
        <w:widowControl/>
        <w:ind w:firstLine="640" w:firstLineChars="200"/>
        <w:jc w:val="left"/>
        <w:rPr>
          <w:rFonts w:hint="eastAsia" w:ascii="仿宋_GB2312" w:eastAsia="仿宋_GB2312"/>
          <w:b/>
          <w:color w:val="000000"/>
          <w:sz w:val="32"/>
          <w:szCs w:val="32"/>
          <w:lang w:val="en-US" w:eastAsia="zh-CN"/>
        </w:rPr>
      </w:pPr>
      <w:r>
        <w:rPr>
          <w:rFonts w:hint="eastAsia" w:ascii="仿宋_GB2312" w:eastAsia="仿宋_GB2312" w:cs="仿宋_GB2312"/>
          <w:sz w:val="32"/>
          <w:szCs w:val="32"/>
          <w:highlight w:val="none"/>
        </w:rPr>
        <w:t>根据预算绩效管理要求，本部门在202</w:t>
      </w:r>
      <w:r>
        <w:rPr>
          <w:rFonts w:hint="eastAsia" w:ascii="仿宋_GB2312" w:eastAsia="仿宋_GB2312" w:cs="仿宋_GB2312"/>
          <w:sz w:val="32"/>
          <w:szCs w:val="32"/>
          <w:highlight w:val="none"/>
          <w:lang w:val="en-US" w:eastAsia="zh-CN"/>
        </w:rPr>
        <w:t>4</w:t>
      </w:r>
      <w:r>
        <w:rPr>
          <w:rFonts w:hint="eastAsia" w:ascii="仿宋_GB2312" w:eastAsia="仿宋_GB2312" w:cs="仿宋_GB2312"/>
          <w:sz w:val="32"/>
          <w:szCs w:val="32"/>
          <w:highlight w:val="none"/>
        </w:rPr>
        <w:t>年度预算编制阶段，组织对</w:t>
      </w:r>
      <w:r>
        <w:rPr>
          <w:rFonts w:hint="eastAsia" w:ascii="仿宋_GB2312" w:hAnsi="Times New Roman" w:eastAsia="仿宋_GB2312" w:cs="仿宋_GB2312"/>
          <w:sz w:val="32"/>
          <w:szCs w:val="32"/>
          <w:highlight w:val="none"/>
        </w:rPr>
        <w:t>金川县勒乌镇龙河村推进乡村建设重点基础设施项</w:t>
      </w:r>
      <w:r>
        <w:rPr>
          <w:rFonts w:ascii="宋体" w:hAnsi="宋体" w:eastAsia="宋体" w:cs="宋体"/>
          <w:sz w:val="24"/>
          <w:szCs w:val="24"/>
        </w:rPr>
        <w:t>目</w:t>
      </w:r>
      <w:r>
        <w:rPr>
          <w:rFonts w:hint="eastAsia" w:ascii="仿宋_GB2312" w:eastAsia="仿宋_GB2312" w:cs="仿宋_GB2312"/>
          <w:sz w:val="32"/>
          <w:szCs w:val="32"/>
          <w:highlight w:val="none"/>
        </w:rPr>
        <w:t>等</w:t>
      </w:r>
      <w:r>
        <w:rPr>
          <w:rFonts w:hint="eastAsia" w:ascii="仿宋_GB2312" w:eastAsia="仿宋_GB2312" w:cs="仿宋_GB2312"/>
          <w:sz w:val="32"/>
          <w:szCs w:val="32"/>
          <w:highlight w:val="none"/>
          <w:lang w:val="en-US" w:eastAsia="zh-CN"/>
        </w:rPr>
        <w:t>17</w:t>
      </w:r>
      <w:r>
        <w:rPr>
          <w:rFonts w:hint="eastAsia" w:ascii="仿宋_GB2312" w:eastAsia="仿宋_GB2312" w:cs="仿宋_GB2312"/>
          <w:sz w:val="32"/>
          <w:szCs w:val="32"/>
          <w:highlight w:val="none"/>
        </w:rPr>
        <w:t>个项目开展了预算事前绩效评估，对</w:t>
      </w:r>
      <w:r>
        <w:rPr>
          <w:rFonts w:hint="eastAsia" w:ascii="仿宋_GB2312" w:eastAsia="仿宋_GB2312" w:cs="仿宋_GB2312"/>
          <w:sz w:val="32"/>
          <w:szCs w:val="32"/>
          <w:highlight w:val="none"/>
          <w:lang w:val="en-US" w:eastAsia="zh-CN"/>
        </w:rPr>
        <w:t>17</w:t>
      </w:r>
      <w:r>
        <w:rPr>
          <w:rFonts w:hint="eastAsia" w:ascii="仿宋_GB2312" w:eastAsia="仿宋_GB2312" w:cs="仿宋_GB2312"/>
          <w:sz w:val="32"/>
          <w:szCs w:val="32"/>
          <w:highlight w:val="none"/>
        </w:rPr>
        <w:t>个项目编制了绩效目标，预算执行过程中，选取</w:t>
      </w:r>
      <w:r>
        <w:rPr>
          <w:rFonts w:hint="eastAsia" w:ascii="仿宋_GB2312" w:eastAsia="仿宋_GB2312" w:cs="仿宋_GB2312"/>
          <w:sz w:val="32"/>
          <w:szCs w:val="32"/>
          <w:highlight w:val="none"/>
          <w:lang w:val="en-US" w:eastAsia="zh-CN"/>
        </w:rPr>
        <w:t>17</w:t>
      </w:r>
      <w:r>
        <w:rPr>
          <w:rFonts w:hint="eastAsia" w:ascii="仿宋_GB2312" w:eastAsia="仿宋_GB2312" w:cs="仿宋_GB2312"/>
          <w:sz w:val="32"/>
          <w:szCs w:val="32"/>
          <w:highlight w:val="none"/>
        </w:rPr>
        <w:t>个项目开展绩效监控</w:t>
      </w:r>
      <w:r>
        <w:rPr>
          <w:rFonts w:hint="eastAsia" w:ascii="仿宋_GB2312" w:eastAsia="仿宋_GB2312" w:cs="仿宋_GB2312"/>
          <w:sz w:val="32"/>
          <w:szCs w:val="32"/>
          <w:highlight w:val="none"/>
          <w:lang w:eastAsia="zh-CN"/>
        </w:rPr>
        <w:t>。</w:t>
      </w:r>
    </w:p>
    <w:p>
      <w:pPr>
        <w:numPr>
          <w:ilvl w:val="0"/>
          <w:numId w:val="6"/>
        </w:numPr>
        <w:spacing w:line="600" w:lineRule="exact"/>
        <w:ind w:left="0" w:firstLine="663" w:firstLineChars="150"/>
        <w:jc w:val="center"/>
        <w:outlineLvl w:val="0"/>
        <w:rPr>
          <w:rStyle w:val="24"/>
          <w:rFonts w:ascii="黑体" w:eastAsia="黑体"/>
          <w:b w:val="0"/>
        </w:rPr>
      </w:pPr>
      <w:bookmarkStart w:id="55" w:name="_Toc15396613"/>
      <w:bookmarkStart w:id="56" w:name="_Toc15377225"/>
      <w:r>
        <w:rPr>
          <w:rFonts w:hint="eastAsia" w:ascii="黑体" w:eastAsia="黑体"/>
          <w:b/>
          <w:color w:val="000000"/>
          <w:sz w:val="44"/>
          <w:szCs w:val="44"/>
        </w:rPr>
        <w:t>名</w:t>
      </w:r>
      <w:r>
        <w:rPr>
          <w:rStyle w:val="24"/>
          <w:rFonts w:hint="eastAsia" w:ascii="黑体" w:eastAsia="黑体"/>
          <w:b w:val="0"/>
        </w:rPr>
        <w:t>词解释</w:t>
      </w:r>
      <w:bookmarkEnd w:id="55"/>
      <w:bookmarkEnd w:id="56"/>
    </w:p>
    <w:p>
      <w:pPr>
        <w:pStyle w:val="17"/>
      </w:pPr>
    </w:p>
    <w:p>
      <w:pPr>
        <w:pStyle w:val="29"/>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9"/>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val="en-US" w:eastAsia="zh-CN"/>
        </w:rPr>
        <w:t>银行存款利息和伙食团缴费</w:t>
      </w:r>
      <w:r>
        <w:rPr>
          <w:rFonts w:hint="eastAsia" w:ascii="仿宋_GB2312" w:eastAsia="仿宋_GB2312"/>
          <w:sz w:val="32"/>
          <w:szCs w:val="32"/>
        </w:rPr>
        <w:t>等。</w:t>
      </w:r>
      <w:r>
        <w:rPr>
          <w:rFonts w:ascii="仿宋_GB2312" w:eastAsia="仿宋_GB2312"/>
          <w:sz w:val="32"/>
          <w:szCs w:val="32"/>
        </w:rPr>
        <w:t xml:space="preserve"> </w:t>
      </w:r>
    </w:p>
    <w:p>
      <w:pPr>
        <w:pStyle w:val="29"/>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9"/>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9"/>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、年末结转和结余：指单位按有关规定结转到下年或以后年度继续使用的资金。</w:t>
      </w:r>
    </w:p>
    <w:p>
      <w:pPr>
        <w:pStyle w:val="29"/>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8、社会保障和就业支出（类）行政事业单位养老支出（款） 机关事业单位基本养老保险缴费支出（项）: 指单位为职工缴纳的基本养老保险费。</w:t>
      </w:r>
    </w:p>
    <w:p>
      <w:pPr>
        <w:pStyle w:val="29"/>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9、社会保障和就业支出（类）行政事业单位养老支出（款）  机关事业单位职业年金缴费支出（项）: 指单位为职工实际缴纳的职业年金。</w:t>
      </w:r>
    </w:p>
    <w:p>
      <w:pPr>
        <w:pStyle w:val="29"/>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10、卫生健康支出（类）行政事业单位医疗（款）行政单位医疗（项）:指反映职工缴纳的基本医疗保险费。</w:t>
      </w:r>
    </w:p>
    <w:p>
      <w:pPr>
        <w:pStyle w:val="29"/>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11、卫生健康支出（类）行政事业单位医疗（款）事业单位医疗（项）:事业单位基本医疗保险缴费。</w:t>
      </w:r>
    </w:p>
    <w:p>
      <w:pPr>
        <w:pStyle w:val="29"/>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12、卫生健康支出（类）行政事业单位医疗（款）公务员医疗补助（项）:指按规定可享受公务员医疗补助单位为职工缴纳的公务员医疗补助费。</w:t>
      </w:r>
    </w:p>
    <w:p>
      <w:pPr>
        <w:pStyle w:val="29"/>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13、卫生健康支出（类）行政事业单位医疗（款）其他行政事业单位医疗支出（项）:指其他用于行政事业单位医疗方面的支出。</w:t>
      </w:r>
    </w:p>
    <w:p>
      <w:pPr>
        <w:pStyle w:val="29"/>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14、城乡社区支出（类）城乡社区管理事务（款）行政运行（项）：指行政单位的基本支出。</w:t>
      </w:r>
    </w:p>
    <w:p>
      <w:pPr>
        <w:pStyle w:val="29"/>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15、城乡社区支出（类）城乡社区管理事务（款）机关服务（项）：反映为行政单位（包括实行公务员管理的事业单位）提供后勤服务的各类后勤服务中心、医务室等附属事业单位的支出。</w:t>
      </w:r>
    </w:p>
    <w:p>
      <w:pPr>
        <w:pStyle w:val="29"/>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16、城乡社区支出（类）城乡社区管理事务（款）其他城乡社区管理事务支出（项）：指其他用于城乡社区管理事务方面的支出。</w:t>
      </w:r>
    </w:p>
    <w:p>
      <w:pPr>
        <w:pStyle w:val="29"/>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17、城乡社区支出（类）城乡社区公共设施（款）其他城乡社区公共设施支出（项）：指其他用于城乡社区公共设施方面的支出。</w:t>
      </w:r>
    </w:p>
    <w:p>
      <w:pPr>
        <w:pStyle w:val="29"/>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18、节能环保支出（类）生态保护（款）生态保护（项）：反映生态功能区、生态示范区、生态省市县管理及能力建设、日常管护、宣教、试点示范等支出，生态修复支出，资源开发生态监管支出，生态护林员的劳务报酬等支出。</w:t>
      </w:r>
    </w:p>
    <w:p>
      <w:pPr>
        <w:pStyle w:val="29"/>
        <w:spacing w:line="560" w:lineRule="exact"/>
        <w:ind w:firstLine="640" w:firstLineChars="200"/>
        <w:rPr>
          <w:rFonts w:hint="default"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19节能环保支出（类）其他节能环保支出（款）其他节能环保支出（项）：反应其他节能环保方面的支出。</w:t>
      </w:r>
    </w:p>
    <w:p>
      <w:pPr>
        <w:pStyle w:val="29"/>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20、城乡社区支出（类）其他城乡社区支出（款）其他城乡社区支出（项）：指其他用于城乡社区方面的支出。</w:t>
      </w:r>
    </w:p>
    <w:p>
      <w:pPr>
        <w:pStyle w:val="29"/>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21、城乡社区支出（类）城乡社区规划与管理（款）城乡社区规划与管理（项）：反映用于城乡社区、防灾减灾、历史名城规划制定与管理方面的支出。</w:t>
      </w:r>
    </w:p>
    <w:p>
      <w:pPr>
        <w:pStyle w:val="29"/>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22、农林水支出（类）巩固脱贫衔接乡村振兴（款）其他巩固脱贫衔接乡村振兴支出（项）：指其他用于巩固脱贫衔接乡村振兴方面的支出。</w:t>
      </w:r>
    </w:p>
    <w:p>
      <w:pPr>
        <w:pStyle w:val="29"/>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23、14.城乡社区支出（类）城乡社区公共设施（款）小城镇基础设施建设（项）：指其他用于小城镇路、气、水、电等基础设施建设方面的支出。</w:t>
      </w:r>
    </w:p>
    <w:p>
      <w:pPr>
        <w:pStyle w:val="29"/>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24、住房保障支出（类）保障性安居工程支出（款）老旧小区改造（项）：指用于老旧小区改造方面的支出。</w:t>
      </w:r>
    </w:p>
    <w:p>
      <w:pPr>
        <w:pStyle w:val="29"/>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25、住房保障支出（类）住房改革支出（款）住房公积金（项）：指单位按规定为职工缴纳的住房公积金。</w:t>
      </w:r>
    </w:p>
    <w:p>
      <w:pPr>
        <w:pStyle w:val="29"/>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26.住房保障支出（类）保障性安居工程支出（款）农村危房改造（项）：指农村危房改造方面的支出。</w:t>
      </w:r>
    </w:p>
    <w:p>
      <w:pPr>
        <w:pStyle w:val="29"/>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27.住房保障支出（类）保障性安居工程支出（款）其他保障性安居工程支出（项）：用于其他保障性住房方面的支出。</w:t>
      </w:r>
    </w:p>
    <w:p>
      <w:pPr>
        <w:pStyle w:val="29"/>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28.住房保障支出（类）城乡社区住宅（款）公有住房建设和维修改造支出：用于公有住房建设及尚未出售或不可出售公有住房维修改造支出。</w:t>
      </w:r>
    </w:p>
    <w:p>
      <w:pPr>
        <w:pStyle w:val="29"/>
        <w:spacing w:line="560" w:lineRule="exact"/>
        <w:ind w:firstLine="640" w:firstLineChars="200"/>
        <w:rPr>
          <w:rFonts w:hint="default"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29.住房保障支出（类）城乡社区住宅（款）其他城乡社区住宅支出：用于其他城乡社区住宅方面的支出。</w:t>
      </w:r>
    </w:p>
    <w:p>
      <w:pPr>
        <w:pStyle w:val="29"/>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30、社会保障和就业支出（类）抚恤（款）死亡抚恤（项）：节能环保支出（类）其他节能环保支出（款）其他节能环保支出（项）：指烈士和牺牲、病故人员家属的一次性和定期抚恤金、丧葬补助费以及烈士褒扬金支出项目。</w:t>
      </w:r>
    </w:p>
    <w:p>
      <w:pPr>
        <w:pStyle w:val="29"/>
        <w:spacing w:line="560" w:lineRule="exact"/>
        <w:ind w:firstLine="640" w:firstLineChars="200"/>
        <w:rPr>
          <w:rFonts w:hint="eastAsia" w:ascii="仿宋_GB2312" w:hAnsi="Times New Roman" w:eastAsia="仿宋_GB2312"/>
          <w:sz w:val="32"/>
          <w:szCs w:val="32"/>
          <w:lang w:val="en-US" w:eastAsia="zh-CN"/>
        </w:rPr>
      </w:pPr>
      <w:r>
        <w:rPr>
          <w:rFonts w:hint="eastAsia" w:ascii="仿宋_GB2312" w:hAnsi="Times New Roman" w:eastAsia="仿宋_GB2312"/>
          <w:sz w:val="32"/>
          <w:szCs w:val="32"/>
          <w:lang w:val="en-US" w:eastAsia="zh-CN"/>
        </w:rPr>
        <w:t>31、基本支出：指为保障机构正常运转、完成日常工作任务而发生的人员支出和公用支出。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32、</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9"/>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33、</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9"/>
        <w:spacing w:line="56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34、</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bookmarkStart w:id="57" w:name="_Toc15396615"/>
      <w:bookmarkStart w:id="58" w:name="_Toc15396614"/>
      <w:bookmarkStart w:id="59" w:name="_Toc15377226"/>
    </w:p>
    <w:p>
      <w:pPr>
        <w:pStyle w:val="4"/>
        <w:rPr>
          <w:rStyle w:val="24"/>
          <w:rFonts w:ascii="仿宋" w:eastAsia="仿宋"/>
          <w:b w:val="0"/>
          <w:bCs w:val="0"/>
          <w:sz w:val="32"/>
          <w:szCs w:val="32"/>
        </w:rPr>
      </w:pPr>
      <w:r>
        <w:rPr>
          <w:rStyle w:val="24"/>
          <w:rFonts w:hint="eastAsia" w:ascii="仿宋" w:eastAsia="仿宋"/>
          <w:b w:val="0"/>
          <w:bCs w:val="0"/>
          <w:sz w:val="32"/>
          <w:szCs w:val="32"/>
        </w:rPr>
        <w:t>附件1</w:t>
      </w:r>
      <w:bookmarkEnd w:id="57"/>
    </w:p>
    <w:p>
      <w:pPr>
        <w:numPr>
          <w:ilvl w:val="0"/>
          <w:numId w:val="6"/>
        </w:numPr>
        <w:spacing w:line="600" w:lineRule="exact"/>
        <w:ind w:left="0" w:firstLine="660" w:firstLineChars="150"/>
        <w:jc w:val="center"/>
        <w:outlineLvl w:val="0"/>
        <w:rPr>
          <w:rStyle w:val="24"/>
          <w:rFonts w:hint="eastAsia" w:ascii="黑体" w:eastAsia="黑体"/>
          <w:b w:val="0"/>
        </w:rPr>
      </w:pPr>
      <w:r>
        <w:rPr>
          <w:rStyle w:val="24"/>
          <w:rFonts w:hint="eastAsia" w:ascii="黑体" w:eastAsia="黑体"/>
          <w:b w:val="0"/>
        </w:rPr>
        <w:t>附件</w:t>
      </w:r>
      <w:bookmarkEnd w:id="58"/>
    </w:p>
    <w:p>
      <w:pPr>
        <w:spacing w:line="240" w:lineRule="auto"/>
        <w:jc w:val="both"/>
        <w:outlineLvl w:val="0"/>
        <w:rPr>
          <w:rStyle w:val="24"/>
          <w:rFonts w:hint="eastAsia" w:ascii="黑体" w:eastAsia="黑体"/>
          <w:b w:val="0"/>
        </w:rPr>
      </w:pPr>
    </w:p>
    <w:bookmarkEnd w:id="59"/>
    <w:p>
      <w:pPr>
        <w:keepNext w:val="0"/>
        <w:keepLines w:val="0"/>
        <w:widowControl/>
        <w:suppressLineNumbers w:val="0"/>
        <w:spacing w:before="0" w:beforeAutospacing="0" w:after="0" w:afterAutospacing="0" w:line="580" w:lineRule="exact"/>
        <w:ind w:left="0" w:right="0"/>
        <w:contextualSpacing/>
        <w:jc w:val="center"/>
        <w:rPr>
          <w:rFonts w:hint="eastAsia" w:ascii="宋体" w:hAnsi="Times New Roman" w:eastAsia="宋体" w:cs="Times New Roman"/>
          <w:b/>
          <w:bCs w:val="0"/>
          <w:kern w:val="2"/>
          <w:sz w:val="44"/>
          <w:szCs w:val="44"/>
          <w:shd w:val="clear" w:fill="FFFFFF"/>
        </w:rPr>
      </w:pPr>
      <w:r>
        <w:rPr>
          <w:rFonts w:hint="eastAsia" w:ascii="宋体" w:hAnsi="宋体" w:eastAsia="宋体" w:cs="宋体"/>
          <w:b/>
          <w:bCs w:val="0"/>
          <w:kern w:val="2"/>
          <w:sz w:val="44"/>
          <w:szCs w:val="44"/>
          <w:shd w:val="clear" w:fill="FFFFFF"/>
          <w:lang w:val="en-US" w:eastAsia="zh-CN" w:bidi="ar"/>
        </w:rPr>
        <w:t>金川县住房和城乡建设局</w:t>
      </w:r>
    </w:p>
    <w:p>
      <w:pPr>
        <w:keepNext w:val="0"/>
        <w:keepLines w:val="0"/>
        <w:widowControl/>
        <w:suppressLineNumbers w:val="0"/>
        <w:spacing w:before="0" w:beforeAutospacing="0" w:after="0" w:afterAutospacing="0" w:line="580" w:lineRule="exact"/>
        <w:ind w:left="0" w:right="0"/>
        <w:contextualSpacing/>
        <w:jc w:val="center"/>
        <w:rPr>
          <w:rFonts w:hint="eastAsia" w:ascii="宋体" w:hAnsi="Times New Roman" w:eastAsia="宋体" w:cs="Times New Roman"/>
          <w:b/>
          <w:bCs w:val="0"/>
          <w:kern w:val="2"/>
          <w:sz w:val="44"/>
          <w:szCs w:val="44"/>
          <w:shd w:val="clear" w:fill="FFFFFF"/>
        </w:rPr>
      </w:pPr>
      <w:r>
        <w:rPr>
          <w:rFonts w:hint="eastAsia" w:ascii="宋体" w:hAnsi="宋体" w:eastAsia="宋体" w:cs="宋体"/>
          <w:b/>
          <w:bCs w:val="0"/>
          <w:kern w:val="2"/>
          <w:sz w:val="44"/>
          <w:szCs w:val="44"/>
          <w:shd w:val="clear" w:fill="FFFFFF"/>
          <w:lang w:val="en-US" w:eastAsia="zh-CN" w:bidi="ar"/>
        </w:rPr>
        <w:t>202</w:t>
      </w:r>
      <w:r>
        <w:rPr>
          <w:rFonts w:hint="eastAsia" w:ascii="宋体" w:hAnsi="宋体" w:cs="宋体"/>
          <w:b/>
          <w:bCs w:val="0"/>
          <w:kern w:val="2"/>
          <w:sz w:val="44"/>
          <w:szCs w:val="44"/>
          <w:shd w:val="clear" w:fill="FFFFFF"/>
          <w:lang w:val="en-US" w:eastAsia="zh-CN" w:bidi="ar"/>
        </w:rPr>
        <w:t>4</w:t>
      </w:r>
      <w:r>
        <w:rPr>
          <w:rFonts w:hint="eastAsia" w:ascii="宋体" w:hAnsi="宋体" w:eastAsia="宋体" w:cs="宋体"/>
          <w:b/>
          <w:bCs w:val="0"/>
          <w:kern w:val="2"/>
          <w:sz w:val="44"/>
          <w:szCs w:val="44"/>
          <w:shd w:val="clear" w:fill="FFFFFF"/>
          <w:lang w:val="en-US" w:eastAsia="zh-CN" w:bidi="ar"/>
        </w:rPr>
        <w:t>年部门整体支出绩效评价报告</w:t>
      </w:r>
      <w:r>
        <w:rPr>
          <w:rFonts w:hint="eastAsia" w:ascii="宋体" w:hAnsi="Times New Roman" w:eastAsia="宋体" w:cs="Times New Roman"/>
          <w:b/>
          <w:bCs w:val="0"/>
          <w:kern w:val="2"/>
          <w:sz w:val="44"/>
          <w:szCs w:val="44"/>
          <w:shd w:val="clear" w:fill="FFFFFF"/>
          <w:lang w:val="en-US" w:eastAsia="zh-CN" w:bidi="ar"/>
        </w:rPr>
        <w:t xml:space="preserve"> </w:t>
      </w:r>
    </w:p>
    <w:p>
      <w:pPr>
        <w:keepNext w:val="0"/>
        <w:keepLines w:val="0"/>
        <w:widowControl/>
        <w:suppressLineNumbers w:val="0"/>
        <w:adjustRightInd w:val="0"/>
        <w:snapToGrid w:val="0"/>
        <w:spacing w:before="0" w:beforeAutospacing="0" w:after="0" w:afterAutospacing="0" w:line="580" w:lineRule="exact"/>
        <w:ind w:left="0" w:right="0" w:firstLine="480" w:firstLineChars="200"/>
        <w:contextualSpacing/>
        <w:jc w:val="left"/>
        <w:rPr>
          <w:rFonts w:hint="eastAsia" w:ascii="黑体" w:hAnsi="Times New Roman" w:eastAsia="黑体" w:cs="宋体"/>
          <w:color w:val="000000"/>
          <w:kern w:val="0"/>
          <w:sz w:val="24"/>
          <w:szCs w:val="24"/>
          <w:shd w:val="clear" w:fill="FFFFFF"/>
        </w:rPr>
      </w:pPr>
      <w:r>
        <w:rPr>
          <w:rFonts w:hint="eastAsia" w:ascii="黑体" w:hAnsi="Times New Roman" w:eastAsia="黑体" w:cs="宋体"/>
          <w:color w:val="000000"/>
          <w:kern w:val="0"/>
          <w:sz w:val="24"/>
          <w:szCs w:val="24"/>
          <w:shd w:val="clear" w:fill="FFFFFF"/>
          <w:lang w:val="en-US" w:eastAsia="zh-CN" w:bidi="ar"/>
        </w:rPr>
        <w:t xml:space="preserve"> </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黑体" w:hAnsi="Times New Roman" w:eastAsia="黑体" w:cs="宋体"/>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为深入贯彻落实党中央国务院和省委省政府关于全面实施预算绩效管理文件精神，结合本部门实际，认真开展部门预算支出绩效自评工作，现将202</w:t>
      </w:r>
      <w:r>
        <w:rPr>
          <w:rFonts w:hint="eastAsia" w:ascii="仿宋_GB2312" w:eastAsia="仿宋_GB2312" w:cs="仿宋_GB2312"/>
          <w:color w:val="000000"/>
          <w:kern w:val="0"/>
          <w:sz w:val="32"/>
          <w:szCs w:val="32"/>
          <w:shd w:val="clear" w:fill="FFFFFF"/>
          <w:lang w:val="en-US" w:eastAsia="zh-CN" w:bidi="ar"/>
        </w:rPr>
        <w:t>4</w:t>
      </w:r>
      <w:r>
        <w:rPr>
          <w:rFonts w:hint="eastAsia" w:ascii="仿宋_GB2312" w:hAnsi="Times New Roman" w:eastAsia="仿宋_GB2312" w:cs="仿宋_GB2312"/>
          <w:color w:val="000000"/>
          <w:kern w:val="0"/>
          <w:sz w:val="32"/>
          <w:szCs w:val="32"/>
          <w:shd w:val="clear" w:fill="FFFFFF"/>
          <w:lang w:val="en-US" w:eastAsia="zh-CN" w:bidi="ar"/>
        </w:rPr>
        <w:t>年部门预算支出绩效自评工作报告如下：</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黑体" w:hAnsi="Times New Roman" w:eastAsia="黑体" w:cs="宋体"/>
          <w:color w:val="000000"/>
          <w:kern w:val="0"/>
          <w:sz w:val="32"/>
          <w:szCs w:val="32"/>
          <w:shd w:val="clear" w:fill="FFFFFF"/>
        </w:rPr>
      </w:pPr>
      <w:r>
        <w:rPr>
          <w:rFonts w:hint="eastAsia" w:ascii="黑体" w:hAnsi="宋体" w:eastAsia="黑体" w:cs="黑体"/>
          <w:color w:val="000000"/>
          <w:kern w:val="0"/>
          <w:sz w:val="32"/>
          <w:szCs w:val="32"/>
          <w:shd w:val="clear" w:fill="FFFFFF"/>
          <w:lang w:val="en-US" w:eastAsia="zh-CN" w:bidi="ar"/>
        </w:rPr>
        <w:t>一、部门（单位）概况</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（一）机构组成。</w:t>
      </w:r>
    </w:p>
    <w:p>
      <w:pPr>
        <w:keepNext w:val="0"/>
        <w:keepLines w:val="0"/>
        <w:widowControl w:val="0"/>
        <w:suppressLineNumbers w:val="0"/>
        <w:spacing w:before="0" w:beforeAutospacing="0" w:after="0" w:afterAutospacing="0"/>
        <w:ind w:left="0" w:right="0" w:firstLine="640" w:firstLineChars="200"/>
        <w:jc w:val="both"/>
      </w:pPr>
      <w:r>
        <w:rPr>
          <w:rFonts w:hint="eastAsia" w:ascii="仿宋_GB2312" w:hAnsi="宋体" w:eastAsia="仿宋_GB2312" w:cs="仿宋_GB2312"/>
          <w:color w:val="000000"/>
          <w:kern w:val="0"/>
          <w:sz w:val="32"/>
          <w:szCs w:val="32"/>
          <w:shd w:val="clear" w:fill="FFFFFF"/>
          <w:lang w:val="en-US" w:eastAsia="zh-CN" w:bidi="ar"/>
        </w:rPr>
        <w:t>金川县住房和城乡建设局</w:t>
      </w:r>
      <w:r>
        <w:rPr>
          <w:rFonts w:hint="eastAsia" w:ascii="仿宋" w:hAnsi="仿宋" w:eastAsia="仿宋" w:cs="仿宋"/>
          <w:color w:val="333333"/>
          <w:kern w:val="0"/>
          <w:sz w:val="32"/>
          <w:szCs w:val="32"/>
          <w:shd w:val="clear" w:fill="FFFFFF"/>
          <w:lang w:val="en-US" w:eastAsia="zh-CN" w:bidi="ar"/>
        </w:rPr>
        <w:t>是行政单位,独立机构数2个,独立核算机构2个。</w:t>
      </w:r>
      <w:r>
        <w:rPr>
          <w:rFonts w:hint="eastAsia" w:ascii="仿宋_GB2312" w:hAnsi="宋体" w:eastAsia="仿宋_GB2312" w:cs="仿宋_GB2312"/>
          <w:color w:val="000000"/>
          <w:kern w:val="0"/>
          <w:sz w:val="32"/>
          <w:szCs w:val="32"/>
          <w:shd w:val="clear" w:fill="FFFFFF"/>
          <w:lang w:val="en-US" w:eastAsia="zh-CN" w:bidi="ar"/>
        </w:rPr>
        <w:t>内设行政办公室、建设管理股、住房保障与房地产市场管理股、城乡建设股，金川县建设工程质量安全监督站。</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（二）机构职能。</w:t>
      </w:r>
    </w:p>
    <w:p>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一）贯彻执行国家、省、州住房和城乡建设的法律、法规和方针政策。研究拟定住房保障、工程建设、城乡建设、建筑业、房屋装饰装修业、住宅与房地产业、勘察设计咨询业、市政公用事业的有关地方性法规和规章草案，负责本系统、本部门依法行政工作，落实行政执法责任制。</w:t>
      </w:r>
    </w:p>
    <w:p>
      <w:pPr>
        <w:spacing w:line="480" w:lineRule="exact"/>
        <w:ind w:firstLine="480" w:firstLineChars="150"/>
        <w:rPr>
          <w:rFonts w:hint="eastAsia" w:ascii="仿宋_GB2312" w:eastAsia="仿宋_GB2312"/>
          <w:sz w:val="32"/>
          <w:szCs w:val="32"/>
        </w:rPr>
      </w:pPr>
      <w:r>
        <w:rPr>
          <w:rFonts w:hint="eastAsia" w:ascii="仿宋_GB2312" w:eastAsia="仿宋_GB2312"/>
          <w:sz w:val="32"/>
          <w:szCs w:val="32"/>
        </w:rPr>
        <w:t>（二）承担推进住房制度改革、保障城镇低收入家庭住房的责任。拟定全县住房及住房保障相关政策并指导实施，指导住房建设和住房制度改革。拟订廉租住房规划及政策，会同有关部门做好国家、省、州有关廉租住房资金安排并监督地方组织实施。编制住房保障发展规划和年度计划并监督实施。</w:t>
      </w:r>
    </w:p>
    <w:p>
      <w:pPr>
        <w:spacing w:line="480" w:lineRule="exact"/>
        <w:ind w:firstLine="480" w:firstLineChars="150"/>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三</w:t>
      </w:r>
      <w:r>
        <w:rPr>
          <w:rFonts w:hint="eastAsia" w:ascii="仿宋_GB2312" w:eastAsia="仿宋_GB2312"/>
          <w:sz w:val="32"/>
          <w:szCs w:val="32"/>
        </w:rPr>
        <w:t>）承担建立全县工程建设标准体系的责任。组织实施工程建设实施阶段的国家标准、四川省统一定额和行业标准定额，组织制定工程建设的地方标准，拟订建设项目可行性研究评价方法、经济参数、建设标准和工程造价的管理制度，指导监督各类工程建设标准定额的实施和工程造价计价，组织发布工程造价信息。</w:t>
      </w:r>
    </w:p>
    <w:p>
      <w:pPr>
        <w:spacing w:line="480" w:lineRule="exact"/>
        <w:ind w:firstLine="480" w:firstLineChars="150"/>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四</w:t>
      </w:r>
      <w:r>
        <w:rPr>
          <w:rFonts w:hint="eastAsia" w:ascii="仿宋_GB2312" w:eastAsia="仿宋_GB2312"/>
          <w:sz w:val="32"/>
          <w:szCs w:val="32"/>
        </w:rPr>
        <w:t>）承担规范房地产市场秩序、监督管理房地产市场的责任。会同有关部门组织拟订房地产市场监督管理政策并监督执行，指导城镇土地使用权有偿转让和开发利用工作，提出房地产业的行业发展规划和产业政策，制定房地产开发、房屋权属管理、房屋租赁、房屋面积管理、危房鉴定、白蚁防治、房地产估价与经济管理、物业管理、房屋征收拆迁的规章制度并监督执行。</w:t>
      </w:r>
    </w:p>
    <w:p>
      <w:pPr>
        <w:spacing w:line="480" w:lineRule="exact"/>
        <w:ind w:firstLine="480" w:firstLineChars="150"/>
        <w:rPr>
          <w:rFonts w:hint="eastAsia" w:ascii="仿宋_GB2312" w:eastAsia="仿宋_GB2312"/>
          <w:sz w:val="32"/>
          <w:szCs w:val="32"/>
        </w:rPr>
      </w:pPr>
      <w:r>
        <w:rPr>
          <w:rFonts w:hint="eastAsia" w:ascii="仿宋_GB2312" w:eastAsia="仿宋_GB2312"/>
          <w:sz w:val="32"/>
          <w:szCs w:val="32"/>
        </w:rPr>
        <w:t>（</w:t>
      </w:r>
      <w:r>
        <w:rPr>
          <w:rFonts w:hint="eastAsia" w:ascii="仿宋_GB2312" w:eastAsia="仿宋_GB2312"/>
          <w:sz w:val="32"/>
          <w:szCs w:val="32"/>
          <w:lang w:eastAsia="zh-CN"/>
        </w:rPr>
        <w:t>五</w:t>
      </w:r>
      <w:r>
        <w:rPr>
          <w:rFonts w:hint="eastAsia" w:ascii="仿宋_GB2312" w:eastAsia="仿宋_GB2312"/>
          <w:sz w:val="32"/>
          <w:szCs w:val="32"/>
        </w:rPr>
        <w:t>）承担监督管理建筑市场、规范市场各方主体行为的责任。指导全县建筑活动，拟订工程建设、建筑业及装饰装修业发展战略、中长期规划、改革方案、产业政策、规章制度并监督执行。配合相关部门开展房屋建筑和市政基础设施工程项目招投标活动的监督。拟订建设工程施工、监理以及规范建筑市场各方主体行为的规章制度并监督执行。负责建筑工程质量安全监督管理工作，拟订建筑工程质量、建筑安全生产和竣工验收备案的政策、规章制度并监督执行，组织或参与工程重大质量、安全事故的调查处理。</w:t>
      </w:r>
    </w:p>
    <w:p>
      <w:pPr>
        <w:widowControl/>
        <w:spacing w:line="560" w:lineRule="exact"/>
        <w:ind w:firstLine="720"/>
        <w:rPr>
          <w:rFonts w:hint="eastAsia" w:ascii="仿宋_GB2312" w:hAnsi="宋体" w:eastAsia="仿宋_GB2312" w:cs="宋体"/>
          <w:kern w:val="0"/>
          <w:sz w:val="32"/>
          <w:szCs w:val="32"/>
        </w:rPr>
      </w:pPr>
      <w:r>
        <w:rPr>
          <w:rFonts w:hint="eastAsia" w:ascii="仿宋_GB2312" w:eastAsia="仿宋_GB2312"/>
          <w:sz w:val="32"/>
          <w:szCs w:val="32"/>
        </w:rPr>
        <w:t>（</w:t>
      </w:r>
      <w:r>
        <w:rPr>
          <w:rFonts w:hint="eastAsia" w:ascii="仿宋_GB2312" w:eastAsia="仿宋_GB2312"/>
          <w:sz w:val="32"/>
          <w:szCs w:val="32"/>
          <w:lang w:eastAsia="zh-CN"/>
        </w:rPr>
        <w:t>六</w:t>
      </w:r>
      <w:r>
        <w:rPr>
          <w:rFonts w:hint="eastAsia" w:ascii="仿宋_GB2312" w:eastAsia="仿宋_GB2312"/>
          <w:sz w:val="32"/>
          <w:szCs w:val="32"/>
        </w:rPr>
        <w:t>）</w:t>
      </w:r>
      <w:r>
        <w:rPr>
          <w:rFonts w:hint="eastAsia" w:ascii="仿宋_GB2312" w:hAnsi="宋体" w:eastAsia="仿宋_GB2312" w:cs="宋体"/>
          <w:kern w:val="0"/>
          <w:sz w:val="32"/>
          <w:szCs w:val="32"/>
        </w:rPr>
        <w:t>承担监督管理勘察设计咨询市场秩序和勘察设计咨询质量的责任。拟订工程勘察设计咨询业的发展战略、中长期规划、改革方案、产业和技术政策、规章制度并指导实施。指导建设工程抗震设防工作，组织编制并实施房屋建筑和市政设施抗震技术地方规范和标准图集，组织开展城镇建筑物抗震性能普查、鉴定加固和改造工作，指导村镇和农村建设抗震工作，指导和组织灾后恢复重建工作。</w:t>
      </w:r>
    </w:p>
    <w:p>
      <w:pPr>
        <w:widowControl/>
        <w:spacing w:line="560" w:lineRule="exact"/>
        <w:ind w:firstLine="72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七</w:t>
      </w:r>
      <w:r>
        <w:rPr>
          <w:rFonts w:hint="eastAsia" w:ascii="仿宋_GB2312" w:hAnsi="宋体" w:eastAsia="仿宋_GB2312" w:cs="宋体"/>
          <w:kern w:val="0"/>
          <w:sz w:val="32"/>
          <w:szCs w:val="32"/>
        </w:rPr>
        <w:t>）承担指导城镇建设管理的责任。拟订城镇建设的政策、规划并指导实施，指导城镇供水、节水、排水、燃气、污水等市政公用设施的建设管理</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指导城镇防汛排涝工作</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指导城镇建设档案管理工作。会同有关部门做好城市维护资金安排并监督组织实施</w:t>
      </w:r>
      <w:r>
        <w:rPr>
          <w:rFonts w:hint="eastAsia" w:ascii="仿宋_GB2312" w:hAnsi="宋体" w:eastAsia="仿宋_GB2312" w:cs="宋体"/>
          <w:kern w:val="0"/>
          <w:sz w:val="32"/>
          <w:szCs w:val="32"/>
          <w:lang w:eastAsia="zh-CN"/>
        </w:rPr>
        <w:t>。</w:t>
      </w:r>
    </w:p>
    <w:p>
      <w:pPr>
        <w:widowControl/>
        <w:spacing w:line="560" w:lineRule="exact"/>
        <w:ind w:firstLine="72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八</w:t>
      </w:r>
      <w:r>
        <w:rPr>
          <w:rFonts w:hint="eastAsia" w:ascii="仿宋_GB2312" w:hAnsi="宋体" w:eastAsia="仿宋_GB2312" w:cs="宋体"/>
          <w:kern w:val="0"/>
          <w:sz w:val="32"/>
          <w:szCs w:val="32"/>
        </w:rPr>
        <w:t>）承担推进建筑节能、城镇减排的责任。会同有关部门拟订建筑节能政策、规划并监督实施，组织实施重大建筑节能项目，推进城镇减排。组织实施重点科技项目成果转化工作，承担推进墙体材料革新的责任。</w:t>
      </w:r>
    </w:p>
    <w:p>
      <w:pPr>
        <w:widowControl/>
        <w:spacing w:line="560" w:lineRule="exact"/>
        <w:ind w:firstLine="640" w:firstLineChars="200"/>
        <w:rPr>
          <w:rFonts w:hint="eastAsia" w:eastAsia="仿宋_GB2312"/>
          <w:sz w:val="32"/>
          <w:szCs w:val="32"/>
        </w:rPr>
      </w:pPr>
      <w:r>
        <w:rPr>
          <w:rFonts w:hint="eastAsia" w:ascii="仿宋_GB2312" w:hAnsi="宋体" w:eastAsia="仿宋_GB2312" w:cs="宋体"/>
          <w:kern w:val="0"/>
          <w:sz w:val="32"/>
          <w:szCs w:val="32"/>
          <w:lang w:eastAsia="zh-CN"/>
        </w:rPr>
        <w:t>（九</w:t>
      </w:r>
      <w:r>
        <w:rPr>
          <w:rFonts w:hint="eastAsia" w:ascii="仿宋_GB2312" w:hAnsi="宋体" w:eastAsia="仿宋_GB2312" w:cs="宋体"/>
          <w:kern w:val="0"/>
          <w:sz w:val="32"/>
          <w:szCs w:val="32"/>
        </w:rPr>
        <w:t>）制订建设行业人才培养和教育发展规划并组织实施，指导建设行业科技人才队伍建设和执业资格管理工作。负责指导住房和城乡建设系统的信访工作，督查督办重大信访案件。开展住房和城乡建设方面的交流与合作。</w:t>
      </w:r>
    </w:p>
    <w:p>
      <w:pPr>
        <w:spacing w:line="480" w:lineRule="exact"/>
        <w:ind w:firstLine="640" w:firstLineChars="200"/>
        <w:rPr>
          <w:rFonts w:hint="eastAsia" w:ascii="仿宋_GB2312" w:eastAsia="仿宋_GB2312"/>
          <w:sz w:val="32"/>
          <w:szCs w:val="32"/>
        </w:rPr>
      </w:pPr>
      <w:r>
        <w:rPr>
          <w:rFonts w:hint="eastAsia" w:ascii="仿宋_GB2312" w:eastAsia="仿宋_GB2312"/>
          <w:sz w:val="32"/>
          <w:szCs w:val="32"/>
        </w:rPr>
        <w:t>（十）承担县政府公布的有关行政审批事项。</w:t>
      </w:r>
    </w:p>
    <w:p>
      <w:pPr>
        <w:spacing w:line="480" w:lineRule="exact"/>
        <w:ind w:left="481" w:leftChars="229" w:firstLine="160" w:firstLineChars="50"/>
        <w:rPr>
          <w:rFonts w:hint="eastAsia" w:ascii="仿宋_GB2312" w:eastAsia="仿宋_GB2312"/>
          <w:sz w:val="32"/>
          <w:szCs w:val="32"/>
        </w:rPr>
      </w:pPr>
      <w:r>
        <w:rPr>
          <w:rFonts w:hint="eastAsia" w:ascii="仿宋_GB2312" w:eastAsia="仿宋_GB2312"/>
          <w:sz w:val="32"/>
          <w:szCs w:val="32"/>
        </w:rPr>
        <w:t>（十</w:t>
      </w:r>
      <w:r>
        <w:rPr>
          <w:rFonts w:hint="eastAsia" w:ascii="仿宋_GB2312" w:eastAsia="仿宋_GB2312"/>
          <w:sz w:val="32"/>
          <w:szCs w:val="32"/>
          <w:lang w:eastAsia="zh-CN"/>
        </w:rPr>
        <w:t>一</w:t>
      </w:r>
      <w:r>
        <w:rPr>
          <w:rFonts w:hint="eastAsia" w:ascii="仿宋_GB2312" w:eastAsia="仿宋_GB2312"/>
          <w:sz w:val="32"/>
          <w:szCs w:val="32"/>
        </w:rPr>
        <w:t>）承办县政府交办的其他事项。</w:t>
      </w:r>
    </w:p>
    <w:p>
      <w:pPr>
        <w:keepNext w:val="0"/>
        <w:keepLines w:val="0"/>
        <w:widowControl w:val="0"/>
        <w:suppressLineNumbers w:val="0"/>
        <w:snapToGrid w:val="0"/>
        <w:spacing w:before="0" w:beforeAutospacing="0" w:after="0" w:afterAutospacing="0" w:line="360" w:lineRule="auto"/>
        <w:ind w:left="0" w:right="0" w:firstLine="640" w:firstLineChars="200"/>
        <w:jc w:val="both"/>
        <w:rPr>
          <w:rFonts w:hint="eastAsia" w:ascii="仿宋_GB2312" w:hAnsi="Times New Roman" w:eastAsia="仿宋_GB2312" w:cs="宋体"/>
          <w:color w:val="FF0000"/>
          <w:kern w:val="0"/>
          <w:sz w:val="32"/>
          <w:szCs w:val="32"/>
          <w:shd w:val="clear" w:fill="FFFFFF"/>
        </w:rPr>
      </w:pP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（三）人员概况。</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仿宋_GB2312"/>
          <w:color w:val="000000" w:themeColor="text1"/>
          <w:kern w:val="0"/>
          <w:sz w:val="32"/>
          <w:szCs w:val="32"/>
          <w:shd w:val="clear" w:fill="FFFFFF"/>
          <w:lang w:val="en-US" w:eastAsia="zh-CN" w:bidi="ar"/>
          <w14:textFill>
            <w14:solidFill>
              <w14:schemeClr w14:val="tx1"/>
            </w14:solidFill>
          </w14:textFill>
        </w:rPr>
        <w:t>我单位</w:t>
      </w:r>
      <w:r>
        <w:rPr>
          <w:rFonts w:hint="eastAsia" w:ascii="仿宋_GB2312" w:eastAsia="仿宋_GB2312" w:cs="仿宋_GB2312"/>
          <w:color w:val="000000" w:themeColor="text1"/>
          <w:kern w:val="0"/>
          <w:sz w:val="32"/>
          <w:szCs w:val="32"/>
          <w:shd w:val="clear" w:fill="FFFFFF"/>
          <w:lang w:val="en-US" w:eastAsia="zh-CN" w:bidi="ar"/>
          <w14:textFill>
            <w14:solidFill>
              <w14:schemeClr w14:val="tx1"/>
            </w14:solidFill>
          </w14:textFill>
        </w:rPr>
        <w:t>总</w:t>
      </w:r>
      <w:r>
        <w:rPr>
          <w:rFonts w:hint="eastAsia" w:ascii="仿宋_GB2312" w:hAnsi="Times New Roman" w:eastAsia="仿宋_GB2312" w:cs="仿宋_GB2312"/>
          <w:color w:val="000000" w:themeColor="text1"/>
          <w:kern w:val="0"/>
          <w:sz w:val="32"/>
          <w:szCs w:val="32"/>
          <w:shd w:val="clear" w:fill="FFFFFF"/>
          <w:lang w:val="en-US" w:eastAsia="zh-CN" w:bidi="ar"/>
          <w14:textFill>
            <w14:solidFill>
              <w14:schemeClr w14:val="tx1"/>
            </w14:solidFill>
          </w14:textFill>
        </w:rPr>
        <w:t>编制</w:t>
      </w:r>
      <w:r>
        <w:rPr>
          <w:rFonts w:hint="eastAsia" w:ascii="仿宋_GB2312" w:eastAsia="仿宋_GB2312" w:cs="仿宋_GB2312"/>
          <w:color w:val="000000" w:themeColor="text1"/>
          <w:kern w:val="0"/>
          <w:sz w:val="32"/>
          <w:szCs w:val="32"/>
          <w:shd w:val="clear" w:fill="FFFFFF"/>
          <w:lang w:val="en-US" w:eastAsia="zh-CN" w:bidi="ar"/>
          <w14:textFill>
            <w14:solidFill>
              <w14:schemeClr w14:val="tx1"/>
            </w14:solidFill>
          </w14:textFill>
        </w:rPr>
        <w:t>数</w:t>
      </w:r>
      <w:r>
        <w:rPr>
          <w:rFonts w:hint="eastAsia" w:ascii="仿宋_GB2312" w:hAnsi="Times New Roman" w:eastAsia="仿宋_GB2312" w:cs="仿宋_GB2312"/>
          <w:color w:val="000000" w:themeColor="text1"/>
          <w:kern w:val="0"/>
          <w:sz w:val="32"/>
          <w:szCs w:val="32"/>
          <w:shd w:val="clear" w:fill="FFFFFF"/>
          <w:lang w:val="en-US" w:eastAsia="zh-CN" w:bidi="ar"/>
          <w14:textFill>
            <w14:solidFill>
              <w14:schemeClr w14:val="tx1"/>
            </w14:solidFill>
          </w14:textFill>
        </w:rPr>
        <w:t>为</w:t>
      </w:r>
      <w:r>
        <w:rPr>
          <w:rFonts w:hint="eastAsia" w:ascii="仿宋_GB2312" w:eastAsia="仿宋_GB2312" w:cs="仿宋_GB2312"/>
          <w:color w:val="000000" w:themeColor="text1"/>
          <w:kern w:val="0"/>
          <w:sz w:val="32"/>
          <w:szCs w:val="32"/>
          <w:shd w:val="clear" w:fill="FFFFFF"/>
          <w:lang w:val="en-US" w:eastAsia="zh-CN" w:bidi="ar"/>
          <w14:textFill>
            <w14:solidFill>
              <w14:schemeClr w14:val="tx1"/>
            </w14:solidFill>
          </w14:textFill>
        </w:rPr>
        <w:t>21</w:t>
      </w:r>
      <w:r>
        <w:rPr>
          <w:rFonts w:hint="eastAsia" w:ascii="仿宋_GB2312" w:hAnsi="Times New Roman" w:eastAsia="仿宋_GB2312" w:cs="仿宋_GB2312"/>
          <w:color w:val="000000" w:themeColor="text1"/>
          <w:kern w:val="0"/>
          <w:sz w:val="32"/>
          <w:szCs w:val="32"/>
          <w:shd w:val="clear" w:fill="FFFFFF"/>
          <w:lang w:val="en-US" w:eastAsia="zh-CN" w:bidi="ar"/>
          <w14:textFill>
            <w14:solidFill>
              <w14:schemeClr w14:val="tx1"/>
            </w14:solidFill>
          </w14:textFill>
        </w:rPr>
        <w:t>名，其中行政编制7名，行政工勤编制1名，事业编制</w:t>
      </w:r>
      <w:r>
        <w:rPr>
          <w:rFonts w:hint="eastAsia" w:ascii="仿宋_GB2312" w:eastAsia="仿宋_GB2312" w:cs="仿宋_GB2312"/>
          <w:color w:val="000000" w:themeColor="text1"/>
          <w:kern w:val="0"/>
          <w:sz w:val="32"/>
          <w:szCs w:val="32"/>
          <w:shd w:val="clear" w:fill="FFFFFF"/>
          <w:lang w:val="en-US" w:eastAsia="zh-CN" w:bidi="ar"/>
          <w14:textFill>
            <w14:solidFill>
              <w14:schemeClr w14:val="tx1"/>
            </w14:solidFill>
          </w14:textFill>
        </w:rPr>
        <w:t>13</w:t>
      </w:r>
      <w:r>
        <w:rPr>
          <w:rFonts w:hint="eastAsia" w:ascii="仿宋_GB2312" w:hAnsi="Times New Roman" w:eastAsia="仿宋_GB2312" w:cs="仿宋_GB2312"/>
          <w:color w:val="000000" w:themeColor="text1"/>
          <w:kern w:val="0"/>
          <w:sz w:val="32"/>
          <w:szCs w:val="32"/>
          <w:shd w:val="clear" w:fill="FFFFFF"/>
          <w:lang w:val="en-US" w:eastAsia="zh-CN" w:bidi="ar"/>
          <w14:textFill>
            <w14:solidFill>
              <w14:schemeClr w14:val="tx1"/>
            </w14:solidFill>
          </w14:textFill>
        </w:rPr>
        <w:t>名。现有</w:t>
      </w:r>
      <w:r>
        <w:rPr>
          <w:rFonts w:hint="eastAsia" w:ascii="仿宋_GB2312" w:hAnsi="Times New Roman" w:eastAsia="仿宋_GB2312" w:cs="仿宋_GB2312"/>
          <w:color w:val="000000"/>
          <w:kern w:val="0"/>
          <w:sz w:val="32"/>
          <w:szCs w:val="32"/>
          <w:shd w:val="clear" w:fill="FFFFFF"/>
          <w:lang w:val="en-US" w:eastAsia="zh-CN" w:bidi="ar"/>
        </w:rPr>
        <w:t>遗属</w:t>
      </w:r>
      <w:r>
        <w:rPr>
          <w:rFonts w:hint="eastAsia" w:ascii="仿宋_GB2312" w:eastAsia="仿宋_GB2312" w:cs="仿宋_GB2312"/>
          <w:color w:val="000000"/>
          <w:kern w:val="0"/>
          <w:sz w:val="32"/>
          <w:szCs w:val="32"/>
          <w:shd w:val="clear" w:fill="FFFFFF"/>
          <w:lang w:val="en-US" w:eastAsia="zh-CN" w:bidi="ar"/>
        </w:rPr>
        <w:t>4</w:t>
      </w:r>
      <w:r>
        <w:rPr>
          <w:rFonts w:hint="eastAsia" w:ascii="仿宋_GB2312" w:hAnsi="Times New Roman" w:eastAsia="仿宋_GB2312" w:cs="仿宋_GB2312"/>
          <w:color w:val="000000"/>
          <w:kern w:val="0"/>
          <w:sz w:val="32"/>
          <w:szCs w:val="32"/>
          <w:shd w:val="clear" w:fill="FFFFFF"/>
          <w:lang w:val="en-US" w:eastAsia="zh-CN" w:bidi="ar"/>
        </w:rPr>
        <w:t>名。</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黑体" w:hAnsi="Times New Roman" w:eastAsia="黑体" w:cs="宋体"/>
          <w:color w:val="000000"/>
          <w:kern w:val="0"/>
          <w:sz w:val="32"/>
          <w:szCs w:val="32"/>
          <w:shd w:val="clear" w:fill="FFFFFF"/>
        </w:rPr>
      </w:pPr>
      <w:r>
        <w:rPr>
          <w:rFonts w:hint="eastAsia" w:ascii="黑体" w:hAnsi="宋体" w:eastAsia="黑体" w:cs="黑体"/>
          <w:color w:val="000000"/>
          <w:kern w:val="0"/>
          <w:sz w:val="32"/>
          <w:szCs w:val="32"/>
          <w:shd w:val="clear" w:fill="FFFFFF"/>
          <w:lang w:val="en-US" w:eastAsia="zh-CN" w:bidi="ar"/>
        </w:rPr>
        <w:t>二、部门财政资金收支情况</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（一）部门财政资金收入情况。</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202</w:t>
      </w:r>
      <w:r>
        <w:rPr>
          <w:rFonts w:hint="eastAsia" w:ascii="仿宋_GB2312" w:eastAsia="仿宋_GB2312" w:cs="仿宋_GB2312"/>
          <w:color w:val="000000"/>
          <w:kern w:val="0"/>
          <w:sz w:val="32"/>
          <w:szCs w:val="32"/>
          <w:shd w:val="clear" w:fill="FFFFFF"/>
          <w:lang w:val="en-US" w:eastAsia="zh-CN" w:bidi="ar"/>
        </w:rPr>
        <w:t>4</w:t>
      </w:r>
      <w:r>
        <w:rPr>
          <w:rFonts w:hint="eastAsia" w:ascii="仿宋_GB2312" w:hAnsi="Times New Roman" w:eastAsia="仿宋_GB2312" w:cs="仿宋_GB2312"/>
          <w:color w:val="000000"/>
          <w:kern w:val="0"/>
          <w:sz w:val="32"/>
          <w:szCs w:val="32"/>
          <w:shd w:val="clear" w:fill="FFFFFF"/>
          <w:lang w:val="en-US" w:eastAsia="zh-CN" w:bidi="ar"/>
        </w:rPr>
        <w:t>年</w:t>
      </w:r>
      <w:r>
        <w:rPr>
          <w:rFonts w:hint="eastAsia" w:ascii="仿宋_GB2312" w:eastAsia="仿宋_GB2312" w:cs="仿宋_GB2312"/>
          <w:color w:val="000000"/>
          <w:kern w:val="0"/>
          <w:sz w:val="32"/>
          <w:szCs w:val="32"/>
          <w:shd w:val="clear" w:fill="FFFFFF"/>
          <w:lang w:val="en-US" w:eastAsia="zh-CN" w:bidi="ar"/>
        </w:rPr>
        <w:t>调整</w:t>
      </w:r>
      <w:r>
        <w:rPr>
          <w:rFonts w:hint="eastAsia" w:ascii="仿宋_GB2312" w:hAnsi="Times New Roman" w:eastAsia="仿宋_GB2312" w:cs="仿宋_GB2312"/>
          <w:color w:val="000000"/>
          <w:kern w:val="0"/>
          <w:sz w:val="32"/>
          <w:szCs w:val="32"/>
          <w:shd w:val="clear" w:fill="FFFFFF"/>
          <w:lang w:val="en-US" w:eastAsia="zh-CN" w:bidi="ar"/>
        </w:rPr>
        <w:t>预算收入合计</w:t>
      </w:r>
      <w:r>
        <w:rPr>
          <w:rFonts w:hint="eastAsia" w:ascii="仿宋_GB2312" w:eastAsia="仿宋_GB2312"/>
          <w:color w:val="000000"/>
          <w:spacing w:val="-2"/>
          <w:kern w:val="2"/>
          <w:sz w:val="32"/>
          <w:szCs w:val="32"/>
          <w:lang w:val="en-US" w:eastAsia="zh-CN" w:bidi="ar-SA"/>
        </w:rPr>
        <w:t>15024.04</w:t>
      </w:r>
      <w:r>
        <w:rPr>
          <w:rFonts w:hint="eastAsia" w:ascii="仿宋_GB2312" w:hAnsi="Times New Roman" w:eastAsia="仿宋_GB2312" w:cs="仿宋_GB2312"/>
          <w:color w:val="000000"/>
          <w:kern w:val="0"/>
          <w:sz w:val="32"/>
          <w:szCs w:val="32"/>
          <w:shd w:val="clear" w:fill="FFFFFF"/>
          <w:lang w:val="en-US" w:eastAsia="zh-CN" w:bidi="ar"/>
        </w:rPr>
        <w:t>万元，其中财政拨款收入</w:t>
      </w:r>
      <w:r>
        <w:rPr>
          <w:rFonts w:hint="eastAsia" w:ascii="仿宋_GB2312" w:eastAsia="仿宋_GB2312" w:cs="仿宋_GB2312"/>
          <w:color w:val="000000"/>
          <w:kern w:val="0"/>
          <w:sz w:val="32"/>
          <w:szCs w:val="32"/>
          <w:shd w:val="clear" w:fill="FFFFFF"/>
          <w:lang w:val="en-US" w:eastAsia="zh-CN" w:bidi="ar"/>
        </w:rPr>
        <w:t>11235.89</w:t>
      </w:r>
      <w:r>
        <w:rPr>
          <w:rFonts w:hint="eastAsia" w:ascii="仿宋_GB2312" w:hAnsi="Times New Roman" w:eastAsia="仿宋_GB2312" w:cs="仿宋_GB2312"/>
          <w:color w:val="000000"/>
          <w:kern w:val="0"/>
          <w:sz w:val="32"/>
          <w:szCs w:val="32"/>
          <w:shd w:val="clear" w:fill="FFFFFF"/>
          <w:lang w:val="en-US" w:eastAsia="zh-CN" w:bidi="ar"/>
        </w:rPr>
        <w:t>万元</w:t>
      </w:r>
      <w:r>
        <w:rPr>
          <w:rFonts w:hint="eastAsia" w:ascii="仿宋_GB2312" w:eastAsia="仿宋_GB2312" w:cs="仿宋_GB2312"/>
          <w:color w:val="000000"/>
          <w:kern w:val="0"/>
          <w:sz w:val="32"/>
          <w:szCs w:val="32"/>
          <w:shd w:val="clear" w:fill="FFFFFF"/>
          <w:lang w:val="en-US" w:eastAsia="zh-CN" w:bidi="ar"/>
        </w:rPr>
        <w:t>，政府性基金收入3788.14万元</w:t>
      </w:r>
      <w:r>
        <w:rPr>
          <w:rFonts w:hint="eastAsia" w:ascii="仿宋_GB2312" w:hAnsi="Times New Roman" w:eastAsia="仿宋_GB2312" w:cs="仿宋_GB2312"/>
          <w:color w:val="000000"/>
          <w:kern w:val="0"/>
          <w:sz w:val="32"/>
          <w:szCs w:val="32"/>
          <w:shd w:val="clear" w:fill="FFFFFF"/>
          <w:lang w:val="en-US" w:eastAsia="zh-CN" w:bidi="ar"/>
        </w:rPr>
        <w:t>。</w:t>
      </w:r>
    </w:p>
    <w:p>
      <w:pPr>
        <w:keepNext w:val="0"/>
        <w:keepLines w:val="0"/>
        <w:widowControl/>
        <w:numPr>
          <w:ilvl w:val="0"/>
          <w:numId w:val="7"/>
        </w:numPr>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hAnsi="仿宋" w:eastAsia="仿宋_GB2312" w:cs="仿宋"/>
          <w:kern w:val="2"/>
          <w:sz w:val="32"/>
          <w:szCs w:val="32"/>
        </w:rPr>
      </w:pPr>
      <w:r>
        <w:rPr>
          <w:rFonts w:hint="eastAsia" w:ascii="仿宋_GB2312" w:hAnsi="Times New Roman" w:eastAsia="仿宋_GB2312" w:cs="仿宋_GB2312"/>
          <w:color w:val="000000"/>
          <w:kern w:val="0"/>
          <w:sz w:val="32"/>
          <w:szCs w:val="32"/>
          <w:shd w:val="clear" w:fill="FFFFFF"/>
          <w:lang w:val="en-US" w:eastAsia="zh-CN" w:bidi="ar"/>
        </w:rPr>
        <w:t>部门财政资金支出情况。</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_GB2312" w:hAnsi="Times New Roman" w:eastAsia="仿宋_GB2312" w:cs="仿宋_GB2312"/>
          <w:color w:val="000000"/>
          <w:kern w:val="0"/>
          <w:sz w:val="32"/>
          <w:szCs w:val="32"/>
          <w:shd w:val="clear" w:fill="FFFFFF"/>
          <w:lang w:val="en-US" w:eastAsia="zh-CN" w:bidi="ar"/>
        </w:rPr>
        <w:t>1、202</w:t>
      </w:r>
      <w:r>
        <w:rPr>
          <w:rFonts w:hint="eastAsia" w:ascii="仿宋_GB2312" w:eastAsia="仿宋_GB2312" w:cs="仿宋_GB2312"/>
          <w:color w:val="000000"/>
          <w:kern w:val="0"/>
          <w:sz w:val="32"/>
          <w:szCs w:val="32"/>
          <w:shd w:val="clear" w:fill="FFFFFF"/>
          <w:lang w:val="en-US" w:eastAsia="zh-CN" w:bidi="ar"/>
        </w:rPr>
        <w:t>4</w:t>
      </w:r>
      <w:r>
        <w:rPr>
          <w:rFonts w:hint="eastAsia" w:ascii="仿宋_GB2312" w:hAnsi="Times New Roman" w:eastAsia="仿宋_GB2312" w:cs="仿宋_GB2312"/>
          <w:color w:val="000000"/>
          <w:kern w:val="0"/>
          <w:sz w:val="32"/>
          <w:szCs w:val="32"/>
          <w:shd w:val="clear" w:fill="FFFFFF"/>
          <w:lang w:val="en-US" w:eastAsia="zh-CN" w:bidi="ar"/>
        </w:rPr>
        <w:t>年支出情况</w:t>
      </w:r>
    </w:p>
    <w:p>
      <w:pPr>
        <w:spacing w:line="600" w:lineRule="exact"/>
        <w:ind w:firstLine="645"/>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lang w:val="en-US" w:eastAsia="zh-CN"/>
        </w:rPr>
        <w:t>24</w:t>
      </w:r>
      <w:r>
        <w:rPr>
          <w:rFonts w:hint="eastAsia" w:ascii="仿宋" w:eastAsia="仿宋"/>
          <w:color w:val="000000"/>
          <w:sz w:val="32"/>
          <w:szCs w:val="32"/>
        </w:rPr>
        <w:t>年一般公共预算财政拨款基本支出</w:t>
      </w:r>
      <w:r>
        <w:rPr>
          <w:rFonts w:hint="eastAsia" w:ascii="仿宋" w:eastAsia="仿宋"/>
          <w:color w:val="000000"/>
          <w:sz w:val="32"/>
          <w:szCs w:val="32"/>
          <w:lang w:val="en-US" w:eastAsia="zh-CN"/>
        </w:rPr>
        <w:t>479.27</w:t>
      </w:r>
      <w:r>
        <w:rPr>
          <w:rFonts w:hint="eastAsia" w:ascii="仿宋" w:eastAsia="仿宋"/>
          <w:color w:val="000000"/>
          <w:sz w:val="32"/>
          <w:szCs w:val="32"/>
        </w:rPr>
        <w:t>万元，其中：</w:t>
      </w:r>
    </w:p>
    <w:p>
      <w:pPr>
        <w:spacing w:line="600" w:lineRule="exact"/>
        <w:ind w:firstLine="645"/>
        <w:rPr>
          <w:rFonts w:hint="eastAsia" w:ascii="仿宋" w:eastAsia="仿宋"/>
          <w:color w:val="000000"/>
          <w:sz w:val="32"/>
          <w:szCs w:val="32"/>
          <w:lang w:val="en-US" w:eastAsia="zh-CN"/>
        </w:rPr>
      </w:pPr>
      <w:r>
        <w:rPr>
          <w:rFonts w:hint="eastAsia" w:ascii="仿宋" w:eastAsia="仿宋"/>
          <w:color w:val="000000"/>
          <w:sz w:val="32"/>
          <w:szCs w:val="32"/>
        </w:rPr>
        <w:t>人员经费</w:t>
      </w:r>
      <w:r>
        <w:rPr>
          <w:rFonts w:hint="eastAsia" w:ascii="仿宋" w:eastAsia="仿宋"/>
          <w:color w:val="000000"/>
          <w:sz w:val="32"/>
          <w:szCs w:val="32"/>
          <w:lang w:val="en-US" w:eastAsia="zh-CN"/>
        </w:rPr>
        <w:t>415.79</w:t>
      </w:r>
      <w:r>
        <w:rPr>
          <w:rFonts w:hint="eastAsia" w:ascii="仿宋" w:eastAsia="仿宋"/>
          <w:color w:val="000000"/>
          <w:sz w:val="32"/>
          <w:szCs w:val="32"/>
        </w:rPr>
        <w:t>万元，主要包括：基本工资</w:t>
      </w:r>
      <w:r>
        <w:rPr>
          <w:rFonts w:hint="eastAsia" w:ascii="仿宋" w:eastAsia="仿宋"/>
          <w:color w:val="000000"/>
          <w:sz w:val="32"/>
          <w:szCs w:val="32"/>
          <w:lang w:val="en-US" w:eastAsia="zh-CN"/>
        </w:rPr>
        <w:t>77.61万元</w:t>
      </w:r>
      <w:r>
        <w:rPr>
          <w:rFonts w:hint="eastAsia" w:ascii="仿宋" w:eastAsia="仿宋"/>
          <w:color w:val="000000"/>
          <w:sz w:val="32"/>
          <w:szCs w:val="32"/>
        </w:rPr>
        <w:t>、津贴补贴</w:t>
      </w:r>
      <w:r>
        <w:rPr>
          <w:rFonts w:hint="eastAsia" w:ascii="仿宋" w:eastAsia="仿宋"/>
          <w:color w:val="000000"/>
          <w:sz w:val="32"/>
          <w:szCs w:val="32"/>
          <w:lang w:val="en-US" w:eastAsia="zh-CN"/>
        </w:rPr>
        <w:t>65.32万元</w:t>
      </w:r>
      <w:r>
        <w:rPr>
          <w:rFonts w:hint="eastAsia" w:ascii="仿宋" w:eastAsia="仿宋"/>
          <w:color w:val="000000"/>
          <w:sz w:val="32"/>
          <w:szCs w:val="32"/>
        </w:rPr>
        <w:t>、奖金</w:t>
      </w:r>
      <w:r>
        <w:rPr>
          <w:rFonts w:hint="eastAsia" w:ascii="仿宋" w:eastAsia="仿宋"/>
          <w:color w:val="000000"/>
          <w:sz w:val="32"/>
          <w:szCs w:val="32"/>
          <w:lang w:val="en-US" w:eastAsia="zh-CN"/>
        </w:rPr>
        <w:t>92.62万元</w:t>
      </w:r>
      <w:r>
        <w:rPr>
          <w:rFonts w:hint="eastAsia" w:ascii="仿宋" w:eastAsia="仿宋"/>
          <w:color w:val="000000"/>
          <w:sz w:val="32"/>
          <w:szCs w:val="32"/>
        </w:rPr>
        <w:t>、</w:t>
      </w:r>
      <w:r>
        <w:rPr>
          <w:rFonts w:hint="eastAsia" w:ascii="仿宋" w:eastAsia="仿宋"/>
          <w:color w:val="000000"/>
          <w:sz w:val="32"/>
          <w:szCs w:val="32"/>
          <w:lang w:val="en-US" w:eastAsia="zh-CN"/>
        </w:rPr>
        <w:t>绩效工资34.6万元、</w:t>
      </w:r>
      <w:r>
        <w:rPr>
          <w:rFonts w:hint="eastAsia" w:ascii="仿宋" w:eastAsia="仿宋"/>
          <w:color w:val="000000"/>
          <w:sz w:val="32"/>
          <w:szCs w:val="32"/>
        </w:rPr>
        <w:t>机关事业单位基本养老保险缴费</w:t>
      </w:r>
      <w:r>
        <w:rPr>
          <w:rFonts w:hint="eastAsia" w:ascii="仿宋" w:eastAsia="仿宋"/>
          <w:color w:val="000000"/>
          <w:sz w:val="32"/>
          <w:szCs w:val="32"/>
          <w:lang w:val="en-US" w:eastAsia="zh-CN"/>
        </w:rPr>
        <w:t>38.4万元</w:t>
      </w:r>
      <w:r>
        <w:rPr>
          <w:rFonts w:hint="eastAsia" w:ascii="仿宋" w:eastAsia="仿宋"/>
          <w:color w:val="000000"/>
          <w:sz w:val="32"/>
          <w:szCs w:val="32"/>
        </w:rPr>
        <w:t>、职业年金缴费</w:t>
      </w:r>
      <w:r>
        <w:rPr>
          <w:rFonts w:hint="eastAsia" w:ascii="仿宋" w:eastAsia="仿宋"/>
          <w:color w:val="000000"/>
          <w:sz w:val="32"/>
          <w:szCs w:val="32"/>
          <w:lang w:val="en-US" w:eastAsia="zh-CN"/>
        </w:rPr>
        <w:t>18.93万元</w:t>
      </w:r>
      <w:r>
        <w:rPr>
          <w:rFonts w:hint="eastAsia" w:ascii="仿宋" w:eastAsia="仿宋"/>
          <w:color w:val="000000"/>
          <w:sz w:val="32"/>
          <w:szCs w:val="32"/>
        </w:rPr>
        <w:t>、</w:t>
      </w:r>
      <w:r>
        <w:rPr>
          <w:rFonts w:hint="eastAsia" w:ascii="仿宋" w:eastAsia="仿宋"/>
          <w:color w:val="000000"/>
          <w:sz w:val="32"/>
          <w:szCs w:val="32"/>
          <w:lang w:val="en-US" w:eastAsia="zh-CN"/>
        </w:rPr>
        <w:t>职工基本医疗保险缴费18.55万元、公务员医疗补助缴费4.8万元、</w:t>
      </w:r>
      <w:r>
        <w:rPr>
          <w:rFonts w:hint="eastAsia" w:ascii="仿宋" w:eastAsia="仿宋"/>
          <w:color w:val="000000"/>
          <w:sz w:val="32"/>
          <w:szCs w:val="32"/>
        </w:rPr>
        <w:t>其他社会保障缴费</w:t>
      </w:r>
      <w:r>
        <w:rPr>
          <w:rFonts w:hint="eastAsia" w:ascii="仿宋" w:eastAsia="仿宋"/>
          <w:color w:val="000000"/>
          <w:sz w:val="32"/>
          <w:szCs w:val="32"/>
          <w:lang w:val="en-US" w:eastAsia="zh-CN"/>
        </w:rPr>
        <w:t>6.79万元</w:t>
      </w:r>
      <w:r>
        <w:rPr>
          <w:rFonts w:hint="eastAsia" w:ascii="仿宋" w:eastAsia="仿宋"/>
          <w:color w:val="000000"/>
          <w:sz w:val="32"/>
          <w:szCs w:val="32"/>
        </w:rPr>
        <w:t>、住房公积金</w:t>
      </w:r>
      <w:r>
        <w:rPr>
          <w:rFonts w:hint="eastAsia" w:ascii="仿宋" w:eastAsia="仿宋"/>
          <w:color w:val="000000"/>
          <w:sz w:val="32"/>
          <w:szCs w:val="32"/>
          <w:lang w:val="en-US" w:eastAsia="zh-CN"/>
        </w:rPr>
        <w:t>29.86万元；</w:t>
      </w:r>
    </w:p>
    <w:p>
      <w:pPr>
        <w:spacing w:line="600" w:lineRule="exact"/>
        <w:ind w:firstLine="645"/>
        <w:rPr>
          <w:rFonts w:ascii="仿宋" w:eastAsia="仿宋"/>
          <w:color w:val="000000"/>
          <w:sz w:val="32"/>
          <w:szCs w:val="32"/>
        </w:rPr>
      </w:pPr>
      <w:r>
        <w:rPr>
          <w:rFonts w:hint="eastAsia" w:ascii="仿宋" w:eastAsia="仿宋"/>
          <w:color w:val="000000"/>
          <w:sz w:val="32"/>
          <w:szCs w:val="32"/>
          <w:lang w:val="en-US" w:eastAsia="zh-CN"/>
        </w:rPr>
        <w:t>对个人和家庭的补助：生活补助28.78万元</w:t>
      </w:r>
      <w:r>
        <w:rPr>
          <w:rFonts w:hint="eastAsia" w:ascii="仿宋" w:eastAsia="仿宋"/>
          <w:color w:val="000000"/>
          <w:sz w:val="32"/>
          <w:szCs w:val="32"/>
        </w:rPr>
        <w:t>。</w:t>
      </w:r>
      <w:r>
        <w:rPr>
          <w:rFonts w:ascii="仿宋" w:eastAsia="仿宋"/>
          <w:color w:val="000000"/>
          <w:sz w:val="32"/>
          <w:szCs w:val="32"/>
        </w:rPr>
        <w:br w:type="textWrapping"/>
      </w:r>
      <w:r>
        <w:rPr>
          <w:rFonts w:hint="eastAsia" w:ascii="仿宋" w:eastAsia="仿宋"/>
          <w:color w:val="000000"/>
          <w:sz w:val="32"/>
          <w:szCs w:val="32"/>
        </w:rPr>
        <w:t>　　公用经费</w:t>
      </w:r>
      <w:r>
        <w:rPr>
          <w:rFonts w:hint="eastAsia" w:ascii="仿宋" w:eastAsia="仿宋"/>
          <w:color w:val="000000"/>
          <w:sz w:val="32"/>
          <w:szCs w:val="32"/>
          <w:lang w:val="en-US" w:eastAsia="zh-CN"/>
        </w:rPr>
        <w:t>63.49</w:t>
      </w:r>
      <w:r>
        <w:rPr>
          <w:rFonts w:hint="eastAsia" w:ascii="仿宋" w:eastAsia="仿宋"/>
          <w:color w:val="000000"/>
          <w:sz w:val="32"/>
          <w:szCs w:val="32"/>
        </w:rPr>
        <w:t>万元，主要包括：办公费</w:t>
      </w:r>
      <w:r>
        <w:rPr>
          <w:rFonts w:hint="eastAsia" w:ascii="仿宋" w:eastAsia="仿宋"/>
          <w:color w:val="000000"/>
          <w:sz w:val="32"/>
          <w:szCs w:val="32"/>
          <w:lang w:val="en-US" w:eastAsia="zh-CN"/>
        </w:rPr>
        <w:t>13万元</w:t>
      </w:r>
      <w:r>
        <w:rPr>
          <w:rFonts w:hint="eastAsia" w:ascii="仿宋" w:eastAsia="仿宋"/>
          <w:color w:val="000000"/>
          <w:sz w:val="32"/>
          <w:szCs w:val="32"/>
        </w:rPr>
        <w:t>、电费</w:t>
      </w:r>
      <w:r>
        <w:rPr>
          <w:rFonts w:hint="eastAsia" w:ascii="仿宋" w:eastAsia="仿宋"/>
          <w:color w:val="000000"/>
          <w:sz w:val="32"/>
          <w:szCs w:val="32"/>
          <w:lang w:val="en-US" w:eastAsia="zh-CN"/>
        </w:rPr>
        <w:t>0.8万元</w:t>
      </w:r>
      <w:r>
        <w:rPr>
          <w:rFonts w:hint="eastAsia" w:ascii="仿宋" w:eastAsia="仿宋"/>
          <w:color w:val="000000"/>
          <w:sz w:val="32"/>
          <w:szCs w:val="32"/>
        </w:rPr>
        <w:t>、邮电费</w:t>
      </w:r>
      <w:r>
        <w:rPr>
          <w:rFonts w:hint="eastAsia" w:ascii="仿宋" w:eastAsia="仿宋"/>
          <w:color w:val="000000"/>
          <w:sz w:val="32"/>
          <w:szCs w:val="32"/>
          <w:lang w:val="en-US" w:eastAsia="zh-CN"/>
        </w:rPr>
        <w:t>6.8万元</w:t>
      </w:r>
      <w:r>
        <w:rPr>
          <w:rFonts w:hint="eastAsia" w:ascii="仿宋" w:eastAsia="仿宋"/>
          <w:color w:val="000000"/>
          <w:sz w:val="32"/>
          <w:szCs w:val="32"/>
        </w:rPr>
        <w:t>、差旅费</w:t>
      </w:r>
      <w:r>
        <w:rPr>
          <w:rFonts w:hint="eastAsia" w:ascii="仿宋" w:eastAsia="仿宋"/>
          <w:color w:val="000000"/>
          <w:sz w:val="32"/>
          <w:szCs w:val="32"/>
          <w:lang w:val="en-US" w:eastAsia="zh-CN"/>
        </w:rPr>
        <w:t>11.89万元</w:t>
      </w:r>
      <w:r>
        <w:rPr>
          <w:rFonts w:hint="eastAsia" w:ascii="仿宋" w:eastAsia="仿宋"/>
          <w:color w:val="000000"/>
          <w:sz w:val="32"/>
          <w:szCs w:val="32"/>
        </w:rPr>
        <w:t>、</w:t>
      </w:r>
      <w:r>
        <w:rPr>
          <w:rFonts w:hint="eastAsia" w:ascii="仿宋" w:eastAsia="仿宋"/>
          <w:color w:val="000000"/>
          <w:sz w:val="32"/>
          <w:szCs w:val="32"/>
          <w:lang w:val="en-US" w:eastAsia="zh-CN"/>
        </w:rPr>
        <w:t>维修（维护）费27.3万元、租赁费0.7万元、</w:t>
      </w:r>
      <w:r>
        <w:rPr>
          <w:rFonts w:hint="eastAsia" w:ascii="仿宋" w:eastAsia="仿宋"/>
          <w:color w:val="000000"/>
          <w:sz w:val="32"/>
          <w:szCs w:val="32"/>
        </w:rPr>
        <w:t>公务用车运行维护费</w:t>
      </w:r>
      <w:r>
        <w:rPr>
          <w:rFonts w:hint="eastAsia" w:ascii="仿宋" w:eastAsia="仿宋"/>
          <w:color w:val="000000"/>
          <w:sz w:val="32"/>
          <w:szCs w:val="32"/>
          <w:lang w:val="en-US" w:eastAsia="zh-CN"/>
        </w:rPr>
        <w:t>2.99万元</w:t>
      </w:r>
      <w:r>
        <w:rPr>
          <w:rFonts w:hint="eastAsia" w:ascii="仿宋" w:eastAsia="仿宋"/>
          <w:color w:val="000000"/>
          <w:sz w:val="32"/>
          <w:szCs w:val="32"/>
        </w:rPr>
        <w:t>等。</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hAnsi="Times New Roman" w:eastAsia="仿宋_GB2312" w:cs="仿宋_GB2312"/>
          <w:color w:val="000000"/>
          <w:kern w:val="0"/>
          <w:sz w:val="32"/>
          <w:szCs w:val="32"/>
          <w:shd w:val="clear" w:fill="FFFFFF"/>
          <w:lang w:val="en-US" w:eastAsia="zh-CN" w:bidi="ar"/>
        </w:rPr>
      </w:pPr>
      <w:r>
        <w:rPr>
          <w:rFonts w:hint="eastAsia" w:ascii="仿宋" w:eastAsia="仿宋"/>
          <w:color w:val="000000"/>
          <w:sz w:val="32"/>
          <w:szCs w:val="32"/>
          <w:lang w:val="en-US" w:eastAsia="zh-CN"/>
        </w:rPr>
        <w:t>政府性基金支出：</w:t>
      </w:r>
      <w:r>
        <w:rPr>
          <w:rFonts w:hint="eastAsia" w:ascii="仿宋_GB2312" w:eastAsia="仿宋_GB2312" w:cs="仿宋_GB2312"/>
          <w:color w:val="000000"/>
          <w:kern w:val="0"/>
          <w:sz w:val="32"/>
          <w:szCs w:val="32"/>
          <w:shd w:val="clear" w:fill="FFFFFF"/>
          <w:lang w:val="en-US" w:eastAsia="zh-CN" w:bidi="ar"/>
        </w:rPr>
        <w:t>基础设施建设</w:t>
      </w:r>
      <w:r>
        <w:rPr>
          <w:rFonts w:hint="eastAsia" w:ascii="仿宋" w:eastAsia="仿宋"/>
          <w:color w:val="000000"/>
          <w:sz w:val="32"/>
          <w:szCs w:val="32"/>
          <w:lang w:val="en-US" w:eastAsia="zh-CN"/>
        </w:rPr>
        <w:t>3788.14万元。</w:t>
      </w:r>
      <w:r>
        <w:rPr>
          <w:rFonts w:ascii="仿宋" w:eastAsia="仿宋"/>
          <w:color w:val="000000"/>
          <w:sz w:val="32"/>
          <w:szCs w:val="32"/>
        </w:rPr>
        <w:br w:type="textWrapping"/>
      </w:r>
      <w:r>
        <w:rPr>
          <w:rFonts w:hint="eastAsia" w:ascii="仿宋" w:eastAsia="仿宋"/>
          <w:color w:val="000000"/>
          <w:sz w:val="32"/>
          <w:szCs w:val="32"/>
          <w:lang w:val="en-US" w:eastAsia="zh-CN"/>
        </w:rPr>
        <w:t xml:space="preserve">    </w:t>
      </w:r>
      <w:r>
        <w:rPr>
          <w:rFonts w:hint="eastAsia" w:ascii="仿宋_GB2312" w:hAnsi="Times New Roman" w:eastAsia="仿宋_GB2312" w:cs="仿宋_GB2312"/>
          <w:color w:val="000000"/>
          <w:kern w:val="0"/>
          <w:sz w:val="32"/>
          <w:szCs w:val="32"/>
          <w:shd w:val="clear" w:fill="FFFFFF"/>
          <w:lang w:val="en-US" w:eastAsia="zh-CN" w:bidi="ar"/>
        </w:rPr>
        <w:t>项目支出</w:t>
      </w:r>
      <w:r>
        <w:rPr>
          <w:rFonts w:hint="eastAsia" w:ascii="仿宋_GB2312" w:eastAsia="仿宋_GB2312" w:cs="仿宋_GB2312"/>
          <w:color w:val="000000"/>
          <w:kern w:val="0"/>
          <w:sz w:val="32"/>
          <w:szCs w:val="32"/>
          <w:shd w:val="clear" w:fill="FFFFFF"/>
          <w:lang w:val="en-US" w:eastAsia="zh-CN" w:bidi="ar"/>
        </w:rPr>
        <w:t>14544.76</w:t>
      </w:r>
      <w:r>
        <w:rPr>
          <w:rFonts w:hint="eastAsia" w:ascii="仿宋_GB2312" w:hAnsi="Times New Roman" w:eastAsia="仿宋_GB2312" w:cs="仿宋_GB2312"/>
          <w:color w:val="000000"/>
          <w:kern w:val="0"/>
          <w:sz w:val="32"/>
          <w:szCs w:val="32"/>
          <w:shd w:val="clear" w:fill="FFFFFF"/>
          <w:lang w:val="en-US" w:eastAsia="zh-CN" w:bidi="ar"/>
        </w:rPr>
        <w:t>万元，其中：</w:t>
      </w:r>
      <w:r>
        <w:rPr>
          <w:rFonts w:hint="eastAsia" w:ascii="仿宋_GB2312" w:eastAsia="仿宋_GB2312" w:cs="仿宋_GB2312"/>
          <w:color w:val="000000"/>
          <w:kern w:val="0"/>
          <w:sz w:val="32"/>
          <w:szCs w:val="32"/>
          <w:shd w:val="clear" w:fill="FFFFFF"/>
          <w:lang w:val="en-US" w:eastAsia="zh-CN" w:bidi="ar"/>
        </w:rPr>
        <w:t>维修（护）19.02万元办公费8.49万元，委托业务费251.19万元，抚恤金20.21万元，资本性支出（基本建设）房屋建筑物购建1512.55万元，资本性支出（基本建设）基础设施建设3279.03万元，资本性支出：房屋建筑物构建328.37万元，基础设施建设8320.18万元，大型修缮800万元，拆迁补偿14.17万元</w:t>
      </w:r>
      <w:r>
        <w:rPr>
          <w:rFonts w:hint="eastAsia" w:ascii="仿宋_GB2312" w:hAnsi="Times New Roman" w:eastAsia="仿宋_GB2312" w:cs="仿宋_GB2312"/>
          <w:color w:val="000000"/>
          <w:kern w:val="0"/>
          <w:sz w:val="32"/>
          <w:szCs w:val="32"/>
          <w:shd w:val="clear" w:fill="FFFFFF"/>
          <w:lang w:val="en-US" w:eastAsia="zh-CN" w:bidi="ar"/>
        </w:rPr>
        <w:t>。</w:t>
      </w:r>
    </w:p>
    <w:p>
      <w:pPr>
        <w:keepNext w:val="0"/>
        <w:keepLines w:val="0"/>
        <w:widowControl/>
        <w:numPr>
          <w:ilvl w:val="0"/>
          <w:numId w:val="8"/>
        </w:numPr>
        <w:suppressLineNumbers w:val="0"/>
        <w:adjustRightInd w:val="0"/>
        <w:snapToGrid w:val="0"/>
        <w:spacing w:before="0" w:beforeAutospacing="0" w:after="0" w:afterAutospacing="0" w:line="580" w:lineRule="exact"/>
        <w:ind w:left="0" w:right="0" w:firstLine="640" w:firstLineChars="200"/>
        <w:contextualSpacing/>
        <w:jc w:val="left"/>
        <w:rPr>
          <w:rFonts w:hint="eastAsia" w:ascii="黑体" w:hAnsi="Times New Roman" w:eastAsia="黑体" w:cs="宋体"/>
          <w:color w:val="000000"/>
          <w:kern w:val="0"/>
          <w:sz w:val="32"/>
          <w:szCs w:val="32"/>
          <w:shd w:val="clear" w:fill="FFFFFF"/>
        </w:rPr>
      </w:pPr>
      <w:r>
        <w:rPr>
          <w:rFonts w:hint="eastAsia" w:ascii="黑体" w:hAnsi="宋体" w:eastAsia="黑体" w:cs="黑体"/>
          <w:color w:val="000000"/>
          <w:kern w:val="0"/>
          <w:sz w:val="32"/>
          <w:szCs w:val="32"/>
          <w:shd w:val="clear" w:fill="FFFFFF"/>
          <w:lang w:val="en-US" w:eastAsia="zh-CN" w:bidi="ar"/>
        </w:rPr>
        <w:t>部门整体预算绩效管理情况</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（一）部门预算管理。</w:t>
      </w:r>
    </w:p>
    <w:p>
      <w:pPr>
        <w:pStyle w:val="19"/>
        <w:keepNext w:val="0"/>
        <w:keepLines w:val="0"/>
        <w:widowControl/>
        <w:suppressLineNumbers w:val="0"/>
        <w:shd w:val="clear"/>
        <w:spacing w:before="0" w:beforeAutospacing="0" w:after="0" w:afterAutospacing="0" w:line="375" w:lineRule="atLeast"/>
        <w:ind w:left="0" w:right="0" w:firstLine="640" w:firstLineChars="200"/>
        <w:jc w:val="left"/>
        <w:rPr>
          <w:rFonts w:hint="eastAsia" w:ascii="仿宋_GB2312" w:hAnsi="Calibri" w:eastAsia="仿宋_GB2312" w:cs="Times New Roman"/>
          <w:color w:val="000000"/>
          <w:kern w:val="2"/>
          <w:sz w:val="32"/>
          <w:szCs w:val="32"/>
          <w:shd w:val="clear" w:fill="FFFFFF"/>
        </w:rPr>
      </w:pPr>
      <w:r>
        <w:rPr>
          <w:rFonts w:hint="eastAsia" w:ascii="仿宋_GB2312" w:hAnsi="Calibri" w:eastAsia="仿宋_GB2312" w:cs="仿宋_GB2312"/>
          <w:color w:val="000000"/>
          <w:kern w:val="2"/>
          <w:sz w:val="32"/>
          <w:szCs w:val="32"/>
          <w:shd w:val="clear" w:fill="FFFFFF"/>
          <w:lang w:val="en-US" w:eastAsia="zh-CN" w:bidi="ar"/>
        </w:rPr>
        <w:t>本单位预算编制严格按照《预算法》和财政相关规定执行，确定绩效目标。及时组织财务人员进行预决算的编制，对本年度相应用款进行及时清理和处理，做到账账相符、账实相符、账证相符</w:t>
      </w:r>
      <w:r>
        <w:rPr>
          <w:rFonts w:hint="eastAsia" w:ascii="仿宋_GB2312" w:hAnsi="Calibri" w:eastAsia="仿宋_GB2312" w:cs="Times New Roman"/>
          <w:color w:val="000000"/>
          <w:kern w:val="2"/>
          <w:sz w:val="32"/>
          <w:szCs w:val="32"/>
          <w:shd w:val="clear" w:fill="FFFFFF"/>
          <w:lang w:val="en-US" w:eastAsia="zh-CN" w:bidi="ar"/>
        </w:rPr>
        <w:t>,</w:t>
      </w:r>
      <w:r>
        <w:rPr>
          <w:rFonts w:hint="eastAsia" w:ascii="仿宋_GB2312" w:hAnsi="Calibri" w:eastAsia="仿宋_GB2312" w:cs="仿宋_GB2312"/>
          <w:color w:val="000000"/>
          <w:kern w:val="2"/>
          <w:sz w:val="32"/>
          <w:szCs w:val="32"/>
          <w:shd w:val="clear" w:fill="FFFFFF"/>
          <w:lang w:val="en-US" w:eastAsia="zh-CN" w:bidi="ar"/>
        </w:rPr>
        <w:t>按先有预算再有支出的原则，及时处理相关事务，及时上报相关报表；提前细化，分科目上报，做到收支平衡。</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 w:eastAsia="仿宋_GB2312" w:cs="仿宋"/>
          <w:kern w:val="2"/>
          <w:sz w:val="32"/>
          <w:szCs w:val="32"/>
        </w:rPr>
      </w:pPr>
      <w:r>
        <w:rPr>
          <w:rFonts w:hint="eastAsia" w:ascii="仿宋_GB2312" w:hAnsi="仿宋" w:eastAsia="仿宋_GB2312" w:cs="仿宋_GB2312"/>
          <w:kern w:val="2"/>
          <w:sz w:val="32"/>
          <w:szCs w:val="32"/>
          <w:lang w:val="en-US" w:eastAsia="zh-CN" w:bidi="ar"/>
        </w:rPr>
        <w:t>“三公”经费支出情况：上年公务用车运行维护费为</w:t>
      </w:r>
      <w:r>
        <w:rPr>
          <w:rFonts w:hint="eastAsia" w:ascii="仿宋_GB2312" w:hAnsi="仿宋" w:eastAsia="仿宋_GB2312" w:cs="仿宋"/>
          <w:kern w:val="2"/>
          <w:sz w:val="32"/>
          <w:szCs w:val="32"/>
          <w:lang w:val="en-US" w:eastAsia="zh-CN" w:bidi="ar"/>
        </w:rPr>
        <w:t>2.99</w:t>
      </w:r>
      <w:r>
        <w:rPr>
          <w:rFonts w:hint="eastAsia" w:ascii="仿宋_GB2312" w:hAnsi="仿宋" w:eastAsia="仿宋_GB2312" w:cs="仿宋_GB2312"/>
          <w:kern w:val="2"/>
          <w:sz w:val="32"/>
          <w:szCs w:val="32"/>
          <w:lang w:val="en-US" w:eastAsia="zh-CN" w:bidi="ar"/>
        </w:rPr>
        <w:t>万元，本年</w:t>
      </w:r>
      <w:r>
        <w:rPr>
          <w:rFonts w:hint="eastAsia" w:ascii="仿宋_GB2312" w:hAnsi="仿宋" w:eastAsia="仿宋_GB2312" w:cs="仿宋"/>
          <w:kern w:val="2"/>
          <w:sz w:val="32"/>
          <w:szCs w:val="32"/>
          <w:lang w:val="en-US" w:eastAsia="zh-CN" w:bidi="ar"/>
        </w:rPr>
        <w:t>2.99</w:t>
      </w:r>
      <w:r>
        <w:rPr>
          <w:rFonts w:hint="eastAsia" w:ascii="仿宋_GB2312" w:hAnsi="仿宋" w:eastAsia="仿宋_GB2312" w:cs="仿宋_GB2312"/>
          <w:kern w:val="2"/>
          <w:sz w:val="32"/>
          <w:szCs w:val="32"/>
          <w:lang w:val="en-US" w:eastAsia="zh-CN" w:bidi="ar"/>
        </w:rPr>
        <w:t>万元，比上年有所增加，公务接待费上年</w:t>
      </w:r>
      <w:r>
        <w:rPr>
          <w:rFonts w:hint="eastAsia" w:ascii="仿宋_GB2312" w:hAnsi="仿宋" w:eastAsia="仿宋_GB2312" w:cs="仿宋"/>
          <w:kern w:val="2"/>
          <w:sz w:val="32"/>
          <w:szCs w:val="32"/>
          <w:lang w:val="en-US" w:eastAsia="zh-CN" w:bidi="ar"/>
        </w:rPr>
        <w:t>0万元</w:t>
      </w:r>
      <w:r>
        <w:rPr>
          <w:rFonts w:hint="eastAsia" w:ascii="仿宋_GB2312" w:hAnsi="仿宋" w:eastAsia="仿宋_GB2312" w:cs="仿宋_GB2312"/>
          <w:kern w:val="2"/>
          <w:sz w:val="32"/>
          <w:szCs w:val="32"/>
          <w:lang w:val="en-US" w:eastAsia="zh-CN" w:bidi="ar"/>
        </w:rPr>
        <w:t>，本年</w:t>
      </w:r>
      <w:r>
        <w:rPr>
          <w:rFonts w:hint="eastAsia" w:ascii="仿宋_GB2312" w:hAnsi="仿宋" w:eastAsia="仿宋_GB2312" w:cs="仿宋"/>
          <w:kern w:val="2"/>
          <w:sz w:val="32"/>
          <w:szCs w:val="32"/>
          <w:lang w:val="en-US" w:eastAsia="zh-CN" w:bidi="ar"/>
        </w:rPr>
        <w:t>0万</w:t>
      </w:r>
      <w:r>
        <w:rPr>
          <w:rFonts w:hint="eastAsia" w:ascii="仿宋_GB2312" w:hAnsi="仿宋" w:eastAsia="仿宋_GB2312" w:cs="仿宋_GB2312"/>
          <w:kern w:val="2"/>
          <w:sz w:val="32"/>
          <w:szCs w:val="32"/>
          <w:lang w:val="en-US" w:eastAsia="zh-CN" w:bidi="ar"/>
        </w:rPr>
        <w:t>元，比上年无变动。</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仿宋" w:eastAsia="仿宋_GB2312" w:cs="仿宋_GB2312"/>
          <w:kern w:val="2"/>
          <w:sz w:val="32"/>
          <w:szCs w:val="32"/>
          <w:lang w:val="en-US" w:eastAsia="zh-CN" w:bidi="ar"/>
        </w:rPr>
      </w:pPr>
      <w:r>
        <w:rPr>
          <w:rFonts w:hint="eastAsia" w:ascii="仿宋_GB2312" w:hAnsi="仿宋" w:eastAsia="仿宋_GB2312" w:cs="仿宋"/>
          <w:kern w:val="2"/>
          <w:sz w:val="32"/>
          <w:szCs w:val="32"/>
          <w:lang w:val="en-US" w:eastAsia="zh-CN" w:bidi="ar"/>
        </w:rPr>
        <w:t>2024</w:t>
      </w:r>
      <w:r>
        <w:rPr>
          <w:rFonts w:hint="eastAsia" w:ascii="仿宋_GB2312" w:hAnsi="仿宋" w:eastAsia="仿宋_GB2312" w:cs="仿宋_GB2312"/>
          <w:kern w:val="2"/>
          <w:sz w:val="32"/>
          <w:szCs w:val="32"/>
          <w:lang w:val="en-US" w:eastAsia="zh-CN" w:bidi="ar"/>
        </w:rPr>
        <w:t>年资产总额为</w:t>
      </w:r>
      <w:r>
        <w:rPr>
          <w:rFonts w:hint="eastAsia" w:ascii="仿宋_GB2312" w:hAnsi="仿宋" w:eastAsia="仿宋_GB2312" w:cs="仿宋"/>
          <w:kern w:val="2"/>
          <w:sz w:val="32"/>
          <w:szCs w:val="32"/>
          <w:lang w:val="en-US" w:eastAsia="zh-CN" w:bidi="ar"/>
        </w:rPr>
        <w:t>192</w:t>
      </w:r>
      <w:r>
        <w:rPr>
          <w:rFonts w:hint="eastAsia" w:ascii="仿宋_GB2312" w:hAnsi="仿宋" w:eastAsia="仿宋_GB2312" w:cs="仿宋_GB2312"/>
          <w:kern w:val="2"/>
          <w:sz w:val="32"/>
          <w:szCs w:val="32"/>
          <w:lang w:val="en-US" w:eastAsia="zh-CN" w:bidi="ar"/>
        </w:rPr>
        <w:t>.</w:t>
      </w:r>
      <w:r>
        <w:rPr>
          <w:rFonts w:hint="eastAsia" w:ascii="仿宋_GB2312" w:hAnsi="仿宋" w:eastAsia="仿宋_GB2312" w:cs="仿宋"/>
          <w:kern w:val="2"/>
          <w:sz w:val="32"/>
          <w:szCs w:val="32"/>
          <w:lang w:val="en-US" w:eastAsia="zh-CN" w:bidi="ar"/>
        </w:rPr>
        <w:t>373297</w:t>
      </w:r>
      <w:r>
        <w:rPr>
          <w:rFonts w:hint="eastAsia" w:ascii="仿宋_GB2312" w:hAnsi="仿宋" w:eastAsia="仿宋_GB2312" w:cs="仿宋_GB2312"/>
          <w:kern w:val="2"/>
          <w:sz w:val="32"/>
          <w:szCs w:val="32"/>
          <w:lang w:val="en-US" w:eastAsia="zh-CN" w:bidi="ar"/>
        </w:rPr>
        <w:t>万元，与上年相比资产不变；财政应返还额度为</w:t>
      </w:r>
      <w:r>
        <w:rPr>
          <w:rFonts w:hint="eastAsia" w:ascii="仿宋_GB2312" w:hAnsi="仿宋" w:eastAsia="仿宋_GB2312" w:cs="仿宋"/>
          <w:kern w:val="2"/>
          <w:sz w:val="32"/>
          <w:szCs w:val="32"/>
          <w:lang w:val="en-US" w:eastAsia="zh-CN" w:bidi="ar"/>
        </w:rPr>
        <w:t>0</w:t>
      </w:r>
      <w:r>
        <w:rPr>
          <w:rFonts w:hint="eastAsia" w:ascii="仿宋_GB2312" w:hAnsi="仿宋" w:eastAsia="仿宋_GB2312" w:cs="仿宋_GB2312"/>
          <w:kern w:val="2"/>
          <w:sz w:val="32"/>
          <w:szCs w:val="32"/>
          <w:lang w:val="en-US" w:eastAsia="zh-CN" w:bidi="ar"/>
        </w:rPr>
        <w:t>万元，与上年相比无增减。</w:t>
      </w:r>
    </w:p>
    <w:p>
      <w:pPr>
        <w:keepNext w:val="0"/>
        <w:keepLines w:val="0"/>
        <w:widowControl w:val="0"/>
        <w:suppressLineNumbers w:val="0"/>
        <w:spacing w:before="0" w:beforeAutospacing="0" w:after="0" w:afterAutospacing="0"/>
        <w:ind w:left="0" w:right="0" w:firstLine="640" w:firstLineChars="200"/>
        <w:jc w:val="both"/>
        <w:rPr>
          <w:rFonts w:hint="eastAsia" w:ascii="仿宋_GB2312" w:hAnsi="Calibri" w:eastAsia="仿宋_GB2312" w:cs="Times New Roman"/>
          <w:color w:val="000000"/>
          <w:kern w:val="2"/>
          <w:sz w:val="32"/>
          <w:szCs w:val="32"/>
        </w:rPr>
      </w:pPr>
      <w:r>
        <w:rPr>
          <w:rFonts w:hint="eastAsia" w:ascii="仿宋_GB2312" w:hAnsi="仿宋" w:eastAsia="仿宋_GB2312" w:cs="仿宋_GB2312"/>
          <w:kern w:val="2"/>
          <w:sz w:val="32"/>
          <w:szCs w:val="32"/>
          <w:lang w:val="en-US" w:eastAsia="zh-CN" w:bidi="ar"/>
        </w:rPr>
        <w:t>车辆情况：本单位车辆保有量1辆。</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（二）结果应用情况。</w:t>
      </w:r>
    </w:p>
    <w:p>
      <w:pPr>
        <w:pStyle w:val="32"/>
        <w:widowControl/>
        <w:spacing w:line="560" w:lineRule="exact"/>
        <w:ind w:left="0" w:firstLine="640" w:firstLineChars="200"/>
        <w:rPr>
          <w:rFonts w:hint="eastAsia" w:ascii="仿宋_GB2312" w:eastAsia="仿宋_GB2312" w:cs="Times New Roman"/>
          <w:kern w:val="2"/>
          <w:sz w:val="32"/>
          <w:szCs w:val="32"/>
        </w:rPr>
      </w:pPr>
      <w:r>
        <w:rPr>
          <w:rFonts w:hint="eastAsia" w:ascii="仿宋_GB2312" w:eastAsia="仿宋_GB2312" w:cs="仿宋_GB2312"/>
          <w:kern w:val="2"/>
          <w:sz w:val="32"/>
          <w:szCs w:val="32"/>
        </w:rPr>
        <w:t>预算决算公开按财政局的要求在收到财政批复后</w:t>
      </w:r>
      <w:r>
        <w:rPr>
          <w:rFonts w:hint="eastAsia" w:ascii="仿宋_GB2312" w:eastAsia="仿宋_GB2312" w:cs="Times New Roman"/>
          <w:kern w:val="2"/>
          <w:sz w:val="32"/>
          <w:szCs w:val="32"/>
        </w:rPr>
        <w:t>20个工作日在金川县政府中心的信息网站进行公开。</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黑体" w:hAnsi="Times New Roman" w:eastAsia="黑体" w:cs="宋体"/>
          <w:color w:val="000000"/>
          <w:kern w:val="0"/>
          <w:sz w:val="32"/>
          <w:szCs w:val="32"/>
          <w:shd w:val="clear" w:fill="FFFFFF"/>
        </w:rPr>
      </w:pPr>
      <w:r>
        <w:rPr>
          <w:rFonts w:hint="eastAsia" w:ascii="黑体" w:hAnsi="宋体" w:eastAsia="黑体" w:cs="黑体"/>
          <w:color w:val="000000"/>
          <w:kern w:val="0"/>
          <w:sz w:val="32"/>
          <w:szCs w:val="32"/>
          <w:shd w:val="clear" w:fill="FFFFFF"/>
          <w:lang w:val="en-US" w:eastAsia="zh-CN" w:bidi="ar"/>
        </w:rPr>
        <w:t>四、评价结论及建议</w:t>
      </w:r>
    </w:p>
    <w:p>
      <w:pPr>
        <w:keepNext w:val="0"/>
        <w:keepLines w:val="0"/>
        <w:widowControl/>
        <w:suppressLineNumbers w:val="0"/>
        <w:adjustRightInd w:val="0"/>
        <w:snapToGrid w:val="0"/>
        <w:spacing w:before="0" w:beforeAutospacing="0" w:after="0" w:afterAutospacing="0" w:line="580" w:lineRule="exact"/>
        <w:ind w:left="0" w:right="0" w:firstLine="640" w:firstLineChars="20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（一）评价结论。</w:t>
      </w:r>
    </w:p>
    <w:p>
      <w:pPr>
        <w:pStyle w:val="19"/>
        <w:keepNext w:val="0"/>
        <w:keepLines w:val="0"/>
        <w:widowControl/>
        <w:suppressLineNumbers w:val="0"/>
        <w:shd w:val="clear"/>
        <w:spacing w:before="0" w:beforeAutospacing="0" w:after="0" w:afterAutospacing="0" w:line="375" w:lineRule="atLeast"/>
        <w:ind w:right="0" w:firstLine="640" w:firstLineChars="200"/>
        <w:jc w:val="left"/>
        <w:rPr>
          <w:rFonts w:hint="eastAsia" w:ascii="仿宋_GB2312" w:hAnsi="宋体" w:eastAsia="仿宋_GB2312" w:cs="宋体"/>
          <w:color w:val="000000"/>
          <w:kern w:val="0"/>
          <w:sz w:val="24"/>
          <w:szCs w:val="24"/>
          <w:shd w:val="clear" w:fill="FFFFFF"/>
        </w:rPr>
      </w:pPr>
      <w:r>
        <w:rPr>
          <w:rFonts w:hint="eastAsia" w:ascii="仿宋" w:hAnsi="仿宋" w:eastAsia="仿宋" w:cs="仿宋"/>
          <w:color w:val="333333"/>
          <w:kern w:val="0"/>
          <w:sz w:val="32"/>
          <w:szCs w:val="32"/>
          <w:shd w:val="clear" w:fill="FFFFFF"/>
          <w:lang w:val="en-US" w:eastAsia="zh-CN" w:bidi="ar"/>
        </w:rPr>
        <w:t>自评合格。</w:t>
      </w:r>
    </w:p>
    <w:p>
      <w:pPr>
        <w:keepNext w:val="0"/>
        <w:keepLines w:val="0"/>
        <w:widowControl/>
        <w:suppressLineNumbers w:val="0"/>
        <w:adjustRightInd w:val="0"/>
        <w:snapToGrid w:val="0"/>
        <w:spacing w:before="0" w:beforeAutospacing="0" w:after="0" w:afterAutospacing="0" w:line="580" w:lineRule="exact"/>
        <w:ind w:right="0" w:firstLine="640" w:firstLineChars="20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（二）存在问题。</w:t>
      </w:r>
    </w:p>
    <w:p>
      <w:pPr>
        <w:keepNext w:val="0"/>
        <w:keepLines w:val="0"/>
        <w:widowControl/>
        <w:suppressLineNumbers w:val="0"/>
        <w:adjustRightInd w:val="0"/>
        <w:snapToGrid w:val="0"/>
        <w:spacing w:before="0" w:beforeAutospacing="0" w:after="0" w:afterAutospacing="0" w:line="580" w:lineRule="exact"/>
        <w:ind w:left="420" w:leftChars="200" w:right="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宋体"/>
          <w:color w:val="000000"/>
          <w:kern w:val="0"/>
          <w:sz w:val="32"/>
          <w:szCs w:val="32"/>
          <w:shd w:val="clear" w:fill="FFFFFF"/>
          <w:lang w:val="en-US" w:eastAsia="zh-CN" w:bidi="ar"/>
        </w:rPr>
        <w:t xml:space="preserve">  </w:t>
      </w:r>
      <w:r>
        <w:rPr>
          <w:rFonts w:hint="eastAsia" w:ascii="仿宋_GB2312" w:hAnsi="Times New Roman" w:eastAsia="仿宋_GB2312" w:cs="仿宋_GB2312"/>
          <w:kern w:val="2"/>
          <w:sz w:val="32"/>
          <w:szCs w:val="32"/>
          <w:lang w:val="en-US" w:eastAsia="zh-CN" w:bidi="ar"/>
        </w:rPr>
        <w:t>新形势下的城乡建设工作任务越来越重，工作经费困难。</w:t>
      </w:r>
    </w:p>
    <w:p>
      <w:pPr>
        <w:keepNext w:val="0"/>
        <w:keepLines w:val="0"/>
        <w:widowControl/>
        <w:numPr>
          <w:ilvl w:val="0"/>
          <w:numId w:val="7"/>
        </w:numPr>
        <w:suppressLineNumbers w:val="0"/>
        <w:adjustRightInd w:val="0"/>
        <w:snapToGrid w:val="0"/>
        <w:spacing w:before="0" w:beforeAutospacing="0" w:after="0" w:afterAutospacing="0" w:line="580" w:lineRule="exact"/>
        <w:ind w:left="0" w:leftChars="0" w:right="0" w:firstLine="640" w:firstLineChars="200"/>
        <w:contextualSpacing/>
        <w:jc w:val="left"/>
        <w:rPr>
          <w:rFonts w:hint="eastAsia" w:ascii="仿宋_GB2312" w:hAnsi="Times New Roman" w:eastAsia="仿宋_GB2312" w:cs="宋体"/>
          <w:color w:val="000000"/>
          <w:kern w:val="0"/>
          <w:sz w:val="32"/>
          <w:szCs w:val="32"/>
          <w:shd w:val="clear" w:fill="FFFFFF"/>
        </w:rPr>
      </w:pPr>
      <w:r>
        <w:rPr>
          <w:rFonts w:hint="eastAsia" w:ascii="仿宋_GB2312" w:hAnsi="Times New Roman" w:eastAsia="仿宋_GB2312" w:cs="仿宋_GB2312"/>
          <w:color w:val="000000"/>
          <w:kern w:val="0"/>
          <w:sz w:val="32"/>
          <w:szCs w:val="32"/>
          <w:shd w:val="clear" w:fill="FFFFFF"/>
          <w:lang w:val="en-US" w:eastAsia="zh-CN" w:bidi="ar"/>
        </w:rPr>
        <w:t>改进建议。</w:t>
      </w:r>
    </w:p>
    <w:p>
      <w:pPr>
        <w:keepNext w:val="0"/>
        <w:keepLines w:val="0"/>
        <w:widowControl w:val="0"/>
        <w:suppressLineNumbers w:val="0"/>
        <w:spacing w:before="0" w:beforeAutospacing="0" w:after="0" w:afterAutospacing="0"/>
        <w:ind w:left="0" w:right="0" w:firstLine="640" w:firstLineChars="200"/>
        <w:jc w:val="both"/>
      </w:pPr>
      <w:r>
        <w:rPr>
          <w:rFonts w:hint="eastAsia" w:ascii="仿宋_GB2312" w:hAnsi="Times New Roman" w:eastAsia="仿宋_GB2312" w:cs="仿宋_GB2312"/>
          <w:color w:val="000000"/>
          <w:kern w:val="0"/>
          <w:sz w:val="32"/>
          <w:szCs w:val="32"/>
          <w:shd w:val="clear" w:fill="FFFFFF"/>
          <w:lang w:val="en-US" w:eastAsia="zh-CN" w:bidi="ar"/>
        </w:rPr>
        <w:t>在今后的工作中，我局要继续合理计划利用财政资金，</w:t>
      </w:r>
      <w:r>
        <w:rPr>
          <w:rFonts w:hint="eastAsia" w:ascii="仿宋_GB2312" w:hAnsi="Times New Roman" w:eastAsia="仿宋_GB2312" w:cs="仿宋_GB2312"/>
          <w:kern w:val="2"/>
          <w:sz w:val="32"/>
          <w:szCs w:val="32"/>
          <w:lang w:val="en-US" w:eastAsia="zh-CN" w:bidi="ar"/>
        </w:rPr>
        <w:t>根据资金管理办法进行管理，做好经费保障等工作，明确分工，落实责任</w:t>
      </w:r>
      <w:r>
        <w:rPr>
          <w:rFonts w:hint="eastAsia" w:ascii="仿宋_GB2312" w:eastAsia="仿宋_GB2312" w:cs="仿宋_GB2312"/>
          <w:kern w:val="2"/>
          <w:sz w:val="32"/>
          <w:szCs w:val="32"/>
          <w:lang w:val="en-US" w:eastAsia="zh-CN" w:bidi="ar"/>
        </w:rPr>
        <w:t>。</w:t>
      </w:r>
    </w:p>
    <w:p>
      <w:pPr>
        <w:spacing w:line="600" w:lineRule="exact"/>
        <w:jc w:val="center"/>
        <w:outlineLvl w:val="0"/>
        <w:rPr>
          <w:rFonts w:ascii="仿宋" w:eastAsia="仿宋"/>
          <w:b/>
          <w:color w:val="000000"/>
          <w:sz w:val="44"/>
          <w:szCs w:val="44"/>
        </w:rPr>
      </w:pPr>
    </w:p>
    <w:p>
      <w:pPr>
        <w:pStyle w:val="11"/>
        <w:rPr>
          <w:rFonts w:ascii="仿宋" w:eastAsia="仿宋"/>
          <w:b/>
          <w:color w:val="000000"/>
          <w:sz w:val="44"/>
          <w:szCs w:val="44"/>
        </w:rPr>
      </w:pPr>
    </w:p>
    <w:p>
      <w:pPr>
        <w:pStyle w:val="11"/>
        <w:rPr>
          <w:rFonts w:ascii="仿宋" w:eastAsia="仿宋"/>
          <w:b/>
          <w:color w:val="000000"/>
          <w:sz w:val="44"/>
          <w:szCs w:val="44"/>
        </w:rPr>
      </w:pPr>
    </w:p>
    <w:p>
      <w:pPr>
        <w:pStyle w:val="11"/>
        <w:rPr>
          <w:rFonts w:ascii="仿宋" w:eastAsia="仿宋"/>
          <w:b/>
          <w:color w:val="000000"/>
          <w:sz w:val="44"/>
          <w:szCs w:val="44"/>
        </w:rPr>
      </w:pPr>
    </w:p>
    <w:p>
      <w:pPr>
        <w:pStyle w:val="11"/>
        <w:rPr>
          <w:rFonts w:ascii="仿宋" w:eastAsia="仿宋"/>
          <w:b/>
          <w:color w:val="000000"/>
          <w:sz w:val="44"/>
          <w:szCs w:val="44"/>
        </w:rPr>
      </w:pPr>
    </w:p>
    <w:p>
      <w:pPr>
        <w:pStyle w:val="11"/>
        <w:rPr>
          <w:rFonts w:ascii="仿宋" w:eastAsia="仿宋"/>
          <w:b/>
          <w:color w:val="000000"/>
          <w:sz w:val="44"/>
          <w:szCs w:val="44"/>
        </w:rPr>
      </w:pPr>
    </w:p>
    <w:p>
      <w:pPr>
        <w:pStyle w:val="11"/>
        <w:rPr>
          <w:rFonts w:ascii="仿宋" w:eastAsia="仿宋"/>
          <w:b/>
          <w:color w:val="000000"/>
          <w:sz w:val="44"/>
          <w:szCs w:val="44"/>
        </w:rPr>
      </w:pPr>
    </w:p>
    <w:p>
      <w:pPr>
        <w:pStyle w:val="11"/>
        <w:rPr>
          <w:rFonts w:ascii="仿宋" w:eastAsia="仿宋"/>
          <w:b/>
          <w:color w:val="000000"/>
          <w:sz w:val="44"/>
          <w:szCs w:val="44"/>
        </w:rPr>
      </w:pPr>
    </w:p>
    <w:p>
      <w:pPr>
        <w:pStyle w:val="11"/>
        <w:rPr>
          <w:rFonts w:ascii="仿宋" w:eastAsia="仿宋"/>
          <w:b/>
          <w:color w:val="000000"/>
          <w:sz w:val="44"/>
          <w:szCs w:val="44"/>
        </w:rPr>
      </w:pPr>
    </w:p>
    <w:p>
      <w:pPr>
        <w:pStyle w:val="11"/>
        <w:ind w:left="0" w:leftChars="0" w:firstLine="0" w:firstLineChars="0"/>
        <w:rPr>
          <w:rFonts w:ascii="仿宋" w:eastAsia="仿宋"/>
          <w:b/>
          <w:color w:val="000000"/>
          <w:sz w:val="44"/>
          <w:szCs w:val="44"/>
        </w:rPr>
      </w:pPr>
    </w:p>
    <w:p>
      <w:pPr>
        <w:pStyle w:val="6"/>
        <w:rPr>
          <w:rFonts w:hint="eastAsia" w:ascii="Times New Roman" w:hAnsi="Times New Roman" w:eastAsia="黑体" w:cs="黑体"/>
          <w:color w:val="auto"/>
          <w:kern w:val="0"/>
          <w:sz w:val="32"/>
          <w:szCs w:val="32"/>
          <w:highlight w:val="none"/>
          <w:shd w:val="clear" w:color="auto" w:fill="FFFFFF"/>
          <w:lang w:val="zh-CN"/>
        </w:rPr>
      </w:pPr>
      <w:bookmarkStart w:id="60" w:name="_Toc15396618"/>
      <w:bookmarkStart w:id="61" w:name="_Toc15396619"/>
    </w:p>
    <w:p>
      <w:pPr>
        <w:pStyle w:val="6"/>
        <w:rPr>
          <w:rFonts w:hint="eastAsia" w:ascii="Times New Roman" w:hAnsi="Times New Roman" w:eastAsia="黑体" w:cs="黑体"/>
          <w:color w:val="auto"/>
          <w:kern w:val="0"/>
          <w:sz w:val="32"/>
          <w:szCs w:val="32"/>
          <w:highlight w:val="none"/>
          <w:shd w:val="clear" w:color="auto" w:fill="FFFFFF"/>
          <w:lang w:val="zh-CN"/>
        </w:rPr>
      </w:pPr>
    </w:p>
    <w:tbl>
      <w:tblPr>
        <w:tblW w:w="0" w:type="auto"/>
        <w:tblInd w:w="0" w:type="dxa"/>
        <w:shd w:val="clear"/>
        <w:tblLayout w:type="autofit"/>
        <w:tblCellMar>
          <w:top w:w="0" w:type="dxa"/>
          <w:left w:w="0" w:type="dxa"/>
          <w:bottom w:w="0" w:type="dxa"/>
          <w:right w:w="0" w:type="dxa"/>
        </w:tblCellMar>
      </w:tblPr>
      <w:tblGrid>
        <w:gridCol w:w="507"/>
        <w:gridCol w:w="943"/>
        <w:gridCol w:w="1122"/>
        <w:gridCol w:w="1958"/>
        <w:gridCol w:w="1226"/>
        <w:gridCol w:w="1009"/>
        <w:gridCol w:w="1075"/>
        <w:gridCol w:w="496"/>
      </w:tblGrid>
      <w:tr>
        <w:tblPrEx>
          <w:shd w:val="clear"/>
          <w:tblCellMar>
            <w:top w:w="0" w:type="dxa"/>
            <w:left w:w="0" w:type="dxa"/>
            <w:bottom w:w="0" w:type="dxa"/>
            <w:right w:w="0" w:type="dxa"/>
          </w:tblCellMar>
        </w:tblPrEx>
        <w:trPr>
          <w:trHeight w:val="407" w:hRule="atLeast"/>
        </w:trPr>
        <w:tc>
          <w:tcPr>
            <w:tcW w:w="0" w:type="auto"/>
            <w:gridSpan w:val="4"/>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C0C0C0"/>
                <w:sz w:val="20"/>
                <w:szCs w:val="20"/>
                <w:u w:val="none"/>
              </w:rPr>
            </w:pPr>
            <w:r>
              <w:rPr>
                <w:rFonts w:ascii="宋体" w:hAnsi="宋体" w:eastAsia="宋体" w:cs="宋体"/>
                <w:i w:val="0"/>
                <w:color w:val="C0C0C0"/>
                <w:kern w:val="0"/>
                <w:sz w:val="20"/>
                <w:szCs w:val="20"/>
                <w:u w:val="none"/>
                <w:bdr w:val="none" w:color="auto" w:sz="0" w:space="0"/>
                <w:lang w:val="en-US" w:eastAsia="zh-CN" w:bidi="ar"/>
              </w:rPr>
              <w:t>报表编号：510000_0013</w:t>
            </w:r>
          </w:p>
        </w:tc>
        <w:tc>
          <w:tcPr>
            <w:tcW w:w="0" w:type="auto"/>
            <w:tcBorders>
              <w:top w:val="nil"/>
              <w:left w:val="nil"/>
              <w:bottom w:val="nil"/>
              <w:right w:val="nil"/>
            </w:tcBorders>
            <w:shd w:val="clear"/>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0" w:type="auto"/>
            <w:gridSpan w:val="3"/>
            <w:tcBorders>
              <w:top w:val="nil"/>
              <w:left w:val="nil"/>
              <w:bottom w:val="nil"/>
              <w:right w:val="nil"/>
            </w:tcBorders>
            <w:shd w:val="clear"/>
            <w:tcMar>
              <w:top w:w="15" w:type="dxa"/>
              <w:left w:w="15" w:type="dxa"/>
              <w:right w:w="15" w:type="dxa"/>
            </w:tcMar>
            <w:vAlign w:val="center"/>
          </w:tcPr>
          <w:p>
            <w:pPr>
              <w:rPr>
                <w:rFonts w:hint="eastAsia" w:ascii="宋体" w:hAnsi="宋体" w:eastAsia="宋体" w:cs="宋体"/>
                <w:i w:val="0"/>
                <w:color w:val="000000"/>
                <w:sz w:val="20"/>
                <w:szCs w:val="20"/>
                <w:u w:val="none"/>
              </w:rPr>
            </w:pPr>
          </w:p>
        </w:tc>
      </w:tr>
      <w:tr>
        <w:tblPrEx>
          <w:shd w:val="clear"/>
          <w:tblCellMar>
            <w:top w:w="0" w:type="dxa"/>
            <w:left w:w="0" w:type="dxa"/>
            <w:bottom w:w="0" w:type="dxa"/>
            <w:right w:w="0" w:type="dxa"/>
          </w:tblCellMar>
        </w:tblPrEx>
        <w:trPr>
          <w:trHeight w:val="904" w:hRule="atLeast"/>
        </w:trPr>
        <w:tc>
          <w:tcPr>
            <w:tcW w:w="0" w:type="auto"/>
            <w:gridSpan w:val="8"/>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ascii="黑体" w:hAnsi="宋体" w:eastAsia="黑体" w:cs="黑体"/>
                <w:i w:val="0"/>
                <w:color w:val="000000"/>
                <w:sz w:val="30"/>
                <w:szCs w:val="30"/>
                <w:u w:val="none"/>
              </w:rPr>
            </w:pPr>
            <w:r>
              <w:rPr>
                <w:rFonts w:hint="eastAsia" w:ascii="黑体" w:hAnsi="宋体" w:eastAsia="黑体" w:cs="黑体"/>
                <w:i w:val="0"/>
                <w:color w:val="000000"/>
                <w:kern w:val="0"/>
                <w:sz w:val="30"/>
                <w:szCs w:val="30"/>
                <w:u w:val="none"/>
                <w:bdr w:val="none" w:color="auto" w:sz="0" w:space="0"/>
                <w:lang w:val="en-US" w:eastAsia="zh-CN" w:bidi="ar"/>
              </w:rPr>
              <w:t>部门整体支出绩效目标表</w:t>
            </w:r>
          </w:p>
        </w:tc>
      </w:tr>
      <w:tr>
        <w:tblPrEx>
          <w:shd w:val="clear"/>
          <w:tblCellMar>
            <w:top w:w="0" w:type="dxa"/>
            <w:left w:w="0" w:type="dxa"/>
            <w:bottom w:w="0" w:type="dxa"/>
            <w:right w:w="0" w:type="dxa"/>
          </w:tblCellMar>
        </w:tblPrEx>
        <w:trPr>
          <w:trHeight w:val="286" w:hRule="atLeast"/>
        </w:trPr>
        <w:tc>
          <w:tcPr>
            <w:tcW w:w="0" w:type="auto"/>
            <w:gridSpan w:val="8"/>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（2024年度）</w:t>
            </w:r>
          </w:p>
        </w:tc>
      </w:tr>
      <w:tr>
        <w:tblPrEx>
          <w:shd w:val="clear"/>
          <w:tblCellMar>
            <w:top w:w="0" w:type="dxa"/>
            <w:left w:w="0" w:type="dxa"/>
            <w:bottom w:w="0" w:type="dxa"/>
            <w:right w:w="0" w:type="dxa"/>
          </w:tblCellMar>
        </w:tblPrEx>
        <w:trPr>
          <w:trHeight w:val="286" w:hRule="atLeast"/>
        </w:trPr>
        <w:tc>
          <w:tcPr>
            <w:tcW w:w="0" w:type="auto"/>
            <w:gridSpan w:val="8"/>
            <w:tcBorders>
              <w:top w:val="nil"/>
              <w:left w:val="nil"/>
              <w:bottom w:val="single" w:color="000000" w:sz="4" w:space="0"/>
              <w:right w:val="nil"/>
            </w:tcBorders>
            <w:shd w:val="clear"/>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金额单位：元</w:t>
            </w:r>
          </w:p>
        </w:tc>
      </w:tr>
      <w:tr>
        <w:tblPrEx>
          <w:shd w:val="clear"/>
          <w:tblCellMar>
            <w:top w:w="0" w:type="dxa"/>
            <w:left w:w="0" w:type="dxa"/>
            <w:bottom w:w="0" w:type="dxa"/>
            <w:right w:w="0" w:type="dxa"/>
          </w:tblCellMar>
        </w:tblPrEx>
        <w:trPr>
          <w:trHeight w:val="569" w:hRule="atLeast"/>
        </w:trPr>
        <w:tc>
          <w:tcPr>
            <w:tcW w:w="0" w:type="auto"/>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部门名称</w:t>
            </w:r>
          </w:p>
        </w:tc>
        <w:tc>
          <w:tcPr>
            <w:tcW w:w="0" w:type="auto"/>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金川县住房和城乡建设局本级</w:t>
            </w:r>
          </w:p>
        </w:tc>
      </w:tr>
      <w:tr>
        <w:tblPrEx>
          <w:shd w:val="clear"/>
          <w:tblCellMar>
            <w:top w:w="0" w:type="dxa"/>
            <w:left w:w="0" w:type="dxa"/>
            <w:bottom w:w="0" w:type="dxa"/>
            <w:right w:w="0" w:type="dxa"/>
          </w:tblCellMar>
        </w:tblPrEx>
        <w:trPr>
          <w:trHeight w:val="398"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年度部门整体支出预算</w:t>
            </w:r>
          </w:p>
        </w:tc>
        <w:tc>
          <w:tcPr>
            <w:tcW w:w="0" w:type="auto"/>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资金总额</w:t>
            </w:r>
          </w:p>
        </w:tc>
        <w:tc>
          <w:tcPr>
            <w:tcW w:w="0" w:type="auto"/>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财政拨款</w:t>
            </w:r>
          </w:p>
        </w:tc>
        <w:tc>
          <w:tcPr>
            <w:tcW w:w="0" w:type="auto"/>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其他资金</w:t>
            </w:r>
          </w:p>
        </w:tc>
      </w:tr>
      <w:tr>
        <w:tblPrEx>
          <w:shd w:val="clear"/>
          <w:tblCellMar>
            <w:top w:w="0" w:type="dxa"/>
            <w:left w:w="0" w:type="dxa"/>
            <w:bottom w:w="0" w:type="dxa"/>
            <w:right w:w="0" w:type="dxa"/>
          </w:tblCellMar>
        </w:tblPrEx>
        <w:trPr>
          <w:trHeight w:val="56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3,518,398.76</w:t>
            </w:r>
          </w:p>
        </w:tc>
        <w:tc>
          <w:tcPr>
            <w:tcW w:w="0" w:type="auto"/>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righ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3,518,398.76</w:t>
            </w:r>
          </w:p>
        </w:tc>
        <w:tc>
          <w:tcPr>
            <w:tcW w:w="0" w:type="auto"/>
            <w:gridSpan w:val="3"/>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right"/>
              <w:rPr>
                <w:rFonts w:hint="eastAsia" w:ascii="宋体" w:hAnsi="宋体" w:eastAsia="宋体" w:cs="宋体"/>
                <w:i w:val="0"/>
                <w:color w:val="000000"/>
                <w:sz w:val="18"/>
                <w:szCs w:val="18"/>
                <w:u w:val="none"/>
              </w:rPr>
            </w:pPr>
          </w:p>
        </w:tc>
      </w:tr>
      <w:tr>
        <w:tblPrEx>
          <w:shd w:val="clear"/>
          <w:tblCellMar>
            <w:top w:w="0" w:type="dxa"/>
            <w:left w:w="0" w:type="dxa"/>
            <w:bottom w:w="0" w:type="dxa"/>
            <w:right w:w="0" w:type="dxa"/>
          </w:tblCellMar>
        </w:tblPrEx>
        <w:trPr>
          <w:trHeight w:val="1145" w:hRule="atLeast"/>
        </w:trPr>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年度总体目标</w:t>
            </w:r>
          </w:p>
        </w:tc>
        <w:tc>
          <w:tcPr>
            <w:tcW w:w="0" w:type="auto"/>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我局将聚焦民生问题，进一步完善推动城镇老旧小区改造、住房保障体系建设、农房管控和风貌提升、城镇空间环境改善和品质提升等的措施，提供更高质量的民生保障，不断增强人民群众获得感、幸福感、安全感。聚焦污染防治，加快推进城镇生活污水收集和处理效能提升、生活垃圾规范管理、建筑工地扬尘治理等污染防治，坚决打赢污染防治攻坚战。聚焦质安监管，规范工程建设全过程质量安全监督机制，建立安全隐患排查和安全预防控制体系，推进安全生产治理体系和治理能力现代化。</w:t>
            </w:r>
          </w:p>
        </w:tc>
      </w:tr>
      <w:tr>
        <w:tblPrEx>
          <w:shd w:val="clear"/>
          <w:tblCellMar>
            <w:top w:w="0" w:type="dxa"/>
            <w:left w:w="0" w:type="dxa"/>
            <w:bottom w:w="0" w:type="dxa"/>
            <w:right w:w="0" w:type="dxa"/>
          </w:tblCellMar>
        </w:tblPrEx>
        <w:trPr>
          <w:trHeight w:val="56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年度主要任务</w:t>
            </w:r>
          </w:p>
        </w:tc>
        <w:tc>
          <w:tcPr>
            <w:tcW w:w="0" w:type="auto"/>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任务名称</w:t>
            </w:r>
          </w:p>
        </w:tc>
        <w:tc>
          <w:tcPr>
            <w:tcW w:w="0" w:type="auto"/>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主要内容</w:t>
            </w:r>
          </w:p>
        </w:tc>
      </w:tr>
      <w:tr>
        <w:tblPrEx>
          <w:shd w:val="clear"/>
          <w:tblCellMar>
            <w:top w:w="0" w:type="dxa"/>
            <w:left w:w="0" w:type="dxa"/>
            <w:bottom w:w="0" w:type="dxa"/>
            <w:right w:w="0" w:type="dxa"/>
          </w:tblCellMar>
        </w:tblPrEx>
        <w:trPr>
          <w:trHeight w:val="180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住房和城乡建设规划管理</w:t>
            </w:r>
          </w:p>
        </w:tc>
        <w:tc>
          <w:tcPr>
            <w:tcW w:w="0" w:type="auto"/>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拟订全县住房和城乡建设发展战略、中长期规划和政策措施；拟订全县城市建设和市政公用事业发展战略、中长期规划、改革方案并指导实施；拟订全县乡村和小城镇建设政策及发展规划并指导实施；参与制定美丽乡村建设规划并指导实施；拟订全县乡村民宿发展规划，出台相关政策并指导实施；拟订全县城市和村镇环境卫生管理发展规划、政策规定、技术标准并监督实施；拟订全县房地产业发展规划、产业政策、规章制度及房地产市场监管和调控政策并监督执行。拟订全县建筑业发展规划和产业政策并监督执行；拟订全县勘察设计咨询业发展规划、产业政策并监督实施；拟订全县住房城乡建设行业科技、建筑节能发展规划及相关经济、技术政策并监督实施。</w:t>
            </w:r>
          </w:p>
        </w:tc>
      </w:tr>
      <w:tr>
        <w:tblPrEx>
          <w:shd w:val="clear"/>
          <w:tblCellMar>
            <w:top w:w="0" w:type="dxa"/>
            <w:left w:w="0" w:type="dxa"/>
            <w:bottom w:w="0" w:type="dxa"/>
            <w:right w:w="0" w:type="dxa"/>
          </w:tblCellMar>
        </w:tblPrEx>
        <w:trPr>
          <w:trHeight w:val="4974"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其它住房和城乡建设管理事务</w:t>
            </w:r>
          </w:p>
        </w:tc>
        <w:tc>
          <w:tcPr>
            <w:tcW w:w="0" w:type="auto"/>
            <w:gridSpan w:val="5"/>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拟订全县住房和城乡建设发展战略、中长期规划和政策措施，起草地方性住房和城乡建设法规规章草案，研究提出推进全县住房和城乡建设改革的政策建议；指导并监督住房和城乡建设法律法规规章和政策措施的贯彻执行。指导全县住房建设和住房制度改革工作，拟订全县住房保障和住房公积金政策并指导实施，监督全县住房公积金和其他住房资金的管理、使用和安全。指导全县城市建设。拟订全县城市建设和市政公用事业发展战略、中长期规划、改革方案并指导实施；指导全县城乡园林绿化工作；指导城市生态修复、城市修补工作；指导城市地下空间的开发和利用；会同有关部门负责历史文化名城（镇、村、街）的保护和监督管理工作。拟订全县乡村和小城镇建设政策及发展规划并指导实施；参与制定美丽乡村建设规划并指导实施；指导农村住房建设、住房安全和危房改造工作；指导乡村基础设施建设；拟订全县乡村民宿发展规划，出台相关政策并指导实施；指导省级以上重点镇的建设。拟订全县城市和村镇环境卫生管理发展规划、政策规定、技术标准并监督实施；指导全县环卫设施建设与管理，督导生活垃圾和建筑垃圾减量化、资源化、无害化处理工作。负责全县房地产业行业管理，建立和完善房地产调控长效机制，指导规范房地产市场；拟订全县房地产业发展规划、产业政策、规章制度及房地产市场监管和调控政策并监督执行。拟订全县建筑业发展规划和产业政策并监督执行；拟订规范房屋建筑和市政工程建设各方主体市场行为的规章制度并监督执行；建立和完善建筑市场监管长效机制，维护建筑市场秩序。拟订全县勘察设计咨询业发展规划、产业政策并监督实施；拟订全县住房城乡建设行业科技、建筑节能发展规划及相关经济、技术政策并监督实施；组织实施重大建筑节能项目，推进城镇减排；负责全县建筑设计管理，指导全县城市设计、风貌管理工作。建立全县工程建设标准定额体系。组织制定工程建设实施阶段的地方标准，制定和发布本省工程建设计价依据；指导监督国家和本省各类工程建设标准和定额的贯彻实施。指导监督全县工程质量和安全工作。拟订全县建筑工程、市政工程质量、安全生产和竣工验收备案的政策及规章制度并监督执行</w:t>
            </w:r>
          </w:p>
        </w:tc>
      </w:tr>
      <w:tr>
        <w:tblPrEx>
          <w:shd w:val="clear"/>
          <w:tblCellMar>
            <w:top w:w="0" w:type="dxa"/>
            <w:left w:w="0" w:type="dxa"/>
            <w:bottom w:w="0" w:type="dxa"/>
            <w:right w:w="0" w:type="dxa"/>
          </w:tblCellMar>
        </w:tblPrEx>
        <w:trPr>
          <w:trHeight w:val="569"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年度绩效指标</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一级指标</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绩效指标性质</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绩效指标值</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绩效度量单位</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权重</w:t>
            </w:r>
          </w:p>
        </w:tc>
      </w:tr>
      <w:tr>
        <w:tblPrEx>
          <w:shd w:val="clear"/>
          <w:tblCellMar>
            <w:top w:w="0" w:type="dxa"/>
            <w:left w:w="0" w:type="dxa"/>
            <w:bottom w:w="0" w:type="dxa"/>
            <w:right w:w="0" w:type="dxa"/>
          </w:tblCellMar>
        </w:tblPrEx>
        <w:trPr>
          <w:trHeight w:val="56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产出指标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数量指标</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科目调整次数</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次</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10</w:t>
            </w:r>
          </w:p>
        </w:tc>
      </w:tr>
      <w:tr>
        <w:tblPrEx>
          <w:shd w:val="clear"/>
          <w:tblCellMar>
            <w:top w:w="0" w:type="dxa"/>
            <w:left w:w="0" w:type="dxa"/>
            <w:bottom w:w="0" w:type="dxa"/>
            <w:right w:w="0" w:type="dxa"/>
          </w:tblCellMar>
        </w:tblPrEx>
        <w:trPr>
          <w:trHeight w:val="56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人员经费足额保障率</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15</w:t>
            </w:r>
          </w:p>
        </w:tc>
      </w:tr>
      <w:tr>
        <w:tblPrEx>
          <w:shd w:val="clear"/>
          <w:tblCellMar>
            <w:top w:w="0" w:type="dxa"/>
            <w:left w:w="0" w:type="dxa"/>
            <w:bottom w:w="0" w:type="dxa"/>
            <w:right w:w="0" w:type="dxa"/>
          </w:tblCellMar>
        </w:tblPrEx>
        <w:trPr>
          <w:trHeight w:val="56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质量指标</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预算编制准确率</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98</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15</w:t>
            </w:r>
          </w:p>
        </w:tc>
      </w:tr>
      <w:tr>
        <w:tblPrEx>
          <w:shd w:val="clear"/>
          <w:tblCellMar>
            <w:top w:w="0" w:type="dxa"/>
            <w:left w:w="0" w:type="dxa"/>
            <w:bottom w:w="0" w:type="dxa"/>
            <w:right w:w="0" w:type="dxa"/>
          </w:tblCellMar>
        </w:tblPrEx>
        <w:trPr>
          <w:trHeight w:val="56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时效指标</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按时发放率</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10</w:t>
            </w:r>
          </w:p>
        </w:tc>
      </w:tr>
      <w:tr>
        <w:tblPrEx>
          <w:shd w:val="clear"/>
          <w:tblCellMar>
            <w:top w:w="0" w:type="dxa"/>
            <w:left w:w="0" w:type="dxa"/>
            <w:bottom w:w="0" w:type="dxa"/>
            <w:right w:w="0" w:type="dxa"/>
          </w:tblCellMar>
        </w:tblPrEx>
        <w:trPr>
          <w:trHeight w:val="56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效益指标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经济效益指标</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三公经费控制率</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15</w:t>
            </w:r>
          </w:p>
        </w:tc>
      </w:tr>
      <w:tr>
        <w:tblPrEx>
          <w:shd w:val="clear"/>
          <w:tblCellMar>
            <w:top w:w="0" w:type="dxa"/>
            <w:left w:w="0" w:type="dxa"/>
            <w:bottom w:w="0" w:type="dxa"/>
            <w:right w:w="0" w:type="dxa"/>
          </w:tblCellMar>
        </w:tblPrEx>
        <w:trPr>
          <w:trHeight w:val="56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预算结余率</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15</w:t>
            </w:r>
          </w:p>
        </w:tc>
      </w:tr>
      <w:tr>
        <w:tblPrEx>
          <w:shd w:val="clear"/>
          <w:tblCellMar>
            <w:top w:w="0" w:type="dxa"/>
            <w:left w:w="0" w:type="dxa"/>
            <w:bottom w:w="0" w:type="dxa"/>
            <w:right w:w="0" w:type="dxa"/>
          </w:tblCellMar>
        </w:tblPrEx>
        <w:trPr>
          <w:trHeight w:val="569"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运转保障率</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100</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bdr w:val="none" w:color="auto" w:sz="0" w:space="0"/>
                <w:lang w:val="en-US" w:eastAsia="zh-CN" w:bidi="ar"/>
              </w:rPr>
              <w:t>10</w:t>
            </w:r>
          </w:p>
        </w:tc>
      </w:tr>
      <w:tr>
        <w:tblPrEx>
          <w:shd w:val="clear"/>
          <w:tblCellMar>
            <w:top w:w="0" w:type="dxa"/>
            <w:left w:w="0" w:type="dxa"/>
            <w:bottom w:w="0" w:type="dxa"/>
            <w:right w:w="0" w:type="dxa"/>
          </w:tblCellMar>
        </w:tblPrEx>
        <w:trPr>
          <w:trHeight w:val="286" w:hRule="atLeast"/>
        </w:trPr>
        <w:tc>
          <w:tcPr>
            <w:tcW w:w="0" w:type="auto"/>
            <w:tcBorders>
              <w:top w:val="nil"/>
              <w:left w:val="nil"/>
              <w:bottom w:val="nil"/>
              <w:right w:val="nil"/>
            </w:tcBorders>
            <w:shd w:val="clear"/>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0" w:type="auto"/>
            <w:tcBorders>
              <w:top w:val="nil"/>
              <w:left w:val="nil"/>
              <w:bottom w:val="nil"/>
              <w:right w:val="nil"/>
            </w:tcBorders>
            <w:shd w:val="clear"/>
            <w:tcMar>
              <w:top w:w="15" w:type="dxa"/>
              <w:left w:w="15" w:type="dxa"/>
              <w:right w:w="15" w:type="dxa"/>
            </w:tcMar>
            <w:vAlign w:val="center"/>
          </w:tcPr>
          <w:p>
            <w:pPr>
              <w:rPr>
                <w:rFonts w:hint="eastAsia" w:ascii="宋体" w:hAnsi="宋体" w:eastAsia="宋体" w:cs="宋体"/>
                <w:i w:val="0"/>
                <w:color w:val="000000"/>
                <w:sz w:val="18"/>
                <w:szCs w:val="18"/>
                <w:u w:val="none"/>
              </w:rPr>
            </w:pPr>
          </w:p>
        </w:tc>
      </w:tr>
    </w:tbl>
    <w:p>
      <w:pPr>
        <w:rPr>
          <w:rFonts w:hint="eastAsia" w:ascii="黑体" w:eastAsia="黑体"/>
          <w:color w:val="000000"/>
          <w:sz w:val="44"/>
          <w:szCs w:val="44"/>
        </w:rPr>
      </w:pPr>
      <w:bookmarkStart w:id="74" w:name="_GoBack"/>
      <w:bookmarkEnd w:id="74"/>
    </w:p>
    <w:tbl>
      <w:tblPr>
        <w:tblW w:w="9264" w:type="dxa"/>
        <w:tblInd w:w="-928" w:type="dxa"/>
        <w:shd w:val="clear"/>
        <w:tblLayout w:type="fixed"/>
        <w:tblCellMar>
          <w:top w:w="0" w:type="dxa"/>
          <w:left w:w="0" w:type="dxa"/>
          <w:bottom w:w="0" w:type="dxa"/>
          <w:right w:w="0" w:type="dxa"/>
        </w:tblCellMar>
      </w:tblPr>
      <w:tblGrid>
        <w:gridCol w:w="1020"/>
        <w:gridCol w:w="1260"/>
        <w:gridCol w:w="593"/>
        <w:gridCol w:w="270"/>
        <w:gridCol w:w="271"/>
        <w:gridCol w:w="510"/>
        <w:gridCol w:w="240"/>
        <w:gridCol w:w="1860"/>
        <w:gridCol w:w="270"/>
        <w:gridCol w:w="270"/>
        <w:gridCol w:w="270"/>
        <w:gridCol w:w="270"/>
        <w:gridCol w:w="270"/>
        <w:gridCol w:w="270"/>
        <w:gridCol w:w="270"/>
        <w:gridCol w:w="270"/>
        <w:gridCol w:w="270"/>
        <w:gridCol w:w="270"/>
        <w:gridCol w:w="270"/>
        <w:gridCol w:w="270"/>
      </w:tblGrid>
      <w:tr>
        <w:tblPrEx>
          <w:tblCellMar>
            <w:top w:w="0" w:type="dxa"/>
            <w:left w:w="0" w:type="dxa"/>
            <w:bottom w:w="0" w:type="dxa"/>
            <w:right w:w="0" w:type="dxa"/>
          </w:tblCellMar>
        </w:tblPrEx>
        <w:trPr>
          <w:trHeight w:val="23" w:hRule="atLeast"/>
        </w:trPr>
        <w:tc>
          <w:tcPr>
            <w:tcW w:w="1020" w:type="dxa"/>
            <w:tcBorders>
              <w:top w:val="nil"/>
              <w:left w:val="nil"/>
              <w:bottom w:val="nil"/>
              <w:right w:val="nil"/>
            </w:tcBorders>
            <w:shd w:val="clear"/>
            <w:noWrap/>
            <w:tcMar>
              <w:top w:w="15" w:type="dxa"/>
              <w:left w:w="15" w:type="dxa"/>
              <w:right w:w="15" w:type="dxa"/>
            </w:tcMar>
            <w:vAlign w:val="center"/>
          </w:tcPr>
          <w:p>
            <w:pPr>
              <w:rPr>
                <w:rFonts w:hint="eastAsia" w:ascii="宋体" w:hAnsi="宋体" w:eastAsia="宋体" w:cs="宋体"/>
                <w:i w:val="0"/>
                <w:color w:val="000000"/>
                <w:sz w:val="22"/>
                <w:szCs w:val="22"/>
                <w:u w:val="none"/>
              </w:rPr>
            </w:pPr>
          </w:p>
        </w:tc>
        <w:tc>
          <w:tcPr>
            <w:tcW w:w="7974" w:type="dxa"/>
            <w:gridSpan w:val="18"/>
            <w:tcBorders>
              <w:top w:val="nil"/>
              <w:left w:val="nil"/>
              <w:bottom w:val="nil"/>
              <w:right w:val="nil"/>
            </w:tcBorders>
            <w:shd w:val="clear"/>
            <w:tcMar>
              <w:top w:w="15" w:type="dxa"/>
              <w:left w:w="15" w:type="dxa"/>
              <w:right w:w="15" w:type="dxa"/>
            </w:tcMar>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color w:val="000000"/>
                <w:sz w:val="48"/>
                <w:szCs w:val="48"/>
                <w:u w:val="none"/>
              </w:rPr>
            </w:pPr>
            <w:r>
              <w:rPr>
                <w:rFonts w:hint="default" w:ascii="方正小标宋简体" w:hAnsi="方正小标宋简体" w:eastAsia="方正小标宋简体" w:cs="方正小标宋简体"/>
                <w:i w:val="0"/>
                <w:color w:val="000000"/>
                <w:kern w:val="0"/>
                <w:sz w:val="48"/>
                <w:szCs w:val="48"/>
                <w:u w:val="none"/>
                <w:bdr w:val="none" w:color="auto" w:sz="0" w:space="0"/>
                <w:lang w:val="en-US" w:eastAsia="zh-CN" w:bidi="ar"/>
              </w:rPr>
              <w:t>部门预算绩效评价指标体系</w:t>
            </w:r>
          </w:p>
        </w:tc>
        <w:tc>
          <w:tcPr>
            <w:tcW w:w="270" w:type="dxa"/>
            <w:tcBorders>
              <w:top w:val="nil"/>
              <w:left w:val="nil"/>
              <w:bottom w:val="nil"/>
              <w:right w:val="nil"/>
            </w:tcBorders>
            <w:shd w:val="clear"/>
            <w:tcMar>
              <w:top w:w="15" w:type="dxa"/>
              <w:left w:w="15" w:type="dxa"/>
              <w:right w:w="15" w:type="dxa"/>
            </w:tcMar>
            <w:vAlign w:val="center"/>
          </w:tcPr>
          <w:p>
            <w:pPr>
              <w:jc w:val="center"/>
              <w:rPr>
                <w:rFonts w:hint="default" w:ascii="方正小标宋简体" w:hAnsi="方正小标宋简体" w:eastAsia="方正小标宋简体" w:cs="方正小标宋简体"/>
                <w:i w:val="0"/>
                <w:color w:val="000000"/>
                <w:sz w:val="24"/>
                <w:szCs w:val="24"/>
                <w:u w:val="none"/>
              </w:rPr>
            </w:pPr>
          </w:p>
        </w:tc>
      </w:tr>
      <w:tr>
        <w:tblPrEx>
          <w:tblCellMar>
            <w:top w:w="0" w:type="dxa"/>
            <w:left w:w="0" w:type="dxa"/>
            <w:bottom w:w="0" w:type="dxa"/>
            <w:right w:w="0" w:type="dxa"/>
          </w:tblCellMar>
        </w:tblPrEx>
        <w:trPr>
          <w:trHeight w:val="23" w:hRule="atLeast"/>
        </w:trPr>
        <w:tc>
          <w:tcPr>
            <w:tcW w:w="3143" w:type="dxa"/>
            <w:gridSpan w:val="4"/>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bdr w:val="none" w:color="auto" w:sz="0" w:space="0"/>
                <w:lang w:val="en-US" w:eastAsia="zh-CN" w:bidi="ar"/>
              </w:rPr>
              <w:t>绩效评价指标</w:t>
            </w:r>
            <w:r>
              <w:rPr>
                <w:rFonts w:hint="eastAsia" w:ascii="黑体" w:hAnsi="宋体" w:eastAsia="黑体" w:cs="黑体"/>
                <w:i w:val="0"/>
                <w:color w:val="000000"/>
                <w:kern w:val="0"/>
                <w:sz w:val="24"/>
                <w:szCs w:val="24"/>
                <w:u w:val="none"/>
                <w:bdr w:val="none" w:color="auto" w:sz="0" w:space="0"/>
                <w:lang w:val="en-US" w:eastAsia="zh-CN" w:bidi="ar"/>
              </w:rPr>
              <w:br w:type="textWrapping"/>
            </w:r>
            <w:r>
              <w:rPr>
                <w:rFonts w:hint="eastAsia" w:ascii="黑体" w:hAnsi="宋体" w:eastAsia="黑体" w:cs="黑体"/>
                <w:i w:val="0"/>
                <w:color w:val="000000"/>
                <w:kern w:val="0"/>
                <w:sz w:val="24"/>
                <w:szCs w:val="24"/>
                <w:u w:val="none"/>
                <w:bdr w:val="none" w:color="auto" w:sz="0" w:space="0"/>
                <w:lang w:val="en-US" w:eastAsia="zh-CN" w:bidi="ar"/>
              </w:rPr>
              <w:t>指标分值</w:t>
            </w:r>
          </w:p>
        </w:tc>
        <w:tc>
          <w:tcPr>
            <w:tcW w:w="27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c>
          <w:tcPr>
            <w:tcW w:w="51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bdr w:val="none" w:color="auto" w:sz="0" w:space="0"/>
                <w:lang w:val="en-US" w:eastAsia="zh-CN" w:bidi="ar"/>
              </w:rPr>
              <w:t>指标解释</w:t>
            </w:r>
          </w:p>
        </w:tc>
        <w:tc>
          <w:tcPr>
            <w:tcW w:w="24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bdr w:val="none" w:color="auto" w:sz="0" w:space="0"/>
                <w:lang w:val="en-US" w:eastAsia="zh-CN" w:bidi="ar"/>
              </w:rPr>
              <w:t>评分方法</w:t>
            </w:r>
          </w:p>
        </w:tc>
        <w:tc>
          <w:tcPr>
            <w:tcW w:w="186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bdr w:val="none" w:color="auto" w:sz="0" w:space="0"/>
                <w:lang w:val="en-US" w:eastAsia="zh-CN" w:bidi="ar"/>
              </w:rPr>
              <w:t>评分说明</w:t>
            </w:r>
          </w:p>
        </w:tc>
        <w:tc>
          <w:tcPr>
            <w:tcW w:w="5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bdr w:val="none" w:color="auto" w:sz="0" w:space="0"/>
                <w:lang w:val="en-US" w:eastAsia="zh-CN" w:bidi="ar"/>
              </w:rPr>
              <w:t>评价方式</w:t>
            </w:r>
          </w:p>
        </w:tc>
        <w:tc>
          <w:tcPr>
            <w:tcW w:w="540"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bdr w:val="none" w:color="auto" w:sz="0" w:space="0"/>
                <w:lang w:val="en-US" w:eastAsia="zh-CN" w:bidi="ar"/>
              </w:rPr>
              <w:t>评价属性</w:t>
            </w:r>
          </w:p>
        </w:tc>
        <w:tc>
          <w:tcPr>
            <w:tcW w:w="1890" w:type="dxa"/>
            <w:gridSpan w:val="7"/>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bdr w:val="none" w:color="auto" w:sz="0" w:space="0"/>
                <w:lang w:val="en-US" w:eastAsia="zh-CN" w:bidi="ar"/>
              </w:rPr>
              <w:t>评价标准</w:t>
            </w:r>
          </w:p>
        </w:tc>
        <w:tc>
          <w:tcPr>
            <w:tcW w:w="27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bdr w:val="none" w:color="auto" w:sz="0" w:space="0"/>
                <w:lang w:val="en-US" w:eastAsia="zh-CN" w:bidi="ar"/>
              </w:rPr>
              <w:t>备注</w:t>
            </w:r>
          </w:p>
        </w:tc>
      </w:tr>
      <w:tr>
        <w:tblPrEx>
          <w:shd w:val="clear"/>
          <w:tblCellMar>
            <w:top w:w="0" w:type="dxa"/>
            <w:left w:w="0" w:type="dxa"/>
            <w:bottom w:w="0" w:type="dxa"/>
            <w:right w:w="0" w:type="dxa"/>
          </w:tblCellMar>
        </w:tblPrEx>
        <w:trPr>
          <w:trHeight w:val="23" w:hRule="atLeast"/>
        </w:trPr>
        <w:tc>
          <w:tcPr>
            <w:tcW w:w="1020"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bdr w:val="none" w:color="auto" w:sz="0" w:space="0"/>
                <w:lang w:val="en-US" w:eastAsia="zh-CN" w:bidi="ar"/>
              </w:rPr>
              <w:t>一级指标</w:t>
            </w:r>
          </w:p>
        </w:tc>
        <w:tc>
          <w:tcPr>
            <w:tcW w:w="12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bdr w:val="none" w:color="auto" w:sz="0" w:space="0"/>
                <w:lang w:val="en-US" w:eastAsia="zh-CN" w:bidi="ar"/>
              </w:rPr>
              <w:t>二级指标</w:t>
            </w:r>
          </w:p>
        </w:tc>
        <w:tc>
          <w:tcPr>
            <w:tcW w:w="59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bdr w:val="none" w:color="auto" w:sz="0" w:space="0"/>
                <w:lang w:val="en-US" w:eastAsia="zh-CN" w:bidi="ar"/>
              </w:rPr>
              <w:t>三级指标</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bdr w:val="none" w:color="auto" w:sz="0" w:space="0"/>
                <w:lang w:val="en-US" w:eastAsia="zh-CN" w:bidi="ar"/>
              </w:rPr>
              <w:t>指标</w:t>
            </w:r>
            <w:r>
              <w:rPr>
                <w:rFonts w:hint="eastAsia" w:ascii="黑体" w:hAnsi="宋体" w:eastAsia="黑体" w:cs="黑体"/>
                <w:i w:val="0"/>
                <w:color w:val="000000"/>
                <w:kern w:val="0"/>
                <w:sz w:val="24"/>
                <w:szCs w:val="24"/>
                <w:u w:val="none"/>
                <w:bdr w:val="none" w:color="auto" w:sz="0" w:space="0"/>
                <w:lang w:val="en-US" w:eastAsia="zh-CN" w:bidi="ar"/>
              </w:rPr>
              <w:br w:type="textWrapping"/>
            </w:r>
            <w:r>
              <w:rPr>
                <w:rFonts w:hint="eastAsia" w:ascii="黑体" w:hAnsi="宋体" w:eastAsia="黑体" w:cs="黑体"/>
                <w:i w:val="0"/>
                <w:color w:val="000000"/>
                <w:kern w:val="0"/>
                <w:sz w:val="24"/>
                <w:szCs w:val="24"/>
                <w:u w:val="none"/>
                <w:bdr w:val="none" w:color="auto" w:sz="0" w:space="0"/>
                <w:lang w:val="en-US" w:eastAsia="zh-CN" w:bidi="ar"/>
              </w:rPr>
              <w:t>分值</w:t>
            </w:r>
          </w:p>
        </w:tc>
        <w:tc>
          <w:tcPr>
            <w:tcW w:w="27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b/>
                <w:i w:val="0"/>
                <w:color w:val="FF0000"/>
                <w:sz w:val="24"/>
                <w:szCs w:val="24"/>
                <w:u w:val="none"/>
              </w:rPr>
            </w:pPr>
            <w:r>
              <w:rPr>
                <w:rFonts w:hint="eastAsia" w:ascii="黑体" w:hAnsi="宋体" w:eastAsia="黑体" w:cs="黑体"/>
                <w:b/>
                <w:i w:val="0"/>
                <w:color w:val="FF0000"/>
                <w:kern w:val="0"/>
                <w:sz w:val="24"/>
                <w:szCs w:val="24"/>
                <w:u w:val="none"/>
                <w:bdr w:val="none" w:color="auto" w:sz="0" w:space="0"/>
                <w:lang w:val="en-US" w:eastAsia="zh-CN" w:bidi="ar"/>
              </w:rPr>
              <w:t>自评得分</w:t>
            </w:r>
          </w:p>
        </w:tc>
        <w:tc>
          <w:tcPr>
            <w:tcW w:w="51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c>
          <w:tcPr>
            <w:tcW w:w="24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c>
          <w:tcPr>
            <w:tcW w:w="186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bdr w:val="none" w:color="auto" w:sz="0" w:space="0"/>
                <w:lang w:val="en-US" w:eastAsia="zh-CN" w:bidi="ar"/>
              </w:rPr>
              <w:t>整体</w:t>
            </w:r>
            <w:r>
              <w:rPr>
                <w:rFonts w:hint="eastAsia" w:ascii="黑体" w:hAnsi="宋体" w:eastAsia="黑体" w:cs="黑体"/>
                <w:i w:val="0"/>
                <w:color w:val="000000"/>
                <w:kern w:val="0"/>
                <w:sz w:val="24"/>
                <w:szCs w:val="24"/>
                <w:u w:val="none"/>
                <w:bdr w:val="none" w:color="auto" w:sz="0" w:space="0"/>
                <w:lang w:val="en-US" w:eastAsia="zh-CN" w:bidi="ar"/>
              </w:rPr>
              <w:br w:type="textWrapping"/>
            </w:r>
            <w:r>
              <w:rPr>
                <w:rFonts w:hint="eastAsia" w:ascii="黑体" w:hAnsi="宋体" w:eastAsia="黑体" w:cs="黑体"/>
                <w:i w:val="0"/>
                <w:color w:val="000000"/>
                <w:kern w:val="0"/>
                <w:sz w:val="24"/>
                <w:szCs w:val="24"/>
                <w:u w:val="none"/>
                <w:bdr w:val="none" w:color="auto" w:sz="0" w:space="0"/>
                <w:lang w:val="en-US" w:eastAsia="zh-CN" w:bidi="ar"/>
              </w:rPr>
              <w:t>评价</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bdr w:val="none" w:color="auto" w:sz="0" w:space="0"/>
                <w:lang w:val="en-US" w:eastAsia="zh-CN" w:bidi="ar"/>
              </w:rPr>
              <w:t>样本</w:t>
            </w:r>
            <w:r>
              <w:rPr>
                <w:rFonts w:hint="eastAsia" w:ascii="黑体" w:hAnsi="宋体" w:eastAsia="黑体" w:cs="黑体"/>
                <w:i w:val="0"/>
                <w:color w:val="000000"/>
                <w:kern w:val="0"/>
                <w:sz w:val="24"/>
                <w:szCs w:val="24"/>
                <w:u w:val="none"/>
                <w:bdr w:val="none" w:color="auto" w:sz="0" w:space="0"/>
                <w:lang w:val="en-US" w:eastAsia="zh-CN" w:bidi="ar"/>
              </w:rPr>
              <w:br w:type="textWrapping"/>
            </w:r>
            <w:r>
              <w:rPr>
                <w:rFonts w:hint="eastAsia" w:ascii="黑体" w:hAnsi="宋体" w:eastAsia="黑体" w:cs="黑体"/>
                <w:i w:val="0"/>
                <w:color w:val="000000"/>
                <w:kern w:val="0"/>
                <w:sz w:val="24"/>
                <w:szCs w:val="24"/>
                <w:u w:val="none"/>
                <w:bdr w:val="none" w:color="auto" w:sz="0" w:space="0"/>
                <w:lang w:val="en-US" w:eastAsia="zh-CN" w:bidi="ar"/>
              </w:rPr>
              <w:t>评价</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bdr w:val="none" w:color="auto" w:sz="0" w:space="0"/>
                <w:lang w:val="en-US" w:eastAsia="zh-CN" w:bidi="ar"/>
              </w:rPr>
              <w:t>定性</w:t>
            </w:r>
            <w:r>
              <w:rPr>
                <w:rFonts w:hint="eastAsia" w:ascii="黑体" w:hAnsi="宋体" w:eastAsia="黑体" w:cs="黑体"/>
                <w:i w:val="0"/>
                <w:color w:val="000000"/>
                <w:kern w:val="0"/>
                <w:sz w:val="24"/>
                <w:szCs w:val="24"/>
                <w:u w:val="none"/>
                <w:bdr w:val="none" w:color="auto" w:sz="0" w:space="0"/>
                <w:lang w:val="en-US" w:eastAsia="zh-CN" w:bidi="ar"/>
              </w:rPr>
              <w:br w:type="textWrapping"/>
            </w:r>
            <w:r>
              <w:rPr>
                <w:rFonts w:hint="eastAsia" w:ascii="黑体" w:hAnsi="宋体" w:eastAsia="黑体" w:cs="黑体"/>
                <w:i w:val="0"/>
                <w:color w:val="000000"/>
                <w:kern w:val="0"/>
                <w:sz w:val="24"/>
                <w:szCs w:val="24"/>
                <w:u w:val="none"/>
                <w:bdr w:val="none" w:color="auto" w:sz="0" w:space="0"/>
                <w:lang w:val="en-US" w:eastAsia="zh-CN" w:bidi="ar"/>
              </w:rPr>
              <w:t>评价</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bdr w:val="none" w:color="auto" w:sz="0" w:space="0"/>
                <w:lang w:val="en-US" w:eastAsia="zh-CN" w:bidi="ar"/>
              </w:rPr>
              <w:t>定量</w:t>
            </w:r>
            <w:r>
              <w:rPr>
                <w:rFonts w:hint="eastAsia" w:ascii="黑体" w:hAnsi="宋体" w:eastAsia="黑体" w:cs="黑体"/>
                <w:i w:val="0"/>
                <w:color w:val="000000"/>
                <w:kern w:val="0"/>
                <w:sz w:val="24"/>
                <w:szCs w:val="24"/>
                <w:u w:val="none"/>
                <w:bdr w:val="none" w:color="auto" w:sz="0" w:space="0"/>
                <w:lang w:val="en-US" w:eastAsia="zh-CN" w:bidi="ar"/>
              </w:rPr>
              <w:br w:type="textWrapping"/>
            </w:r>
            <w:r>
              <w:rPr>
                <w:rFonts w:hint="eastAsia" w:ascii="黑体" w:hAnsi="宋体" w:eastAsia="黑体" w:cs="黑体"/>
                <w:i w:val="0"/>
                <w:color w:val="000000"/>
                <w:kern w:val="0"/>
                <w:sz w:val="24"/>
                <w:szCs w:val="24"/>
                <w:u w:val="none"/>
                <w:bdr w:val="none" w:color="auto" w:sz="0" w:space="0"/>
                <w:lang w:val="en-US" w:eastAsia="zh-CN" w:bidi="ar"/>
              </w:rPr>
              <w:t>评价</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bdr w:val="none" w:color="auto" w:sz="0" w:space="0"/>
                <w:lang w:val="en-US" w:eastAsia="zh-CN" w:bidi="ar"/>
              </w:rPr>
              <w:t>国家</w:t>
            </w:r>
            <w:r>
              <w:rPr>
                <w:rFonts w:hint="eastAsia" w:ascii="黑体" w:hAnsi="宋体" w:eastAsia="黑体" w:cs="黑体"/>
                <w:i w:val="0"/>
                <w:color w:val="000000"/>
                <w:kern w:val="0"/>
                <w:sz w:val="24"/>
                <w:szCs w:val="24"/>
                <w:u w:val="none"/>
                <w:bdr w:val="none" w:color="auto" w:sz="0" w:space="0"/>
                <w:lang w:val="en-US" w:eastAsia="zh-CN" w:bidi="ar"/>
              </w:rPr>
              <w:br w:type="textWrapping"/>
            </w:r>
            <w:r>
              <w:rPr>
                <w:rFonts w:hint="eastAsia" w:ascii="黑体" w:hAnsi="宋体" w:eastAsia="黑体" w:cs="黑体"/>
                <w:i w:val="0"/>
                <w:color w:val="000000"/>
                <w:kern w:val="0"/>
                <w:sz w:val="24"/>
                <w:szCs w:val="24"/>
                <w:u w:val="none"/>
                <w:bdr w:val="none" w:color="auto" w:sz="0" w:space="0"/>
                <w:lang w:val="en-US" w:eastAsia="zh-CN" w:bidi="ar"/>
              </w:rPr>
              <w:t>标准</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bdr w:val="none" w:color="auto" w:sz="0" w:space="0"/>
                <w:lang w:val="en-US" w:eastAsia="zh-CN" w:bidi="ar"/>
              </w:rPr>
              <w:t>行业</w:t>
            </w:r>
            <w:r>
              <w:rPr>
                <w:rFonts w:hint="eastAsia" w:ascii="黑体" w:hAnsi="宋体" w:eastAsia="黑体" w:cs="黑体"/>
                <w:i w:val="0"/>
                <w:color w:val="000000"/>
                <w:kern w:val="0"/>
                <w:sz w:val="24"/>
                <w:szCs w:val="24"/>
                <w:u w:val="none"/>
                <w:bdr w:val="none" w:color="auto" w:sz="0" w:space="0"/>
                <w:lang w:val="en-US" w:eastAsia="zh-CN" w:bidi="ar"/>
              </w:rPr>
              <w:br w:type="textWrapping"/>
            </w:r>
            <w:r>
              <w:rPr>
                <w:rFonts w:hint="eastAsia" w:ascii="黑体" w:hAnsi="宋体" w:eastAsia="黑体" w:cs="黑体"/>
                <w:i w:val="0"/>
                <w:color w:val="000000"/>
                <w:kern w:val="0"/>
                <w:sz w:val="24"/>
                <w:szCs w:val="24"/>
                <w:u w:val="none"/>
                <w:bdr w:val="none" w:color="auto" w:sz="0" w:space="0"/>
                <w:lang w:val="en-US" w:eastAsia="zh-CN" w:bidi="ar"/>
              </w:rPr>
              <w:t>标准</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bdr w:val="none" w:color="auto" w:sz="0" w:space="0"/>
                <w:lang w:val="en-US" w:eastAsia="zh-CN" w:bidi="ar"/>
              </w:rPr>
              <w:t>地方</w:t>
            </w:r>
            <w:r>
              <w:rPr>
                <w:rFonts w:hint="eastAsia" w:ascii="黑体" w:hAnsi="宋体" w:eastAsia="黑体" w:cs="黑体"/>
                <w:i w:val="0"/>
                <w:color w:val="000000"/>
                <w:kern w:val="0"/>
                <w:sz w:val="24"/>
                <w:szCs w:val="24"/>
                <w:u w:val="none"/>
                <w:bdr w:val="none" w:color="auto" w:sz="0" w:space="0"/>
                <w:lang w:val="en-US" w:eastAsia="zh-CN" w:bidi="ar"/>
              </w:rPr>
              <w:br w:type="textWrapping"/>
            </w:r>
            <w:r>
              <w:rPr>
                <w:rFonts w:hint="eastAsia" w:ascii="黑体" w:hAnsi="宋体" w:eastAsia="黑体" w:cs="黑体"/>
                <w:i w:val="0"/>
                <w:color w:val="000000"/>
                <w:kern w:val="0"/>
                <w:sz w:val="24"/>
                <w:szCs w:val="24"/>
                <w:u w:val="none"/>
                <w:bdr w:val="none" w:color="auto" w:sz="0" w:space="0"/>
                <w:lang w:val="en-US" w:eastAsia="zh-CN" w:bidi="ar"/>
              </w:rPr>
              <w:t>标准</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bdr w:val="none" w:color="auto" w:sz="0" w:space="0"/>
                <w:lang w:val="en-US" w:eastAsia="zh-CN" w:bidi="ar"/>
              </w:rPr>
              <w:t>申报</w:t>
            </w:r>
            <w:r>
              <w:rPr>
                <w:rFonts w:hint="eastAsia" w:ascii="黑体" w:hAnsi="宋体" w:eastAsia="黑体" w:cs="黑体"/>
                <w:i w:val="0"/>
                <w:color w:val="000000"/>
                <w:kern w:val="0"/>
                <w:sz w:val="24"/>
                <w:szCs w:val="24"/>
                <w:u w:val="none"/>
                <w:bdr w:val="none" w:color="auto" w:sz="0" w:space="0"/>
                <w:lang w:val="en-US" w:eastAsia="zh-CN" w:bidi="ar"/>
              </w:rPr>
              <w:br w:type="textWrapping"/>
            </w:r>
            <w:r>
              <w:rPr>
                <w:rFonts w:hint="eastAsia" w:ascii="黑体" w:hAnsi="宋体" w:eastAsia="黑体" w:cs="黑体"/>
                <w:i w:val="0"/>
                <w:color w:val="000000"/>
                <w:kern w:val="0"/>
                <w:sz w:val="24"/>
                <w:szCs w:val="24"/>
                <w:u w:val="none"/>
                <w:bdr w:val="none" w:color="auto" w:sz="0" w:space="0"/>
                <w:lang w:val="en-US" w:eastAsia="zh-CN" w:bidi="ar"/>
              </w:rPr>
              <w:t>标准</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bdr w:val="none" w:color="auto" w:sz="0" w:space="0"/>
                <w:lang w:val="en-US" w:eastAsia="zh-CN" w:bidi="ar"/>
              </w:rPr>
              <w:t>历史</w:t>
            </w:r>
            <w:r>
              <w:rPr>
                <w:rFonts w:hint="eastAsia" w:ascii="黑体" w:hAnsi="宋体" w:eastAsia="黑体" w:cs="黑体"/>
                <w:i w:val="0"/>
                <w:color w:val="000000"/>
                <w:kern w:val="0"/>
                <w:sz w:val="24"/>
                <w:szCs w:val="24"/>
                <w:u w:val="none"/>
                <w:bdr w:val="none" w:color="auto" w:sz="0" w:space="0"/>
                <w:lang w:val="en-US" w:eastAsia="zh-CN" w:bidi="ar"/>
              </w:rPr>
              <w:br w:type="textWrapping"/>
            </w:r>
            <w:r>
              <w:rPr>
                <w:rFonts w:hint="eastAsia" w:ascii="黑体" w:hAnsi="宋体" w:eastAsia="黑体" w:cs="黑体"/>
                <w:i w:val="0"/>
                <w:color w:val="000000"/>
                <w:kern w:val="0"/>
                <w:sz w:val="24"/>
                <w:szCs w:val="24"/>
                <w:u w:val="none"/>
                <w:bdr w:val="none" w:color="auto" w:sz="0" w:space="0"/>
                <w:lang w:val="en-US" w:eastAsia="zh-CN" w:bidi="ar"/>
              </w:rPr>
              <w:t>均值</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bdr w:val="none" w:color="auto" w:sz="0" w:space="0"/>
                <w:lang w:val="en-US" w:eastAsia="zh-CN" w:bidi="ar"/>
              </w:rPr>
              <w:t>样本</w:t>
            </w:r>
            <w:r>
              <w:rPr>
                <w:rFonts w:hint="eastAsia" w:ascii="黑体" w:hAnsi="宋体" w:eastAsia="黑体" w:cs="黑体"/>
                <w:i w:val="0"/>
                <w:color w:val="000000"/>
                <w:kern w:val="0"/>
                <w:sz w:val="24"/>
                <w:szCs w:val="24"/>
                <w:u w:val="none"/>
                <w:bdr w:val="none" w:color="auto" w:sz="0" w:space="0"/>
                <w:lang w:val="en-US" w:eastAsia="zh-CN" w:bidi="ar"/>
              </w:rPr>
              <w:br w:type="textWrapping"/>
            </w:r>
            <w:r>
              <w:rPr>
                <w:rFonts w:hint="eastAsia" w:ascii="黑体" w:hAnsi="宋体" w:eastAsia="黑体" w:cs="黑体"/>
                <w:i w:val="0"/>
                <w:color w:val="000000"/>
                <w:kern w:val="0"/>
                <w:sz w:val="24"/>
                <w:szCs w:val="24"/>
                <w:u w:val="none"/>
                <w:bdr w:val="none" w:color="auto" w:sz="0" w:space="0"/>
                <w:lang w:val="en-US" w:eastAsia="zh-CN" w:bidi="ar"/>
              </w:rPr>
              <w:t>均值</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黑体" w:hAnsi="宋体" w:eastAsia="黑体" w:cs="黑体"/>
                <w:i w:val="0"/>
                <w:color w:val="000000"/>
                <w:sz w:val="24"/>
                <w:szCs w:val="24"/>
                <w:u w:val="none"/>
              </w:rPr>
            </w:pPr>
            <w:r>
              <w:rPr>
                <w:rFonts w:hint="eastAsia" w:ascii="黑体" w:hAnsi="宋体" w:eastAsia="黑体" w:cs="黑体"/>
                <w:i w:val="0"/>
                <w:color w:val="000000"/>
                <w:kern w:val="0"/>
                <w:sz w:val="24"/>
                <w:szCs w:val="24"/>
                <w:u w:val="none"/>
                <w:bdr w:val="none" w:color="auto" w:sz="0" w:space="0"/>
                <w:lang w:val="en-US" w:eastAsia="zh-CN" w:bidi="ar"/>
              </w:rPr>
              <w:t>其他</w:t>
            </w:r>
            <w:r>
              <w:rPr>
                <w:rFonts w:hint="eastAsia" w:ascii="黑体" w:hAnsi="宋体" w:eastAsia="黑体" w:cs="黑体"/>
                <w:i w:val="0"/>
                <w:color w:val="000000"/>
                <w:kern w:val="0"/>
                <w:sz w:val="24"/>
                <w:szCs w:val="24"/>
                <w:u w:val="none"/>
                <w:bdr w:val="none" w:color="auto" w:sz="0" w:space="0"/>
                <w:lang w:val="en-US" w:eastAsia="zh-CN" w:bidi="ar"/>
              </w:rPr>
              <w:br w:type="textWrapping"/>
            </w:r>
            <w:r>
              <w:rPr>
                <w:rFonts w:hint="eastAsia" w:ascii="黑体" w:hAnsi="宋体" w:eastAsia="黑体" w:cs="黑体"/>
                <w:i w:val="0"/>
                <w:color w:val="000000"/>
                <w:kern w:val="0"/>
                <w:sz w:val="24"/>
                <w:szCs w:val="24"/>
                <w:u w:val="none"/>
                <w:bdr w:val="none" w:color="auto" w:sz="0" w:space="0"/>
                <w:lang w:val="en-US" w:eastAsia="zh-CN" w:bidi="ar"/>
              </w:rPr>
              <w:t>标准</w:t>
            </w: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黑体" w:hAnsi="宋体" w:eastAsia="黑体" w:cs="黑体"/>
                <w:i w:val="0"/>
                <w:color w:val="000000"/>
                <w:sz w:val="24"/>
                <w:szCs w:val="24"/>
                <w:u w:val="none"/>
              </w:rPr>
            </w:pPr>
          </w:p>
        </w:tc>
      </w:tr>
      <w:tr>
        <w:tblPrEx>
          <w:shd w:val="clear"/>
          <w:tblCellMar>
            <w:top w:w="0" w:type="dxa"/>
            <w:left w:w="0" w:type="dxa"/>
            <w:bottom w:w="0" w:type="dxa"/>
            <w:right w:w="0" w:type="dxa"/>
          </w:tblCellMar>
        </w:tblPrEx>
        <w:trPr>
          <w:trHeight w:val="312"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bdr w:val="none" w:color="auto" w:sz="0" w:space="0"/>
                <w:lang w:val="en-US" w:eastAsia="zh-CN" w:bidi="ar"/>
              </w:rPr>
              <w:t>总体绩效</w:t>
            </w:r>
            <w:r>
              <w:rPr>
                <w:rFonts w:hint="eastAsia" w:ascii="宋体" w:hAnsi="宋体" w:eastAsia="宋体" w:cs="宋体"/>
                <w:b/>
                <w:i w:val="0"/>
                <w:color w:val="000000"/>
                <w:kern w:val="0"/>
                <w:sz w:val="24"/>
                <w:szCs w:val="24"/>
                <w:u w:val="none"/>
                <w:bdr w:val="none" w:color="auto" w:sz="0" w:space="0"/>
                <w:lang w:val="en-US" w:eastAsia="zh-CN" w:bidi="ar"/>
              </w:rPr>
              <w:br w:type="textWrapping"/>
            </w:r>
            <w:r>
              <w:rPr>
                <w:rFonts w:hint="eastAsia" w:ascii="宋体" w:hAnsi="宋体" w:eastAsia="宋体" w:cs="宋体"/>
                <w:b/>
                <w:i w:val="0"/>
                <w:color w:val="000000"/>
                <w:kern w:val="0"/>
                <w:sz w:val="24"/>
                <w:szCs w:val="24"/>
                <w:u w:val="none"/>
                <w:bdr w:val="none" w:color="auto" w:sz="0" w:space="0"/>
                <w:lang w:val="en-US" w:eastAsia="zh-CN" w:bidi="ar"/>
              </w:rPr>
              <w:t>（65分）</w:t>
            </w:r>
          </w:p>
        </w:tc>
        <w:tc>
          <w:tcPr>
            <w:tcW w:w="126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bdr w:val="none" w:color="auto" w:sz="0" w:space="0"/>
                <w:lang w:val="en-US" w:eastAsia="zh-CN" w:bidi="ar"/>
              </w:rPr>
              <w:t>履职效能</w:t>
            </w:r>
            <w:r>
              <w:rPr>
                <w:rFonts w:hint="eastAsia" w:ascii="宋体" w:hAnsi="宋体" w:eastAsia="宋体" w:cs="宋体"/>
                <w:b/>
                <w:i w:val="0"/>
                <w:color w:val="000000"/>
                <w:kern w:val="0"/>
                <w:sz w:val="24"/>
                <w:szCs w:val="24"/>
                <w:u w:val="none"/>
                <w:bdr w:val="none" w:color="auto" w:sz="0" w:space="0"/>
                <w:lang w:val="en-US" w:eastAsia="zh-CN" w:bidi="ar"/>
              </w:rPr>
              <w:br w:type="textWrapping"/>
            </w:r>
            <w:r>
              <w:rPr>
                <w:rFonts w:hint="eastAsia" w:ascii="宋体" w:hAnsi="宋体" w:eastAsia="宋体" w:cs="宋体"/>
                <w:b/>
                <w:i w:val="0"/>
                <w:color w:val="000000"/>
                <w:kern w:val="0"/>
                <w:sz w:val="24"/>
                <w:szCs w:val="24"/>
                <w:u w:val="none"/>
                <w:bdr w:val="none" w:color="auto" w:sz="0" w:space="0"/>
                <w:lang w:val="en-US" w:eastAsia="zh-CN" w:bidi="ar"/>
              </w:rPr>
              <w:t>（15分）</w:t>
            </w:r>
          </w:p>
        </w:tc>
        <w:tc>
          <w:tcPr>
            <w:tcW w:w="593"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住房和建设城乡规划管理</w:t>
            </w:r>
          </w:p>
        </w:tc>
        <w:tc>
          <w:tcPr>
            <w:tcW w:w="270" w:type="dxa"/>
            <w:vMerge w:val="restart"/>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15</w:t>
            </w:r>
          </w:p>
        </w:tc>
        <w:tc>
          <w:tcPr>
            <w:tcW w:w="271" w:type="dxa"/>
            <w:vMerge w:val="restart"/>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14</w:t>
            </w:r>
          </w:p>
        </w:tc>
        <w:tc>
          <w:tcPr>
            <w:tcW w:w="51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部门整体绩效目标中选定3-5个核心职能目标，反映该项职能目标完成效果情况</w:t>
            </w:r>
          </w:p>
        </w:tc>
        <w:tc>
          <w:tcPr>
            <w:tcW w:w="24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比率分值法</w:t>
            </w:r>
          </w:p>
        </w:tc>
        <w:tc>
          <w:tcPr>
            <w:tcW w:w="186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整体绩效目标中选定3-5个可量化计算、可评价的核心职能目标，分别设定指标分值、指标解释、评分方法和评分说明，总分值不超过15分。该项指标得分=年终完成履职效果目标数量÷年初目标设置总数×100%×指标分值。履职效能总分为各项履职效果得分的和。</w:t>
            </w:r>
          </w:p>
        </w:tc>
        <w:tc>
          <w:tcPr>
            <w:tcW w:w="27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shd w:val="clear"/>
          <w:tblCellMar>
            <w:top w:w="0" w:type="dxa"/>
            <w:left w:w="0" w:type="dxa"/>
            <w:bottom w:w="0" w:type="dxa"/>
            <w:right w:w="0" w:type="dxa"/>
          </w:tblCellMar>
        </w:tblPrEx>
        <w:trPr>
          <w:trHeight w:val="312"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5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1" w:type="dxa"/>
            <w:vMerge w:val="continue"/>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4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86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shd w:val="clear"/>
          <w:tblCellMar>
            <w:top w:w="0" w:type="dxa"/>
            <w:left w:w="0" w:type="dxa"/>
            <w:bottom w:w="0" w:type="dxa"/>
            <w:right w:w="0" w:type="dxa"/>
          </w:tblCellMar>
        </w:tblPrEx>
        <w:trPr>
          <w:trHeight w:val="312"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593"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产业监督实施</w:t>
            </w:r>
          </w:p>
        </w:tc>
        <w:tc>
          <w:tcPr>
            <w:tcW w:w="270" w:type="dxa"/>
            <w:vMerge w:val="continue"/>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1" w:type="dxa"/>
            <w:vMerge w:val="continue"/>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4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86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shd w:val="clear"/>
          <w:tblCellMar>
            <w:top w:w="0" w:type="dxa"/>
            <w:left w:w="0" w:type="dxa"/>
            <w:bottom w:w="0" w:type="dxa"/>
            <w:right w:w="0" w:type="dxa"/>
          </w:tblCellMar>
        </w:tblPrEx>
        <w:trPr>
          <w:trHeight w:val="312"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593"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1" w:type="dxa"/>
            <w:vMerge w:val="continue"/>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4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86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shd w:val="clear"/>
          <w:tblCellMar>
            <w:top w:w="0" w:type="dxa"/>
            <w:left w:w="0" w:type="dxa"/>
            <w:bottom w:w="0" w:type="dxa"/>
            <w:right w:w="0" w:type="dxa"/>
          </w:tblCellMar>
        </w:tblPrEx>
        <w:trPr>
          <w:trHeight w:val="2866"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593" w:type="dxa"/>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其他住房和城乡建设管理事务</w:t>
            </w:r>
          </w:p>
        </w:tc>
        <w:tc>
          <w:tcPr>
            <w:tcW w:w="270" w:type="dxa"/>
            <w:vMerge w:val="continue"/>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1" w:type="dxa"/>
            <w:vMerge w:val="continue"/>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4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86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nil"/>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23"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26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bdr w:val="none" w:color="auto" w:sz="0" w:space="0"/>
                <w:lang w:val="en-US" w:eastAsia="zh-CN" w:bidi="ar"/>
              </w:rPr>
              <w:t>预算管理</w:t>
            </w:r>
            <w:r>
              <w:rPr>
                <w:rFonts w:hint="eastAsia" w:ascii="宋体" w:hAnsi="宋体" w:eastAsia="宋体" w:cs="宋体"/>
                <w:b/>
                <w:i w:val="0"/>
                <w:color w:val="000000"/>
                <w:kern w:val="0"/>
                <w:sz w:val="24"/>
                <w:szCs w:val="24"/>
                <w:u w:val="none"/>
                <w:bdr w:val="none" w:color="auto" w:sz="0" w:space="0"/>
                <w:lang w:val="en-US" w:eastAsia="zh-CN" w:bidi="ar"/>
              </w:rPr>
              <w:br w:type="textWrapping"/>
            </w:r>
            <w:r>
              <w:rPr>
                <w:rFonts w:hint="eastAsia" w:ascii="宋体" w:hAnsi="宋体" w:eastAsia="宋体" w:cs="宋体"/>
                <w:b/>
                <w:i w:val="0"/>
                <w:color w:val="000000"/>
                <w:kern w:val="0"/>
                <w:sz w:val="24"/>
                <w:szCs w:val="24"/>
                <w:u w:val="none"/>
                <w:bdr w:val="none" w:color="auto" w:sz="0" w:space="0"/>
                <w:lang w:val="en-US" w:eastAsia="zh-CN" w:bidi="ar"/>
              </w:rPr>
              <w:t>（25分）</w:t>
            </w:r>
          </w:p>
        </w:tc>
        <w:tc>
          <w:tcPr>
            <w:tcW w:w="59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预算编制质量</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8</w:t>
            </w:r>
          </w:p>
        </w:tc>
        <w:tc>
          <w:tcPr>
            <w:tcW w:w="27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8</w:t>
            </w:r>
          </w:p>
        </w:tc>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部门是否严格按要求编制年初部门预算，年初预算编制的科学性和准确性</w:t>
            </w:r>
          </w:p>
        </w:tc>
        <w:tc>
          <w:tcPr>
            <w:tcW w:w="2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比率分值法</w:t>
            </w:r>
          </w:p>
        </w:tc>
        <w:tc>
          <w:tcPr>
            <w:tcW w:w="18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该项指标得分=（1-财政拨款预算偏离度）×100%×4+（1-资产配置预算偏离度）×100%×2+（1-政府采购预算偏离度）×100%×2。偏离度=|预算执行数-年初预算数|÷年初预算数。</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23"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单位收入统筹</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4</w:t>
            </w:r>
          </w:p>
        </w:tc>
        <w:tc>
          <w:tcPr>
            <w:tcW w:w="27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4</w:t>
            </w:r>
          </w:p>
        </w:tc>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部门统筹自有收入程度</w:t>
            </w:r>
          </w:p>
        </w:tc>
        <w:tc>
          <w:tcPr>
            <w:tcW w:w="2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比率分值法</w:t>
            </w:r>
          </w:p>
        </w:tc>
        <w:tc>
          <w:tcPr>
            <w:tcW w:w="18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该项指标得分=（部门自有收入全年执行数÷部门自有收入年初预算数）×100%×2+（财政核定的综合补助比例÷按实际执行测算的综合补助比例）×100%×2。</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shd w:val="clear"/>
          <w:tblCellMar>
            <w:top w:w="0" w:type="dxa"/>
            <w:left w:w="0" w:type="dxa"/>
            <w:bottom w:w="0" w:type="dxa"/>
            <w:right w:w="0" w:type="dxa"/>
          </w:tblCellMar>
        </w:tblPrEx>
        <w:trPr>
          <w:trHeight w:val="23"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支出执行进度</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6</w:t>
            </w:r>
          </w:p>
        </w:tc>
        <w:tc>
          <w:tcPr>
            <w:tcW w:w="27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部门1至6月、1至10月预算执行情况</w:t>
            </w:r>
          </w:p>
        </w:tc>
        <w:tc>
          <w:tcPr>
            <w:tcW w:w="2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比率分值法</w:t>
            </w:r>
          </w:p>
        </w:tc>
        <w:tc>
          <w:tcPr>
            <w:tcW w:w="18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该项指标得分=（1至6月预算执行数÷（部门预算数×50%）×2）+（1-1至6月支出预警金额占比×0.8-1至6月支出违规金额占比×0.2）+（1至10月预算执行数÷（部门预算数×83.33%）×2）+（1-1至10月支出预警金额占比×0.8-1至10月支出违规金额占比×0.2）。</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shd w:val="clear"/>
          <w:tblCellMar>
            <w:top w:w="0" w:type="dxa"/>
            <w:left w:w="0" w:type="dxa"/>
            <w:bottom w:w="0" w:type="dxa"/>
            <w:right w:w="0" w:type="dxa"/>
          </w:tblCellMar>
        </w:tblPrEx>
        <w:trPr>
          <w:trHeight w:val="23"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预算年终结余</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2</w:t>
            </w:r>
          </w:p>
        </w:tc>
        <w:tc>
          <w:tcPr>
            <w:tcW w:w="27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2</w:t>
            </w:r>
          </w:p>
        </w:tc>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部门整体年终预算结余情况</w:t>
            </w:r>
          </w:p>
        </w:tc>
        <w:tc>
          <w:tcPr>
            <w:tcW w:w="2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比率分值法</w:t>
            </w:r>
          </w:p>
        </w:tc>
        <w:tc>
          <w:tcPr>
            <w:tcW w:w="18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该项指标得分=（1-部门整体预算结余率）×100%×2。部门整体预算结余率为当年年终部门预算注销金额和结转金额占部门预算总金额的比率。</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shd w:val="clear"/>
          <w:tblCellMar>
            <w:top w:w="0" w:type="dxa"/>
            <w:left w:w="0" w:type="dxa"/>
            <w:bottom w:w="0" w:type="dxa"/>
            <w:right w:w="0" w:type="dxa"/>
          </w:tblCellMar>
        </w:tblPrEx>
        <w:trPr>
          <w:trHeight w:val="23"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严控一般性支出</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5</w:t>
            </w:r>
          </w:p>
        </w:tc>
        <w:tc>
          <w:tcPr>
            <w:tcW w:w="27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5</w:t>
            </w:r>
          </w:p>
        </w:tc>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部门严控“三公”经费、会议、培训、差旅、办节办展、办公设备购置、信息网络及软件购置更新、课题经费等8项一般性支出情况</w:t>
            </w:r>
          </w:p>
        </w:tc>
        <w:tc>
          <w:tcPr>
            <w:tcW w:w="2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比率分值法</w:t>
            </w:r>
          </w:p>
        </w:tc>
        <w:tc>
          <w:tcPr>
            <w:tcW w:w="1860" w:type="dxa"/>
            <w:tcBorders>
              <w:top w:val="nil"/>
              <w:left w:val="nil"/>
              <w:bottom w:val="nil"/>
              <w:right w:val="nil"/>
            </w:tcBorders>
            <w:shd w:val="clear"/>
            <w:tcMar>
              <w:top w:w="15" w:type="dxa"/>
              <w:left w:w="15" w:type="dxa"/>
              <w:right w:w="15" w:type="dxa"/>
            </w:tcMar>
            <w:vAlign w:val="center"/>
          </w:tcPr>
          <w:p>
            <w:pPr>
              <w:keepNext w:val="0"/>
              <w:keepLines w:val="0"/>
              <w:widowControl/>
              <w:suppressLineNumbers w:val="0"/>
              <w:ind w:firstLineChars="20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该项指标得分=基础分值+加分值。</w:t>
            </w:r>
            <w:r>
              <w:rPr>
                <w:rFonts w:hint="eastAsia" w:ascii="宋体" w:hAnsi="宋体" w:eastAsia="宋体" w:cs="宋体"/>
                <w:i w:val="0"/>
                <w:color w:val="000000"/>
                <w:kern w:val="0"/>
                <w:sz w:val="24"/>
                <w:szCs w:val="24"/>
                <w:u w:val="none"/>
                <w:bdr w:val="none" w:color="auto" w:sz="0" w:space="0"/>
                <w:lang w:val="en-US" w:eastAsia="zh-CN" w:bidi="ar"/>
              </w:rPr>
              <w:br w:type="textWrapping"/>
            </w:r>
            <w:r>
              <w:rPr>
                <w:rFonts w:hint="eastAsia" w:ascii="宋体" w:hAnsi="宋体" w:eastAsia="宋体" w:cs="宋体"/>
                <w:i w:val="0"/>
                <w:color w:val="000000"/>
                <w:kern w:val="0"/>
                <w:sz w:val="24"/>
                <w:szCs w:val="24"/>
                <w:u w:val="none"/>
                <w:bdr w:val="none" w:color="auto" w:sz="0" w:space="0"/>
                <w:lang w:val="en-US" w:eastAsia="zh-CN" w:bidi="ar"/>
              </w:rPr>
              <w:t>1.基础分值。一般性支出财政拨款年初预算较上年实现压减得1分；一般性支出财政拨款预算执行较上年实现压减得1分。</w:t>
            </w:r>
            <w:r>
              <w:rPr>
                <w:rFonts w:hint="eastAsia" w:ascii="宋体" w:hAnsi="宋体" w:eastAsia="宋体" w:cs="宋体"/>
                <w:i w:val="0"/>
                <w:color w:val="000000"/>
                <w:kern w:val="0"/>
                <w:sz w:val="24"/>
                <w:szCs w:val="24"/>
                <w:u w:val="none"/>
                <w:bdr w:val="none" w:color="auto" w:sz="0" w:space="0"/>
                <w:lang w:val="en-US" w:eastAsia="zh-CN" w:bidi="ar"/>
              </w:rPr>
              <w:br w:type="textWrapping"/>
            </w:r>
            <w:r>
              <w:rPr>
                <w:rFonts w:hint="eastAsia" w:ascii="宋体" w:hAnsi="宋体" w:eastAsia="宋体" w:cs="宋体"/>
                <w:i w:val="0"/>
                <w:color w:val="000000"/>
                <w:kern w:val="0"/>
                <w:sz w:val="24"/>
                <w:szCs w:val="24"/>
                <w:u w:val="none"/>
                <w:bdr w:val="none" w:color="auto" w:sz="0" w:space="0"/>
                <w:lang w:val="en-US" w:eastAsia="zh-CN" w:bidi="ar"/>
              </w:rPr>
              <w:t>2.加分值。一般性支出财政拨款年初预算较上年每压减1%得0.2分，累计不超过1分；一般性支出财政拨款预算执行较上年每压减1%得0.4分，累计不超过2分。</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shd w:val="clear"/>
          <w:tblCellMar>
            <w:top w:w="0" w:type="dxa"/>
            <w:left w:w="0" w:type="dxa"/>
            <w:bottom w:w="0" w:type="dxa"/>
            <w:right w:w="0" w:type="dxa"/>
          </w:tblCellMar>
        </w:tblPrEx>
        <w:trPr>
          <w:trHeight w:val="23"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26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bdr w:val="none" w:color="auto" w:sz="0" w:space="0"/>
                <w:lang w:val="en-US" w:eastAsia="zh-CN" w:bidi="ar"/>
              </w:rPr>
              <w:t>财务管理</w:t>
            </w:r>
            <w:r>
              <w:rPr>
                <w:rFonts w:hint="eastAsia" w:ascii="宋体" w:hAnsi="宋体" w:eastAsia="宋体" w:cs="宋体"/>
                <w:b/>
                <w:i w:val="0"/>
                <w:color w:val="000000"/>
                <w:kern w:val="0"/>
                <w:sz w:val="24"/>
                <w:szCs w:val="24"/>
                <w:u w:val="none"/>
                <w:bdr w:val="none" w:color="auto" w:sz="0" w:space="0"/>
                <w:lang w:val="en-US" w:eastAsia="zh-CN" w:bidi="ar"/>
              </w:rPr>
              <w:br w:type="textWrapping"/>
            </w:r>
            <w:r>
              <w:rPr>
                <w:rFonts w:hint="eastAsia" w:ascii="宋体" w:hAnsi="宋体" w:eastAsia="宋体" w:cs="宋体"/>
                <w:b/>
                <w:i w:val="0"/>
                <w:color w:val="000000"/>
                <w:kern w:val="0"/>
                <w:sz w:val="24"/>
                <w:szCs w:val="24"/>
                <w:u w:val="none"/>
                <w:bdr w:val="none" w:color="auto" w:sz="0" w:space="0"/>
                <w:lang w:val="en-US" w:eastAsia="zh-CN" w:bidi="ar"/>
              </w:rPr>
              <w:t>（10分）</w:t>
            </w:r>
          </w:p>
        </w:tc>
        <w:tc>
          <w:tcPr>
            <w:tcW w:w="59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财务管理制度</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4</w:t>
            </w:r>
          </w:p>
        </w:tc>
        <w:tc>
          <w:tcPr>
            <w:tcW w:w="27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4</w:t>
            </w:r>
          </w:p>
        </w:tc>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部门财务管理制度建立情况</w:t>
            </w:r>
          </w:p>
        </w:tc>
        <w:tc>
          <w:tcPr>
            <w:tcW w:w="2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缺（错）项</w:t>
            </w:r>
            <w:r>
              <w:rPr>
                <w:rFonts w:hint="eastAsia" w:ascii="宋体" w:hAnsi="宋体" w:eastAsia="宋体" w:cs="宋体"/>
                <w:i w:val="0"/>
                <w:color w:val="000000"/>
                <w:kern w:val="0"/>
                <w:sz w:val="24"/>
                <w:szCs w:val="24"/>
                <w:u w:val="none"/>
                <w:bdr w:val="none" w:color="auto" w:sz="0" w:space="0"/>
                <w:lang w:val="en-US" w:eastAsia="zh-CN" w:bidi="ar"/>
              </w:rPr>
              <w:br w:type="textWrapping"/>
            </w:r>
            <w:r>
              <w:rPr>
                <w:rFonts w:hint="eastAsia" w:ascii="宋体" w:hAnsi="宋体" w:eastAsia="宋体" w:cs="宋体"/>
                <w:i w:val="0"/>
                <w:color w:val="000000"/>
                <w:kern w:val="0"/>
                <w:sz w:val="24"/>
                <w:szCs w:val="24"/>
                <w:u w:val="none"/>
                <w:bdr w:val="none" w:color="auto" w:sz="0" w:space="0"/>
                <w:lang w:val="en-US" w:eastAsia="zh-CN" w:bidi="ar"/>
              </w:rPr>
              <w:t>扣分法</w:t>
            </w:r>
          </w:p>
        </w:tc>
        <w:tc>
          <w:tcPr>
            <w:tcW w:w="18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部门已制定内部财务管理制度等制度机制的，得2分。财务管理制度得到落实，得2分。否则该项不得分。</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shd w:val="clear"/>
          <w:tblCellMar>
            <w:top w:w="0" w:type="dxa"/>
            <w:left w:w="0" w:type="dxa"/>
            <w:bottom w:w="0" w:type="dxa"/>
            <w:right w:w="0" w:type="dxa"/>
          </w:tblCellMar>
        </w:tblPrEx>
        <w:trPr>
          <w:trHeight w:val="23"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财务岗位设置</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2</w:t>
            </w:r>
          </w:p>
        </w:tc>
        <w:tc>
          <w:tcPr>
            <w:tcW w:w="27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1</w:t>
            </w:r>
          </w:p>
        </w:tc>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部门财务岗位设置是否符合相关财务管理制度要求</w:t>
            </w:r>
          </w:p>
        </w:tc>
        <w:tc>
          <w:tcPr>
            <w:tcW w:w="2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是否评分法</w:t>
            </w:r>
          </w:p>
        </w:tc>
        <w:tc>
          <w:tcPr>
            <w:tcW w:w="18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部门合理设置财务工作岗位，明确职责权限，并严格实行不相容岗位分离的，得2分。否则该项不得分。</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shd w:val="clear"/>
          <w:tblCellMar>
            <w:top w:w="0" w:type="dxa"/>
            <w:left w:w="0" w:type="dxa"/>
            <w:bottom w:w="0" w:type="dxa"/>
            <w:right w:w="0" w:type="dxa"/>
          </w:tblCellMar>
        </w:tblPrEx>
        <w:trPr>
          <w:trHeight w:val="23"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资金使用规范</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4</w:t>
            </w:r>
          </w:p>
        </w:tc>
        <w:tc>
          <w:tcPr>
            <w:tcW w:w="27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4</w:t>
            </w:r>
          </w:p>
        </w:tc>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部门资金使用是否符合相关财务管理制度规定</w:t>
            </w:r>
          </w:p>
        </w:tc>
        <w:tc>
          <w:tcPr>
            <w:tcW w:w="2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缺（错）项</w:t>
            </w:r>
            <w:r>
              <w:rPr>
                <w:rFonts w:hint="eastAsia" w:ascii="宋体" w:hAnsi="宋体" w:eastAsia="宋体" w:cs="宋体"/>
                <w:i w:val="0"/>
                <w:color w:val="000000"/>
                <w:kern w:val="0"/>
                <w:sz w:val="24"/>
                <w:szCs w:val="24"/>
                <w:u w:val="none"/>
                <w:bdr w:val="none" w:color="auto" w:sz="0" w:space="0"/>
                <w:lang w:val="en-US" w:eastAsia="zh-CN" w:bidi="ar"/>
              </w:rPr>
              <w:br w:type="textWrapping"/>
            </w:r>
            <w:r>
              <w:rPr>
                <w:rFonts w:hint="eastAsia" w:ascii="宋体" w:hAnsi="宋体" w:eastAsia="宋体" w:cs="宋体"/>
                <w:i w:val="0"/>
                <w:color w:val="000000"/>
                <w:kern w:val="0"/>
                <w:sz w:val="24"/>
                <w:szCs w:val="24"/>
                <w:u w:val="none"/>
                <w:bdr w:val="none" w:color="auto" w:sz="0" w:space="0"/>
                <w:lang w:val="en-US" w:eastAsia="zh-CN" w:bidi="ar"/>
              </w:rPr>
              <w:t>扣分法</w:t>
            </w:r>
          </w:p>
        </w:tc>
        <w:tc>
          <w:tcPr>
            <w:tcW w:w="18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部门资金使用不符合相关财务管理制度规定的，发现一处扣1分，扣完为止。</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shd w:val="clear"/>
          <w:tblCellMar>
            <w:top w:w="0" w:type="dxa"/>
            <w:left w:w="0" w:type="dxa"/>
            <w:bottom w:w="0" w:type="dxa"/>
            <w:right w:w="0" w:type="dxa"/>
          </w:tblCellMar>
        </w:tblPrEx>
        <w:trPr>
          <w:trHeight w:val="23"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26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bdr w:val="none" w:color="auto" w:sz="0" w:space="0"/>
                <w:lang w:val="en-US" w:eastAsia="zh-CN" w:bidi="ar"/>
              </w:rPr>
              <w:t>资产管理</w:t>
            </w:r>
            <w:r>
              <w:rPr>
                <w:rFonts w:hint="eastAsia" w:ascii="宋体" w:hAnsi="宋体" w:eastAsia="宋体" w:cs="宋体"/>
                <w:b/>
                <w:i w:val="0"/>
                <w:color w:val="000000"/>
                <w:kern w:val="0"/>
                <w:sz w:val="24"/>
                <w:szCs w:val="24"/>
                <w:u w:val="none"/>
                <w:bdr w:val="none" w:color="auto" w:sz="0" w:space="0"/>
                <w:lang w:val="en-US" w:eastAsia="zh-CN" w:bidi="ar"/>
              </w:rPr>
              <w:br w:type="textWrapping"/>
            </w:r>
            <w:r>
              <w:rPr>
                <w:rFonts w:hint="eastAsia" w:ascii="宋体" w:hAnsi="宋体" w:eastAsia="宋体" w:cs="宋体"/>
                <w:b/>
                <w:i w:val="0"/>
                <w:color w:val="000000"/>
                <w:kern w:val="0"/>
                <w:sz w:val="24"/>
                <w:szCs w:val="24"/>
                <w:u w:val="none"/>
                <w:bdr w:val="none" w:color="auto" w:sz="0" w:space="0"/>
                <w:lang w:val="en-US" w:eastAsia="zh-CN" w:bidi="ar"/>
              </w:rPr>
              <w:t>（9分）</w:t>
            </w:r>
          </w:p>
        </w:tc>
        <w:tc>
          <w:tcPr>
            <w:tcW w:w="59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人均资产变化率</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3</w:t>
            </w:r>
          </w:p>
        </w:tc>
        <w:tc>
          <w:tcPr>
            <w:tcW w:w="27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3</w:t>
            </w:r>
          </w:p>
        </w:tc>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部门人均资产变化情况</w:t>
            </w:r>
          </w:p>
        </w:tc>
        <w:tc>
          <w:tcPr>
            <w:tcW w:w="2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分级评分法</w:t>
            </w:r>
          </w:p>
        </w:tc>
        <w:tc>
          <w:tcPr>
            <w:tcW w:w="18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人均资产变化率为X，省直行政事业单位人均资产变化率为N，则：X≤N，得1.5分；N＜X≤1.2N，得0.9分；1.2N＜X≤1.4N，得0.6分；X＞1.4N，得0.3分。部门人均资产增长率为X，同期省级财政收入增长率为N，则：X≤0，得1.5分；0＜X≤N，得0.9分；N＜X≤2N，得0.6分；X＞2N，不得分。</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23"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资产利用率</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3</w:t>
            </w:r>
          </w:p>
        </w:tc>
        <w:tc>
          <w:tcPr>
            <w:tcW w:w="27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3</w:t>
            </w:r>
          </w:p>
        </w:tc>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部门资产超最低使用年限情况</w:t>
            </w:r>
          </w:p>
        </w:tc>
        <w:tc>
          <w:tcPr>
            <w:tcW w:w="2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分级评分法</w:t>
            </w:r>
          </w:p>
        </w:tc>
        <w:tc>
          <w:tcPr>
            <w:tcW w:w="18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办公家具超最低使用年限资产利用率=超最低使用年限的办公家具账面价值÷办公家具账面价值×100%。办公家具超最低使用年限资产利用率为X，省直行政事业单位平均值为N，则：X＞N，得1.5分；0.8N＜X≤N，得0.9分；0.6N＜X≤0.8N，得0.6分；X≤0.6N，得0.3分。部门办公设备超最低使用年限资产利用率=超最低使用年限的办公设备账面价值÷办公设备账面价值×100%。办公设备超最低使用年限资产利用率为X，省直行政事业单位平均值为N，则：X＞N，得1.5分；0.8N＜X≤N，得0.9分；0.6N＜X≤0.8N，得0.6分；X≤0.6N，得0.3分。</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shd w:val="clear"/>
          <w:tblCellMar>
            <w:top w:w="0" w:type="dxa"/>
            <w:left w:w="0" w:type="dxa"/>
            <w:bottom w:w="0" w:type="dxa"/>
            <w:right w:w="0" w:type="dxa"/>
          </w:tblCellMar>
        </w:tblPrEx>
        <w:trPr>
          <w:trHeight w:val="23"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bdr w:val="none" w:color="auto" w:sz="0" w:space="0"/>
                <w:lang w:val="en-US" w:eastAsia="zh-CN" w:bidi="ar"/>
              </w:rPr>
              <w:t>总体绩效</w:t>
            </w:r>
            <w:r>
              <w:rPr>
                <w:rFonts w:hint="eastAsia" w:ascii="宋体" w:hAnsi="宋体" w:eastAsia="宋体" w:cs="宋体"/>
                <w:b/>
                <w:i w:val="0"/>
                <w:color w:val="000000"/>
                <w:kern w:val="0"/>
                <w:sz w:val="24"/>
                <w:szCs w:val="24"/>
                <w:u w:val="none"/>
                <w:bdr w:val="none" w:color="auto" w:sz="0" w:space="0"/>
                <w:lang w:val="en-US" w:eastAsia="zh-CN" w:bidi="ar"/>
              </w:rPr>
              <w:br w:type="textWrapping"/>
            </w:r>
            <w:r>
              <w:rPr>
                <w:rFonts w:hint="eastAsia" w:ascii="宋体" w:hAnsi="宋体" w:eastAsia="宋体" w:cs="宋体"/>
                <w:b/>
                <w:i w:val="0"/>
                <w:color w:val="000000"/>
                <w:kern w:val="0"/>
                <w:sz w:val="24"/>
                <w:szCs w:val="24"/>
                <w:u w:val="none"/>
                <w:bdr w:val="none" w:color="auto" w:sz="0" w:space="0"/>
                <w:lang w:val="en-US" w:eastAsia="zh-CN" w:bidi="ar"/>
              </w:rPr>
              <w:t>（65分）</w:t>
            </w:r>
          </w:p>
        </w:tc>
        <w:tc>
          <w:tcPr>
            <w:tcW w:w="12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bdr w:val="none" w:color="auto" w:sz="0" w:space="0"/>
                <w:lang w:val="en-US" w:eastAsia="zh-CN" w:bidi="ar"/>
              </w:rPr>
              <w:t>资产管理</w:t>
            </w:r>
            <w:r>
              <w:rPr>
                <w:rFonts w:hint="eastAsia" w:ascii="宋体" w:hAnsi="宋体" w:eastAsia="宋体" w:cs="宋体"/>
                <w:b/>
                <w:i w:val="0"/>
                <w:color w:val="000000"/>
                <w:kern w:val="0"/>
                <w:sz w:val="24"/>
                <w:szCs w:val="24"/>
                <w:u w:val="none"/>
                <w:bdr w:val="none" w:color="auto" w:sz="0" w:space="0"/>
                <w:lang w:val="en-US" w:eastAsia="zh-CN" w:bidi="ar"/>
              </w:rPr>
              <w:br w:type="textWrapping"/>
            </w:r>
            <w:r>
              <w:rPr>
                <w:rFonts w:hint="eastAsia" w:ascii="宋体" w:hAnsi="宋体" w:eastAsia="宋体" w:cs="宋体"/>
                <w:b/>
                <w:i w:val="0"/>
                <w:color w:val="000000"/>
                <w:kern w:val="0"/>
                <w:sz w:val="24"/>
                <w:szCs w:val="24"/>
                <w:u w:val="none"/>
                <w:bdr w:val="none" w:color="auto" w:sz="0" w:space="0"/>
                <w:lang w:val="en-US" w:eastAsia="zh-CN" w:bidi="ar"/>
              </w:rPr>
              <w:t>（9分）</w:t>
            </w:r>
          </w:p>
        </w:tc>
        <w:tc>
          <w:tcPr>
            <w:tcW w:w="59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资产盘活率</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3</w:t>
            </w:r>
          </w:p>
        </w:tc>
        <w:tc>
          <w:tcPr>
            <w:tcW w:w="27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3</w:t>
            </w:r>
          </w:p>
        </w:tc>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部门闲置一年以上的资产盘活情况</w:t>
            </w:r>
          </w:p>
        </w:tc>
        <w:tc>
          <w:tcPr>
            <w:tcW w:w="2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分级评分法</w:t>
            </w:r>
          </w:p>
        </w:tc>
        <w:tc>
          <w:tcPr>
            <w:tcW w:w="18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闲置资产占比变化率=(本年闲置资产账面价值÷本年总资产账面价值)÷(上一年度闲置资产账面价值÷上一年度总资产账面价值)×100%，变化率在60%以下的得2.4分，60%-80%的得1.8分，80-100%的得1.2分，100%以上的不得分。两年均无闲置资产或上年度有闲置资产评价年度无闲置资产的，该项指标得3分。</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23"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26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bdr w:val="none" w:color="auto" w:sz="0" w:space="0"/>
                <w:lang w:val="en-US" w:eastAsia="zh-CN" w:bidi="ar"/>
              </w:rPr>
              <w:t>采购管理</w:t>
            </w:r>
            <w:r>
              <w:rPr>
                <w:rFonts w:hint="eastAsia" w:ascii="宋体" w:hAnsi="宋体" w:eastAsia="宋体" w:cs="宋体"/>
                <w:b/>
                <w:i w:val="0"/>
                <w:color w:val="000000"/>
                <w:kern w:val="0"/>
                <w:sz w:val="24"/>
                <w:szCs w:val="24"/>
                <w:u w:val="none"/>
                <w:bdr w:val="none" w:color="auto" w:sz="0" w:space="0"/>
                <w:lang w:val="en-US" w:eastAsia="zh-CN" w:bidi="ar"/>
              </w:rPr>
              <w:br w:type="textWrapping"/>
            </w:r>
            <w:r>
              <w:rPr>
                <w:rFonts w:hint="eastAsia" w:ascii="宋体" w:hAnsi="宋体" w:eastAsia="宋体" w:cs="宋体"/>
                <w:b/>
                <w:i w:val="0"/>
                <w:color w:val="000000"/>
                <w:kern w:val="0"/>
                <w:sz w:val="24"/>
                <w:szCs w:val="24"/>
                <w:u w:val="none"/>
                <w:bdr w:val="none" w:color="auto" w:sz="0" w:space="0"/>
                <w:lang w:val="en-US" w:eastAsia="zh-CN" w:bidi="ar"/>
              </w:rPr>
              <w:t>（6分）</w:t>
            </w:r>
          </w:p>
        </w:tc>
        <w:tc>
          <w:tcPr>
            <w:tcW w:w="59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支持中小企业发展</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3</w:t>
            </w:r>
          </w:p>
        </w:tc>
        <w:tc>
          <w:tcPr>
            <w:tcW w:w="27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3</w:t>
            </w:r>
          </w:p>
        </w:tc>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部门是否严格执行政府采购促进中小企业发展相关管理办法</w:t>
            </w:r>
          </w:p>
        </w:tc>
        <w:tc>
          <w:tcPr>
            <w:tcW w:w="2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是否评分法</w:t>
            </w:r>
          </w:p>
        </w:tc>
        <w:tc>
          <w:tcPr>
            <w:tcW w:w="18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对适宜由中小企业提供的采购项目和采购包，预留采购份额专门面向中小企业采购，并在采购预算中单独列示，不符合要求的扣3分。</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23"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采购执行率</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3</w:t>
            </w:r>
          </w:p>
        </w:tc>
        <w:tc>
          <w:tcPr>
            <w:tcW w:w="27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3</w:t>
            </w:r>
          </w:p>
        </w:tc>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部门政府采购项目资金支付比例情况</w:t>
            </w:r>
          </w:p>
        </w:tc>
        <w:tc>
          <w:tcPr>
            <w:tcW w:w="2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比率分值法</w:t>
            </w:r>
          </w:p>
        </w:tc>
        <w:tc>
          <w:tcPr>
            <w:tcW w:w="18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该项指标得分=当年政府采购实际支付总金额÷（当年政府采购总预算数-当年已完成采购项目节约金额）×100%×3。</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nil"/>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shd w:val="clear"/>
          <w:tblCellMar>
            <w:top w:w="0" w:type="dxa"/>
            <w:left w:w="0" w:type="dxa"/>
            <w:bottom w:w="0" w:type="dxa"/>
            <w:right w:w="0" w:type="dxa"/>
          </w:tblCellMar>
        </w:tblPrEx>
        <w:trPr>
          <w:trHeight w:val="23"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bdr w:val="none" w:color="auto" w:sz="0" w:space="0"/>
                <w:lang w:val="en-US" w:eastAsia="zh-CN" w:bidi="ar"/>
              </w:rPr>
              <w:t>项目绩效</w:t>
            </w:r>
            <w:r>
              <w:rPr>
                <w:rFonts w:hint="eastAsia" w:ascii="宋体" w:hAnsi="宋体" w:eastAsia="宋体" w:cs="宋体"/>
                <w:b/>
                <w:i w:val="0"/>
                <w:color w:val="000000"/>
                <w:kern w:val="0"/>
                <w:sz w:val="24"/>
                <w:szCs w:val="24"/>
                <w:u w:val="none"/>
                <w:bdr w:val="none" w:color="auto" w:sz="0" w:space="0"/>
                <w:lang w:val="en-US" w:eastAsia="zh-CN" w:bidi="ar"/>
              </w:rPr>
              <w:br w:type="textWrapping"/>
            </w:r>
            <w:r>
              <w:rPr>
                <w:rFonts w:hint="eastAsia" w:ascii="宋体" w:hAnsi="宋体" w:eastAsia="宋体" w:cs="宋体"/>
                <w:b/>
                <w:i w:val="0"/>
                <w:color w:val="000000"/>
                <w:kern w:val="0"/>
                <w:sz w:val="24"/>
                <w:szCs w:val="24"/>
                <w:u w:val="none"/>
                <w:bdr w:val="none" w:color="auto" w:sz="0" w:space="0"/>
                <w:lang w:val="en-US" w:eastAsia="zh-CN" w:bidi="ar"/>
              </w:rPr>
              <w:t>（35分）</w:t>
            </w:r>
          </w:p>
        </w:tc>
        <w:tc>
          <w:tcPr>
            <w:tcW w:w="1260" w:type="dxa"/>
            <w:vMerge w:val="restart"/>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bdr w:val="none" w:color="auto" w:sz="0" w:space="0"/>
                <w:lang w:val="en-US" w:eastAsia="zh-CN" w:bidi="ar"/>
              </w:rPr>
              <w:t>项目决策</w:t>
            </w:r>
            <w:r>
              <w:rPr>
                <w:rFonts w:hint="eastAsia" w:ascii="宋体" w:hAnsi="宋体" w:eastAsia="宋体" w:cs="宋体"/>
                <w:b/>
                <w:i w:val="0"/>
                <w:color w:val="000000"/>
                <w:kern w:val="0"/>
                <w:sz w:val="24"/>
                <w:szCs w:val="24"/>
                <w:u w:val="none"/>
                <w:bdr w:val="none" w:color="auto" w:sz="0" w:space="0"/>
                <w:lang w:val="en-US" w:eastAsia="zh-CN" w:bidi="ar"/>
              </w:rPr>
              <w:br w:type="textWrapping"/>
            </w:r>
            <w:r>
              <w:rPr>
                <w:rFonts w:hint="eastAsia" w:ascii="宋体" w:hAnsi="宋体" w:eastAsia="宋体" w:cs="宋体"/>
                <w:b/>
                <w:i w:val="0"/>
                <w:color w:val="000000"/>
                <w:kern w:val="0"/>
                <w:sz w:val="24"/>
                <w:szCs w:val="24"/>
                <w:u w:val="none"/>
                <w:bdr w:val="none" w:color="auto" w:sz="0" w:space="0"/>
                <w:lang w:val="en-US" w:eastAsia="zh-CN" w:bidi="ar"/>
              </w:rPr>
              <w:t>（12分）</w:t>
            </w:r>
          </w:p>
        </w:tc>
        <w:tc>
          <w:tcPr>
            <w:tcW w:w="59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决策程序</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4</w:t>
            </w:r>
          </w:p>
        </w:tc>
        <w:tc>
          <w:tcPr>
            <w:tcW w:w="27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4</w:t>
            </w:r>
          </w:p>
        </w:tc>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部门预算项目设立是否按规定履行评估论证、申报程序</w:t>
            </w:r>
          </w:p>
        </w:tc>
        <w:tc>
          <w:tcPr>
            <w:tcW w:w="2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比率分值法</w:t>
            </w:r>
          </w:p>
        </w:tc>
        <w:tc>
          <w:tcPr>
            <w:tcW w:w="18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该项指标得分=4-部门未履行事前评估程序的部门预算阶段项目（含一次性项目）数量÷部门预算阶段项目（含一次性项目）总数×100%×4。抽评的部门预算阶段项目（含一次性项目）总数10个以下的全部纳入，每增加5个多纳入1个，最多不超过30个，下同。若无部门预算阶段项目（含一次性项目），则主要查看部门预算项目整体决策程序。</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shd w:val="clear"/>
          <w:tblCellMar>
            <w:top w:w="0" w:type="dxa"/>
            <w:left w:w="0" w:type="dxa"/>
            <w:bottom w:w="0" w:type="dxa"/>
            <w:right w:w="0" w:type="dxa"/>
          </w:tblCellMar>
        </w:tblPrEx>
        <w:trPr>
          <w:trHeight w:val="23"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260"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目标设置</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4</w:t>
            </w:r>
          </w:p>
        </w:tc>
        <w:tc>
          <w:tcPr>
            <w:tcW w:w="27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3</w:t>
            </w:r>
          </w:p>
        </w:tc>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部门预算项目绩效目标与计划期内的任务量、预算安排的资金量匹配情况，绩效目标设置是否科学合理、规范完整、量化细化、预算匹配</w:t>
            </w:r>
          </w:p>
        </w:tc>
        <w:tc>
          <w:tcPr>
            <w:tcW w:w="2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比率分值法</w:t>
            </w:r>
          </w:p>
        </w:tc>
        <w:tc>
          <w:tcPr>
            <w:tcW w:w="18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该项指标得分=4-绩效目标与计划期内的任务量、预算安排不相匹配的部门预算阶段项目（含一次性项目）数量÷部门预算阶段项目（含一次性项目）总数×100%×4。若无部门预算阶段项目（含一次性项目），则抽评涉及核心业务、资金量大的其他部门预算项目，下同。</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shd w:val="clear"/>
          <w:tblCellMar>
            <w:top w:w="0" w:type="dxa"/>
            <w:left w:w="0" w:type="dxa"/>
            <w:bottom w:w="0" w:type="dxa"/>
            <w:right w:w="0" w:type="dxa"/>
          </w:tblCellMar>
        </w:tblPrEx>
        <w:trPr>
          <w:trHeight w:val="23"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260"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项目入库</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4</w:t>
            </w:r>
          </w:p>
        </w:tc>
        <w:tc>
          <w:tcPr>
            <w:tcW w:w="27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4</w:t>
            </w:r>
          </w:p>
        </w:tc>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部门预算项目是否在规定时间完成项目入库</w:t>
            </w:r>
          </w:p>
        </w:tc>
        <w:tc>
          <w:tcPr>
            <w:tcW w:w="2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比率分值法</w:t>
            </w:r>
          </w:p>
        </w:tc>
        <w:tc>
          <w:tcPr>
            <w:tcW w:w="18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该项指标得分=4-规定时间未入财政库部门预算阶段项目（含一次性项目）数量÷最终安排部门预算阶段项目（含一次性项目）总数×100%×4。规定时间以当年9月30日为准。</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shd w:val="clear"/>
          <w:tblCellMar>
            <w:top w:w="0" w:type="dxa"/>
            <w:left w:w="0" w:type="dxa"/>
            <w:bottom w:w="0" w:type="dxa"/>
            <w:right w:w="0" w:type="dxa"/>
          </w:tblCellMar>
        </w:tblPrEx>
        <w:trPr>
          <w:trHeight w:val="23"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260" w:type="dxa"/>
            <w:vMerge w:val="restart"/>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bdr w:val="none" w:color="auto" w:sz="0" w:space="0"/>
                <w:lang w:val="en-US" w:eastAsia="zh-CN" w:bidi="ar"/>
              </w:rPr>
              <w:t>项目执行</w:t>
            </w:r>
            <w:r>
              <w:rPr>
                <w:rFonts w:hint="eastAsia" w:ascii="宋体" w:hAnsi="宋体" w:eastAsia="宋体" w:cs="宋体"/>
                <w:b/>
                <w:i w:val="0"/>
                <w:color w:val="000000"/>
                <w:kern w:val="0"/>
                <w:sz w:val="24"/>
                <w:szCs w:val="24"/>
                <w:u w:val="none"/>
                <w:bdr w:val="none" w:color="auto" w:sz="0" w:space="0"/>
                <w:lang w:val="en-US" w:eastAsia="zh-CN" w:bidi="ar"/>
              </w:rPr>
              <w:br w:type="textWrapping"/>
            </w:r>
            <w:r>
              <w:rPr>
                <w:rFonts w:hint="eastAsia" w:ascii="宋体" w:hAnsi="宋体" w:eastAsia="宋体" w:cs="宋体"/>
                <w:b/>
                <w:i w:val="0"/>
                <w:color w:val="000000"/>
                <w:kern w:val="0"/>
                <w:sz w:val="24"/>
                <w:szCs w:val="24"/>
                <w:u w:val="none"/>
                <w:bdr w:val="none" w:color="auto" w:sz="0" w:space="0"/>
                <w:lang w:val="en-US" w:eastAsia="zh-CN" w:bidi="ar"/>
              </w:rPr>
              <w:t>（12分）</w:t>
            </w:r>
          </w:p>
        </w:tc>
        <w:tc>
          <w:tcPr>
            <w:tcW w:w="59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执行同向</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4</w:t>
            </w:r>
          </w:p>
        </w:tc>
        <w:tc>
          <w:tcPr>
            <w:tcW w:w="27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4</w:t>
            </w:r>
          </w:p>
        </w:tc>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部门预算项目实际列支内容是否与绩效目标设置方向相符</w:t>
            </w:r>
          </w:p>
        </w:tc>
        <w:tc>
          <w:tcPr>
            <w:tcW w:w="2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比率分值法</w:t>
            </w:r>
          </w:p>
        </w:tc>
        <w:tc>
          <w:tcPr>
            <w:tcW w:w="18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该项指标得分=4-实际列支内容与绩效目标设置方向不相符的部门预算阶段项目（含一次性项目）数量÷部门预算阶段项目（含一次性项目）总数×100%×4。</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23"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260"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593" w:type="dxa"/>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项目调整</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4</w:t>
            </w:r>
          </w:p>
        </w:tc>
        <w:tc>
          <w:tcPr>
            <w:tcW w:w="27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4</w:t>
            </w:r>
          </w:p>
        </w:tc>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部门预算项目是否采取对应调整措施</w:t>
            </w:r>
          </w:p>
        </w:tc>
        <w:tc>
          <w:tcPr>
            <w:tcW w:w="2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比率分值法</w:t>
            </w:r>
          </w:p>
        </w:tc>
        <w:tc>
          <w:tcPr>
            <w:tcW w:w="18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该项指标得分=4-应采取未采取收回预算、调整目标等处置措施的部门预算阶段项目（含一次性项目）数量÷应采取收回预算、调整目标等处置措施的部门预算阶段项目（含一次性项目）总数×100%×4。</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shd w:val="clear"/>
          <w:tblCellMar>
            <w:top w:w="0" w:type="dxa"/>
            <w:left w:w="0" w:type="dxa"/>
            <w:bottom w:w="0" w:type="dxa"/>
            <w:right w:w="0" w:type="dxa"/>
          </w:tblCellMar>
        </w:tblPrEx>
        <w:trPr>
          <w:trHeight w:val="23"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260" w:type="dxa"/>
            <w:vMerge w:val="continue"/>
            <w:tcBorders>
              <w:top w:val="single" w:color="000000" w:sz="4" w:space="0"/>
              <w:left w:val="single" w:color="000000" w:sz="4" w:space="0"/>
              <w:bottom w:val="nil"/>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执行结果</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4</w:t>
            </w:r>
          </w:p>
        </w:tc>
        <w:tc>
          <w:tcPr>
            <w:tcW w:w="27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4</w:t>
            </w:r>
          </w:p>
        </w:tc>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部门预算项目预算执行情况</w:t>
            </w:r>
          </w:p>
        </w:tc>
        <w:tc>
          <w:tcPr>
            <w:tcW w:w="2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比率分值法</w:t>
            </w:r>
          </w:p>
        </w:tc>
        <w:tc>
          <w:tcPr>
            <w:tcW w:w="18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该项指标得分=预算结余率小于10%的常年项目数量÷部门预算常年项目总数×100%×2+预算结余率小于10%的一次性项目和阶段项目数量÷部门预算一次性项目和阶段项目总数×100%×2。</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nil"/>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shd w:val="clear"/>
          <w:tblCellMar>
            <w:top w:w="0" w:type="dxa"/>
            <w:left w:w="0" w:type="dxa"/>
            <w:bottom w:w="0" w:type="dxa"/>
            <w:right w:w="0" w:type="dxa"/>
          </w:tblCellMar>
        </w:tblPrEx>
        <w:trPr>
          <w:trHeight w:val="23"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26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bdr w:val="none" w:color="auto" w:sz="0" w:space="0"/>
                <w:lang w:val="en-US" w:eastAsia="zh-CN" w:bidi="ar"/>
              </w:rPr>
              <w:t>目标实现</w:t>
            </w:r>
            <w:r>
              <w:rPr>
                <w:rFonts w:hint="eastAsia" w:ascii="宋体" w:hAnsi="宋体" w:eastAsia="宋体" w:cs="宋体"/>
                <w:b/>
                <w:i w:val="0"/>
                <w:color w:val="000000"/>
                <w:kern w:val="0"/>
                <w:sz w:val="24"/>
                <w:szCs w:val="24"/>
                <w:u w:val="none"/>
                <w:bdr w:val="none" w:color="auto" w:sz="0" w:space="0"/>
                <w:lang w:val="en-US" w:eastAsia="zh-CN" w:bidi="ar"/>
              </w:rPr>
              <w:br w:type="textWrapping"/>
            </w:r>
            <w:r>
              <w:rPr>
                <w:rFonts w:hint="eastAsia" w:ascii="宋体" w:hAnsi="宋体" w:eastAsia="宋体" w:cs="宋体"/>
                <w:b/>
                <w:i w:val="0"/>
                <w:color w:val="000000"/>
                <w:kern w:val="0"/>
                <w:sz w:val="24"/>
                <w:szCs w:val="24"/>
                <w:u w:val="none"/>
                <w:bdr w:val="none" w:color="auto" w:sz="0" w:space="0"/>
                <w:lang w:val="en-US" w:eastAsia="zh-CN" w:bidi="ar"/>
              </w:rPr>
              <w:t>（11分）</w:t>
            </w:r>
          </w:p>
        </w:tc>
        <w:tc>
          <w:tcPr>
            <w:tcW w:w="59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目标完成</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4</w:t>
            </w:r>
          </w:p>
        </w:tc>
        <w:tc>
          <w:tcPr>
            <w:tcW w:w="27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4</w:t>
            </w:r>
          </w:p>
        </w:tc>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部门预算项目绩效目标数量指标完成情况</w:t>
            </w:r>
          </w:p>
        </w:tc>
        <w:tc>
          <w:tcPr>
            <w:tcW w:w="2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比率分值法</w:t>
            </w:r>
          </w:p>
        </w:tc>
        <w:tc>
          <w:tcPr>
            <w:tcW w:w="18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该项指标得分=完成绩效目标数量指标的部门预算阶段项目（含一次性项目）数量÷部门预算阶段项目（含一次性项目）总数×100%×4。</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23"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目标偏离</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4</w:t>
            </w:r>
          </w:p>
        </w:tc>
        <w:tc>
          <w:tcPr>
            <w:tcW w:w="27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3</w:t>
            </w:r>
          </w:p>
        </w:tc>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部门预算项目绩效目标数量指标实现程度与预期目标的偏离情况</w:t>
            </w:r>
          </w:p>
        </w:tc>
        <w:tc>
          <w:tcPr>
            <w:tcW w:w="2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比率分值法</w:t>
            </w:r>
          </w:p>
        </w:tc>
        <w:tc>
          <w:tcPr>
            <w:tcW w:w="18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该项指标得分=已完成预期指标值的数量指标中偏离度在30%内的指标个数÷已完成预期指标值的数量指标个数×100%×4。偏离度=|（绩效指标实际完成值-设定预期指标值）÷设定预期指标值|。部门预算阶段项目（含一次性项目）绩效目标实际完成值偏离预期指标30%以上（含30%）的，不计分。</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tblCellMar>
            <w:top w:w="0" w:type="dxa"/>
            <w:left w:w="0" w:type="dxa"/>
            <w:bottom w:w="0" w:type="dxa"/>
            <w:right w:w="0" w:type="dxa"/>
          </w:tblCellMar>
        </w:tblPrEx>
        <w:trPr>
          <w:trHeight w:val="23"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593"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实现效果</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3</w:t>
            </w:r>
          </w:p>
        </w:tc>
        <w:tc>
          <w:tcPr>
            <w:tcW w:w="27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2</w:t>
            </w:r>
          </w:p>
        </w:tc>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部门预算项目绩效目标效益指标实施效果</w:t>
            </w:r>
          </w:p>
        </w:tc>
        <w:tc>
          <w:tcPr>
            <w:tcW w:w="2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比率分值法</w:t>
            </w:r>
          </w:p>
        </w:tc>
        <w:tc>
          <w:tcPr>
            <w:tcW w:w="18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该项指标得分=完成绩效目标效益指标的部门预算阶段项目（含一次性项目）数量÷部门预算阶段项目（含一次性项目）总数×100%×3。</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shd w:val="clear"/>
          <w:tblCellMar>
            <w:top w:w="0" w:type="dxa"/>
            <w:left w:w="0" w:type="dxa"/>
            <w:bottom w:w="0" w:type="dxa"/>
            <w:right w:w="0" w:type="dxa"/>
          </w:tblCellMar>
        </w:tblPrEx>
        <w:trPr>
          <w:trHeight w:val="23" w:hRule="atLeast"/>
        </w:trPr>
        <w:tc>
          <w:tcPr>
            <w:tcW w:w="1020" w:type="dxa"/>
            <w:vMerge w:val="restart"/>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bdr w:val="none" w:color="auto" w:sz="0" w:space="0"/>
                <w:lang w:val="en-US" w:eastAsia="zh-CN" w:bidi="ar"/>
              </w:rPr>
              <w:t>扣分项</w:t>
            </w:r>
            <w:r>
              <w:rPr>
                <w:rFonts w:hint="eastAsia" w:ascii="宋体" w:hAnsi="宋体" w:eastAsia="宋体" w:cs="宋体"/>
                <w:b/>
                <w:i w:val="0"/>
                <w:color w:val="000000"/>
                <w:kern w:val="0"/>
                <w:sz w:val="24"/>
                <w:szCs w:val="24"/>
                <w:u w:val="none"/>
                <w:bdr w:val="none" w:color="auto" w:sz="0" w:space="0"/>
                <w:lang w:val="en-US" w:eastAsia="zh-CN" w:bidi="ar"/>
              </w:rPr>
              <w:br w:type="textWrapping"/>
            </w:r>
            <w:r>
              <w:rPr>
                <w:rFonts w:hint="eastAsia" w:ascii="宋体" w:hAnsi="宋体" w:eastAsia="宋体" w:cs="宋体"/>
                <w:b/>
                <w:i w:val="0"/>
                <w:color w:val="000000"/>
                <w:kern w:val="0"/>
                <w:sz w:val="24"/>
                <w:szCs w:val="24"/>
                <w:u w:val="none"/>
                <w:bdr w:val="none" w:color="auto" w:sz="0" w:space="0"/>
                <w:lang w:val="en-US" w:eastAsia="zh-CN" w:bidi="ar"/>
              </w:rPr>
              <w:t>（10分）</w:t>
            </w:r>
          </w:p>
        </w:tc>
        <w:tc>
          <w:tcPr>
            <w:tcW w:w="1853"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预算绩效存在问题</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预算管理和绩效管理工作存在问题</w:t>
            </w:r>
          </w:p>
        </w:tc>
        <w:tc>
          <w:tcPr>
            <w:tcW w:w="2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缺（错）项</w:t>
            </w:r>
            <w:r>
              <w:rPr>
                <w:rFonts w:hint="eastAsia" w:ascii="宋体" w:hAnsi="宋体" w:eastAsia="宋体" w:cs="宋体"/>
                <w:i w:val="0"/>
                <w:color w:val="000000"/>
                <w:kern w:val="0"/>
                <w:sz w:val="24"/>
                <w:szCs w:val="24"/>
                <w:u w:val="none"/>
                <w:bdr w:val="none" w:color="auto" w:sz="0" w:space="0"/>
                <w:lang w:val="en-US" w:eastAsia="zh-CN" w:bidi="ar"/>
              </w:rPr>
              <w:br w:type="textWrapping"/>
            </w:r>
            <w:r>
              <w:rPr>
                <w:rFonts w:hint="eastAsia" w:ascii="宋体" w:hAnsi="宋体" w:eastAsia="宋体" w:cs="宋体"/>
                <w:i w:val="0"/>
                <w:color w:val="000000"/>
                <w:kern w:val="0"/>
                <w:sz w:val="24"/>
                <w:szCs w:val="24"/>
                <w:u w:val="none"/>
                <w:bdr w:val="none" w:color="auto" w:sz="0" w:space="0"/>
                <w:lang w:val="en-US" w:eastAsia="zh-CN" w:bidi="ar"/>
              </w:rPr>
              <w:t>扣分法</w:t>
            </w:r>
          </w:p>
        </w:tc>
        <w:tc>
          <w:tcPr>
            <w:tcW w:w="18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依据评价年度人大监督、巡视巡察、审计监督、财会监督等结果以及评价指标体系涉及的履职效果、预算管理、财务管理、资产管理、采购管理、项目绩效等方面出现的问题，每有一个问题点扣1分，扣完为止。</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shd w:val="clear"/>
          <w:tblCellMar>
            <w:top w:w="0" w:type="dxa"/>
            <w:left w:w="0" w:type="dxa"/>
            <w:bottom w:w="0" w:type="dxa"/>
            <w:right w:w="0" w:type="dxa"/>
          </w:tblCellMar>
        </w:tblPrEx>
        <w:trPr>
          <w:trHeight w:val="23" w:hRule="atLeast"/>
        </w:trPr>
        <w:tc>
          <w:tcPr>
            <w:tcW w:w="1020" w:type="dxa"/>
            <w:vMerge w:val="continue"/>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b/>
                <w:i w:val="0"/>
                <w:color w:val="000000"/>
                <w:sz w:val="24"/>
                <w:szCs w:val="24"/>
                <w:u w:val="none"/>
              </w:rPr>
            </w:pPr>
          </w:p>
        </w:tc>
        <w:tc>
          <w:tcPr>
            <w:tcW w:w="1853"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被评价部门配合度</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被评价对象工作配合情况</w:t>
            </w:r>
          </w:p>
        </w:tc>
        <w:tc>
          <w:tcPr>
            <w:tcW w:w="2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缺（错）项</w:t>
            </w:r>
            <w:r>
              <w:rPr>
                <w:rFonts w:hint="eastAsia" w:ascii="宋体" w:hAnsi="宋体" w:eastAsia="宋体" w:cs="宋体"/>
                <w:i w:val="0"/>
                <w:color w:val="000000"/>
                <w:kern w:val="0"/>
                <w:sz w:val="24"/>
                <w:szCs w:val="24"/>
                <w:u w:val="none"/>
                <w:bdr w:val="none" w:color="auto" w:sz="0" w:space="0"/>
                <w:lang w:val="en-US" w:eastAsia="zh-CN" w:bidi="ar"/>
              </w:rPr>
              <w:br w:type="textWrapping"/>
            </w:r>
            <w:r>
              <w:rPr>
                <w:rFonts w:hint="eastAsia" w:ascii="宋体" w:hAnsi="宋体" w:eastAsia="宋体" w:cs="宋体"/>
                <w:i w:val="0"/>
                <w:color w:val="000000"/>
                <w:kern w:val="0"/>
                <w:sz w:val="24"/>
                <w:szCs w:val="24"/>
                <w:u w:val="none"/>
                <w:bdr w:val="none" w:color="auto" w:sz="0" w:space="0"/>
                <w:lang w:val="en-US" w:eastAsia="zh-CN" w:bidi="ar"/>
              </w:rPr>
              <w:t>扣分法</w:t>
            </w:r>
          </w:p>
        </w:tc>
        <w:tc>
          <w:tcPr>
            <w:tcW w:w="18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评价工作开展过程中，被评价对象拖延推诿、提交资料不及时等拒不配合评价工作的，每发现一次扣1分，扣完为止。</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w:t>
            </w: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r>
        <w:tblPrEx>
          <w:shd w:val="clear"/>
          <w:tblCellMar>
            <w:top w:w="0" w:type="dxa"/>
            <w:left w:w="0" w:type="dxa"/>
            <w:bottom w:w="0" w:type="dxa"/>
            <w:right w:w="0" w:type="dxa"/>
          </w:tblCellMar>
        </w:tblPrEx>
        <w:trPr>
          <w:trHeight w:val="23" w:hRule="atLeast"/>
        </w:trPr>
        <w:tc>
          <w:tcPr>
            <w:tcW w:w="102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bdr w:val="none" w:color="auto" w:sz="0" w:space="0"/>
                <w:lang w:val="en-US" w:eastAsia="zh-CN" w:bidi="ar"/>
              </w:rPr>
              <w:t>总分</w:t>
            </w:r>
          </w:p>
        </w:tc>
        <w:tc>
          <w:tcPr>
            <w:tcW w:w="1853" w:type="dxa"/>
            <w:gridSpan w:val="2"/>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1"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bdr w:val="none" w:color="auto" w:sz="0" w:space="0"/>
                <w:lang w:val="en-US" w:eastAsia="zh-CN" w:bidi="ar"/>
              </w:rPr>
              <w:t>94</w:t>
            </w:r>
          </w:p>
        </w:tc>
        <w:tc>
          <w:tcPr>
            <w:tcW w:w="51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24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186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left"/>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c>
          <w:tcPr>
            <w:tcW w:w="270" w:type="dxa"/>
            <w:tcBorders>
              <w:top w:val="single" w:color="000000" w:sz="4" w:space="0"/>
              <w:left w:val="single" w:color="000000" w:sz="4" w:space="0"/>
              <w:bottom w:val="single" w:color="000000" w:sz="4" w:space="0"/>
              <w:right w:val="single" w:color="000000" w:sz="4" w:space="0"/>
            </w:tcBorders>
            <w:shd w:val="clear"/>
            <w:tcMar>
              <w:top w:w="15" w:type="dxa"/>
              <w:left w:w="15" w:type="dxa"/>
              <w:right w:w="15" w:type="dxa"/>
            </w:tcMar>
            <w:vAlign w:val="center"/>
          </w:tcPr>
          <w:p>
            <w:pPr>
              <w:jc w:val="center"/>
              <w:rPr>
                <w:rFonts w:hint="eastAsia" w:ascii="宋体" w:hAnsi="宋体" w:eastAsia="宋体" w:cs="宋体"/>
                <w:i w:val="0"/>
                <w:color w:val="000000"/>
                <w:sz w:val="24"/>
                <w:szCs w:val="24"/>
                <w:u w:val="none"/>
              </w:rPr>
            </w:pPr>
          </w:p>
        </w:tc>
      </w:tr>
    </w:tbl>
    <w:p>
      <w:pPr>
        <w:pStyle w:val="2"/>
        <w:rPr>
          <w:rFonts w:hint="eastAsia" w:ascii="黑体" w:eastAsia="黑体"/>
          <w:color w:val="000000"/>
          <w:sz w:val="44"/>
          <w:szCs w:val="44"/>
        </w:rPr>
      </w:pPr>
    </w:p>
    <w:p>
      <w:pPr>
        <w:rPr>
          <w:rFonts w:hint="eastAsia" w:ascii="黑体" w:eastAsia="黑体"/>
          <w:color w:val="000000"/>
          <w:sz w:val="44"/>
          <w:szCs w:val="44"/>
        </w:rPr>
      </w:pPr>
    </w:p>
    <w:p>
      <w:pPr>
        <w:pStyle w:val="2"/>
        <w:rPr>
          <w:rFonts w:hint="eastAsia" w:ascii="黑体" w:eastAsia="黑体"/>
          <w:color w:val="000000"/>
          <w:sz w:val="44"/>
          <w:szCs w:val="44"/>
        </w:rPr>
      </w:pPr>
    </w:p>
    <w:p>
      <w:pPr>
        <w:rPr>
          <w:rFonts w:hint="eastAsia" w:ascii="黑体" w:eastAsia="黑体"/>
          <w:color w:val="000000"/>
          <w:sz w:val="44"/>
          <w:szCs w:val="44"/>
        </w:rPr>
      </w:pPr>
    </w:p>
    <w:p>
      <w:pPr>
        <w:spacing w:line="600" w:lineRule="exact"/>
        <w:jc w:val="center"/>
        <w:outlineLvl w:val="0"/>
        <w:rPr>
          <w:rStyle w:val="24"/>
          <w:rFonts w:ascii="黑体" w:eastAsia="黑体"/>
          <w:b w:val="0"/>
        </w:rPr>
      </w:pPr>
      <w:r>
        <w:rPr>
          <w:rFonts w:hint="eastAsia" w:ascii="黑体" w:eastAsia="黑体"/>
          <w:color w:val="000000"/>
          <w:sz w:val="44"/>
          <w:szCs w:val="44"/>
        </w:rPr>
        <w:t>第</w:t>
      </w:r>
      <w:r>
        <w:rPr>
          <w:rStyle w:val="24"/>
          <w:rFonts w:hint="eastAsia" w:ascii="黑体" w:eastAsia="黑体"/>
          <w:b w:val="0"/>
        </w:rPr>
        <w:t>五部分 附表</w:t>
      </w:r>
      <w:bookmarkEnd w:id="60"/>
    </w:p>
    <w:bookmarkEnd w:id="61"/>
    <w:p>
      <w:pPr>
        <w:pStyle w:val="18"/>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8"/>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8"/>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pPr>
        <w:pStyle w:val="18"/>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0"/>
      <w:r>
        <w:rPr>
          <w:rFonts w:hint="eastAsia" w:ascii="Times New Roman" w:hAnsi="Times New Roman" w:eastAsia="仿宋_GB2312" w:cs="仿宋_GB2312"/>
          <w:color w:val="auto"/>
          <w:sz w:val="32"/>
          <w:szCs w:val="32"/>
          <w:highlight w:val="none"/>
        </w:rPr>
        <w:t>二、收入决算表</w:t>
      </w:r>
      <w:bookmarkEnd w:id="62"/>
    </w:p>
    <w:p>
      <w:pPr>
        <w:pStyle w:val="18"/>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1"/>
      <w:r>
        <w:rPr>
          <w:rFonts w:hint="eastAsia" w:ascii="Times New Roman" w:hAnsi="Times New Roman" w:eastAsia="仿宋_GB2312" w:cs="仿宋_GB2312"/>
          <w:color w:val="auto"/>
          <w:sz w:val="32"/>
          <w:szCs w:val="32"/>
          <w:highlight w:val="none"/>
        </w:rPr>
        <w:t>三、支出决算表</w:t>
      </w:r>
      <w:bookmarkEnd w:id="63"/>
    </w:p>
    <w:p>
      <w:pPr>
        <w:pStyle w:val="18"/>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2"/>
      <w:r>
        <w:rPr>
          <w:rFonts w:hint="eastAsia" w:ascii="Times New Roman" w:hAnsi="Times New Roman" w:eastAsia="仿宋_GB2312" w:cs="仿宋_GB2312"/>
          <w:color w:val="auto"/>
          <w:sz w:val="32"/>
          <w:szCs w:val="32"/>
          <w:highlight w:val="none"/>
        </w:rPr>
        <w:t>四、财政拨款收入支出决算总表</w:t>
      </w:r>
      <w:bookmarkEnd w:id="64"/>
    </w:p>
    <w:p>
      <w:pPr>
        <w:pStyle w:val="18"/>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23"/>
      <w:r>
        <w:rPr>
          <w:rFonts w:hint="eastAsia" w:ascii="Times New Roman" w:hAnsi="Times New Roman" w:eastAsia="仿宋_GB2312" w:cs="仿宋_GB2312"/>
          <w:color w:val="auto"/>
          <w:sz w:val="32"/>
          <w:szCs w:val="32"/>
          <w:highlight w:val="none"/>
        </w:rPr>
        <w:t>五、财政拨款支出决算明细表</w:t>
      </w:r>
      <w:bookmarkEnd w:id="65"/>
      <w:bookmarkStart w:id="66" w:name="_Toc15396624"/>
    </w:p>
    <w:p>
      <w:pPr>
        <w:pStyle w:val="18"/>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6"/>
    </w:p>
    <w:p>
      <w:pPr>
        <w:pStyle w:val="18"/>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7" w:name="_Toc15396625"/>
      <w:r>
        <w:rPr>
          <w:rFonts w:hint="eastAsia" w:ascii="Times New Roman" w:hAnsi="Times New Roman" w:eastAsia="仿宋_GB2312" w:cs="仿宋_GB2312"/>
          <w:color w:val="auto"/>
          <w:sz w:val="32"/>
          <w:szCs w:val="32"/>
          <w:highlight w:val="none"/>
        </w:rPr>
        <w:t>七、一般公共预算财政拨款支出决算明细表</w:t>
      </w:r>
      <w:bookmarkEnd w:id="67"/>
    </w:p>
    <w:p>
      <w:pPr>
        <w:pStyle w:val="18"/>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8" w:name="_Toc15396626"/>
      <w:r>
        <w:rPr>
          <w:rFonts w:hint="eastAsia" w:ascii="Times New Roman" w:hAnsi="Times New Roman" w:eastAsia="仿宋_GB2312" w:cs="仿宋_GB2312"/>
          <w:color w:val="auto"/>
          <w:sz w:val="32"/>
          <w:szCs w:val="32"/>
          <w:highlight w:val="none"/>
        </w:rPr>
        <w:t>八、一般公共预算财政拨款基本支出决算表</w:t>
      </w:r>
      <w:bookmarkEnd w:id="68"/>
    </w:p>
    <w:p>
      <w:pPr>
        <w:pStyle w:val="18"/>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9" w:name="_Toc15396627"/>
      <w:r>
        <w:rPr>
          <w:rFonts w:hint="eastAsia" w:ascii="Times New Roman" w:hAnsi="Times New Roman" w:eastAsia="仿宋_GB2312" w:cs="仿宋_GB2312"/>
          <w:color w:val="auto"/>
          <w:sz w:val="32"/>
          <w:szCs w:val="32"/>
          <w:highlight w:val="none"/>
        </w:rPr>
        <w:t>九、一般公共预算财政拨款项目支出决算表</w:t>
      </w:r>
      <w:bookmarkEnd w:id="69"/>
    </w:p>
    <w:p>
      <w:pPr>
        <w:pStyle w:val="18"/>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0" w:name="_Toc15396628"/>
      <w:r>
        <w:rPr>
          <w:rFonts w:hint="eastAsia" w:ascii="Times New Roman" w:hAnsi="Times New Roman" w:eastAsia="仿宋_GB2312" w:cs="仿宋_GB2312"/>
          <w:color w:val="auto"/>
          <w:sz w:val="32"/>
          <w:szCs w:val="32"/>
          <w:highlight w:val="none"/>
        </w:rPr>
        <w:t>十、</w:t>
      </w:r>
      <w:bookmarkEnd w:id="70"/>
      <w:r>
        <w:rPr>
          <w:rFonts w:hint="eastAsia" w:ascii="Times New Roman" w:hAnsi="Times New Roman" w:eastAsia="仿宋_GB2312" w:cs="仿宋_GB2312"/>
          <w:color w:val="auto"/>
          <w:sz w:val="32"/>
          <w:szCs w:val="32"/>
          <w:highlight w:val="none"/>
        </w:rPr>
        <w:t>政府性基金预算财政拨款收入支出决算表</w:t>
      </w:r>
    </w:p>
    <w:p>
      <w:pPr>
        <w:pStyle w:val="18"/>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1" w:name="_Toc15396629"/>
      <w:r>
        <w:rPr>
          <w:rFonts w:hint="eastAsia" w:ascii="Times New Roman" w:hAnsi="Times New Roman" w:eastAsia="仿宋_GB2312" w:cs="仿宋_GB2312"/>
          <w:color w:val="auto"/>
          <w:sz w:val="32"/>
          <w:szCs w:val="32"/>
          <w:highlight w:val="none"/>
        </w:rPr>
        <w:t>十一、</w:t>
      </w:r>
      <w:bookmarkEnd w:id="71"/>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8"/>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72" w:name="_Toc15396630"/>
      <w:r>
        <w:rPr>
          <w:rFonts w:hint="eastAsia" w:ascii="Times New Roman" w:hAnsi="Times New Roman" w:eastAsia="仿宋_GB2312" w:cs="仿宋_GB2312"/>
          <w:color w:val="auto"/>
          <w:sz w:val="32"/>
          <w:szCs w:val="32"/>
          <w:highlight w:val="none"/>
        </w:rPr>
        <w:t>十二、</w:t>
      </w:r>
      <w:bookmarkEnd w:id="72"/>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8"/>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73" w:name="_Toc15396631"/>
      <w:r>
        <w:rPr>
          <w:rFonts w:hint="eastAsia" w:ascii="Times New Roman" w:hAnsi="Times New Roman" w:eastAsia="仿宋_GB2312" w:cs="仿宋_GB2312"/>
          <w:color w:val="auto"/>
          <w:sz w:val="32"/>
          <w:szCs w:val="32"/>
          <w:highlight w:val="none"/>
        </w:rPr>
        <w:t>十三、</w:t>
      </w:r>
      <w:bookmarkEnd w:id="73"/>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p>
      <w:pPr>
        <w:rPr>
          <w:rFonts w:hint="eastAsia"/>
        </w:rPr>
      </w:pPr>
    </w:p>
    <w:p/>
    <w:p/>
    <w:p>
      <w:pPr>
        <w:pStyle w:val="4"/>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方正小标宋简体">
    <w:altName w:val="黑体"/>
    <w:panose1 w:val="03000509000000000000"/>
    <w:charset w:val="86"/>
    <w:family w:val="script"/>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List>
        <w:docPartGallery w:val="autotext"/>
      </w:docPartList>
    </w:sdtPr>
    <w:sdtContent>
      <w:p>
        <w:pPr>
          <w:pStyle w:val="13"/>
          <w:jc w:val="center"/>
        </w:pPr>
        <w:r>
          <w:fldChar w:fldCharType="begin"/>
        </w:r>
        <w:r>
          <w:instrText xml:space="preserve">PAGE   \* MERGEFORMAT</w:instrText>
        </w:r>
        <w:r>
          <w:fldChar w:fldCharType="separate"/>
        </w:r>
        <w:r>
          <w:rPr>
            <w:lang w:val="zh-CN"/>
          </w:rPr>
          <w:t>10</w:t>
        </w:r>
        <w:r>
          <w:fldChar w:fldCharType="end"/>
        </w:r>
      </w:p>
    </w:sdtContent>
  </w:sdt>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6E9B2D1"/>
    <w:multiLevelType w:val="multilevel"/>
    <w:tmpl w:val="A6E9B2D1"/>
    <w:lvl w:ilvl="0" w:tentative="0">
      <w:start w:val="3"/>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B35330D2"/>
    <w:multiLevelType w:val="singleLevel"/>
    <w:tmpl w:val="B35330D2"/>
    <w:lvl w:ilvl="0" w:tentative="0">
      <w:start w:val="2"/>
      <w:numFmt w:val="chineseCounting"/>
      <w:suff w:val="space"/>
      <w:lvlText w:val="第%1部分"/>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3">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4">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5">
    <w:nsid w:val="55486721"/>
    <w:multiLevelType w:val="multilevel"/>
    <w:tmpl w:val="55486721"/>
    <w:lvl w:ilvl="0" w:tentative="0">
      <w:start w:val="2"/>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6">
    <w:nsid w:val="62621CDC"/>
    <w:multiLevelType w:val="multilevel"/>
    <w:tmpl w:val="62621CDC"/>
    <w:lvl w:ilvl="0" w:tentative="0">
      <w:start w:val="1"/>
      <w:numFmt w:val="decimal"/>
      <w:lvlText w:val="%1."/>
      <w:lvlJc w:val="left"/>
      <w:pPr>
        <w:tabs>
          <w:tab w:val="left" w:pos="0"/>
        </w:tabs>
        <w:ind w:left="1152" w:hanging="480"/>
      </w:pPr>
      <w:rPr>
        <w:rFonts w:hint="default"/>
      </w:rPr>
    </w:lvl>
    <w:lvl w:ilvl="1" w:tentative="0">
      <w:start w:val="1"/>
      <w:numFmt w:val="lowerLetter"/>
      <w:lvlText w:val="%2)"/>
      <w:lvlJc w:val="left"/>
      <w:pPr>
        <w:tabs>
          <w:tab w:val="left" w:pos="0"/>
        </w:tabs>
        <w:ind w:left="1512" w:hanging="420"/>
      </w:pPr>
    </w:lvl>
    <w:lvl w:ilvl="2" w:tentative="0">
      <w:start w:val="1"/>
      <w:numFmt w:val="lowerRoman"/>
      <w:lvlText w:val="%3."/>
      <w:lvlJc w:val="right"/>
      <w:pPr>
        <w:tabs>
          <w:tab w:val="left" w:pos="0"/>
        </w:tabs>
        <w:ind w:left="1932" w:hanging="420"/>
      </w:pPr>
    </w:lvl>
    <w:lvl w:ilvl="3" w:tentative="0">
      <w:start w:val="1"/>
      <w:numFmt w:val="decimal"/>
      <w:lvlText w:val="%4."/>
      <w:lvlJc w:val="left"/>
      <w:pPr>
        <w:tabs>
          <w:tab w:val="left" w:pos="0"/>
        </w:tabs>
        <w:ind w:left="2352" w:hanging="420"/>
      </w:pPr>
    </w:lvl>
    <w:lvl w:ilvl="4" w:tentative="0">
      <w:start w:val="1"/>
      <w:numFmt w:val="lowerLetter"/>
      <w:lvlText w:val="%5)"/>
      <w:lvlJc w:val="left"/>
      <w:pPr>
        <w:tabs>
          <w:tab w:val="left" w:pos="0"/>
        </w:tabs>
        <w:ind w:left="2772" w:hanging="420"/>
      </w:pPr>
    </w:lvl>
    <w:lvl w:ilvl="5" w:tentative="0">
      <w:start w:val="1"/>
      <w:numFmt w:val="lowerRoman"/>
      <w:lvlText w:val="%6."/>
      <w:lvlJc w:val="right"/>
      <w:pPr>
        <w:tabs>
          <w:tab w:val="left" w:pos="0"/>
        </w:tabs>
        <w:ind w:left="3192" w:hanging="420"/>
      </w:pPr>
    </w:lvl>
    <w:lvl w:ilvl="6" w:tentative="0">
      <w:start w:val="1"/>
      <w:numFmt w:val="decimal"/>
      <w:lvlText w:val="%7."/>
      <w:lvlJc w:val="left"/>
      <w:pPr>
        <w:tabs>
          <w:tab w:val="left" w:pos="0"/>
        </w:tabs>
        <w:ind w:left="3612" w:hanging="420"/>
      </w:pPr>
    </w:lvl>
    <w:lvl w:ilvl="7" w:tentative="0">
      <w:start w:val="1"/>
      <w:numFmt w:val="lowerLetter"/>
      <w:lvlText w:val="%8)"/>
      <w:lvlJc w:val="left"/>
      <w:pPr>
        <w:tabs>
          <w:tab w:val="left" w:pos="0"/>
        </w:tabs>
        <w:ind w:left="4032" w:hanging="420"/>
      </w:pPr>
    </w:lvl>
    <w:lvl w:ilvl="8" w:tentative="0">
      <w:start w:val="1"/>
      <w:numFmt w:val="lowerRoman"/>
      <w:lvlText w:val="%9."/>
      <w:lvlJc w:val="right"/>
      <w:pPr>
        <w:tabs>
          <w:tab w:val="left" w:pos="0"/>
        </w:tabs>
        <w:ind w:left="4452" w:hanging="420"/>
      </w:pPr>
    </w:lvl>
  </w:abstractNum>
  <w:abstractNum w:abstractNumId="7">
    <w:nsid w:val="78D72DD4"/>
    <w:multiLevelType w:val="singleLevel"/>
    <w:tmpl w:val="78D72DD4"/>
    <w:lvl w:ilvl="0" w:tentative="0">
      <w:start w:val="3"/>
      <w:numFmt w:val="decimal"/>
      <w:lvlText w:val="%1."/>
      <w:lvlJc w:val="left"/>
      <w:pPr>
        <w:tabs>
          <w:tab w:val="left" w:pos="0"/>
        </w:tabs>
        <w:ind w:left="0" w:firstLine="0"/>
      </w:pPr>
    </w:lvl>
  </w:abstractNum>
  <w:num w:numId="1">
    <w:abstractNumId w:val="6"/>
  </w:num>
  <w:num w:numId="2">
    <w:abstractNumId w:val="1"/>
  </w:num>
  <w:num w:numId="3">
    <w:abstractNumId w:val="4"/>
  </w:num>
  <w:num w:numId="4">
    <w:abstractNumId w:val="7"/>
  </w:num>
  <w:num w:numId="5">
    <w:abstractNumId w:val="2"/>
  </w:num>
  <w:num w:numId="6">
    <w:abstractNumId w:val="3"/>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
  <w:docVars>
    <w:docVar w:name="commondata" w:val="eyJoZGlkIjoiOTdjM2NiZjJhNjU1YTBhYzIzM2RhYjI4OWNiZTM2ZjEifQ=="/>
  </w:docVars>
  <w:rsids>
    <w:rsidRoot w:val="00000000"/>
    <w:rsid w:val="019E03F8"/>
    <w:rsid w:val="03C85102"/>
    <w:rsid w:val="03F80EE0"/>
    <w:rsid w:val="07441E66"/>
    <w:rsid w:val="0864348A"/>
    <w:rsid w:val="08E154C3"/>
    <w:rsid w:val="0909450A"/>
    <w:rsid w:val="0B7370FF"/>
    <w:rsid w:val="0E11692F"/>
    <w:rsid w:val="0F6B6F5C"/>
    <w:rsid w:val="127B2B11"/>
    <w:rsid w:val="144C16FF"/>
    <w:rsid w:val="148744DF"/>
    <w:rsid w:val="14E50656"/>
    <w:rsid w:val="15D67066"/>
    <w:rsid w:val="17FD7F39"/>
    <w:rsid w:val="18CF2273"/>
    <w:rsid w:val="1FD65BD4"/>
    <w:rsid w:val="2287310A"/>
    <w:rsid w:val="22E91E84"/>
    <w:rsid w:val="24CD303E"/>
    <w:rsid w:val="265E32A0"/>
    <w:rsid w:val="26DB336E"/>
    <w:rsid w:val="291114FF"/>
    <w:rsid w:val="29451F54"/>
    <w:rsid w:val="296F49C3"/>
    <w:rsid w:val="2A9C191F"/>
    <w:rsid w:val="2BF72440"/>
    <w:rsid w:val="2FFF4AC0"/>
    <w:rsid w:val="302E66E2"/>
    <w:rsid w:val="319008A5"/>
    <w:rsid w:val="33192AC0"/>
    <w:rsid w:val="337D0401"/>
    <w:rsid w:val="33BD3058"/>
    <w:rsid w:val="344C5762"/>
    <w:rsid w:val="354E2B53"/>
    <w:rsid w:val="35A3510D"/>
    <w:rsid w:val="37A0147D"/>
    <w:rsid w:val="38BEF165"/>
    <w:rsid w:val="3B0466E7"/>
    <w:rsid w:val="3BED9F49"/>
    <w:rsid w:val="3BEE0605"/>
    <w:rsid w:val="3C0341BC"/>
    <w:rsid w:val="3C1A317B"/>
    <w:rsid w:val="3C7D7908"/>
    <w:rsid w:val="3CBA168D"/>
    <w:rsid w:val="400E4EA4"/>
    <w:rsid w:val="404A3447"/>
    <w:rsid w:val="40A909F4"/>
    <w:rsid w:val="44697DF6"/>
    <w:rsid w:val="45ED5465"/>
    <w:rsid w:val="460174E6"/>
    <w:rsid w:val="462E51F7"/>
    <w:rsid w:val="4690372C"/>
    <w:rsid w:val="46C052E2"/>
    <w:rsid w:val="47115B5F"/>
    <w:rsid w:val="472A0C67"/>
    <w:rsid w:val="47574B93"/>
    <w:rsid w:val="4895588F"/>
    <w:rsid w:val="499C249E"/>
    <w:rsid w:val="49C73190"/>
    <w:rsid w:val="4A182E0C"/>
    <w:rsid w:val="4B7876C2"/>
    <w:rsid w:val="4D207997"/>
    <w:rsid w:val="4EFF6DB0"/>
    <w:rsid w:val="4F665D92"/>
    <w:rsid w:val="4FCF8E1E"/>
    <w:rsid w:val="51370CE7"/>
    <w:rsid w:val="536513E2"/>
    <w:rsid w:val="55071484"/>
    <w:rsid w:val="565473CD"/>
    <w:rsid w:val="5CB33C08"/>
    <w:rsid w:val="5DF942ED"/>
    <w:rsid w:val="5F1F0289"/>
    <w:rsid w:val="60A84DB7"/>
    <w:rsid w:val="616C6188"/>
    <w:rsid w:val="63836CCD"/>
    <w:rsid w:val="64BA10D2"/>
    <w:rsid w:val="679659E1"/>
    <w:rsid w:val="68EA6226"/>
    <w:rsid w:val="693B051A"/>
    <w:rsid w:val="6AC11A50"/>
    <w:rsid w:val="6AD63F20"/>
    <w:rsid w:val="6B5C5DEE"/>
    <w:rsid w:val="6F6E3130"/>
    <w:rsid w:val="6FAB4D1D"/>
    <w:rsid w:val="6FB05265"/>
    <w:rsid w:val="70E41846"/>
    <w:rsid w:val="71516E92"/>
    <w:rsid w:val="73567F6E"/>
    <w:rsid w:val="768C7550"/>
    <w:rsid w:val="778DE978"/>
    <w:rsid w:val="79A53E3E"/>
    <w:rsid w:val="7C596A1E"/>
    <w:rsid w:val="7CBB25C5"/>
    <w:rsid w:val="7DD0E452"/>
    <w:rsid w:val="7E776459"/>
    <w:rsid w:val="7E855168"/>
    <w:rsid w:val="7FCD0A3C"/>
    <w:rsid w:val="7FEF3935"/>
    <w:rsid w:val="7FF52096"/>
    <w:rsid w:val="99FFEEE0"/>
    <w:rsid w:val="A7D6E6A3"/>
    <w:rsid w:val="AFFED207"/>
    <w:rsid w:val="B6B9AA66"/>
    <w:rsid w:val="BFFF2CF9"/>
    <w:rsid w:val="C9FCFC20"/>
    <w:rsid w:val="E95B28A3"/>
    <w:rsid w:val="EE4F74A0"/>
    <w:rsid w:val="F3B6E826"/>
    <w:rsid w:val="F6FD69EE"/>
    <w:rsid w:val="F7FFCC42"/>
    <w:rsid w:val="F9F732B0"/>
    <w:rsid w:val="FE27D569"/>
    <w:rsid w:val="FF771BDD"/>
    <w:rsid w:val="FFF7214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link w:val="25"/>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1">
    <w:name w:val="Default Paragraph Font"/>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customStyle="1" w:styleId="2">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paragraph" w:styleId="6">
    <w:name w:val="Body Text"/>
    <w:basedOn w:val="1"/>
    <w:qFormat/>
    <w:uiPriority w:val="0"/>
    <w:pPr>
      <w:spacing w:before="30" w:beforeLines="30"/>
    </w:pPr>
    <w:rPr>
      <w:rFonts w:ascii="仿宋_GB2312" w:eastAsia="仿宋_GB2312"/>
      <w:kern w:val="0"/>
      <w:sz w:val="30"/>
    </w:rPr>
  </w:style>
  <w:style w:type="paragraph" w:styleId="7">
    <w:name w:val="Body Text Indent"/>
    <w:basedOn w:val="1"/>
    <w:next w:val="8"/>
    <w:qFormat/>
    <w:uiPriority w:val="0"/>
    <w:pPr>
      <w:spacing w:after="120"/>
      <w:ind w:leftChars="200"/>
    </w:pPr>
    <w:rPr>
      <w:rFonts w:ascii="仿宋_GB2312"/>
      <w:szCs w:val="32"/>
    </w:rPr>
  </w:style>
  <w:style w:type="paragraph" w:styleId="8">
    <w:name w:val="Body Text First Indent 2"/>
    <w:basedOn w:val="7"/>
    <w:unhideWhenUsed/>
    <w:qFormat/>
    <w:uiPriority w:val="99"/>
    <w:pPr>
      <w:ind w:firstLine="420" w:firstLineChars="200"/>
    </w:pPr>
  </w:style>
  <w:style w:type="paragraph" w:styleId="9">
    <w:name w:val="toc 3"/>
    <w:basedOn w:val="1"/>
    <w:next w:val="1"/>
    <w:qFormat/>
    <w:uiPriority w:val="0"/>
    <w:pPr>
      <w:tabs>
        <w:tab w:val="right" w:leader="dot" w:pos="8296"/>
      </w:tabs>
      <w:ind w:left="400" w:leftChars="400"/>
    </w:pPr>
  </w:style>
  <w:style w:type="paragraph" w:styleId="10">
    <w:name w:val="Plain Text"/>
    <w:basedOn w:val="1"/>
    <w:qFormat/>
    <w:uiPriority w:val="0"/>
    <w:rPr>
      <w:rFonts w:ascii="宋体" w:hAnsi="Courier New"/>
    </w:rPr>
  </w:style>
  <w:style w:type="paragraph" w:styleId="11">
    <w:name w:val="Body Text Indent 2"/>
    <w:basedOn w:val="1"/>
    <w:unhideWhenUsed/>
    <w:qFormat/>
    <w:uiPriority w:val="0"/>
    <w:pPr>
      <w:spacing w:after="120" w:line="480" w:lineRule="auto"/>
      <w:ind w:left="420" w:leftChars="200"/>
    </w:p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qFormat/>
    <w:uiPriority w:val="0"/>
    <w:pPr>
      <w:tabs>
        <w:tab w:val="right" w:leader="dot" w:pos="8296"/>
      </w:tabs>
      <w:spacing w:before="93"/>
      <w:jc w:val="center"/>
    </w:pPr>
    <w:rPr>
      <w:rFonts w:ascii="仿宋" w:eastAsia="仿宋"/>
      <w:sz w:val="28"/>
      <w:szCs w:val="28"/>
    </w:rPr>
  </w:style>
  <w:style w:type="paragraph" w:styleId="16">
    <w:name w:val="footnote text"/>
    <w:basedOn w:val="1"/>
    <w:next w:val="8"/>
    <w:semiHidden/>
    <w:qFormat/>
    <w:uiPriority w:val="0"/>
    <w:pPr>
      <w:snapToGrid w:val="0"/>
      <w:jc w:val="left"/>
    </w:pPr>
    <w:rPr>
      <w:sz w:val="18"/>
      <w:szCs w:val="18"/>
    </w:rPr>
  </w:style>
  <w:style w:type="paragraph" w:styleId="17">
    <w:name w:val="table of figures"/>
    <w:basedOn w:val="1"/>
    <w:next w:val="1"/>
    <w:qFormat/>
    <w:uiPriority w:val="99"/>
    <w:pPr>
      <w:ind w:left="200" w:leftChars="200" w:hanging="200" w:hangingChars="200"/>
    </w:pPr>
    <w:rPr>
      <w:rFonts w:eastAsia="仿宋"/>
      <w:sz w:val="32"/>
    </w:rPr>
  </w:style>
  <w:style w:type="paragraph" w:styleId="18">
    <w:name w:val="toc 2"/>
    <w:basedOn w:val="1"/>
    <w:next w:val="1"/>
    <w:qFormat/>
    <w:uiPriority w:val="0"/>
    <w:pPr>
      <w:tabs>
        <w:tab w:val="right" w:leader="dot" w:pos="8296"/>
      </w:tabs>
      <w:ind w:left="200" w:leftChars="200"/>
    </w:pPr>
  </w:style>
  <w:style w:type="paragraph" w:styleId="19">
    <w:name w:val="Normal (Web)"/>
    <w:basedOn w:val="1"/>
    <w:qFormat/>
    <w:uiPriority w:val="99"/>
    <w:pPr>
      <w:widowControl/>
      <w:spacing w:before="0" w:beforeAutospacing="1" w:after="0" w:afterAutospacing="1"/>
      <w:ind w:left="0" w:right="0"/>
      <w:jc w:val="left"/>
    </w:pPr>
    <w:rPr>
      <w:rFonts w:ascii="宋体" w:hAnsi="宋体" w:eastAsia="宋体" w:cs="宋体"/>
      <w:kern w:val="0"/>
      <w:sz w:val="24"/>
      <w:szCs w:val="24"/>
      <w:lang w:val="en-US" w:eastAsia="zh-CN" w:bidi="ar"/>
    </w:rPr>
  </w:style>
  <w:style w:type="character" w:styleId="22">
    <w:name w:val="Strong"/>
    <w:basedOn w:val="21"/>
    <w:qFormat/>
    <w:uiPriority w:val="0"/>
    <w:rPr>
      <w:b/>
    </w:rPr>
  </w:style>
  <w:style w:type="character" w:styleId="23">
    <w:name w:val="Hyperlink"/>
    <w:basedOn w:val="21"/>
    <w:qFormat/>
    <w:uiPriority w:val="0"/>
    <w:rPr>
      <w:color w:val="0000FF"/>
      <w:u w:val="single"/>
    </w:rPr>
  </w:style>
  <w:style w:type="character" w:customStyle="1" w:styleId="24">
    <w:name w:val="heading 1 Char"/>
    <w:basedOn w:val="21"/>
    <w:link w:val="3"/>
    <w:qFormat/>
    <w:uiPriority w:val="0"/>
    <w:rPr>
      <w:rFonts w:ascii="Times New Roman" w:hAnsi="Times New Roman" w:eastAsia="宋体" w:cs="Times New Roman"/>
      <w:b/>
      <w:bCs/>
      <w:kern w:val="44"/>
      <w:sz w:val="44"/>
      <w:szCs w:val="44"/>
      <w:lang w:val="en-US" w:eastAsia="zh-CN" w:bidi="ar-SA"/>
    </w:rPr>
  </w:style>
  <w:style w:type="character" w:customStyle="1" w:styleId="25">
    <w:name w:val="heading 2 Char"/>
    <w:basedOn w:val="21"/>
    <w:link w:val="4"/>
    <w:qFormat/>
    <w:uiPriority w:val="0"/>
    <w:rPr>
      <w:rFonts w:ascii="Cambria" w:hAnsi="Cambria" w:eastAsia="宋体" w:cs="Times New Roman"/>
      <w:b/>
      <w:bCs/>
      <w:kern w:val="2"/>
      <w:sz w:val="32"/>
      <w:szCs w:val="32"/>
      <w:lang w:val="en-US" w:eastAsia="zh-CN" w:bidi="ar-SA"/>
    </w:rPr>
  </w:style>
  <w:style w:type="character" w:customStyle="1" w:styleId="26">
    <w:name w:val="Header Char"/>
    <w:basedOn w:val="21"/>
    <w:qFormat/>
    <w:uiPriority w:val="0"/>
    <w:rPr>
      <w:rFonts w:ascii="Times New Roman" w:hAnsi="Times New Roman"/>
      <w:sz w:val="18"/>
      <w:szCs w:val="18"/>
    </w:rPr>
  </w:style>
  <w:style w:type="character" w:customStyle="1" w:styleId="27">
    <w:name w:val="Footer Char"/>
    <w:basedOn w:val="21"/>
    <w:qFormat/>
    <w:uiPriority w:val="0"/>
    <w:rPr>
      <w:rFonts w:ascii="Times New Roman" w:hAnsi="Times New Roman"/>
      <w:sz w:val="18"/>
      <w:szCs w:val="18"/>
    </w:rPr>
  </w:style>
  <w:style w:type="character" w:customStyle="1" w:styleId="28">
    <w:name w:val="Body Text Char"/>
    <w:basedOn w:val="21"/>
    <w:qFormat/>
    <w:uiPriority w:val="0"/>
    <w:rPr>
      <w:rFonts w:ascii="Times New Roman" w:hAnsi="Times New Roman"/>
      <w:szCs w:val="24"/>
    </w:rPr>
  </w:style>
  <w:style w:type="paragraph" w:customStyle="1" w:styleId="29">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30">
    <w:name w:val="List Paragraph"/>
    <w:basedOn w:val="1"/>
    <w:qFormat/>
    <w:uiPriority w:val="0"/>
    <w:pPr>
      <w:ind w:firstLine="200" w:firstLineChars="200"/>
    </w:pPr>
  </w:style>
  <w:style w:type="paragraph" w:customStyle="1" w:styleId="31">
    <w:name w:val="TOC Heading"/>
    <w:basedOn w:val="3"/>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paragraph" w:customStyle="1" w:styleId="32">
    <w:name w:val="正文1"/>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1"/>
      <w:lang w:val="en-US" w:eastAsia="zh-CN" w:bidi="ar"/>
    </w:rPr>
  </w:style>
  <w:style w:type="character" w:customStyle="1" w:styleId="33">
    <w:name w:val="NormalCharacter"/>
    <w:qFormat/>
    <w:uiPriority w:val="99"/>
    <w:rPr>
      <w:kern w:val="2"/>
      <w:sz w:val="21"/>
      <w:szCs w:val="24"/>
      <w:lang w:val="en-US" w:eastAsia="zh-CN" w:bidi="ar-SA"/>
    </w:rPr>
  </w:style>
  <w:style w:type="paragraph" w:customStyle="1" w:styleId="34">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lenovo\Downloads\&#21487;&#25191;&#34892;&#25351;&#26631;&#25191;&#34892;&#24773;&#20917;&#34920;(113).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收、支决算总计变动情况图（万元）</a:t>
            </a:r>
          </a:p>
          <a:p>
            <a:pPr defTabSz="914400">
              <a:defRPr lang="zh-CN" sz="1400" b="0" i="0" u="none" strike="noStrike" kern="1200" spc="0" baseline="0">
                <a:solidFill>
                  <a:schemeClr val="tx1">
                    <a:lumMod val="65000"/>
                    <a:lumOff val="35000"/>
                  </a:schemeClr>
                </a:solidFill>
                <a:latin typeface="+mn-lt"/>
                <a:ea typeface="+mn-ea"/>
                <a:cs typeface="+mn-cs"/>
              </a:defRPr>
            </a:pPr>
          </a:p>
        </c:rich>
      </c:tx>
      <c:layout/>
      <c:overlay val="0"/>
      <c:spPr>
        <a:noFill/>
        <a:ln>
          <a:noFill/>
        </a:ln>
        <a:effectLst/>
      </c:spPr>
    </c:title>
    <c:autoTitleDeleted val="0"/>
    <c:plotArea>
      <c:layout/>
      <c:barChart>
        <c:barDir val="col"/>
        <c:grouping val="clustered"/>
        <c:varyColors val="0"/>
        <c:ser>
          <c:idx val="0"/>
          <c:order val="0"/>
          <c:tx>
            <c:strRef>
              <c:f>'[可执行指标执行情况表(113).xlsx]Sheet1'!$G$8</c:f>
              <c:strCache>
                <c:ptCount val="1"/>
                <c:pt idx="0">
                  <c:v>总收入（万元）</c:v>
                </c:pt>
              </c:strCache>
            </c:strRef>
          </c:tx>
          <c:spPr>
            <a:solidFill>
              <a:schemeClr val="accent1"/>
            </a:solidFill>
            <a:ln>
              <a:noFill/>
            </a:ln>
            <a:effectLst/>
          </c:spPr>
          <c:invertIfNegative val="0"/>
          <c:dLbls>
            <c:delete val="1"/>
          </c:dLbls>
          <c:cat>
            <c:strRef>
              <c:f>'[可执行指标执行情况表(113).xlsx]Sheet1'!$H$7:$I$7</c:f>
              <c:strCache>
                <c:ptCount val="2"/>
                <c:pt idx="0">
                  <c:v>2023年</c:v>
                </c:pt>
                <c:pt idx="1">
                  <c:v>2024年</c:v>
                </c:pt>
              </c:strCache>
            </c:strRef>
          </c:cat>
          <c:val>
            <c:numRef>
              <c:f>'[可执行指标执行情况表(113).xlsx]Sheet1'!$H$8:$I$8</c:f>
              <c:numCache>
                <c:formatCode>General</c:formatCode>
                <c:ptCount val="2"/>
                <c:pt idx="0">
                  <c:v>15024.04</c:v>
                </c:pt>
                <c:pt idx="1">
                  <c:v>12040.86</c:v>
                </c:pt>
              </c:numCache>
            </c:numRef>
          </c:val>
        </c:ser>
        <c:ser>
          <c:idx val="1"/>
          <c:order val="1"/>
          <c:tx>
            <c:strRef>
              <c:f>'[可执行指标执行情况表(113).xlsx]Sheet1'!$G$9</c:f>
              <c:strCache>
                <c:ptCount val="1"/>
                <c:pt idx="0">
                  <c:v>总支出（万元）</c:v>
                </c:pt>
              </c:strCache>
            </c:strRef>
          </c:tx>
          <c:spPr>
            <a:solidFill>
              <a:schemeClr val="accent2"/>
            </a:solidFill>
            <a:ln>
              <a:noFill/>
            </a:ln>
            <a:effectLst/>
          </c:spPr>
          <c:invertIfNegative val="0"/>
          <c:dLbls>
            <c:delete val="1"/>
          </c:dLbls>
          <c:cat>
            <c:strRef>
              <c:f>'[可执行指标执行情况表(113).xlsx]Sheet1'!$H$7:$I$7</c:f>
              <c:strCache>
                <c:ptCount val="2"/>
                <c:pt idx="0">
                  <c:v>2023年</c:v>
                </c:pt>
                <c:pt idx="1">
                  <c:v>2024年</c:v>
                </c:pt>
              </c:strCache>
            </c:strRef>
          </c:cat>
          <c:val>
            <c:numRef>
              <c:f>'[可执行指标执行情况表(113).xlsx]Sheet1'!$H$9:$I$9</c:f>
              <c:numCache>
                <c:formatCode>General</c:formatCode>
                <c:ptCount val="2"/>
                <c:pt idx="0">
                  <c:v>15024.04</c:v>
                </c:pt>
                <c:pt idx="1">
                  <c:v>12040.86</c:v>
                </c:pt>
              </c:numCache>
            </c:numRef>
          </c:val>
        </c:ser>
        <c:dLbls>
          <c:showLegendKey val="0"/>
          <c:showVal val="0"/>
          <c:showCatName val="0"/>
          <c:showSerName val="0"/>
          <c:showPercent val="0"/>
          <c:showBubbleSize val="0"/>
        </c:dLbls>
        <c:gapWidth val="219"/>
        <c:overlap val="-27"/>
        <c:axId val="934035335"/>
        <c:axId val="40088550"/>
      </c:barChart>
      <c:catAx>
        <c:axId val="93403533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088550"/>
        <c:crosses val="autoZero"/>
        <c:auto val="1"/>
        <c:lblAlgn val="ctr"/>
        <c:lblOffset val="100"/>
        <c:noMultiLvlLbl val="0"/>
      </c:catAx>
      <c:valAx>
        <c:axId val="4008855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403533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收入决算结构图（万元）</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a:solidFill>
              <a:srgbClr val="FF0000"/>
            </a:solidFill>
          </c:spPr>
          <c:explosion val="0"/>
          <c:dPt>
            <c:idx val="0"/>
            <c:bubble3D val="0"/>
            <c:spPr>
              <a:solidFill>
                <a:schemeClr val="tx2">
                  <a:lumMod val="60000"/>
                  <a:lumOff val="40000"/>
                </a:schemeClr>
              </a:solidFill>
              <a:ln w="19050">
                <a:solidFill>
                  <a:schemeClr val="lt1"/>
                </a:solidFill>
              </a:ln>
              <a:effectLst/>
            </c:spPr>
          </c:dPt>
          <c:dPt>
            <c:idx val="1"/>
            <c:bubble3D val="0"/>
            <c:spPr>
              <a:solidFill>
                <a:srgbClr val="FF0000"/>
              </a:solidFill>
              <a:ln w="19050">
                <a:solidFill>
                  <a:schemeClr val="lt1"/>
                </a:solidFill>
              </a:ln>
              <a:effectLst/>
            </c:spPr>
          </c:dPt>
          <c:dPt>
            <c:idx val="2"/>
            <c:bubble3D val="0"/>
            <c:spPr>
              <a:solidFill>
                <a:srgbClr val="FF0000"/>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15:layout>
                    <c:manualLayout>
                      <c:w val="0.159375"/>
                      <c:h val="0.147166666666667"/>
                    </c:manualLayout>
                  </c15:layout>
                </c:ext>
              </c:extLst>
            </c:dLbl>
            <c:dLbl>
              <c:idx val="1"/>
              <c:layout>
                <c:manualLayout>
                  <c:x val="-2.31569110079022e-5"/>
                  <c:y val="0.0380614090807174"/>
                </c:manualLayout>
              </c:layout>
              <c:tx>
                <c:rich>
                  <a:bodyPr rot="0" spcFirstLastPara="0" vertOverflow="ellipsis" vert="horz" wrap="square" lIns="38100" tIns="19050" rIns="38100" bIns="19050" anchor="ctr" anchorCtr="1"/>
                  <a:lstStyle/>
                  <a:p>
                    <a:pPr defTabSz="914400">
                      <a:defRPr lang="zh-CN" sz="1200" b="1"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r>
                      <a:rPr sz="1200" b="1" u="none" strike="noStrike" cap="none" normalizeH="0">
                        <a:solidFill>
                          <a:schemeClr val="tx1">
                            <a:lumMod val="75000"/>
                            <a:lumOff val="25000"/>
                          </a:schemeClr>
                        </a:solidFill>
                        <a:uFill>
                          <a:solidFill>
                            <a:schemeClr val="tx1">
                              <a:lumMod val="75000"/>
                              <a:lumOff val="25000"/>
                            </a:schemeClr>
                          </a:solidFill>
                        </a:uFill>
                      </a:rPr>
                      <a:t>85.1</a:t>
                    </a:r>
                    <a:endParaRPr sz="1200" b="1" u="none" strike="noStrike" cap="none" normalizeH="0">
                      <a:solidFill>
                        <a:schemeClr val="tx1">
                          <a:lumMod val="75000"/>
                          <a:lumOff val="25000"/>
                        </a:schemeClr>
                      </a:solidFill>
                      <a:uFill>
                        <a:solidFill>
                          <a:schemeClr val="tx1">
                            <a:lumMod val="75000"/>
                            <a:lumOff val="25000"/>
                          </a:schemeClr>
                        </a:solidFill>
                      </a:uFill>
                    </a:endParaRPr>
                  </a:p>
                </c:rich>
              </c:tx>
              <c:dLblPos val="bestFit"/>
              <c:showLegendKey val="0"/>
              <c:showVal val="1"/>
              <c:showCatName val="0"/>
              <c:showSerName val="0"/>
              <c:showPercent val="0"/>
              <c:showBubbleSize val="0"/>
              <c:extLst>
                <c:ext xmlns:c15="http://schemas.microsoft.com/office/drawing/2012/chart" uri="{CE6537A1-D6FC-4f65-9D91-7224C49458BB}">
                  <c15:layout>
                    <c:manualLayout>
                      <c:w val="0.11925"/>
                      <c:h val="0.117833333333333"/>
                    </c:manualLayout>
                  </c15:layout>
                </c:ext>
              </c:extLst>
            </c:dLbl>
            <c:spPr>
              <a:noFill/>
              <a:ln>
                <a:noFill/>
              </a:ln>
              <a:effectLst/>
            </c:spPr>
            <c:txPr>
              <a:bodyPr rot="0" spcFirstLastPara="0" vertOverflow="ellipsis" vert="horz" wrap="square" lIns="38100" tIns="19050" rIns="38100" bIns="19050" anchor="ctr" anchorCtr="1"/>
              <a:lstStyle/>
              <a:p>
                <a:pPr>
                  <a:defRPr lang="zh-CN" sz="1200" b="1" i="0" u="none" strike="noStrike" kern="1200" cap="none" spc="0" normalizeH="0" baseline="0">
                    <a:solidFill>
                      <a:schemeClr val="tx1">
                        <a:lumMod val="75000"/>
                        <a:lumOff val="25000"/>
                      </a:schemeClr>
                    </a:solidFill>
                    <a:uFill>
                      <a:solidFill>
                        <a:schemeClr val="tx1">
                          <a:lumMod val="75000"/>
                          <a:lumOff val="25000"/>
                        </a:schemeClr>
                      </a:solidFill>
                    </a:u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一般公共财政拨款收入</c:v>
                </c:pt>
                <c:pt idx="1">
                  <c:v>政府性基金预算财政拨款</c:v>
                </c:pt>
              </c:strCache>
            </c:strRef>
          </c:cat>
          <c:val>
            <c:numRef>
              <c:f>Sheet1!$B$2:$B$4</c:f>
              <c:numCache>
                <c:formatCode>General</c:formatCode>
                <c:ptCount val="3"/>
                <c:pt idx="0">
                  <c:v>11235.89</c:v>
                </c:pt>
                <c:pt idx="1">
                  <c:v>3788.14</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gradFill>
      <a:gsLst>
        <a:gs pos="0">
          <a:srgbClr val="FBFB11"/>
        </a:gs>
        <a:gs pos="100000">
          <a:srgbClr val="838309"/>
        </a:gs>
      </a:gsLst>
      <a:lin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支出决算表（万元）</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a:solidFill>
              <a:srgbClr val="7030A0"/>
            </a:solidFill>
          </c:spPr>
          <c:explosion val="0"/>
          <c:dPt>
            <c:idx val="0"/>
            <c:bubble3D val="0"/>
            <c:explosion val="1"/>
            <c:spPr>
              <a:solidFill>
                <a:srgbClr val="7030A0"/>
              </a:solidFill>
              <a:ln w="19050">
                <a:solidFill>
                  <a:schemeClr val="lt1"/>
                </a:solidFill>
              </a:ln>
              <a:effectLst/>
            </c:spPr>
          </c:dPt>
          <c:dPt>
            <c:idx val="1"/>
            <c:bubble3D val="0"/>
            <c:spPr>
              <a:solidFill>
                <a:schemeClr val="accent2">
                  <a:lumMod val="20000"/>
                  <a:lumOff val="80000"/>
                </a:schemeClr>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479.27</c:v>
                </c:pt>
                <c:pt idx="1">
                  <c:v>14544.76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gradFill>
      <a:gsLst>
        <a:gs pos="0">
          <a:srgbClr val="9EE256"/>
        </a:gs>
        <a:gs pos="100000">
          <a:srgbClr val="52762D"/>
        </a:gs>
      </a:gsLst>
      <a:lin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a:t>
            </a:r>
          </a:p>
        </c:rich>
      </c:tx>
      <c:layout>
        <c:manualLayout>
          <c:xMode val="edge"/>
          <c:yMode val="edge"/>
          <c:x val="0.276375"/>
          <c:y val="0.0258333333333333"/>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2024年</c:v>
                </c:pt>
              </c:strCache>
            </c:strRef>
          </c:tx>
          <c:spPr>
            <a:gradFill>
              <a:gsLst>
                <a:gs pos="0">
                  <a:srgbClr val="FBFB11"/>
                </a:gs>
                <a:gs pos="100000">
                  <a:srgbClr val="838309"/>
                </a:gs>
              </a:gsLst>
              <a:lin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numCache>
            </c:numRef>
          </c:cat>
          <c:val>
            <c:numRef>
              <c:f>Sheet1!$B$2:$B$3</c:f>
              <c:numCache>
                <c:formatCode>General</c:formatCode>
                <c:ptCount val="2"/>
                <c:pt idx="0">
                  <c:v>15024.04</c:v>
                </c:pt>
                <c:pt idx="1">
                  <c:v>15024.04</c:v>
                </c:pt>
              </c:numCache>
            </c:numRef>
          </c:val>
        </c:ser>
        <c:ser>
          <c:idx val="1"/>
          <c:order val="1"/>
          <c:tx>
            <c:strRef>
              <c:f>Sheet1!$C$1</c:f>
              <c:strCache>
                <c:ptCount val="1"/>
                <c:pt idx="0">
                  <c:v>2023年</c:v>
                </c:pt>
              </c:strCache>
            </c:strRef>
          </c:tx>
          <c:spPr>
            <a:gradFill>
              <a:gsLst>
                <a:gs pos="0">
                  <a:srgbClr val="9EE256"/>
                </a:gs>
                <a:gs pos="100000">
                  <a:srgbClr val="52762D"/>
                </a:gs>
              </a:gsLst>
              <a:lin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Sheet1!$A$2:$A$3</c:f>
              <c:numCache>
                <c:formatCode>General</c:formatCode>
                <c:ptCount val="2"/>
              </c:numCache>
            </c:numRef>
          </c:cat>
          <c:val>
            <c:numRef>
              <c:f>Sheet1!$C$2:$C$3</c:f>
              <c:numCache>
                <c:formatCode>General</c:formatCode>
                <c:ptCount val="2"/>
                <c:pt idx="0">
                  <c:v>12040.86</c:v>
                </c:pt>
                <c:pt idx="1">
                  <c:v>12040.86</c:v>
                </c:pt>
              </c:numCache>
            </c:numRef>
          </c:val>
        </c:ser>
        <c:dLbls>
          <c:showLegendKey val="0"/>
          <c:showVal val="0"/>
          <c:showCatName val="0"/>
          <c:showSerName val="0"/>
          <c:showPercent val="0"/>
          <c:showBubbleSize val="0"/>
        </c:dLbls>
        <c:gapWidth val="219"/>
        <c:overlap val="-27"/>
        <c:axId val="828094707"/>
        <c:axId val="108824622"/>
      </c:barChart>
      <c:catAx>
        <c:axId val="82809470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8824622"/>
        <c:crosses val="autoZero"/>
        <c:auto val="1"/>
        <c:lblAlgn val="ctr"/>
        <c:lblOffset val="100"/>
        <c:noMultiLvlLbl val="0"/>
      </c:catAx>
      <c:valAx>
        <c:axId val="10882462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28094707"/>
        <c:crosses val="autoZero"/>
        <c:crossBetween val="between"/>
      </c:valAx>
      <c:spPr>
        <a:noFill/>
        <a:ln>
          <a:noFill/>
        </a:ln>
        <a:effectLst/>
      </c:spPr>
    </c:plotArea>
    <c:legend>
      <c:legendPos val="b"/>
      <c:layout>
        <c:manualLayout>
          <c:xMode val="edge"/>
          <c:yMode val="edge"/>
          <c:x val="0.349375"/>
          <c:y val="0.876"/>
          <c:w val="0.219125"/>
          <c:h val="0.10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一般公共预算财政拨款支出决算变动情况（万元）</a:t>
            </a:r>
          </a:p>
          <a:p>
            <a:pPr defTabSz="914400">
              <a:defRPr lang="zh-CN" sz="1400" b="0" i="0" u="none" strike="noStrike" kern="1200" spc="0" baseline="0">
                <a:solidFill>
                  <a:schemeClr val="tx1">
                    <a:lumMod val="65000"/>
                    <a:lumOff val="35000"/>
                  </a:schemeClr>
                </a:solidFill>
                <a:latin typeface="+mn-lt"/>
                <a:ea typeface="+mn-ea"/>
                <a:cs typeface="+mn-cs"/>
              </a:defRPr>
            </a:pPr>
          </a:p>
          <a:p>
            <a:pPr defTabSz="914400">
              <a:defRPr lang="zh-CN" sz="1400" b="0" i="0" u="none" strike="noStrike" kern="1200" spc="0" baseline="0">
                <a:solidFill>
                  <a:schemeClr val="tx1">
                    <a:lumMod val="65000"/>
                    <a:lumOff val="35000"/>
                  </a:schemeClr>
                </a:solidFill>
                <a:latin typeface="+mn-lt"/>
                <a:ea typeface="+mn-ea"/>
                <a:cs typeface="+mn-cs"/>
              </a:defRPr>
            </a:pPr>
          </a:p>
        </c:rich>
      </c:tx>
      <c:layout>
        <c:manualLayout>
          <c:xMode val="edge"/>
          <c:yMode val="edge"/>
          <c:x val="0.136416051660517"/>
          <c:y val="0.0196046397647443"/>
        </c:manualLayout>
      </c:layout>
      <c:overlay val="0"/>
      <c:spPr>
        <a:noFill/>
        <a:ln>
          <a:noFill/>
        </a:ln>
        <a:effectLst/>
      </c:spPr>
    </c:title>
    <c:autoTitleDeleted val="0"/>
    <c:plotArea>
      <c:layout>
        <c:manualLayout>
          <c:layoutTarget val="inner"/>
          <c:xMode val="edge"/>
          <c:yMode val="edge"/>
          <c:x val="0.0750230627306273"/>
          <c:y val="0.196209769645483"/>
          <c:w val="0.921517527675277"/>
          <c:h val="0.594412677667048"/>
        </c:manualLayout>
      </c:layout>
      <c:barChart>
        <c:barDir val="col"/>
        <c:grouping val="clustered"/>
        <c:varyColors val="0"/>
        <c:ser>
          <c:idx val="0"/>
          <c:order val="0"/>
          <c:tx>
            <c:strRef>
              <c:f>Sheet1!$B$1</c:f>
              <c:strCache>
                <c:ptCount val="1"/>
                <c:pt idx="0">
                  <c:v>2024年</c:v>
                </c:pt>
              </c:strCache>
            </c:strRef>
          </c:tx>
          <c:spPr>
            <a:gradFill>
              <a:gsLst>
                <a:gs pos="0">
                  <a:srgbClr val="14CD68"/>
                </a:gs>
                <a:gs pos="100000">
                  <a:srgbClr val="0B6E38"/>
                </a:gs>
              </a:gsLst>
              <a:lin scaled="0"/>
            </a:gra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numCache>
            </c:numRef>
          </c:cat>
          <c:val>
            <c:numRef>
              <c:f>Sheet1!$B$2:$B$5</c:f>
              <c:numCache>
                <c:formatCode>General</c:formatCode>
                <c:ptCount val="4"/>
                <c:pt idx="0">
                  <c:v>11235.89</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numRef>
              <c:f>Sheet1!$A$2:$A$5</c:f>
              <c:numCache>
                <c:formatCode>General</c:formatCode>
                <c:ptCount val="4"/>
              </c:numCache>
            </c:numRef>
          </c:cat>
          <c:val>
            <c:numRef>
              <c:f>Sheet1!$C$2:$C$5</c:f>
              <c:numCache>
                <c:formatCode>General</c:formatCode>
                <c:ptCount val="4"/>
              </c:numCache>
            </c:numRef>
          </c:val>
        </c:ser>
        <c:ser>
          <c:idx val="2"/>
          <c:order val="2"/>
          <c:tx>
            <c:strRef>
              <c:f>Sheet1!$D$1</c:f>
              <c:strCache>
                <c:ptCount val="1"/>
                <c:pt idx="0">
                  <c:v>2023年</c:v>
                </c:pt>
              </c:strCache>
            </c:strRef>
          </c:tx>
          <c:spPr>
            <a:gradFill>
              <a:gsLst>
                <a:gs pos="0">
                  <a:srgbClr val="FE4444"/>
                </a:gs>
                <a:gs pos="100000">
                  <a:srgbClr val="832B2B"/>
                </a:gs>
              </a:gsLst>
              <a:lin scaled="0"/>
            </a:gradFill>
            <a:ln>
              <a:noFill/>
            </a:ln>
            <a:effectLst/>
          </c:spPr>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dLbl>
              <c:idx val="1"/>
              <c:delete val="1"/>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Sheet1!$A$2:$A$5</c:f>
              <c:numCache>
                <c:formatCode>General</c:formatCode>
                <c:ptCount val="4"/>
              </c:numCache>
            </c:numRef>
          </c:cat>
          <c:val>
            <c:numRef>
              <c:f>Sheet1!$D$2:$D$5</c:f>
              <c:numCache>
                <c:formatCode>General</c:formatCode>
                <c:ptCount val="4"/>
                <c:pt idx="0">
                  <c:v>11955.76</c:v>
                </c:pt>
              </c:numCache>
            </c:numRef>
          </c:val>
        </c:ser>
        <c:dLbls>
          <c:showLegendKey val="0"/>
          <c:showVal val="0"/>
          <c:showCatName val="0"/>
          <c:showSerName val="0"/>
          <c:showPercent val="0"/>
          <c:showBubbleSize val="0"/>
        </c:dLbls>
        <c:gapWidth val="219"/>
        <c:overlap val="-27"/>
        <c:axId val="809631479"/>
        <c:axId val="571301169"/>
      </c:barChart>
      <c:catAx>
        <c:axId val="809631479"/>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71301169"/>
        <c:crosses val="autoZero"/>
        <c:auto val="1"/>
        <c:lblAlgn val="ctr"/>
        <c:lblOffset val="100"/>
        <c:noMultiLvlLbl val="0"/>
      </c:catAx>
      <c:valAx>
        <c:axId val="57130116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9631479"/>
        <c:crosses val="autoZero"/>
        <c:crossBetween val="between"/>
      </c:valAx>
      <c:spPr>
        <a:noFill/>
        <a:ln>
          <a:noFill/>
        </a:ln>
        <a:effectLst/>
      </c:spPr>
    </c:plotArea>
    <c:legend>
      <c:legendPos val="b"/>
      <c:legendEntry>
        <c:idx val="1"/>
        <c:delete val="1"/>
      </c:legendEntry>
      <c:layout>
        <c:manualLayout>
          <c:xMode val="edge"/>
          <c:yMode val="edge"/>
          <c:x val="0.297509225092251"/>
          <c:y val="0.815879758209443"/>
          <c:w val="0.435424354243542"/>
          <c:h val="0.163045254043457"/>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accent5">
        <a:lumMod val="20000"/>
        <a:lumOff val="80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一般公共预算财政拨款支出决算结构（万元）</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Lbls>
            <c:dLbl>
              <c:idx val="0"/>
              <c:layout>
                <c:manualLayout>
                  <c:x val="0.163848983497865"/>
                  <c:y val="0.0103688955647331"/>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1595"/>
                      <c:h val="0.0681666666666667"/>
                    </c:manualLayout>
                  </c15:layout>
                </c:ext>
              </c:extLst>
            </c:dLbl>
            <c:dLbl>
              <c:idx val="1"/>
              <c:layout>
                <c:manualLayout>
                  <c:x val="-0.128482580565748"/>
                  <c:y val="0.014078904711933"/>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11175"/>
                      <c:h val="0.063"/>
                    </c:manualLayout>
                  </c15:layout>
                </c:ext>
              </c:extLst>
            </c:dLbl>
            <c:dLbl>
              <c:idx val="3"/>
              <c:layout>
                <c:manualLayout>
                  <c:x val="0.0514775650822233"/>
                  <c:y val="-0.0346250041787328"/>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12925"/>
                      <c:h val="0.130166666666667"/>
                    </c:manualLayout>
                  </c15:layout>
                </c:ext>
              </c:extLst>
            </c:dLbl>
            <c:dLbl>
              <c:idx val="4"/>
              <c:layout>
                <c:manualLayout>
                  <c:x val="0.0491519957375449"/>
                  <c:y val="-0.00809031721217093"/>
                </c:manualLayout>
              </c:layout>
              <c:dLblPos val="bestFit"/>
              <c:showLegendKey val="0"/>
              <c:showVal val="1"/>
              <c:showCatName val="0"/>
              <c:showSerName val="0"/>
              <c:showPercent val="0"/>
              <c:showBubbleSize val="0"/>
              <c:extLst>
                <c:ext xmlns:c15="http://schemas.microsoft.com/office/drawing/2012/chart" uri="{CE6537A1-D6FC-4f65-9D91-7224C49458BB}">
                  <c15:layout>
                    <c:manualLayout>
                      <c:w val="0.11975"/>
                      <c:h val="0.074"/>
                    </c:manualLayout>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社会保障和就业支出</c:v>
                </c:pt>
                <c:pt idx="1">
                  <c:v>卫生健康支出</c:v>
                </c:pt>
                <c:pt idx="2">
                  <c:v>节能环保支出</c:v>
                </c:pt>
                <c:pt idx="3">
                  <c:v>城乡社区支出</c:v>
                </c:pt>
                <c:pt idx="4">
                  <c:v>农林水支出</c:v>
                </c:pt>
                <c:pt idx="5">
                  <c:v>住房保障支出</c:v>
                </c:pt>
              </c:strCache>
            </c:strRef>
          </c:cat>
          <c:val>
            <c:numRef>
              <c:f>Sheet1!$B$2:$B$7</c:f>
              <c:numCache>
                <c:formatCode>General</c:formatCode>
                <c:ptCount val="6"/>
                <c:pt idx="0">
                  <c:v>77.54</c:v>
                </c:pt>
                <c:pt idx="1">
                  <c:v>25.46</c:v>
                </c:pt>
                <c:pt idx="2">
                  <c:v>1294.66</c:v>
                </c:pt>
                <c:pt idx="3">
                  <c:v>5247.75</c:v>
                </c:pt>
                <c:pt idx="4">
                  <c:v>370.83</c:v>
                </c:pt>
                <c:pt idx="5">
                  <c:v>4219.64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en-US" altLang="zh-CN"/>
              <a:t>“</a:t>
            </a:r>
            <a:r>
              <a:t>三公</a:t>
            </a:r>
            <a:r>
              <a:rPr lang="en-US" altLang="zh-CN"/>
              <a:t>”</a:t>
            </a:r>
            <a:r>
              <a:t>经费财政拨款支出结构（万元）</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因公出国（境）经费</c:v>
                </c:pt>
                <c:pt idx="1">
                  <c:v>公务用车购置及运行维护费</c:v>
                </c:pt>
                <c:pt idx="2">
                  <c:v>公务接待费支出</c:v>
                </c:pt>
              </c:strCache>
            </c:strRef>
          </c:cat>
          <c:val>
            <c:numRef>
              <c:f>Sheet1!$B$2:$B$5</c:f>
              <c:numCache>
                <c:formatCode>General</c:formatCode>
                <c:ptCount val="4"/>
                <c:pt idx="0">
                  <c:v>2.99</c:v>
                </c:pt>
                <c:pt idx="1">
                  <c:v>0</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31</Pages>
  <Words>10649</Words>
  <Characters>11935</Characters>
  <Lines>1</Lines>
  <Paragraphs>1</Paragraphs>
  <TotalTime>253</TotalTime>
  <ScaleCrop>false</ScaleCrop>
  <LinksUpToDate>false</LinksUpToDate>
  <CharactersWithSpaces>13133</CharactersWithSpaces>
  <Application>WPS Office_11.1.0.10314_F1E327BC-269C-435d-A152-05C5408002CA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2019-08-01T17:14:00Z</dcterms:created>
  <dc:creator>张彬茜</dc:creator>
  <cp:lastModifiedBy>lenovo</cp:lastModifiedBy>
  <cp:lastPrinted>2025-02-20T09:07:00Z</cp:lastPrinted>
  <dcterms:modified xsi:type="dcterms:W3CDTF">2025-08-18T04:00:42Z</dcterms:modified>
  <dc:title>四川省***</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9D46876369E94747A5AA019A9F5741B6</vt:lpwstr>
  </property>
</Properties>
</file>