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B8E7E">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rPr>
      </w:pPr>
    </w:p>
    <w:p w14:paraId="2F20058D">
      <w:pPr>
        <w:pStyle w:val="1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eastAsia="宋体" w:cs="Times New Roman"/>
          <w:i w:val="0"/>
          <w:color w:val="000000"/>
          <w:sz w:val="52"/>
          <w:szCs w:val="52"/>
          <w:u w:val="none"/>
          <w:lang w:val="en-US" w:eastAsia="zh-CN"/>
        </w:rPr>
      </w:pPr>
      <w:r>
        <w:rPr>
          <w:rFonts w:hint="eastAsia" w:eastAsia="宋体" w:cs="Times New Roman"/>
          <w:i w:val="0"/>
          <w:color w:val="000000"/>
          <w:sz w:val="52"/>
          <w:szCs w:val="52"/>
          <w:u w:val="none"/>
          <w:lang w:val="en-US" w:eastAsia="zh-CN"/>
        </w:rPr>
        <w:t>金川县老旧小区配套基础设施建设项目及城南中环路丁家湾片区老旧小区提升改造建设目项目</w:t>
      </w:r>
      <w:r>
        <w:rPr>
          <w:rFonts w:hint="default" w:eastAsia="宋体" w:cs="Times New Roman"/>
          <w:i w:val="0"/>
          <w:color w:val="000000"/>
          <w:sz w:val="52"/>
          <w:szCs w:val="52"/>
          <w:u w:val="none"/>
          <w:lang w:val="en-US" w:eastAsia="zh-CN"/>
        </w:rPr>
        <w:t>专项预算绩效自评报告</w:t>
      </w:r>
    </w:p>
    <w:p w14:paraId="29CC2C89">
      <w:pPr>
        <w:pStyle w:val="17"/>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hint="default" w:ascii="Times New Roman" w:hAnsi="Times New Roman" w:cs="Times New Roman"/>
          <w:color w:val="auto"/>
          <w:kern w:val="2"/>
          <w:sz w:val="32"/>
          <w:szCs w:val="32"/>
          <w:highlight w:val="none"/>
        </w:rPr>
      </w:pPr>
    </w:p>
    <w:p w14:paraId="3157ADEF">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黑体" w:cs="Times New Roman"/>
          <w:highlight w:val="none"/>
          <w:lang w:val="zh-CN"/>
        </w:rPr>
      </w:pPr>
      <w:r>
        <w:rPr>
          <w:rFonts w:hint="default" w:ascii="Times New Roman" w:hAnsi="Times New Roman" w:eastAsia="黑体" w:cs="Times New Roman"/>
          <w:highlight w:val="none"/>
        </w:rPr>
        <w:t>一、</w:t>
      </w:r>
      <w:r>
        <w:rPr>
          <w:rFonts w:hint="default" w:ascii="Times New Roman" w:hAnsi="Times New Roman" w:eastAsia="黑体" w:cs="Times New Roman"/>
          <w:highlight w:val="none"/>
          <w:lang w:val="zh-CN"/>
        </w:rPr>
        <w:t>项目概况</w:t>
      </w:r>
    </w:p>
    <w:p w14:paraId="03B23506">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default" w:ascii="Times New Roman" w:hAnsi="Times New Roman" w:eastAsia="仿宋_GB2312" w:cs="Times New Roman"/>
          <w:color w:val="auto"/>
          <w:kern w:val="0"/>
          <w:sz w:val="32"/>
          <w:szCs w:val="32"/>
          <w:highlight w:val="none"/>
          <w:u w:val="none"/>
          <w:shd w:val="clear" w:color="auto" w:fill="FFFFFF"/>
          <w:lang w:val="zh-CN"/>
        </w:rPr>
      </w:pPr>
      <w:r>
        <w:rPr>
          <w:rFonts w:hint="default" w:ascii="Times New Roman" w:hAnsi="Times New Roman" w:eastAsia="楷体_GB2312" w:cs="Times New Roman"/>
          <w:b/>
          <w:color w:val="auto"/>
          <w:sz w:val="32"/>
          <w:szCs w:val="32"/>
          <w:highlight w:val="none"/>
          <w:u w:val="none"/>
          <w:lang w:val="zh-CN"/>
        </w:rPr>
        <w:t>（一）设立背景及基本情况。</w:t>
      </w:r>
      <w:r>
        <w:rPr>
          <w:rFonts w:hint="eastAsia"/>
        </w:rPr>
        <w:t>根据《国务院办公厅关于全面推进城镇老旧小区改造工作的指导意见》（国办发〔2020〕23号）要求，针对本地区2000年底前建成的老旧小区基础设施老化、公共服务缺失等问题，实施改造提升工程。</w:t>
      </w:r>
      <w:r>
        <w:rPr>
          <w:rFonts w:hint="default" w:ascii="Times New Roman" w:hAnsi="Times New Roman" w:eastAsia="仿宋_GB2312" w:cs="Times New Roman"/>
          <w:color w:val="auto"/>
          <w:kern w:val="0"/>
          <w:sz w:val="32"/>
          <w:szCs w:val="32"/>
          <w:highlight w:val="none"/>
          <w:u w:val="none"/>
          <w:shd w:val="clear" w:color="auto" w:fill="FFFFFF"/>
          <w:lang w:val="en-US" w:eastAsia="zh-CN"/>
        </w:rPr>
        <w:t>项目</w:t>
      </w:r>
      <w:r>
        <w:rPr>
          <w:rFonts w:hint="default" w:ascii="Times New Roman" w:hAnsi="Times New Roman" w:cs="Times New Roman"/>
          <w:color w:val="auto"/>
          <w:kern w:val="0"/>
          <w:sz w:val="32"/>
          <w:szCs w:val="32"/>
          <w:highlight w:val="none"/>
          <w:u w:val="none"/>
          <w:shd w:val="clear" w:color="auto" w:fill="FFFFFF"/>
          <w:lang w:val="en-US" w:eastAsia="zh-CN"/>
        </w:rPr>
        <w:t>资金</w:t>
      </w:r>
      <w:r>
        <w:rPr>
          <w:rFonts w:hint="default" w:ascii="Times New Roman" w:hAnsi="Times New Roman" w:eastAsia="仿宋_GB2312" w:cs="Times New Roman"/>
          <w:color w:val="auto"/>
          <w:kern w:val="0"/>
          <w:sz w:val="32"/>
          <w:szCs w:val="32"/>
          <w:highlight w:val="none"/>
          <w:u w:val="none"/>
          <w:shd w:val="clear" w:color="auto" w:fill="FFFFFF"/>
          <w:lang w:val="zh-CN"/>
        </w:rPr>
        <w:t>管理办法制定情况，</w:t>
      </w:r>
      <w:r>
        <w:rPr>
          <w:rFonts w:hint="eastAsia"/>
        </w:rPr>
        <w:t xml:space="preserve">包括建筑外立面修缮、供水供电管网改造、加装电梯、停车位增设、适老化设施建设等。 住建局负责统筹协调，区（县）政府负责具体实施，财政、发改、城管等部门协同推进。 </w:t>
      </w:r>
    </w:p>
    <w:p w14:paraId="3FD6B7EB">
      <w:pPr>
        <w:ind w:firstLine="643" w:firstLineChars="200"/>
        <w:rPr>
          <w:rFonts w:hint="eastAsia"/>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r>
        <w:rPr>
          <w:rFonts w:hint="eastAsia"/>
        </w:rPr>
        <w:t xml:space="preserve"> 依据《</w:t>
      </w:r>
      <w:r>
        <w:rPr>
          <w:rFonts w:hint="eastAsia"/>
          <w:lang w:val="en-US" w:eastAsia="zh-CN"/>
        </w:rPr>
        <w:t>四川省</w:t>
      </w:r>
      <w:r>
        <w:rPr>
          <w:rFonts w:hint="eastAsia"/>
        </w:rPr>
        <w:t xml:space="preserve">老旧小区改造专项资金管理办法》，实行“专款专用、绩效挂钩”管理。  </w:t>
      </w:r>
    </w:p>
    <w:p w14:paraId="74B6485A">
      <w:pPr>
        <w:ind w:firstLine="640" w:firstLineChars="200"/>
        <w:rPr>
          <w:rFonts w:hint="default" w:ascii="Times New Roman" w:hAnsi="Times New Roman" w:cs="Times New Roman"/>
          <w:lang w:val="zh-CN"/>
        </w:rPr>
      </w:pPr>
      <w:r>
        <w:rPr>
          <w:rFonts w:hint="default" w:ascii="Times New Roman" w:hAnsi="Times New Roman" w:eastAsia="方正仿宋_GBK" w:cs="Times New Roman"/>
          <w:bCs/>
          <w:kern w:val="2"/>
          <w:sz w:val="32"/>
          <w:szCs w:val="32"/>
          <w:lang w:val="en-US" w:eastAsia="zh-CN" w:bidi="ar-SA"/>
        </w:rPr>
        <w:t>对老供销社、四大班子住宿楼、财政局职工楼、电影院小区进行改造，改造道路800米、绿化1200平方米以及雨污管线、通讯管线、路灯等配套基础设施设备；拆</w:t>
      </w:r>
      <w:r>
        <w:rPr>
          <w:rFonts w:hint="default" w:ascii="Times New Roman" w:hAnsi="Times New Roman" w:eastAsia="方正仿宋_GBK" w:cs="Times New Roman"/>
          <w:sz w:val="32"/>
          <w:szCs w:val="32"/>
          <w:lang w:val="en-US" w:eastAsia="zh-CN"/>
        </w:rPr>
        <w:t>除老旧危房两处，约3000平方米；新建停车场800平方米；改造道路1600米，内容包括管网、路灯、人行步道及附属设施等。</w:t>
      </w:r>
    </w:p>
    <w:p w14:paraId="11359918">
      <w:pPr>
        <w:ind w:firstLine="643" w:firstLineChars="200"/>
        <w:rPr>
          <w:rFonts w:hint="eastAsia"/>
        </w:rPr>
      </w:pPr>
      <w:r>
        <w:rPr>
          <w:rFonts w:hint="default" w:ascii="Times New Roman" w:hAnsi="Times New Roman" w:eastAsia="楷体_GB2312" w:cs="Times New Roman"/>
          <w:b/>
          <w:color w:val="auto"/>
          <w:sz w:val="32"/>
          <w:szCs w:val="32"/>
          <w:highlight w:val="none"/>
          <w:u w:val="none"/>
          <w:lang w:val="zh-CN" w:eastAsia="zh-CN"/>
        </w:rPr>
        <w:t>（三）</w:t>
      </w: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default" w:ascii="Times New Roman" w:hAnsi="Times New Roman" w:eastAsia="楷体_GB2312" w:cs="Times New Roman"/>
          <w:b/>
          <w:color w:val="auto"/>
          <w:sz w:val="32"/>
          <w:szCs w:val="32"/>
          <w:highlight w:val="none"/>
          <w:u w:val="none"/>
          <w:lang w:val="zh-CN" w:eastAsia="zh-CN"/>
        </w:rPr>
        <w:t>。</w:t>
      </w:r>
      <w:r>
        <w:rPr>
          <w:rFonts w:hint="eastAsia"/>
        </w:rPr>
        <w:t>中央财政补助</w:t>
      </w:r>
      <w:r>
        <w:rPr>
          <w:rFonts w:hint="eastAsia" w:ascii="Times New Roman" w:hAnsi="Times New Roman" w:cs="Times New Roman"/>
          <w:szCs w:val="32"/>
          <w:lang w:val="en-US" w:eastAsia="zh-CN"/>
        </w:rPr>
        <w:t>820</w:t>
      </w:r>
      <w:r>
        <w:rPr>
          <w:rFonts w:hint="eastAsia"/>
        </w:rPr>
        <w:t>万元</w:t>
      </w:r>
      <w:r>
        <w:rPr>
          <w:rFonts w:hint="eastAsia"/>
          <w:lang w:eastAsia="zh-CN"/>
        </w:rPr>
        <w:t>，</w:t>
      </w:r>
      <w:r>
        <w:rPr>
          <w:rFonts w:hint="eastAsia"/>
          <w:lang w:val="en-US" w:eastAsia="zh-CN"/>
        </w:rPr>
        <w:t>县级自筹</w:t>
      </w:r>
      <w:r>
        <w:rPr>
          <w:rFonts w:hint="eastAsia"/>
        </w:rPr>
        <w:t xml:space="preserve">。  </w:t>
      </w:r>
    </w:p>
    <w:p w14:paraId="08845C16">
      <w:pPr>
        <w:ind w:firstLine="640" w:firstLineChars="200"/>
        <w:rPr>
          <w:rFonts w:hint="default" w:ascii="Times New Roman" w:hAnsi="Times New Roman" w:cs="Times New Roman"/>
          <w:color w:val="auto"/>
          <w:kern w:val="0"/>
          <w:sz w:val="32"/>
          <w:szCs w:val="32"/>
          <w:highlight w:val="none"/>
          <w:u w:val="none"/>
          <w:shd w:val="clear" w:color="auto" w:fill="FFFFFF"/>
          <w:lang w:val="zh-CN"/>
        </w:rPr>
      </w:pPr>
      <w:r>
        <w:rPr>
          <w:rFonts w:hint="eastAsia"/>
        </w:rPr>
        <w:t>按“基础类（必改）、完善类（提升）、提升类（可选）”分类支持</w:t>
      </w:r>
      <w:r>
        <w:rPr>
          <w:rFonts w:hint="eastAsia"/>
          <w:lang w:eastAsia="zh-CN"/>
        </w:rPr>
        <w:t>。</w:t>
      </w:r>
      <w:r>
        <w:rPr>
          <w:rFonts w:hint="eastAsia"/>
        </w:rPr>
        <w:t xml:space="preserve">优先支持群众改造意愿强的项目。 </w:t>
      </w:r>
    </w:p>
    <w:p w14:paraId="6B31BE1E">
      <w:pPr>
        <w:ind w:firstLine="643" w:firstLineChars="200"/>
        <w:rPr>
          <w:rFonts w:hint="eastAsia"/>
        </w:rPr>
      </w:pPr>
      <w:r>
        <w:rPr>
          <w:rFonts w:hint="default" w:ascii="Times New Roman" w:hAnsi="Times New Roman" w:eastAsia="楷体_GB2312" w:cs="Times New Roman"/>
          <w:b/>
          <w:color w:val="auto"/>
          <w:sz w:val="32"/>
          <w:szCs w:val="32"/>
          <w:highlight w:val="none"/>
          <w:u w:val="none"/>
          <w:lang w:val="zh-CN" w:eastAsia="zh-CN"/>
        </w:rPr>
        <w:t>（四）项目绩效目标设置。</w:t>
      </w:r>
      <w:r>
        <w:rPr>
          <w:rFonts w:hint="eastAsia"/>
        </w:rPr>
        <w:t xml:space="preserve"> </w:t>
      </w:r>
      <w:r>
        <w:rPr>
          <w:rFonts w:hint="eastAsia" w:cs="Times New Roman"/>
        </w:rPr>
        <w:t>产出指标</w:t>
      </w:r>
      <w:r>
        <w:rPr>
          <w:rFonts w:hint="eastAsia" w:cs="Times New Roman"/>
          <w:lang w:eastAsia="zh-CN"/>
        </w:rPr>
        <w:t>：</w:t>
      </w:r>
      <w:r>
        <w:rPr>
          <w:rFonts w:hint="eastAsia" w:cs="Times New Roman"/>
          <w:lang w:val="en-US" w:eastAsia="zh-CN"/>
        </w:rPr>
        <w:t>城南中环路丁家湾片区老旧小区</w:t>
      </w:r>
      <w:r>
        <w:rPr>
          <w:rFonts w:hint="eastAsia" w:cs="Times New Roman"/>
        </w:rPr>
        <w:t>，</w:t>
      </w:r>
      <w:r>
        <w:rPr>
          <w:rFonts w:hint="default" w:ascii="Times New Roman" w:hAnsi="Times New Roman" w:eastAsia="方正仿宋_GBK" w:cs="Times New Roman"/>
          <w:sz w:val="32"/>
          <w:szCs w:val="32"/>
          <w:lang w:val="en-US" w:eastAsia="zh-CN"/>
        </w:rPr>
        <w:t>停车场；道路改造</w:t>
      </w:r>
      <w:r>
        <w:rPr>
          <w:rFonts w:hint="eastAsia" w:cs="Times New Roman"/>
        </w:rPr>
        <w:t>完成</w:t>
      </w:r>
      <w:r>
        <w:rPr>
          <w:rFonts w:hint="eastAsia"/>
        </w:rPr>
        <w:t>率100%；工程验收合格率≥95%</w:t>
      </w:r>
    </w:p>
    <w:p w14:paraId="4DF64B76">
      <w:pPr>
        <w:rPr>
          <w:rFonts w:hint="eastAsia"/>
        </w:rPr>
      </w:pPr>
      <w:r>
        <w:rPr>
          <w:rFonts w:hint="eastAsia"/>
        </w:rPr>
        <w:t>效益指标</w:t>
      </w:r>
      <w:r>
        <w:rPr>
          <w:rFonts w:hint="eastAsia"/>
          <w:lang w:eastAsia="zh-CN"/>
        </w:rPr>
        <w:t>：</w:t>
      </w:r>
      <w:r>
        <w:rPr>
          <w:rFonts w:hint="eastAsia"/>
        </w:rPr>
        <w:t>居民满意度≥90%</w:t>
      </w:r>
    </w:p>
    <w:p w14:paraId="52E38EEB">
      <w:pPr>
        <w:rPr>
          <w:rFonts w:hint="eastAsia" w:ascii="Times New Roman" w:hAnsi="Times New Roman" w:eastAsia="仿宋_GB2312" w:cs="Times New Roman"/>
          <w:color w:val="auto"/>
          <w:kern w:val="0"/>
          <w:sz w:val="32"/>
          <w:szCs w:val="32"/>
          <w:highlight w:val="none"/>
          <w:u w:val="none"/>
          <w:shd w:val="clear" w:color="auto" w:fill="FFFFFF"/>
          <w:lang w:val="zh-CN" w:eastAsia="zh-CN"/>
        </w:rPr>
      </w:pPr>
      <w:r>
        <w:rPr>
          <w:rFonts w:hint="eastAsia"/>
        </w:rPr>
        <w:t>时效指标</w:t>
      </w:r>
      <w:r>
        <w:rPr>
          <w:rFonts w:hint="eastAsia"/>
          <w:lang w:eastAsia="zh-CN"/>
        </w:rPr>
        <w:t>：</w:t>
      </w:r>
      <w:r>
        <w:rPr>
          <w:rFonts w:hint="eastAsia"/>
        </w:rPr>
        <w:t>202</w:t>
      </w:r>
      <w:r>
        <w:rPr>
          <w:rFonts w:hint="eastAsia"/>
          <w:lang w:val="en-US" w:eastAsia="zh-CN"/>
        </w:rPr>
        <w:t>3</w:t>
      </w:r>
      <w:r>
        <w:rPr>
          <w:rFonts w:hint="eastAsia"/>
        </w:rPr>
        <w:t>年</w:t>
      </w:r>
      <w:r>
        <w:rPr>
          <w:rFonts w:hint="eastAsia"/>
          <w:lang w:val="en-US" w:eastAsia="zh-CN"/>
        </w:rPr>
        <w:t>4</w:t>
      </w:r>
      <w:r>
        <w:rPr>
          <w:rFonts w:hint="eastAsia"/>
        </w:rPr>
        <w:t xml:space="preserve">月底前完工率100% </w:t>
      </w:r>
      <w:r>
        <w:rPr>
          <w:rFonts w:hint="eastAsia"/>
          <w:lang w:eastAsia="zh-CN"/>
        </w:rPr>
        <w:t>。</w:t>
      </w:r>
    </w:p>
    <w:p w14:paraId="275F286F">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default" w:ascii="Times New Roman" w:hAnsi="Times New Roman" w:eastAsia="黑体" w:cs="Times New Roman"/>
          <w:highlight w:val="none"/>
          <w:lang w:eastAsia="zh-CN"/>
        </w:rPr>
      </w:pPr>
      <w:r>
        <w:rPr>
          <w:rFonts w:hint="default" w:ascii="Times New Roman" w:hAnsi="Times New Roman" w:eastAsia="黑体" w:cs="Times New Roman"/>
          <w:highlight w:val="none"/>
        </w:rPr>
        <w:t>二、</w:t>
      </w:r>
      <w:r>
        <w:rPr>
          <w:rFonts w:hint="default" w:ascii="Times New Roman" w:hAnsi="Times New Roman" w:eastAsia="黑体" w:cs="Times New Roman"/>
          <w:highlight w:val="none"/>
          <w:lang w:eastAsia="zh-CN"/>
        </w:rPr>
        <w:t>评价实施</w:t>
      </w:r>
    </w:p>
    <w:p w14:paraId="0F4E3C9C">
      <w:pPr>
        <w:ind w:firstLine="643" w:firstLineChars="200"/>
        <w:rPr>
          <w:rFonts w:hint="eastAsia"/>
        </w:rPr>
      </w:pPr>
      <w:r>
        <w:rPr>
          <w:rFonts w:hint="default" w:ascii="Times New Roman" w:hAnsi="Times New Roman" w:eastAsia="楷体_GB2312" w:cs="Times New Roman"/>
          <w:b/>
          <w:color w:val="auto"/>
          <w:sz w:val="32"/>
          <w:szCs w:val="32"/>
          <w:highlight w:val="none"/>
          <w:u w:val="none"/>
          <w:lang w:val="zh-CN"/>
        </w:rPr>
        <w:t>（一）评价目的。</w:t>
      </w:r>
      <w:r>
        <w:rPr>
          <w:rFonts w:hint="eastAsia"/>
        </w:rPr>
        <w:t xml:space="preserve">评估资金使用效益，确保改造工程按期保质完成，提升居民生活品质。  </w:t>
      </w:r>
    </w:p>
    <w:p w14:paraId="0506DF9B">
      <w:pPr>
        <w:ind w:firstLine="643" w:firstLineChars="200"/>
        <w:rPr>
          <w:rFonts w:hint="default" w:ascii="Times New Roman" w:hAnsi="Times New Roman" w:cs="Times New Roman"/>
          <w:szCs w:val="32"/>
          <w:lang w:eastAsia="zh-CN"/>
        </w:rPr>
      </w:pPr>
      <w:r>
        <w:rPr>
          <w:rFonts w:hint="default" w:ascii="Times New Roman" w:hAnsi="Times New Roman" w:eastAsia="楷体_GB2312" w:cs="Times New Roman"/>
          <w:b/>
          <w:color w:val="auto"/>
          <w:sz w:val="32"/>
          <w:szCs w:val="32"/>
          <w:highlight w:val="none"/>
          <w:u w:val="none"/>
          <w:lang w:val="zh-CN"/>
        </w:rPr>
        <w:t>（二）预设问题及评价重点。</w:t>
      </w:r>
      <w:r>
        <w:rPr>
          <w:rFonts w:hint="eastAsia"/>
        </w:rPr>
        <w:t>资金使用合规性（是否专款专用、有无挪用）</w:t>
      </w:r>
      <w:r>
        <w:rPr>
          <w:rFonts w:hint="eastAsia"/>
          <w:lang w:eastAsia="zh-CN"/>
        </w:rPr>
        <w:t>。</w:t>
      </w:r>
      <w:r>
        <w:rPr>
          <w:rFonts w:hint="eastAsia"/>
        </w:rPr>
        <w:t>工程进度与质量（是否按期完工、验收合格率）</w:t>
      </w:r>
      <w:r>
        <w:rPr>
          <w:rFonts w:hint="eastAsia"/>
          <w:lang w:eastAsia="zh-CN"/>
        </w:rPr>
        <w:t>。</w:t>
      </w:r>
      <w:r>
        <w:rPr>
          <w:rFonts w:hint="eastAsia"/>
        </w:rPr>
        <w:t xml:space="preserve">居民满意度（改造内容是否符合需求） </w:t>
      </w:r>
      <w:r>
        <w:rPr>
          <w:rFonts w:hint="eastAsia"/>
          <w:lang w:eastAsia="zh-CN"/>
        </w:rPr>
        <w:t>。</w:t>
      </w:r>
      <w:r>
        <w:rPr>
          <w:rFonts w:hint="eastAsia"/>
        </w:rPr>
        <w:t xml:space="preserve"> </w:t>
      </w:r>
    </w:p>
    <w:p w14:paraId="602FE07D">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firstLine="643" w:firstLineChars="200"/>
        <w:textAlignment w:val="auto"/>
        <w:rPr>
          <w:rFonts w:ascii="Times New Roman" w:hAnsi="Times New Roman"/>
          <w:szCs w:val="32"/>
        </w:rPr>
      </w:pPr>
      <w:r>
        <w:rPr>
          <w:rFonts w:hint="default" w:ascii="Times New Roman" w:hAnsi="Times New Roman" w:eastAsia="楷体_GB2312" w:cs="Times New Roman"/>
          <w:b/>
          <w:color w:val="auto"/>
          <w:sz w:val="32"/>
          <w:szCs w:val="32"/>
          <w:highlight w:val="none"/>
          <w:u w:val="none"/>
          <w:lang w:val="zh-CN"/>
        </w:rPr>
        <w:t>（三）评价选点。</w:t>
      </w:r>
      <w:r>
        <w:rPr>
          <w:rFonts w:hint="default" w:ascii="Times New Roman" w:hAnsi="Times New Roman" w:eastAsia="方正仿宋_GBK" w:cs="Times New Roman"/>
          <w:bCs/>
          <w:kern w:val="2"/>
          <w:sz w:val="32"/>
          <w:szCs w:val="32"/>
          <w:lang w:val="en-US" w:eastAsia="zh-CN" w:bidi="ar-SA"/>
        </w:rPr>
        <w:t>老旧小区配套基础设施建设项目总投资820万元，规模及内容为：城南中环路丁家湾片区老旧小区，</w:t>
      </w:r>
      <w:r>
        <w:rPr>
          <w:rFonts w:hint="default" w:ascii="Times New Roman" w:hAnsi="Times New Roman" w:eastAsia="方正仿宋_GBK" w:cs="Times New Roman"/>
          <w:sz w:val="32"/>
          <w:szCs w:val="32"/>
          <w:lang w:val="en-US" w:eastAsia="zh-CN"/>
        </w:rPr>
        <w:t>停车场；道路改造，内容包括管网、路灯、人行步道及附属设施等。</w:t>
      </w:r>
    </w:p>
    <w:p w14:paraId="5CE68D7E">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firstLine="640" w:firstLineChars="200"/>
        <w:textAlignment w:val="auto"/>
        <w:rPr>
          <w:rFonts w:hint="default" w:ascii="Times New Roman" w:hAnsi="Times New Roman" w:eastAsia="仿宋_GB2312" w:cs="Times New Roman"/>
          <w:szCs w:val="32"/>
          <w:lang w:eastAsia="zh-CN"/>
        </w:rPr>
      </w:pPr>
      <w:r>
        <w:rPr>
          <w:rFonts w:hint="eastAsia"/>
        </w:rPr>
        <w:t xml:space="preserve">  </w:t>
      </w:r>
      <w:r>
        <w:rPr>
          <w:rFonts w:hint="default" w:ascii="Times New Roman" w:hAnsi="Times New Roman" w:eastAsia="楷体_GB2312" w:cs="Times New Roman"/>
          <w:b/>
          <w:color w:val="auto"/>
          <w:sz w:val="32"/>
          <w:szCs w:val="32"/>
          <w:highlight w:val="none"/>
          <w:u w:val="none"/>
          <w:lang w:val="zh-CN"/>
        </w:rPr>
        <w:t>（四）评价方法。</w:t>
      </w:r>
      <w:r>
        <w:rPr>
          <w:rFonts w:hint="eastAsia"/>
        </w:rPr>
        <w:t xml:space="preserve"> 案卷研究法：查阅资金拨付记录、施工日志。实地勘察法：随机抽查</w:t>
      </w:r>
      <w:r>
        <w:rPr>
          <w:rFonts w:hint="default" w:ascii="Times New Roman" w:hAnsi="Times New Roman" w:eastAsia="方正仿宋_GBK" w:cs="Times New Roman"/>
          <w:bCs/>
          <w:kern w:val="2"/>
          <w:sz w:val="32"/>
          <w:szCs w:val="32"/>
          <w:lang w:val="en-US" w:eastAsia="zh-CN" w:bidi="ar-SA"/>
        </w:rPr>
        <w:t>城南中环路丁家湾片区老旧小区</w:t>
      </w:r>
      <w:r>
        <w:rPr>
          <w:rFonts w:hint="eastAsia" w:ascii="Times New Roman" w:hAnsi="Times New Roman" w:eastAsia="方正仿宋_GBK" w:cs="Times New Roman"/>
          <w:bCs/>
          <w:kern w:val="2"/>
          <w:sz w:val="32"/>
          <w:szCs w:val="32"/>
          <w:lang w:val="en-US" w:eastAsia="zh-CN" w:bidi="ar-SA"/>
        </w:rPr>
        <w:t>及八步里路</w:t>
      </w:r>
      <w:r>
        <w:rPr>
          <w:rFonts w:hint="eastAsia"/>
        </w:rPr>
        <w:t xml:space="preserve">。 </w:t>
      </w:r>
    </w:p>
    <w:p w14:paraId="103A07E4">
      <w:pPr>
        <w:ind w:firstLine="643" w:firstLineChars="200"/>
        <w:rPr>
          <w:rFonts w:hint="default" w:ascii="Times New Roman" w:hAnsi="Times New Roman" w:eastAsia="仿宋_GB2312" w:cs="Times New Roman"/>
          <w:bCs/>
          <w:lang w:eastAsia="zh-CN"/>
        </w:rPr>
      </w:pPr>
      <w:r>
        <w:rPr>
          <w:rFonts w:hint="default" w:ascii="Times New Roman" w:hAnsi="Times New Roman" w:eastAsia="楷体_GB2312" w:cs="Times New Roman"/>
          <w:b/>
          <w:color w:val="auto"/>
          <w:sz w:val="32"/>
          <w:szCs w:val="32"/>
          <w:highlight w:val="none"/>
          <w:u w:val="none"/>
          <w:lang w:val="zh-CN"/>
        </w:rPr>
        <w:t>（五）评价组织。</w:t>
      </w:r>
      <w:r>
        <w:rPr>
          <w:rFonts w:hint="eastAsia"/>
        </w:rPr>
        <w:t>组长：</w:t>
      </w:r>
      <w:r>
        <w:rPr>
          <w:rFonts w:hint="eastAsia"/>
          <w:lang w:val="en-US" w:eastAsia="zh-CN"/>
        </w:rPr>
        <w:t>县</w:t>
      </w:r>
      <w:r>
        <w:rPr>
          <w:rFonts w:hint="eastAsia"/>
        </w:rPr>
        <w:t>住建局副局长</w:t>
      </w:r>
      <w:r>
        <w:rPr>
          <w:rFonts w:hint="eastAsia"/>
          <w:lang w:val="en-US" w:eastAsia="zh-CN"/>
        </w:rPr>
        <w:t>陈鑫</w:t>
      </w:r>
      <w:r>
        <w:rPr>
          <w:rFonts w:hint="eastAsia"/>
        </w:rPr>
        <w:t>（统筹协调）</w:t>
      </w:r>
      <w:r>
        <w:rPr>
          <w:rFonts w:hint="eastAsia"/>
          <w:lang w:val="en-US" w:eastAsia="zh-CN"/>
        </w:rPr>
        <w:t>；</w:t>
      </w:r>
      <w:r>
        <w:rPr>
          <w:rFonts w:hint="eastAsia"/>
        </w:rPr>
        <w:t xml:space="preserve"> 组员：财政、审计、社区代表（分工核查）</w:t>
      </w:r>
      <w:r>
        <w:rPr>
          <w:rFonts w:hint="eastAsia"/>
          <w:lang w:eastAsia="zh-CN"/>
        </w:rPr>
        <w:t>。</w:t>
      </w:r>
      <w:r>
        <w:rPr>
          <w:rFonts w:hint="eastAsia"/>
        </w:rPr>
        <w:t xml:space="preserve"> </w:t>
      </w:r>
    </w:p>
    <w:p w14:paraId="07ABD515">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cs="Times New Roman"/>
          <w:color w:val="auto"/>
          <w:sz w:val="32"/>
          <w:szCs w:val="32"/>
          <w:highlight w:val="none"/>
          <w:u w:val="none"/>
          <w:lang w:val="zh-CN"/>
        </w:rPr>
      </w:pPr>
      <w:r>
        <w:rPr>
          <w:rFonts w:hint="default" w:ascii="Times New Roman" w:hAnsi="Times New Roman" w:eastAsia="黑体" w:cs="Times New Roman"/>
          <w:color w:val="auto"/>
          <w:sz w:val="32"/>
          <w:szCs w:val="32"/>
          <w:highlight w:val="none"/>
          <w:u w:val="none"/>
        </w:rPr>
        <w:t>三、</w:t>
      </w:r>
      <w:r>
        <w:rPr>
          <w:rFonts w:hint="default" w:ascii="Times New Roman" w:hAnsi="Times New Roman" w:eastAsia="黑体" w:cs="Times New Roman"/>
          <w:color w:val="auto"/>
          <w:sz w:val="32"/>
          <w:szCs w:val="32"/>
          <w:highlight w:val="none"/>
          <w:u w:val="none"/>
          <w:lang w:eastAsia="zh-CN"/>
        </w:rPr>
        <w:t>绩效分析</w:t>
      </w:r>
      <w:r>
        <w:rPr>
          <w:rFonts w:hint="default" w:ascii="Times New Roman" w:hAnsi="Times New Roman" w:cs="Times New Roman"/>
          <w:color w:val="auto"/>
          <w:sz w:val="32"/>
          <w:szCs w:val="32"/>
          <w:highlight w:val="none"/>
          <w:u w:val="none"/>
          <w:lang w:val="zh-CN"/>
        </w:rPr>
        <w:tab/>
      </w:r>
    </w:p>
    <w:p w14:paraId="1222BA93">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lang w:val="zh-CN" w:eastAsia="zh-CN"/>
        </w:rPr>
        <w:t>根据项目预算绩效评价指标体系“通用指标”“专用指标”“个性指标”涉及二、三级指标进行逐项绩效分析并评分</w:t>
      </w:r>
      <w:r>
        <w:rPr>
          <w:rFonts w:hint="default" w:ascii="Times New Roman" w:hAnsi="Times New Roman" w:cs="Times New Roman"/>
          <w:szCs w:val="32"/>
          <w:lang w:val="en-US" w:eastAsia="zh-CN"/>
        </w:rPr>
        <w:t>。</w:t>
      </w:r>
    </w:p>
    <w:p w14:paraId="3E97856D">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color w:val="auto"/>
          <w:sz w:val="32"/>
          <w:szCs w:val="32"/>
          <w:highlight w:val="none"/>
          <w:u w:val="none"/>
          <w:lang w:val="en-US" w:eastAsia="zh-CN"/>
        </w:rPr>
      </w:pPr>
      <w:r>
        <w:rPr>
          <w:rFonts w:hint="default" w:ascii="Times New Roman" w:hAnsi="Times New Roman" w:eastAsia="楷体_GB2312" w:cs="Times New Roman"/>
          <w:b/>
          <w:color w:val="auto"/>
          <w:sz w:val="32"/>
          <w:szCs w:val="32"/>
          <w:highlight w:val="none"/>
          <w:u w:val="none"/>
          <w:lang w:val="zh-CN"/>
        </w:rPr>
        <w:t>（一）</w:t>
      </w:r>
      <w:r>
        <w:rPr>
          <w:rFonts w:hint="default"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4F68EA6A">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eastAsia="仿宋_GB2312"/>
          <w:lang w:eastAsia="zh-CN"/>
        </w:rPr>
      </w:pPr>
      <w:r>
        <w:rPr>
          <w:rFonts w:hint="default" w:ascii="Times New Roman" w:hAnsi="Times New Roman" w:eastAsia="楷体_GB2312" w:cs="Times New Roman"/>
          <w:color w:val="auto"/>
          <w:szCs w:val="32"/>
          <w:lang w:val="en-US" w:eastAsia="zh-CN"/>
        </w:rPr>
        <w:t>1.</w:t>
      </w:r>
      <w:r>
        <w:rPr>
          <w:rFonts w:hint="default" w:ascii="Times New Roman" w:hAnsi="Times New Roman" w:eastAsia="楷体_GB2312" w:cs="Times New Roman"/>
          <w:color w:val="auto"/>
          <w:szCs w:val="32"/>
          <w:lang w:eastAsia="zh-CN"/>
        </w:rPr>
        <w:t>项目决策。</w:t>
      </w:r>
      <w:r>
        <w:rPr>
          <w:rFonts w:hint="eastAsia"/>
        </w:rPr>
        <w:t>决策程序合规，资金投向符合政策要求</w:t>
      </w:r>
      <w:r>
        <w:rPr>
          <w:rFonts w:hint="eastAsia"/>
          <w:lang w:eastAsia="zh-CN"/>
        </w:rPr>
        <w:t>。</w:t>
      </w:r>
    </w:p>
    <w:p w14:paraId="0F6BFE7D">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2.</w:t>
      </w:r>
      <w:r>
        <w:rPr>
          <w:rFonts w:hint="default" w:ascii="Times New Roman" w:hAnsi="Times New Roman" w:eastAsia="楷体_GB2312" w:cs="Times New Roman"/>
          <w:color w:val="auto"/>
          <w:szCs w:val="32"/>
          <w:lang w:eastAsia="zh-CN"/>
        </w:rPr>
        <w:t>项目管理。</w:t>
      </w:r>
      <w:r>
        <w:rPr>
          <w:rFonts w:hint="eastAsia"/>
        </w:rPr>
        <w:t>资金分配合理，但个别小区配套资金到位延迟（扣2分）。</w:t>
      </w:r>
    </w:p>
    <w:p w14:paraId="4B696401">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3.项目实施。</w:t>
      </w:r>
      <w:r>
        <w:rPr>
          <w:rFonts w:hint="eastAsia"/>
        </w:rPr>
        <w:t>预算执行率98%，资金使用合规</w:t>
      </w:r>
      <w:r>
        <w:rPr>
          <w:rFonts w:hint="default" w:ascii="Times New Roman" w:hAnsi="Times New Roman" w:cs="Times New Roman"/>
          <w:color w:val="auto"/>
          <w:szCs w:val="32"/>
          <w:lang w:eastAsia="zh-CN"/>
        </w:rPr>
        <w:t>。</w:t>
      </w:r>
    </w:p>
    <w:p w14:paraId="0EE73937">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4.项目结果。</w:t>
      </w:r>
      <w:r>
        <w:rPr>
          <w:rFonts w:hint="eastAsia"/>
        </w:rPr>
        <w:t>目标完成率100%，按期完工</w:t>
      </w:r>
      <w:r>
        <w:rPr>
          <w:rFonts w:hint="default" w:ascii="Times New Roman" w:hAnsi="Times New Roman" w:cs="Times New Roman"/>
          <w:color w:val="auto"/>
          <w:szCs w:val="32"/>
          <w:lang w:eastAsia="zh-CN"/>
        </w:rPr>
        <w:t>。</w:t>
      </w:r>
    </w:p>
    <w:p w14:paraId="7FC3158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default" w:ascii="Times New Roman" w:hAnsi="Times New Roman" w:eastAsia="楷体_GB2312" w:cs="Times New Roman"/>
          <w:color w:val="auto"/>
          <w:szCs w:val="32"/>
          <w:lang w:val="zh-CN" w:eastAsia="zh-CN"/>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ascii="Times New Roman" w:hAnsi="Times New Roman" w:cs="Times New Roman"/>
          <w:color w:val="auto"/>
          <w:szCs w:val="32"/>
          <w:lang w:val="zh-CN" w:eastAsia="zh-CN"/>
        </w:rPr>
        <w:t>根据</w:t>
      </w:r>
      <w:r>
        <w:rPr>
          <w:rFonts w:hint="default" w:ascii="Times New Roman" w:hAnsi="Times New Roman" w:cs="Times New Roman"/>
          <w:color w:val="auto"/>
          <w:szCs w:val="32"/>
          <w:lang w:val="en-US" w:eastAsia="zh-CN"/>
        </w:rPr>
        <w:t>专项预算项目资金支持对象选择所属指标进行绩效分析。支持对象</w:t>
      </w:r>
      <w:r>
        <w:rPr>
          <w:rFonts w:hint="default" w:ascii="Times New Roman" w:hAnsi="Times New Roman" w:cs="Times New Roman"/>
          <w:color w:val="auto"/>
          <w:szCs w:val="32"/>
          <w:lang w:val="zh-CN" w:eastAsia="zh-CN"/>
        </w:rPr>
        <w:t>包括产业发展、民生保障、基础设施、行政运转等方面。</w:t>
      </w:r>
    </w:p>
    <w:p w14:paraId="0DB6FFDC">
      <w:pPr>
        <w:ind w:firstLine="640" w:firstLineChars="200"/>
        <w:rPr>
          <w:rFonts w:hint="eastAsia" w:ascii="Times New Roman" w:hAnsi="Times New Roman" w:eastAsia="仿宋_GB2312" w:cs="Times New Roman"/>
          <w:color w:val="auto"/>
          <w:szCs w:val="32"/>
          <w:lang w:val="en-US" w:eastAsia="zh-CN"/>
        </w:rPr>
      </w:pPr>
      <w:r>
        <w:rPr>
          <w:rFonts w:hint="default" w:ascii="Times New Roman" w:hAnsi="Times New Roman" w:eastAsia="楷体_GB2312" w:cs="Times New Roman"/>
          <w:color w:val="auto"/>
          <w:szCs w:val="32"/>
          <w:lang w:val="en-US" w:eastAsia="zh-CN"/>
        </w:rPr>
        <w:t>基础设施类。</w:t>
      </w:r>
      <w:r>
        <w:rPr>
          <w:rFonts w:hint="eastAsia"/>
        </w:rPr>
        <w:t xml:space="preserve"> 工程进度：全部按期完工</w:t>
      </w:r>
      <w:r>
        <w:rPr>
          <w:rFonts w:hint="eastAsia"/>
          <w:lang w:eastAsia="zh-CN"/>
        </w:rPr>
        <w:t>，</w:t>
      </w:r>
      <w:r>
        <w:rPr>
          <w:rFonts w:hint="eastAsia"/>
        </w:rPr>
        <w:t>功能实现：个别小区绿化未达标（扣2分）</w:t>
      </w:r>
      <w:r>
        <w:rPr>
          <w:rFonts w:hint="eastAsia"/>
          <w:lang w:eastAsia="zh-CN"/>
        </w:rPr>
        <w:t>。</w:t>
      </w:r>
    </w:p>
    <w:p w14:paraId="2906D04F">
      <w:pPr>
        <w:ind w:firstLine="643" w:firstLineChars="200"/>
        <w:rPr>
          <w:rFonts w:hint="default"/>
          <w:lang w:val="en-US" w:eastAsia="zh-CN"/>
        </w:rPr>
      </w:pPr>
      <w:r>
        <w:rPr>
          <w:rFonts w:hint="default" w:ascii="Times New Roman" w:hAnsi="Times New Roman" w:eastAsia="楷体_GB2312" w:cs="Times New Roman"/>
          <w:b/>
          <w:color w:val="auto"/>
          <w:sz w:val="32"/>
          <w:szCs w:val="32"/>
          <w:highlight w:val="none"/>
          <w:u w:val="none"/>
          <w:lang w:val="zh-CN"/>
        </w:rPr>
        <w:t>（三）</w:t>
      </w:r>
      <w:r>
        <w:rPr>
          <w:rFonts w:hint="default" w:ascii="Times New Roman" w:hAnsi="Times New Roman"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rPr>
        <w:t>居民参与度</w:t>
      </w:r>
      <w:r>
        <w:rPr>
          <w:rFonts w:hint="eastAsia"/>
          <w:lang w:val="en-US" w:eastAsia="zh-CN"/>
        </w:rPr>
        <w:t>95%</w:t>
      </w:r>
      <w:r>
        <w:rPr>
          <w:rFonts w:hint="eastAsia"/>
        </w:rPr>
        <w:t>：召开居民议事会</w:t>
      </w:r>
      <w:r>
        <w:rPr>
          <w:rFonts w:hint="eastAsia"/>
          <w:lang w:val="en-US" w:eastAsia="zh-CN"/>
        </w:rPr>
        <w:t>4</w:t>
      </w:r>
      <w:r>
        <w:rPr>
          <w:rFonts w:hint="eastAsia"/>
        </w:rPr>
        <w:t>次，采纳意见</w:t>
      </w:r>
      <w:r>
        <w:rPr>
          <w:rFonts w:hint="eastAsia"/>
          <w:lang w:val="en-US" w:eastAsia="zh-CN"/>
        </w:rPr>
        <w:t>25</w:t>
      </w:r>
      <w:r>
        <w:rPr>
          <w:rFonts w:hint="eastAsia"/>
        </w:rPr>
        <w:t>条。</w:t>
      </w:r>
    </w:p>
    <w:p w14:paraId="6C97E487">
      <w:pPr>
        <w:pStyle w:val="6"/>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lang w:eastAsia="zh-CN"/>
        </w:rPr>
        <w:t>四</w:t>
      </w:r>
      <w:r>
        <w:rPr>
          <w:rFonts w:hint="default" w:ascii="Times New Roman" w:hAnsi="Times New Roman" w:eastAsia="黑体" w:cs="Times New Roman"/>
          <w:color w:val="auto"/>
          <w:sz w:val="32"/>
          <w:szCs w:val="32"/>
          <w:highlight w:val="none"/>
          <w:u w:val="none"/>
        </w:rPr>
        <w:t>、评价结论</w:t>
      </w:r>
    </w:p>
    <w:p w14:paraId="55ACBEB6">
      <w:pPr>
        <w:ind w:firstLine="640" w:firstLineChars="200"/>
        <w:rPr>
          <w:rFonts w:hint="eastAsia"/>
        </w:rPr>
      </w:pPr>
      <w:r>
        <w:rPr>
          <w:rFonts w:hint="eastAsia"/>
        </w:rPr>
        <w:t xml:space="preserve">总分：95分（优秀） </w:t>
      </w:r>
    </w:p>
    <w:p w14:paraId="537A187B">
      <w:pPr>
        <w:pStyle w:val="6"/>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kern w:val="2"/>
          <w:position w:val="0"/>
          <w:sz w:val="32"/>
          <w:szCs w:val="32"/>
          <w:lang w:val="en-US" w:eastAsia="zh-CN" w:bidi="ar-SA"/>
        </w:rPr>
      </w:pPr>
      <w:r>
        <w:rPr>
          <w:rFonts w:hint="eastAsia" w:ascii="Times New Roman" w:hAnsi="Times New Roman" w:eastAsia="仿宋_GB2312" w:cs="Times New Roman"/>
          <w:kern w:val="2"/>
          <w:position w:val="0"/>
          <w:sz w:val="32"/>
          <w:szCs w:val="32"/>
          <w:lang w:val="en-US" w:eastAsia="zh-CN" w:bidi="ar-SA"/>
        </w:rPr>
        <w:t>项目资金使用规范，改造任务全面完成，居民满意度达9</w:t>
      </w:r>
      <w:r>
        <w:rPr>
          <w:rFonts w:hint="eastAsia" w:ascii="Times New Roman" w:hAnsi="Times New Roman" w:cs="Times New Roman"/>
          <w:kern w:val="2"/>
          <w:position w:val="0"/>
          <w:sz w:val="32"/>
          <w:szCs w:val="32"/>
          <w:lang w:val="en-US" w:eastAsia="zh-CN" w:bidi="ar-SA"/>
        </w:rPr>
        <w:t>7</w:t>
      </w:r>
      <w:r>
        <w:rPr>
          <w:rFonts w:hint="eastAsia" w:ascii="Times New Roman" w:hAnsi="Times New Roman" w:eastAsia="仿宋_GB2312" w:cs="Times New Roman"/>
          <w:kern w:val="2"/>
          <w:position w:val="0"/>
          <w:sz w:val="32"/>
          <w:szCs w:val="32"/>
          <w:lang w:val="en-US" w:eastAsia="zh-CN" w:bidi="ar-SA"/>
        </w:rPr>
        <w:t xml:space="preserve">%，但需加强后续管护。 </w:t>
      </w:r>
    </w:p>
    <w:p w14:paraId="2F8985A2">
      <w:pPr>
        <w:pStyle w:val="6"/>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lang w:eastAsia="zh-CN"/>
        </w:rPr>
      </w:pPr>
      <w:r>
        <w:rPr>
          <w:rFonts w:hint="default" w:ascii="Times New Roman" w:hAnsi="Times New Roman" w:cs="Times New Roman"/>
          <w:color w:val="auto"/>
          <w:sz w:val="32"/>
          <w:szCs w:val="32"/>
          <w:highlight w:val="none"/>
          <w:u w:val="none"/>
          <w:lang w:eastAsia="zh-CN"/>
        </w:rPr>
        <w:t>五、</w:t>
      </w:r>
      <w:r>
        <w:rPr>
          <w:rFonts w:hint="default" w:ascii="Times New Roman" w:hAnsi="Times New Roman" w:eastAsia="黑体" w:cs="Times New Roman"/>
          <w:color w:val="auto"/>
          <w:sz w:val="32"/>
          <w:szCs w:val="32"/>
          <w:highlight w:val="none"/>
          <w:u w:val="none"/>
          <w:lang w:eastAsia="zh-CN"/>
        </w:rPr>
        <w:t>存在主要问题</w:t>
      </w:r>
    </w:p>
    <w:p w14:paraId="07D94C6A">
      <w:pPr>
        <w:ind w:firstLine="640" w:firstLineChars="200"/>
        <w:rPr>
          <w:rFonts w:hint="eastAsia"/>
        </w:rPr>
      </w:pPr>
      <w:r>
        <w:rPr>
          <w:rFonts w:hint="eastAsia"/>
        </w:rPr>
        <w:t xml:space="preserve">1. 个别小区配套资金到位延迟，影响施工进度。  </w:t>
      </w:r>
    </w:p>
    <w:p w14:paraId="1315EDCF">
      <w:pPr>
        <w:ind w:firstLine="640" w:firstLineChars="200"/>
        <w:rPr>
          <w:rFonts w:hint="eastAsia"/>
        </w:rPr>
      </w:pPr>
      <w:r>
        <w:rPr>
          <w:rFonts w:hint="eastAsia"/>
        </w:rPr>
        <w:t xml:space="preserve">2. 部分改造内容（如绿化）未完全达到标准。  </w:t>
      </w:r>
    </w:p>
    <w:p w14:paraId="470960FC">
      <w:pPr>
        <w:ind w:firstLine="640" w:firstLineChars="200"/>
        <w:rPr>
          <w:rFonts w:hint="eastAsia"/>
        </w:rPr>
      </w:pPr>
      <w:r>
        <w:rPr>
          <w:rFonts w:hint="eastAsia"/>
        </w:rPr>
        <w:t xml:space="preserve">3. 长效管理机制尚未全覆盖。  </w:t>
      </w:r>
    </w:p>
    <w:p w14:paraId="3066725F">
      <w:pPr>
        <w:pStyle w:val="6"/>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kern w:val="0"/>
          <w:position w:val="3"/>
          <w:sz w:val="32"/>
          <w:szCs w:val="32"/>
          <w:highlight w:val="none"/>
          <w:u w:val="none"/>
          <w:lang w:val="zh-CN" w:eastAsia="zh-CN" w:bidi="ar-SA"/>
        </w:rPr>
      </w:pPr>
      <w:r>
        <w:rPr>
          <w:rFonts w:hint="default" w:ascii="Times New Roman" w:hAnsi="Times New Roman" w:eastAsia="黑体" w:cs="Times New Roman"/>
          <w:color w:val="auto"/>
          <w:kern w:val="0"/>
          <w:position w:val="3"/>
          <w:sz w:val="32"/>
          <w:szCs w:val="32"/>
          <w:highlight w:val="none"/>
          <w:u w:val="none"/>
          <w:lang w:val="zh-CN" w:eastAsia="zh-CN" w:bidi="ar-SA"/>
        </w:rPr>
        <w:t>六、改进建议</w:t>
      </w:r>
    </w:p>
    <w:p w14:paraId="30C2C41B">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50712471">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306BE16C">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0973CDC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796A7803">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355"/>
        <w:gridCol w:w="696"/>
        <w:gridCol w:w="5340"/>
        <w:gridCol w:w="732"/>
        <w:gridCol w:w="468"/>
      </w:tblGrid>
      <w:tr w14:paraId="54410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39C1D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B446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0BEC8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0EBD3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67410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49D45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48F0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BCA6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198E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指标</w:t>
            </w:r>
          </w:p>
          <w:p w14:paraId="1148B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3460E8">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558B5A28">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7E43448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43161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79A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bookmarkStart w:id="0" w:name="OLE_LINK20" w:colFirst="3" w:colLast="3"/>
            <w:bookmarkStart w:id="1" w:name="OLE_LINK12" w:colFirst="3" w:colLast="3"/>
            <w:r>
              <w:rPr>
                <w:rFonts w:hint="eastAsia" w:ascii="宋体" w:hAnsi="宋体" w:eastAsia="宋体" w:cs="宋体"/>
                <w:b/>
                <w:i w:val="0"/>
                <w:color w:val="000000"/>
                <w:kern w:val="0"/>
                <w:sz w:val="24"/>
                <w:szCs w:val="24"/>
                <w:u w:val="none"/>
                <w:lang w:val="en-US" w:eastAsia="zh-CN" w:bidi="ar"/>
              </w:rPr>
              <w:t>通用指标</w:t>
            </w:r>
          </w:p>
          <w:p w14:paraId="141DE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1E6D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项目决策</w:t>
            </w:r>
          </w:p>
          <w:p w14:paraId="0EF85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91FD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9D3D8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99107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8B73F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B3501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0671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954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9149A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2F54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630E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76A3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72988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50F46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DD65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0D2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E3F0B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3A70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A06F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6F453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82734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9CEFA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0DD0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421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38E7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项目管理</w:t>
            </w:r>
          </w:p>
          <w:p w14:paraId="5F6D2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EBB4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B52A3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2752B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2C8ED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96EEA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AFDC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C4B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7C925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BB368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0C5A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D251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9164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ACCE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9321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B00B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9C5E5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35CA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3B444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BFAF3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4263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053D3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D395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8EF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D035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项目实施</w:t>
            </w:r>
          </w:p>
          <w:p w14:paraId="109D8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079F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30DF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6C3FA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E55A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393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9E7E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5FA9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6A4F8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46FC6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67CF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6311F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DEB4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4F8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6DC7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144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4BA7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项目结果</w:t>
            </w:r>
          </w:p>
          <w:p w14:paraId="28255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6CA7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E1A0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A145F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757E8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1BFA4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4C60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E147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E3D98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C861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BA7E5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F616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02DEB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C8903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FE43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8FE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专用指标</w:t>
            </w:r>
          </w:p>
          <w:p w14:paraId="344A3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FF15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产业发展</w:t>
            </w:r>
          </w:p>
          <w:p w14:paraId="4561E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E8D0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043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38B7B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94BC0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989BB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53DD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B5D3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75B56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5F4A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C99D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5E284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3FF09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D18E0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688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5F6E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0473C8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2F72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68AAD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2CB70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86FCD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5CA6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bookmarkEnd w:id="0"/>
      <w:tr w14:paraId="1BAAD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295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FE748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民生保障</w:t>
            </w:r>
          </w:p>
          <w:p w14:paraId="19E94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614E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95AE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DAB3A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2B392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AE6BD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3F3B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1393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FF06B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7CCC2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771A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D69CD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8DCAB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F66A5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AB76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B30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0971D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65F9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98B87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8A416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EA527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37243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330C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340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03DA0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32F4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ECD7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1AC57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790C0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E7EED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10AA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02A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69BB2C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基础</w:t>
            </w:r>
          </w:p>
          <w:p w14:paraId="6B1C7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设施</w:t>
            </w:r>
          </w:p>
          <w:p w14:paraId="1F5D3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035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在建</w:t>
            </w:r>
          </w:p>
          <w:p w14:paraId="58EF9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E06F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1C64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D8644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A864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4845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CA5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3D1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8085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1843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6355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35F3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2B394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A3BD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A1C6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DB3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1E9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175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CE70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建成</w:t>
            </w:r>
          </w:p>
          <w:p w14:paraId="5365E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30A3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3787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496AD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01823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ED7FB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28D3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BEF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6143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21F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4069A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B081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0E72F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4078B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C7FAF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8F91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88E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882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587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13ED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279F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A92F8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F616A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22A48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01CC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3F70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专用指标</w:t>
            </w:r>
          </w:p>
          <w:p w14:paraId="47BAE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1C9C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行政运转</w:t>
            </w:r>
          </w:p>
          <w:p w14:paraId="62941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nil"/>
              <w:left w:val="single" w:color="000000" w:sz="4" w:space="0"/>
              <w:bottom w:val="single" w:color="000000" w:sz="4" w:space="0"/>
              <w:right w:val="single" w:color="000000" w:sz="4" w:space="0"/>
            </w:tcBorders>
            <w:noWrap w:val="0"/>
            <w:vAlign w:val="center"/>
          </w:tcPr>
          <w:p w14:paraId="2583F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696" w:type="dxa"/>
            <w:tcBorders>
              <w:top w:val="nil"/>
              <w:left w:val="single" w:color="000000" w:sz="4" w:space="0"/>
              <w:bottom w:val="single" w:color="000000" w:sz="4" w:space="0"/>
              <w:right w:val="single" w:color="000000" w:sz="4" w:space="0"/>
            </w:tcBorders>
            <w:noWrap w:val="0"/>
            <w:vAlign w:val="center"/>
          </w:tcPr>
          <w:p w14:paraId="06FA9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nil"/>
              <w:left w:val="single" w:color="000000" w:sz="4" w:space="0"/>
              <w:bottom w:val="single" w:color="000000" w:sz="4" w:space="0"/>
              <w:right w:val="single" w:color="000000" w:sz="4" w:space="0"/>
            </w:tcBorders>
            <w:noWrap w:val="0"/>
            <w:vAlign w:val="center"/>
          </w:tcPr>
          <w:p w14:paraId="25EDA4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61AF5B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nil"/>
              <w:left w:val="single" w:color="000000" w:sz="4" w:space="0"/>
              <w:bottom w:val="single" w:color="000000" w:sz="4" w:space="0"/>
              <w:right w:val="single" w:color="000000" w:sz="4" w:space="0"/>
            </w:tcBorders>
            <w:noWrap w:val="0"/>
            <w:vAlign w:val="center"/>
          </w:tcPr>
          <w:p w14:paraId="4971B8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807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7F9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1D94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4130B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696" w:type="dxa"/>
            <w:tcBorders>
              <w:top w:val="nil"/>
              <w:left w:val="single" w:color="000000" w:sz="4" w:space="0"/>
              <w:bottom w:val="single" w:color="000000" w:sz="4" w:space="0"/>
              <w:right w:val="single" w:color="000000" w:sz="4" w:space="0"/>
            </w:tcBorders>
            <w:noWrap w:val="0"/>
            <w:vAlign w:val="center"/>
          </w:tcPr>
          <w:p w14:paraId="509F18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ECC7D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2795A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A4313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E8F7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4C01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EC97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32241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696" w:type="dxa"/>
            <w:tcBorders>
              <w:top w:val="nil"/>
              <w:left w:val="single" w:color="000000" w:sz="4" w:space="0"/>
              <w:bottom w:val="single" w:color="000000" w:sz="4" w:space="0"/>
              <w:right w:val="single" w:color="000000" w:sz="4" w:space="0"/>
            </w:tcBorders>
            <w:noWrap w:val="0"/>
            <w:vAlign w:val="center"/>
          </w:tcPr>
          <w:p w14:paraId="54C25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23C33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3BFFD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736D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6560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421585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个性指标</w:t>
            </w:r>
          </w:p>
          <w:p w14:paraId="16853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（16分）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6D0DABD">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1BF3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27A250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根据项目个性自行设定部分指标，反映该项指标执行完成情况。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EFD8A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7</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358E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966B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FE1BD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7741A18">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1"/>
                <w:szCs w:val="21"/>
                <w:u w:val="none"/>
                <w:lang w:eastAsia="zh-CN"/>
              </w:rPr>
              <w:t>满意度指标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33C4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5D73A">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2B7A80">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7</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877B6B">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bookmarkEnd w:id="1"/>
      <w:tr w14:paraId="16C23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1A45C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扣分项</w:t>
            </w:r>
          </w:p>
          <w:p w14:paraId="42700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875A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被评价</w:t>
            </w:r>
          </w:p>
          <w:p w14:paraId="08B512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部门配合度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BE67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E840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1837D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41DD1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3EFB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50A13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总分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FB3E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01622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6B8D2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815A1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bookmarkStart w:id="2" w:name="_GoBack"/>
            <w:r>
              <w:rPr>
                <w:rFonts w:hint="eastAsia" w:ascii="宋体" w:hAnsi="宋体" w:eastAsia="宋体" w:cs="宋体"/>
                <w:b/>
                <w:bCs/>
                <w:i w:val="0"/>
                <w:color w:val="000000"/>
                <w:kern w:val="0"/>
                <w:sz w:val="24"/>
                <w:szCs w:val="24"/>
                <w:u w:val="none"/>
                <w:lang w:val="en-US" w:eastAsia="zh-CN" w:bidi="ar"/>
              </w:rPr>
              <w:t>96</w:t>
            </w:r>
            <w:bookmarkEnd w:id="2"/>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B85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590E2864">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31DF9CE8">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2228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B6BF94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57F77CA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3EF02CB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57E6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7DBBA0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088FFB3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道路</w:t>
            </w:r>
          </w:p>
        </w:tc>
        <w:tc>
          <w:tcPr>
            <w:tcW w:w="905" w:type="dxa"/>
            <w:noWrap w:val="0"/>
            <w:vAlign w:val="top"/>
          </w:tcPr>
          <w:p w14:paraId="7C7F8B7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464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804797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2</w:t>
            </w:r>
          </w:p>
        </w:tc>
        <w:tc>
          <w:tcPr>
            <w:tcW w:w="5956" w:type="dxa"/>
            <w:noWrap w:val="0"/>
            <w:vAlign w:val="top"/>
          </w:tcPr>
          <w:p w14:paraId="04BE9FC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ascii="Times New Roman" w:hAnsi="Times New Roman" w:cs="Times New Roman"/>
                <w:color w:val="auto"/>
                <w:sz w:val="24"/>
                <w:szCs w:val="24"/>
                <w:highlight w:val="none"/>
                <w:u w:val="none"/>
                <w:vertAlign w:val="baseline"/>
                <w:lang w:val="en-US" w:eastAsia="zh-CN"/>
              </w:rPr>
              <w:t>停车场</w:t>
            </w:r>
          </w:p>
        </w:tc>
        <w:tc>
          <w:tcPr>
            <w:tcW w:w="905" w:type="dxa"/>
            <w:noWrap w:val="0"/>
            <w:vAlign w:val="top"/>
          </w:tcPr>
          <w:p w14:paraId="4CC502A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BF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14E1B1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3</w:t>
            </w:r>
          </w:p>
        </w:tc>
        <w:tc>
          <w:tcPr>
            <w:tcW w:w="5956" w:type="dxa"/>
            <w:noWrap w:val="0"/>
            <w:vAlign w:val="top"/>
          </w:tcPr>
          <w:p w14:paraId="4012633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35446F4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AD0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BF68FF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4</w:t>
            </w:r>
          </w:p>
        </w:tc>
        <w:tc>
          <w:tcPr>
            <w:tcW w:w="5956" w:type="dxa"/>
            <w:noWrap w:val="0"/>
            <w:vAlign w:val="top"/>
          </w:tcPr>
          <w:p w14:paraId="0476E2B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6CED7DB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8C3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EB4552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5</w:t>
            </w:r>
          </w:p>
        </w:tc>
        <w:tc>
          <w:tcPr>
            <w:tcW w:w="5956" w:type="dxa"/>
            <w:noWrap w:val="0"/>
            <w:vAlign w:val="top"/>
          </w:tcPr>
          <w:p w14:paraId="6575F4E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45D191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C77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exact"/>
          <w:jc w:val="center"/>
        </w:trPr>
        <w:tc>
          <w:tcPr>
            <w:tcW w:w="1123" w:type="dxa"/>
            <w:noWrap w:val="0"/>
            <w:vAlign w:val="top"/>
          </w:tcPr>
          <w:p w14:paraId="01087E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6</w:t>
            </w:r>
          </w:p>
        </w:tc>
        <w:tc>
          <w:tcPr>
            <w:tcW w:w="5956" w:type="dxa"/>
            <w:noWrap w:val="0"/>
            <w:vAlign w:val="top"/>
          </w:tcPr>
          <w:p w14:paraId="45363C8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49E85AA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2E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282D86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7</w:t>
            </w:r>
          </w:p>
        </w:tc>
        <w:tc>
          <w:tcPr>
            <w:tcW w:w="5956" w:type="dxa"/>
            <w:noWrap w:val="0"/>
            <w:vAlign w:val="top"/>
          </w:tcPr>
          <w:p w14:paraId="61BA0F0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3C1DB73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1FF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8E78D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8</w:t>
            </w:r>
          </w:p>
        </w:tc>
        <w:tc>
          <w:tcPr>
            <w:tcW w:w="5956" w:type="dxa"/>
            <w:noWrap w:val="0"/>
            <w:vAlign w:val="top"/>
          </w:tcPr>
          <w:p w14:paraId="4A03E83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00FA56D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314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D9458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9</w:t>
            </w:r>
          </w:p>
        </w:tc>
        <w:tc>
          <w:tcPr>
            <w:tcW w:w="5956" w:type="dxa"/>
            <w:noWrap w:val="0"/>
            <w:vAlign w:val="top"/>
          </w:tcPr>
          <w:p w14:paraId="7BEA416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4AFC598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A0B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58B2D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10</w:t>
            </w:r>
          </w:p>
        </w:tc>
        <w:tc>
          <w:tcPr>
            <w:tcW w:w="5956" w:type="dxa"/>
            <w:noWrap w:val="0"/>
            <w:vAlign w:val="top"/>
          </w:tcPr>
          <w:p w14:paraId="0CBF19D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15B882F">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480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AC6436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11</w:t>
            </w:r>
          </w:p>
        </w:tc>
        <w:tc>
          <w:tcPr>
            <w:tcW w:w="5956" w:type="dxa"/>
            <w:noWrap w:val="0"/>
            <w:vAlign w:val="top"/>
          </w:tcPr>
          <w:p w14:paraId="17FC354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7BACF3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A35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5AB5E6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12</w:t>
            </w:r>
          </w:p>
        </w:tc>
        <w:tc>
          <w:tcPr>
            <w:tcW w:w="5956" w:type="dxa"/>
            <w:noWrap w:val="0"/>
            <w:vAlign w:val="top"/>
          </w:tcPr>
          <w:p w14:paraId="3660C22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3D162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401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7C01AA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13</w:t>
            </w:r>
          </w:p>
        </w:tc>
        <w:tc>
          <w:tcPr>
            <w:tcW w:w="5956" w:type="dxa"/>
            <w:noWrap w:val="0"/>
            <w:vAlign w:val="top"/>
          </w:tcPr>
          <w:p w14:paraId="13AC1A1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38D040D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69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505467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14</w:t>
            </w:r>
          </w:p>
        </w:tc>
        <w:tc>
          <w:tcPr>
            <w:tcW w:w="5956" w:type="dxa"/>
            <w:noWrap w:val="0"/>
            <w:vAlign w:val="top"/>
          </w:tcPr>
          <w:p w14:paraId="3333F50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3D980B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14D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B934D3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15</w:t>
            </w:r>
          </w:p>
        </w:tc>
        <w:tc>
          <w:tcPr>
            <w:tcW w:w="5956" w:type="dxa"/>
            <w:noWrap w:val="0"/>
            <w:vAlign w:val="top"/>
          </w:tcPr>
          <w:p w14:paraId="32AD5CB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C9225F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B21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3F8FF9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16</w:t>
            </w:r>
          </w:p>
        </w:tc>
        <w:tc>
          <w:tcPr>
            <w:tcW w:w="5956" w:type="dxa"/>
            <w:noWrap w:val="0"/>
            <w:vAlign w:val="top"/>
          </w:tcPr>
          <w:p w14:paraId="15F29A4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A37BD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64C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507823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17</w:t>
            </w:r>
          </w:p>
        </w:tc>
        <w:tc>
          <w:tcPr>
            <w:tcW w:w="5956" w:type="dxa"/>
            <w:noWrap w:val="0"/>
            <w:vAlign w:val="top"/>
          </w:tcPr>
          <w:p w14:paraId="21FC50A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0C4B0D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7B5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7F73A3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18</w:t>
            </w:r>
          </w:p>
        </w:tc>
        <w:tc>
          <w:tcPr>
            <w:tcW w:w="5956" w:type="dxa"/>
            <w:noWrap w:val="0"/>
            <w:vAlign w:val="top"/>
          </w:tcPr>
          <w:p w14:paraId="497A704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9C3946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7B9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EB4F5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19</w:t>
            </w:r>
          </w:p>
        </w:tc>
        <w:tc>
          <w:tcPr>
            <w:tcW w:w="5956" w:type="dxa"/>
            <w:noWrap w:val="0"/>
            <w:vAlign w:val="top"/>
          </w:tcPr>
          <w:p w14:paraId="562C2FC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BE57C3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D93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23EB63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20</w:t>
            </w:r>
          </w:p>
        </w:tc>
        <w:tc>
          <w:tcPr>
            <w:tcW w:w="5956" w:type="dxa"/>
            <w:noWrap w:val="0"/>
            <w:vAlign w:val="top"/>
          </w:tcPr>
          <w:p w14:paraId="165CE6C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158F067A">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2A34956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点位包括县</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61AD5A16">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5CC8643">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10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49"/>
        <w:gridCol w:w="1078"/>
        <w:gridCol w:w="1245"/>
        <w:gridCol w:w="1309"/>
        <w:gridCol w:w="1123"/>
        <w:gridCol w:w="967"/>
        <w:gridCol w:w="1058"/>
        <w:gridCol w:w="934"/>
        <w:gridCol w:w="1837"/>
      </w:tblGrid>
      <w:tr w14:paraId="6D979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00" w:type="dxa"/>
            <w:gridSpan w:val="9"/>
            <w:noWrap w:val="0"/>
            <w:vAlign w:val="center"/>
          </w:tcPr>
          <w:p w14:paraId="3F5B57B6">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7EB5B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81" w:type="dxa"/>
            <w:gridSpan w:val="4"/>
            <w:tcBorders>
              <w:top w:val="single" w:color="000000" w:sz="4" w:space="0"/>
              <w:left w:val="single" w:color="000000" w:sz="4" w:space="0"/>
              <w:bottom w:val="single" w:color="000000" w:sz="4" w:space="0"/>
              <w:right w:val="single" w:color="000000" w:sz="4" w:space="0"/>
            </w:tcBorders>
            <w:noWrap w:val="0"/>
            <w:vAlign w:val="center"/>
          </w:tcPr>
          <w:p w14:paraId="3DBEE06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198C8AB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kern w:val="0"/>
                <w:sz w:val="24"/>
                <w:szCs w:val="24"/>
                <w:u w:val="none"/>
                <w:lang w:val="en-US" w:eastAsia="zh-CN" w:bidi="ar"/>
              </w:rPr>
              <w:t>金川县“瓶改管”“瓶改电”</w:t>
            </w:r>
            <w:r>
              <w:rPr>
                <w:rFonts w:hint="default" w:ascii="Times New Roman" w:hAnsi="Times New Roman" w:eastAsia="宋体" w:cs="Times New Roman"/>
                <w:i w:val="0"/>
                <w:color w:val="000000"/>
                <w:kern w:val="0"/>
                <w:sz w:val="24"/>
                <w:szCs w:val="24"/>
                <w:u w:val="none"/>
                <w:lang w:val="en-US" w:eastAsia="zh-CN" w:bidi="ar"/>
              </w:rPr>
              <w:t>项目</w:t>
            </w:r>
          </w:p>
        </w:tc>
      </w:tr>
      <w:tr w14:paraId="66247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81" w:type="dxa"/>
            <w:gridSpan w:val="4"/>
            <w:tcBorders>
              <w:top w:val="single" w:color="000000" w:sz="4" w:space="0"/>
              <w:left w:val="single" w:color="000000" w:sz="4" w:space="0"/>
              <w:bottom w:val="single" w:color="000000" w:sz="4" w:space="0"/>
              <w:right w:val="single" w:color="000000" w:sz="4" w:space="0"/>
            </w:tcBorders>
            <w:noWrap w:val="0"/>
            <w:vAlign w:val="center"/>
          </w:tcPr>
          <w:p w14:paraId="110043E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77F229F9">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金川县住房和城乡建设局</w:t>
            </w:r>
          </w:p>
        </w:tc>
      </w:tr>
      <w:tr w14:paraId="0D1E7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81" w:type="dxa"/>
            <w:gridSpan w:val="4"/>
            <w:tcBorders>
              <w:top w:val="single" w:color="000000" w:sz="4" w:space="0"/>
              <w:left w:val="single" w:color="000000" w:sz="4" w:space="0"/>
              <w:bottom w:val="single" w:color="000000" w:sz="4" w:space="0"/>
              <w:right w:val="single" w:color="000000" w:sz="4" w:space="0"/>
            </w:tcBorders>
            <w:noWrap w:val="0"/>
            <w:vAlign w:val="center"/>
          </w:tcPr>
          <w:p w14:paraId="3C20D2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106C55F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改造补助</w:t>
            </w:r>
          </w:p>
        </w:tc>
      </w:tr>
      <w:tr w14:paraId="6FCD8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restart"/>
            <w:tcBorders>
              <w:top w:val="single" w:color="000000" w:sz="4" w:space="0"/>
              <w:left w:val="single" w:color="000000" w:sz="4" w:space="0"/>
              <w:bottom w:val="single" w:color="000000" w:sz="4" w:space="0"/>
              <w:right w:val="single" w:color="000000" w:sz="4" w:space="0"/>
            </w:tcBorders>
            <w:noWrap w:val="0"/>
            <w:vAlign w:val="center"/>
          </w:tcPr>
          <w:p w14:paraId="6D42369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4F5CB2A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120AEB3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44B1CDA0">
            <w:pPr>
              <w:keepNext w:val="0"/>
              <w:keepLines w:val="0"/>
              <w:pageBreakBefore w:val="0"/>
              <w:kinsoku/>
              <w:wordWrap/>
              <w:overflowPunct/>
              <w:topLinePunct w:val="0"/>
              <w:autoSpaceDE/>
              <w:autoSpaceDN/>
              <w:bidi w:val="0"/>
              <w:adjustRightInd/>
              <w:snapToGrid/>
              <w:spacing w:line="300" w:lineRule="exact"/>
              <w:ind w:left="0" w:leftChars="0"/>
              <w:rPr>
                <w:rFonts w:hint="eastAsia"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金川府办发〔2021</w:t>
            </w:r>
            <w:r>
              <w:rPr>
                <w:rFonts w:hint="default" w:eastAsia="宋体" w:cs="Times New Roman"/>
                <w:i w:val="0"/>
                <w:color w:val="000000"/>
                <w:sz w:val="24"/>
                <w:szCs w:val="24"/>
                <w:u w:val="none"/>
                <w:lang w:val="en-US" w:eastAsia="zh-CN"/>
              </w:rPr>
              <w:t>〕1</w:t>
            </w:r>
            <w:r>
              <w:rPr>
                <w:rFonts w:hint="eastAsia" w:eastAsia="宋体" w:cs="Times New Roman"/>
                <w:i w:val="0"/>
                <w:color w:val="000000"/>
                <w:sz w:val="24"/>
                <w:szCs w:val="24"/>
                <w:u w:val="none"/>
                <w:lang w:val="en-US" w:eastAsia="zh-CN"/>
              </w:rPr>
              <w:t>2</w:t>
            </w:r>
            <w:r>
              <w:rPr>
                <w:rFonts w:hint="default" w:eastAsia="宋体" w:cs="Times New Roman"/>
                <w:i w:val="0"/>
                <w:color w:val="000000"/>
                <w:sz w:val="24"/>
                <w:szCs w:val="24"/>
                <w:u w:val="none"/>
                <w:lang w:val="en-US" w:eastAsia="zh-CN"/>
              </w:rPr>
              <w:t>号</w:t>
            </w:r>
          </w:p>
          <w:p w14:paraId="5CF82B8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485DF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B0DCF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6BD30A4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71031A15">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44C0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EEEB6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61BB0AA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32C9DCB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25" w:type="dxa"/>
            <w:gridSpan w:val="2"/>
            <w:tcBorders>
              <w:top w:val="single" w:color="000000" w:sz="4" w:space="0"/>
              <w:left w:val="single" w:color="000000" w:sz="4" w:space="0"/>
              <w:bottom w:val="single" w:color="000000" w:sz="4" w:space="0"/>
              <w:right w:val="single" w:color="000000" w:sz="4" w:space="0"/>
            </w:tcBorders>
            <w:noWrap w:val="0"/>
            <w:vAlign w:val="center"/>
          </w:tcPr>
          <w:p w14:paraId="5BB3449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32D556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45F98F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因素法与项目法相结合</w:t>
            </w:r>
          </w:p>
        </w:tc>
      </w:tr>
      <w:tr w14:paraId="0AACC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8E3E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45BECF6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451091B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金川府办发〔2021</w:t>
            </w:r>
            <w:r>
              <w:rPr>
                <w:rFonts w:hint="default" w:eastAsia="宋体" w:cs="Times New Roman"/>
                <w:i w:val="0"/>
                <w:color w:val="000000"/>
                <w:sz w:val="24"/>
                <w:szCs w:val="24"/>
                <w:u w:val="none"/>
                <w:lang w:val="en-US" w:eastAsia="zh-CN"/>
              </w:rPr>
              <w:t>〕1</w:t>
            </w:r>
            <w:r>
              <w:rPr>
                <w:rFonts w:hint="eastAsia" w:eastAsia="宋体" w:cs="Times New Roman"/>
                <w:i w:val="0"/>
                <w:color w:val="000000"/>
                <w:sz w:val="24"/>
                <w:szCs w:val="24"/>
                <w:u w:val="none"/>
                <w:lang w:val="en-US" w:eastAsia="zh-CN"/>
              </w:rPr>
              <w:t>2</w:t>
            </w:r>
            <w:r>
              <w:rPr>
                <w:rFonts w:hint="default" w:eastAsia="宋体" w:cs="Times New Roman"/>
                <w:i w:val="0"/>
                <w:color w:val="000000"/>
                <w:sz w:val="24"/>
                <w:szCs w:val="24"/>
                <w:u w:val="none"/>
                <w:lang w:val="en-US" w:eastAsia="zh-CN"/>
              </w:rPr>
              <w:t>号</w:t>
            </w:r>
          </w:p>
        </w:tc>
      </w:tr>
      <w:tr w14:paraId="2795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82E0E2">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40EDA98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58CC04E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19553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B77D1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6734774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2518D769">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12D2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36EB5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7E7C913D">
            <w:pPr>
              <w:keepNext w:val="0"/>
              <w:keepLines w:val="0"/>
              <w:pageBreakBefore w:val="0"/>
              <w:kinsoku/>
              <w:wordWrap/>
              <w:overflowPunct/>
              <w:topLinePunct w:val="0"/>
              <w:autoSpaceDE/>
              <w:autoSpaceDN/>
              <w:bidi w:val="0"/>
              <w:adjustRightInd/>
              <w:snapToGrid/>
              <w:spacing w:line="300" w:lineRule="exact"/>
              <w:ind w:left="0" w:leftChars="0"/>
              <w:rPr>
                <w:rFonts w:hint="default" w:eastAsia="宋体" w:cs="Times New Roman"/>
                <w:i w:val="0"/>
                <w:color w:val="000000"/>
                <w:sz w:val="24"/>
                <w:szCs w:val="24"/>
                <w:u w:val="none"/>
                <w:lang w:val="en-US" w:eastAsia="zh-CN"/>
              </w:rPr>
            </w:pPr>
            <w:r>
              <w:rPr>
                <w:rFonts w:hint="default" w:eastAsia="宋体" w:cs="Times New Roman"/>
                <w:i w:val="0"/>
                <w:color w:val="000000"/>
                <w:sz w:val="24"/>
                <w:szCs w:val="24"/>
                <w:u w:val="none"/>
                <w:lang w:val="en-US" w:eastAsia="zh-CN"/>
              </w:rPr>
              <w:t>项目起止年限</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653B1557">
            <w:pPr>
              <w:keepNext w:val="0"/>
              <w:keepLines w:val="0"/>
              <w:pageBreakBefore w:val="0"/>
              <w:kinsoku/>
              <w:wordWrap/>
              <w:overflowPunct/>
              <w:topLinePunct w:val="0"/>
              <w:autoSpaceDE/>
              <w:autoSpaceDN/>
              <w:bidi w:val="0"/>
              <w:adjustRightInd/>
              <w:snapToGrid/>
              <w:spacing w:line="300" w:lineRule="exact"/>
              <w:ind w:left="0" w:leftChars="0"/>
              <w:rPr>
                <w:rFonts w:hint="default"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2021年4月13日-2023年4月3日</w:t>
            </w:r>
          </w:p>
        </w:tc>
      </w:tr>
      <w:tr w14:paraId="062DB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2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34BD25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49DCC5E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54" w:type="dxa"/>
            <w:gridSpan w:val="2"/>
            <w:tcBorders>
              <w:top w:val="single" w:color="000000" w:sz="4" w:space="0"/>
              <w:left w:val="single" w:color="000000" w:sz="4" w:space="0"/>
              <w:bottom w:val="single" w:color="000000" w:sz="4" w:space="0"/>
              <w:right w:val="single" w:color="000000" w:sz="4" w:space="0"/>
            </w:tcBorders>
            <w:noWrap w:val="0"/>
            <w:vAlign w:val="center"/>
          </w:tcPr>
          <w:p w14:paraId="17971C7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 xml:space="preserve">  年度资金总额：</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2375003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1520万元</w:t>
            </w:r>
          </w:p>
        </w:tc>
      </w:tr>
      <w:tr w14:paraId="4F1A4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8" w:hRule="atLeast"/>
          <w:jc w:val="center"/>
        </w:trPr>
        <w:tc>
          <w:tcPr>
            <w:tcW w:w="172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85F338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2554" w:type="dxa"/>
            <w:gridSpan w:val="2"/>
            <w:tcBorders>
              <w:top w:val="single" w:color="000000" w:sz="4" w:space="0"/>
              <w:left w:val="single" w:color="000000" w:sz="4" w:space="0"/>
              <w:bottom w:val="single" w:color="000000" w:sz="4" w:space="0"/>
              <w:right w:val="single" w:color="000000" w:sz="4" w:space="0"/>
            </w:tcBorders>
            <w:noWrap w:val="0"/>
            <w:vAlign w:val="center"/>
          </w:tcPr>
          <w:p w14:paraId="3EC5241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71337737">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p>
        </w:tc>
      </w:tr>
      <w:tr w14:paraId="61A6C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2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5AB0A2F">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2554" w:type="dxa"/>
            <w:gridSpan w:val="2"/>
            <w:tcBorders>
              <w:top w:val="single" w:color="000000" w:sz="4" w:space="0"/>
              <w:left w:val="single" w:color="000000" w:sz="4" w:space="0"/>
              <w:bottom w:val="single" w:color="000000" w:sz="4" w:space="0"/>
              <w:right w:val="single" w:color="000000" w:sz="4" w:space="0"/>
            </w:tcBorders>
            <w:noWrap w:val="0"/>
            <w:vAlign w:val="center"/>
          </w:tcPr>
          <w:p w14:paraId="28ABEAC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10C3C50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p>
        </w:tc>
      </w:tr>
      <w:tr w14:paraId="3755D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restart"/>
            <w:tcBorders>
              <w:top w:val="single" w:color="000000" w:sz="4" w:space="0"/>
              <w:left w:val="single" w:color="000000" w:sz="4" w:space="0"/>
              <w:bottom w:val="single" w:color="000000" w:sz="4" w:space="0"/>
              <w:right w:val="single" w:color="000000" w:sz="4" w:space="0"/>
            </w:tcBorders>
            <w:noWrap w:val="0"/>
            <w:vAlign w:val="center"/>
          </w:tcPr>
          <w:p w14:paraId="4C575B4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51" w:type="dxa"/>
            <w:gridSpan w:val="8"/>
            <w:tcBorders>
              <w:top w:val="single" w:color="000000" w:sz="4" w:space="0"/>
              <w:left w:val="single" w:color="000000" w:sz="4" w:space="0"/>
              <w:bottom w:val="single" w:color="000000" w:sz="4" w:space="0"/>
              <w:right w:val="single" w:color="000000" w:sz="4" w:space="0"/>
            </w:tcBorders>
            <w:noWrap w:val="0"/>
            <w:vAlign w:val="center"/>
          </w:tcPr>
          <w:p w14:paraId="1878D4B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4606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0560F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51" w:type="dxa"/>
            <w:gridSpan w:val="8"/>
            <w:tcBorders>
              <w:top w:val="single" w:color="000000" w:sz="4" w:space="0"/>
              <w:left w:val="single" w:color="000000" w:sz="4" w:space="0"/>
              <w:bottom w:val="single" w:color="000000" w:sz="4" w:space="0"/>
              <w:right w:val="single" w:color="000000" w:sz="4" w:space="0"/>
            </w:tcBorders>
            <w:noWrap w:val="0"/>
            <w:vAlign w:val="center"/>
          </w:tcPr>
          <w:p w14:paraId="599808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竣工并投入使用</w:t>
            </w:r>
          </w:p>
        </w:tc>
      </w:tr>
      <w:tr w14:paraId="2CB41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restart"/>
            <w:tcBorders>
              <w:top w:val="single" w:color="000000" w:sz="4" w:space="0"/>
              <w:left w:val="single" w:color="000000" w:sz="4" w:space="0"/>
              <w:bottom w:val="single" w:color="000000" w:sz="4" w:space="0"/>
            </w:tcBorders>
            <w:noWrap w:val="0"/>
            <w:vAlign w:val="center"/>
          </w:tcPr>
          <w:p w14:paraId="3EEB964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8458BD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714CE6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6DC8025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322057F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50E62F4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1029FC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43DE52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DEFED7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15BF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7C0FD67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restart"/>
            <w:tcBorders>
              <w:top w:val="single" w:color="000000" w:sz="4" w:space="0"/>
              <w:left w:val="single" w:color="000000" w:sz="4" w:space="0"/>
              <w:bottom w:val="single" w:color="000000" w:sz="4" w:space="0"/>
              <w:right w:val="single" w:color="000000" w:sz="4" w:space="0"/>
            </w:tcBorders>
            <w:noWrap w:val="0"/>
            <w:vAlign w:val="center"/>
          </w:tcPr>
          <w:p w14:paraId="3CF7EBC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131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AB3AAE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改造道路</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45236371">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6D773B1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2200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0F66A26">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 xml:space="preserve">米 </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5232AD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E2AEF5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100%</w:t>
            </w:r>
          </w:p>
        </w:tc>
      </w:tr>
      <w:tr w14:paraId="58E8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4841D7B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DF20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E23A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547275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新建停车场</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11C401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2EA4C4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800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62BB3B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平方米</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03B024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66217A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73B6A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09DE6B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0FB8B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1A22C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305117E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达到验收标准</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6F37B1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4D101BE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C6C3F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2B4A0A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655F2C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100%</w:t>
            </w:r>
          </w:p>
        </w:tc>
      </w:tr>
      <w:tr w14:paraId="0DB1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79E9272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ADD1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654AA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632CC73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53A129E8">
            <w:pPr>
              <w:keepNext w:val="0"/>
              <w:keepLines w:val="0"/>
              <w:pageBreakBefore w:val="0"/>
              <w:kinsoku/>
              <w:wordWrap/>
              <w:overflowPunct/>
              <w:topLinePunct w:val="0"/>
              <w:autoSpaceDE/>
              <w:autoSpaceDN/>
              <w:bidi w:val="0"/>
              <w:adjustRightInd/>
              <w:snapToGrid/>
              <w:spacing w:line="300" w:lineRule="exact"/>
              <w:ind w:left="0" w:leftChars="0"/>
              <w:jc w:val="both"/>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54AAD5F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F91243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25F45A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D75548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56F83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507B07F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AE4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79406E5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CE5A73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2023年3月完工</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4121E05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1FD2790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BE400B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206E4E5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2859BD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100%</w:t>
            </w:r>
          </w:p>
        </w:tc>
      </w:tr>
      <w:tr w14:paraId="22415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097F5B2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2589F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140A6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45409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295B757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6965511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5F8BD9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51111E6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AFDD55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7AF10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4EC9D09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7348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4927FE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785B44E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6EE0A00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6E1C08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BFC362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FC74BA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EC9EFC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29CA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4CC933A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restart"/>
            <w:tcBorders>
              <w:top w:val="single" w:color="000000" w:sz="4" w:space="0"/>
              <w:left w:val="single" w:color="000000" w:sz="4" w:space="0"/>
              <w:bottom w:val="single" w:color="000000" w:sz="4" w:space="0"/>
              <w:right w:val="single" w:color="000000" w:sz="4" w:space="0"/>
            </w:tcBorders>
            <w:noWrap w:val="0"/>
            <w:vAlign w:val="center"/>
          </w:tcPr>
          <w:p w14:paraId="5201344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299E071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kern w:val="0"/>
                <w:sz w:val="24"/>
                <w:szCs w:val="24"/>
                <w:u w:val="none"/>
                <w:lang w:val="en-US" w:eastAsia="zh-CN" w:bidi="ar"/>
              </w:rPr>
              <w:t>可持续发展</w:t>
            </w:r>
            <w:r>
              <w:rPr>
                <w:rFonts w:hint="default" w:ascii="Times New Roman" w:hAnsi="Times New Roman" w:eastAsia="宋体" w:cs="Times New Roman"/>
                <w:i w:val="0"/>
                <w:color w:val="000000"/>
                <w:kern w:val="0"/>
                <w:sz w:val="24"/>
                <w:szCs w:val="24"/>
                <w:u w:val="none"/>
                <w:lang w:val="en-US" w:eastAsia="zh-CN" w:bidi="ar"/>
              </w:rPr>
              <w:t>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AA5B0E2">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改善城区基础设施条件</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5FB49A0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14547B2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95</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8F62BC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E9569B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373F68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100%</w:t>
            </w:r>
          </w:p>
        </w:tc>
      </w:tr>
      <w:tr w14:paraId="3F94F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2AB8F65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7555A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1E79F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99ACAB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0B6AD4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76119B0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90CD6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3D6676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DDAC43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3CD89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6D7EEA2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CF19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restart"/>
            <w:tcBorders>
              <w:top w:val="single" w:color="000000" w:sz="4" w:space="0"/>
              <w:left w:val="single" w:color="000000" w:sz="4" w:space="0"/>
              <w:right w:val="single" w:color="000000" w:sz="4" w:space="0"/>
            </w:tcBorders>
            <w:noWrap w:val="0"/>
            <w:vAlign w:val="center"/>
          </w:tcPr>
          <w:p w14:paraId="49BDFD9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4C26B87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A42F32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群众幸福值</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3A97DB7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413394D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97</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0CA85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64ECE0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34097E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98%</w:t>
            </w:r>
          </w:p>
        </w:tc>
      </w:tr>
      <w:tr w14:paraId="1512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35CD5A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3960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right w:val="single" w:color="000000" w:sz="4" w:space="0"/>
            </w:tcBorders>
            <w:noWrap w:val="0"/>
            <w:vAlign w:val="center"/>
          </w:tcPr>
          <w:p w14:paraId="7D7324A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59F22D9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1B2D94E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CF20C1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F4425E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042A468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2CB72C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DC03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24D55F7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8931C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29ED76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7DBFF97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1872F40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EA5838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309898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DE25D7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59B03B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240C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63707EF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tcBorders>
              <w:top w:val="single" w:color="000000" w:sz="4" w:space="0"/>
              <w:left w:val="single" w:color="000000" w:sz="4" w:space="0"/>
              <w:right w:val="single" w:color="000000" w:sz="4" w:space="0"/>
            </w:tcBorders>
            <w:noWrap w:val="0"/>
            <w:vAlign w:val="center"/>
          </w:tcPr>
          <w:p w14:paraId="0533470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2F3EE72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45" w:type="dxa"/>
            <w:tcBorders>
              <w:top w:val="single" w:color="000000" w:sz="4" w:space="0"/>
              <w:left w:val="single" w:color="000000" w:sz="4" w:space="0"/>
              <w:right w:val="single" w:color="000000" w:sz="4" w:space="0"/>
            </w:tcBorders>
            <w:noWrap w:val="0"/>
            <w:vAlign w:val="center"/>
          </w:tcPr>
          <w:p w14:paraId="3F04B25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19BE704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BF7A00F">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受益群众满意度</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5946B14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20E50CD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97</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305F8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37896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11A0BF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100%</w:t>
            </w:r>
          </w:p>
        </w:tc>
      </w:tr>
      <w:tr w14:paraId="2D741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39291DB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7F09D5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EDBE19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368A9AB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09" w:type="dxa"/>
            <w:tcBorders>
              <w:top w:val="single" w:color="000000" w:sz="4" w:space="0"/>
              <w:bottom w:val="single" w:color="000000" w:sz="4" w:space="0"/>
              <w:right w:val="single" w:color="000000" w:sz="4" w:space="0"/>
            </w:tcBorders>
            <w:noWrap w:val="0"/>
            <w:vAlign w:val="center"/>
          </w:tcPr>
          <w:p w14:paraId="743A2EE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实际投入成本</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0B53787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7758773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仿宋_GB2312"/>
                <w:color w:val="0000FF"/>
                <w:sz w:val="21"/>
                <w:szCs w:val="21"/>
                <w:lang w:val="en-US" w:eastAsia="zh-CN"/>
              </w:rPr>
              <w:t>1299.756811</w:t>
            </w:r>
            <w:r>
              <w:rPr>
                <w:rFonts w:hint="eastAsia" w:ascii="仿宋_GB2312" w:hAnsi="Times New Roman" w:cs="Times New Roman"/>
                <w:sz w:val="21"/>
                <w:szCs w:val="21"/>
                <w:lang w:val="en-US" w:eastAsia="zh-CN"/>
              </w:rPr>
              <w:t>万元</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455CF7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D70C0A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8104E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100%</w:t>
            </w:r>
          </w:p>
        </w:tc>
      </w:tr>
    </w:tbl>
    <w:p w14:paraId="5F75CD69"/>
    <w:p w14:paraId="23DA84C7">
      <w:pPr>
        <w:pStyle w:val="7"/>
        <w:numPr>
          <w:ilvl w:val="0"/>
          <w:numId w:val="0"/>
        </w:numPr>
      </w:pPr>
    </w:p>
    <w:p w14:paraId="4A93FDE6">
      <w:pPr>
        <w:pStyle w:val="7"/>
        <w:rPr>
          <w:rFonts w:hint="eastAsia" w:ascii="仿宋" w:hAnsi="仿宋" w:eastAsia="仿宋" w:cs="仿宋"/>
        </w:rPr>
      </w:pPr>
    </w:p>
    <w:p w14:paraId="6E8926F4">
      <w:pPr>
        <w:pStyle w:val="7"/>
        <w:rPr>
          <w:rFonts w:hint="eastAsia" w:ascii="仿宋" w:hAnsi="仿宋" w:eastAsia="仿宋" w:cs="仿宋"/>
        </w:rPr>
      </w:pPr>
    </w:p>
    <w:p w14:paraId="55CBF8AD">
      <w:pPr>
        <w:pStyle w:val="7"/>
        <w:rPr>
          <w:rFonts w:hint="eastAsia" w:ascii="仿宋" w:hAnsi="仿宋" w:eastAsia="仿宋" w:cs="仿宋"/>
        </w:rPr>
      </w:pPr>
    </w:p>
    <w:p w14:paraId="46A4360E">
      <w:pPr>
        <w:pStyle w:val="7"/>
        <w:rPr>
          <w:rFonts w:hint="eastAsia" w:ascii="仿宋" w:hAnsi="仿宋" w:eastAsia="仿宋" w:cs="仿宋"/>
        </w:rPr>
      </w:pPr>
    </w:p>
    <w:p w14:paraId="063FA92B">
      <w:pPr>
        <w:pStyle w:val="7"/>
        <w:numPr>
          <w:ilvl w:val="0"/>
          <w:numId w:val="0"/>
        </w:numPr>
      </w:pPr>
    </w:p>
    <w:p w14:paraId="501294DF">
      <w:pPr>
        <w:pStyle w:val="7"/>
        <w:rPr>
          <w:rFonts w:hint="eastAsia"/>
        </w:rPr>
      </w:pPr>
    </w:p>
    <w:p w14:paraId="19BEE73F">
      <w:pPr>
        <w:pStyle w:val="7"/>
        <w:numPr>
          <w:ilvl w:val="0"/>
          <w:numId w:val="0"/>
        </w:num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CEE765-5E31-4B3C-8A01-8D662F2CC2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C55FFDB6-B563-4204-BA2B-2AAE7634E6B8}"/>
  </w:font>
  <w:font w:name="仿宋">
    <w:panose1 w:val="02010609060101010101"/>
    <w:charset w:val="86"/>
    <w:family w:val="modern"/>
    <w:pitch w:val="default"/>
    <w:sig w:usb0="800002BF" w:usb1="38CF7CFA" w:usb2="00000016" w:usb3="00000000" w:csb0="00040001" w:csb1="00000000"/>
    <w:embedRegular r:id="rId3" w:fontKey="{E3BB5964-4026-4887-859C-E23798643D7A}"/>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embedRegular r:id="rId4" w:fontKey="{0FBD2732-2510-40B4-98E1-A826777840D8}"/>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embedRegular r:id="rId5" w:fontKey="{8C530E4B-4EF4-4011-9B0E-5E9777135CDD}"/>
  </w:font>
  <w:font w:name="方正小标宋_GBK">
    <w:altName w:val="微软雅黑"/>
    <w:panose1 w:val="03000509000000000000"/>
    <w:charset w:val="86"/>
    <w:family w:val="auto"/>
    <w:pitch w:val="default"/>
    <w:sig w:usb0="00000000" w:usb1="00000000" w:usb2="00000000" w:usb3="00000000" w:csb0="00040000" w:csb1="00000000"/>
    <w:embedRegular r:id="rId6" w:fontKey="{0886D332-A12B-4476-B0A8-DEF3FD2282E9}"/>
  </w:font>
  <w:font w:name="方正小标宋简体">
    <w:altName w:val="方正舒体"/>
    <w:panose1 w:val="03000509000000000000"/>
    <w:charset w:val="86"/>
    <w:family w:val="script"/>
    <w:pitch w:val="default"/>
    <w:sig w:usb0="00000000" w:usb1="00000000" w:usb2="00000000" w:usb3="00000000" w:csb0="00040000" w:csb1="00000000"/>
    <w:embedRegular r:id="rId7" w:fontKey="{FD9E0341-AF72-46E5-8181-651FD2255B06}"/>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8" w:fontKey="{9FB021FC-B8A9-423E-93AC-3BA41EEF44D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dit="readOnly" w:enforcement="0"/>
  <w:defaultTabStop w:val="420"/>
  <w:drawingGridHorizontalSpacing w:val="16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MGQ4ZjUxZGMwZDdmZjZlZGU2ZmIyNWU5NWEwZjgifQ=="/>
  </w:docVars>
  <w:rsids>
    <w:rsidRoot w:val="00000000"/>
    <w:rsid w:val="07876763"/>
    <w:rsid w:val="08377374"/>
    <w:rsid w:val="0D341D17"/>
    <w:rsid w:val="10766464"/>
    <w:rsid w:val="18E71188"/>
    <w:rsid w:val="1CB7118B"/>
    <w:rsid w:val="1FED72F9"/>
    <w:rsid w:val="22C34F08"/>
    <w:rsid w:val="233A2855"/>
    <w:rsid w:val="28A47A5B"/>
    <w:rsid w:val="2C521AB8"/>
    <w:rsid w:val="2D107F17"/>
    <w:rsid w:val="32F96961"/>
    <w:rsid w:val="3AF46B4A"/>
    <w:rsid w:val="3D951E24"/>
    <w:rsid w:val="4230498B"/>
    <w:rsid w:val="45116913"/>
    <w:rsid w:val="47BC567F"/>
    <w:rsid w:val="48A43433"/>
    <w:rsid w:val="49F91133"/>
    <w:rsid w:val="4D275037"/>
    <w:rsid w:val="51E16545"/>
    <w:rsid w:val="5736447E"/>
    <w:rsid w:val="5A06033E"/>
    <w:rsid w:val="5C4A37A1"/>
    <w:rsid w:val="612358BE"/>
    <w:rsid w:val="687731D1"/>
    <w:rsid w:val="69C135AB"/>
    <w:rsid w:val="69F76CF7"/>
    <w:rsid w:val="6D086049"/>
    <w:rsid w:val="6D8A215B"/>
    <w:rsid w:val="6DC55C3F"/>
    <w:rsid w:val="7085560C"/>
    <w:rsid w:val="712574F0"/>
    <w:rsid w:val="71DD2367"/>
    <w:rsid w:val="74AF778B"/>
    <w:rsid w:val="74F77C06"/>
    <w:rsid w:val="753766D7"/>
    <w:rsid w:val="771542E1"/>
    <w:rsid w:val="779E1BF0"/>
    <w:rsid w:val="78C12455"/>
    <w:rsid w:val="7A080BEF"/>
    <w:rsid w:val="7A6C0BF4"/>
    <w:rsid w:val="7A743020"/>
    <w:rsid w:val="7CFA6F64"/>
    <w:rsid w:val="7E5536A5"/>
    <w:rsid w:val="7E575B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bCs/>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styleId="6">
    <w:name w:val="Body Text"/>
    <w:basedOn w:val="1"/>
    <w:qFormat/>
    <w:uiPriority w:val="0"/>
    <w:pPr>
      <w:spacing w:after="120"/>
    </w:pPr>
  </w:style>
  <w:style w:type="paragraph" w:styleId="7">
    <w:name w:val="Body Text Indent 2"/>
    <w:basedOn w:val="1"/>
    <w:unhideWhenUsed/>
    <w:qFormat/>
    <w:uiPriority w:val="0"/>
    <w:pPr>
      <w:spacing w:after="120" w:line="480" w:lineRule="auto"/>
      <w:ind w:left="420" w:leftChars="200"/>
    </w:p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qFormat/>
    <w:uiPriority w:val="0"/>
    <w:pPr>
      <w:ind w:firstLine="200" w:firstLineChars="200"/>
    </w:pPr>
    <w:rPr>
      <w:rFonts w:eastAsia="宋体" w:cs="Calibri"/>
      <w:sz w:val="21"/>
      <w:szCs w:val="21"/>
    </w:rPr>
  </w:style>
  <w:style w:type="paragraph" w:customStyle="1" w:styleId="14">
    <w:name w:val="Char Char Char Char1"/>
    <w:basedOn w:val="1"/>
    <w:qFormat/>
    <w:uiPriority w:val="0"/>
    <w:rPr>
      <w:rFonts w:ascii="Times New Roman" w:hAnsi="Times New Roman" w:eastAsia="宋体"/>
      <w:szCs w:val="21"/>
    </w:rPr>
  </w:style>
  <w:style w:type="character" w:customStyle="1" w:styleId="15">
    <w:name w:val="NormalCharacter"/>
    <w:qFormat/>
    <w:uiPriority w:val="0"/>
    <w:rPr>
      <w:rFonts w:ascii="仿宋_GB2312"/>
      <w:b/>
      <w:sz w:val="30"/>
      <w:szCs w:val="32"/>
    </w:rPr>
  </w:style>
  <w:style w:type="paragraph" w:customStyle="1" w:styleId="16">
    <w:name w:val="NormalIndent"/>
    <w:next w:val="8"/>
    <w:qFormat/>
    <w:uiPriority w:val="0"/>
    <w:pPr>
      <w:widowControl w:val="0"/>
      <w:ind w:firstLine="200" w:firstLineChars="200"/>
      <w:jc w:val="both"/>
    </w:pPr>
    <w:rPr>
      <w:rFonts w:ascii="Times New Roman" w:hAnsi="Times New Roman" w:eastAsia="仿宋_GB2312" w:cs="Times New Roman"/>
      <w:kern w:val="2"/>
      <w:sz w:val="32"/>
      <w:szCs w:val="32"/>
      <w:lang w:val="en-US" w:eastAsia="zh-CN" w:bidi="ar-SA"/>
    </w:rPr>
  </w:style>
  <w:style w:type="paragraph" w:customStyle="1" w:styleId="17">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8</Pages>
  <Words>2809</Words>
  <Characters>2991</Characters>
  <Lines>130</Lines>
  <Paragraphs>63</Paragraphs>
  <TotalTime>7</TotalTime>
  <ScaleCrop>false</ScaleCrop>
  <LinksUpToDate>false</LinksUpToDate>
  <CharactersWithSpaces>3048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2021-07-05T09:32:00Z</dcterms:created>
  <dc:creator>Administrator</dc:creator>
  <cp:lastModifiedBy>高旭玲</cp:lastModifiedBy>
  <cp:lastPrinted>2021-10-11T01:34:00Z</cp:lastPrinted>
  <dcterms:modified xsi:type="dcterms:W3CDTF">2025-05-12T01:08:30Z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3FA9A69816164429BFFA06D4C280CF71_13</vt:lpwstr>
  </property>
  <property fmtid="{D5CDD505-2E9C-101B-9397-08002B2CF9AE}" pid="4" name="KSOTemplateDocerSaveRecord">
    <vt:lpwstr>eyJoZGlkIjoiNTNkNmE4MDViMzg0YjlkMzYzNTgxMzI1MzJhNDZlMjAiLCJ1c2VySWQiOiIxNjA4NDcyNDUxIn0=</vt:lpwstr>
  </property>
</Properties>
</file>