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DA620">
      <w:pPr>
        <w:jc w:val="center"/>
        <w:rPr>
          <w:rFonts w:hint="eastAsia" w:ascii="Times New Roman" w:hAnsi="Times New Roman" w:eastAsia="仿宋_GB2312" w:cs="Times New Roman"/>
          <w:color w:val="auto"/>
          <w:kern w:val="2"/>
          <w:sz w:val="52"/>
          <w:szCs w:val="5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52"/>
          <w:szCs w:val="52"/>
          <w:lang w:val="en-US" w:eastAsia="zh-CN" w:bidi="ar-SA"/>
        </w:rPr>
        <w:t>观音桥生活垃圾无害化处理站</w:t>
      </w:r>
    </w:p>
    <w:p w14:paraId="16B30237">
      <w:pPr>
        <w:jc w:val="center"/>
        <w:rPr>
          <w:rFonts w:hint="eastAsia" w:ascii="Times New Roman" w:hAnsi="Times New Roman" w:eastAsia="仿宋_GB2312" w:cs="Times New Roman"/>
          <w:color w:val="auto"/>
          <w:kern w:val="2"/>
          <w:sz w:val="52"/>
          <w:szCs w:val="5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52"/>
          <w:szCs w:val="52"/>
          <w:lang w:val="en-US" w:eastAsia="zh-CN" w:bidi="ar-SA"/>
        </w:rPr>
        <w:t>项目</w:t>
      </w:r>
      <w:r>
        <w:rPr>
          <w:rFonts w:hint="default" w:ascii="Times New Roman" w:hAnsi="Times New Roman" w:eastAsia="仿宋_GB2312" w:cs="Times New Roman"/>
          <w:color w:val="auto"/>
          <w:kern w:val="2"/>
          <w:sz w:val="52"/>
          <w:szCs w:val="52"/>
          <w:lang w:val="en-US" w:eastAsia="zh-CN" w:bidi="ar-SA"/>
        </w:rPr>
        <w:t>专项预算绩效自评报告</w:t>
      </w:r>
    </w:p>
    <w:p w14:paraId="3B2621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firstLine="640" w:firstLineChars="200"/>
        <w:textAlignment w:val="auto"/>
        <w:rPr>
          <w:rFonts w:ascii="黑体" w:hAnsi="宋体" w:eastAsia="黑体"/>
          <w:highlight w:val="none"/>
          <w:lang w:val="zh-CN"/>
        </w:rPr>
      </w:pPr>
      <w:r>
        <w:rPr>
          <w:rFonts w:hint="eastAsia" w:ascii="黑体" w:hAnsi="宋体" w:eastAsia="黑体"/>
          <w:highlight w:val="none"/>
        </w:rPr>
        <w:t>一、</w:t>
      </w:r>
      <w:r>
        <w:rPr>
          <w:rFonts w:hint="eastAsia" w:ascii="黑体" w:hAnsi="宋体" w:eastAsia="黑体"/>
          <w:highlight w:val="none"/>
          <w:lang w:val="zh-CN"/>
        </w:rPr>
        <w:t>项目概况</w:t>
      </w:r>
    </w:p>
    <w:p w14:paraId="7585611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firstLine="643" w:firstLineChars="200"/>
        <w:contextualSpacing/>
        <w:jc w:val="left"/>
        <w:textAlignment w:val="auto"/>
        <w:rPr>
          <w:rFonts w:hint="eastAsia" w:ascii="楷体_GB2312" w:hAnsi="宋体" w:eastAsia="楷体_GB2312"/>
          <w:b/>
          <w:color w:val="auto"/>
          <w:sz w:val="32"/>
          <w:szCs w:val="32"/>
          <w:highlight w:val="none"/>
          <w:u w:val="none"/>
          <w:lang w:val="zh-CN"/>
        </w:rPr>
      </w:pPr>
      <w:r>
        <w:rPr>
          <w:rFonts w:hint="eastAsia" w:ascii="楷体_GB2312" w:hAnsi="宋体" w:eastAsia="楷体_GB2312"/>
          <w:b/>
          <w:color w:val="auto"/>
          <w:sz w:val="32"/>
          <w:szCs w:val="32"/>
          <w:highlight w:val="none"/>
          <w:u w:val="none"/>
          <w:lang w:val="zh-CN"/>
        </w:rPr>
        <w:t>（一）设立背景及基本情况。</w:t>
      </w:r>
    </w:p>
    <w:p w14:paraId="1BE32EAF">
      <w:pPr>
        <w:adjustRightInd w:val="0"/>
        <w:snapToGrid w:val="0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1.</w:t>
      </w:r>
      <w:r>
        <w:rPr>
          <w:rFonts w:hint="eastAsia" w:cs="Times New Roman"/>
          <w:color w:val="auto"/>
        </w:rPr>
        <w:t>近年来，观音桥镇不断加大环境整治力度，全镇共建垃圾池 63处，安放垃圾桶56 个，垃圾清运车2台，保洁员25名，当前基本保证垃圾不落地，做到“目产日清”。但因到县城运距远，目前又只有1座露天垃圾集中收集点，垃圾处理方式较为简单，主要是先焚烧后填埋，焚烧过程中产生二次污染。</w:t>
      </w:r>
      <w:r>
        <w:rPr>
          <w:rFonts w:hint="eastAsia" w:ascii="仿宋_GB2312" w:hAnsi="仿宋_GB2312" w:eastAsia="仿宋_GB2312" w:cs="仿宋_GB2312"/>
          <w:sz w:val="32"/>
          <w:szCs w:val="32"/>
        </w:rPr>
        <w:t>州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县政府</w:t>
      </w:r>
      <w:r>
        <w:rPr>
          <w:rFonts w:hint="eastAsia" w:ascii="仿宋_GB2312" w:hAnsi="仿宋_GB2312" w:eastAsia="仿宋_GB2312" w:cs="仿宋_GB2312"/>
          <w:sz w:val="32"/>
          <w:szCs w:val="32"/>
        </w:rPr>
        <w:t>高度重视，改善本地区人居环境，促进经济社会的良好发展，为旅游业发展打下坚实基础。</w:t>
      </w:r>
    </w:p>
    <w:p w14:paraId="25CD040A">
      <w:pPr>
        <w:pStyle w:val="2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此外，观音桥镇也是317国道上重要的补给站，镇上有较全的行业。住宿，酒店，汽修，超市，饭店等，是途径317国道，司机，游客等人群的重要物资保障点。人流量带来的必然是垃圾和废水的增长，为了场镇的长远发展，规划一个现代化工艺的垃圾处理站是时代的需要，也是发展的需要。</w:t>
      </w:r>
    </w:p>
    <w:p w14:paraId="53E63A2C">
      <w:pPr>
        <w:adjustRightInd w:val="0"/>
        <w:snapToGrid w:val="0"/>
        <w:spacing w:line="520" w:lineRule="exact"/>
        <w:ind w:firstLine="640" w:firstLineChars="200"/>
        <w:rPr>
          <w:rFonts w:hint="default" w:eastAsia="仿宋_GB2312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本项目建设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拟新建垃圾热解气化处理站一座，日处理垃圾能力为20t，占地3000平方米。其中1200平方米的生产用房、400平方米的配套管理用房及附属用房。新建垃圾临时推场，观音桥镇、阿科里乡、毛日乡、俄热乡、二嘎里乡五个乡镇的生活垃圾转运设备。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该项目总预算为400万元。</w:t>
      </w:r>
    </w:p>
    <w:p w14:paraId="726CD806">
      <w:pPr>
        <w:adjustRightInd w:val="0"/>
        <w:snapToGrid w:val="0"/>
        <w:spacing w:line="520" w:lineRule="exact"/>
        <w:ind w:firstLine="640" w:firstLineChars="200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/>
          <w:sz w:val="32"/>
          <w:szCs w:val="32"/>
        </w:rPr>
        <w:t>该项目严格按照可行性研究报告实施施工图设计、并经过图审、清单编制、财政评审等环节，并无预算漏项，在本项目实施中采取了设计方案优化、施工组织方案审查、进行风险评估及风险对策等相关措施降低成本实现绩效目标。</w:t>
      </w:r>
    </w:p>
    <w:p w14:paraId="7CB0B4DC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firstLine="643" w:firstLineChars="200"/>
        <w:textAlignment w:val="auto"/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实施目的及支持方向</w:t>
      </w:r>
      <w:r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。</w:t>
      </w:r>
    </w:p>
    <w:p w14:paraId="511DD5BD">
      <w:pPr>
        <w:adjustRightInd w:val="0"/>
        <w:snapToGrid w:val="0"/>
        <w:spacing w:line="520" w:lineRule="exact"/>
        <w:ind w:firstLine="640" w:firstLineChars="200"/>
        <w:rPr>
          <w:rFonts w:hint="eastAsia" w:ascii="楷体_GB2312" w:hAnsi="宋体" w:eastAsia="仿宋_GB2312" w:cs="Times New Roman"/>
          <w:b/>
          <w:color w:val="auto"/>
          <w:sz w:val="32"/>
          <w:szCs w:val="32"/>
          <w:highlight w:val="none"/>
          <w:u w:val="none"/>
          <w:lang w:val="zh-CN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完善乡镇基础设施，实现小城镇可持续发展的需要</w:t>
      </w:r>
      <w:r>
        <w:rPr>
          <w:rFonts w:hint="eastAsia" w:ascii="仿宋_GB2312" w:hAnsi="宋体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改善</w:t>
      </w:r>
      <w:r>
        <w:rPr>
          <w:rFonts w:hint="default" w:ascii="仿宋_GB2312" w:hAnsi="宋体"/>
          <w:sz w:val="32"/>
          <w:szCs w:val="32"/>
        </w:rPr>
        <w:t>观音桥镇</w:t>
      </w:r>
      <w:r>
        <w:rPr>
          <w:rFonts w:hint="eastAsia" w:ascii="仿宋_GB2312" w:hAnsi="宋体" w:eastAsia="仿宋_GB2312"/>
          <w:sz w:val="32"/>
          <w:szCs w:val="32"/>
        </w:rPr>
        <w:t>的乡镇城市面貌</w:t>
      </w:r>
      <w:r>
        <w:rPr>
          <w:rFonts w:hint="default" w:ascii="仿宋_GB2312" w:hAnsi="宋体"/>
          <w:sz w:val="32"/>
          <w:szCs w:val="32"/>
        </w:rPr>
        <w:t>，生态环境</w:t>
      </w:r>
      <w:r>
        <w:rPr>
          <w:rFonts w:hint="eastAsia" w:ascii="仿宋_GB2312" w:hAnsi="宋体"/>
          <w:sz w:val="32"/>
          <w:szCs w:val="32"/>
          <w:lang w:eastAsia="zh-CN"/>
        </w:rPr>
        <w:t>；</w:t>
      </w:r>
      <w:r>
        <w:rPr>
          <w:rFonts w:hint="default" w:ascii="仿宋_GB2312" w:hAnsi="宋体"/>
          <w:sz w:val="32"/>
          <w:szCs w:val="32"/>
        </w:rPr>
        <w:t>提升观音桥镇的生活</w:t>
      </w:r>
      <w:r>
        <w:rPr>
          <w:rFonts w:hint="eastAsia" w:ascii="仿宋_GB2312" w:hAnsi="宋体"/>
          <w:sz w:val="32"/>
          <w:szCs w:val="32"/>
          <w:lang w:val="en-US" w:eastAsia="zh-CN"/>
        </w:rPr>
        <w:t>垃圾</w:t>
      </w:r>
      <w:r>
        <w:rPr>
          <w:rFonts w:hint="default" w:ascii="仿宋_GB2312" w:hAnsi="宋体"/>
          <w:sz w:val="32"/>
          <w:szCs w:val="32"/>
        </w:rPr>
        <w:t>处理能力</w:t>
      </w:r>
      <w:r>
        <w:rPr>
          <w:rFonts w:hint="eastAsia" w:ascii="仿宋_GB2312" w:hAnsi="宋体" w:eastAsia="仿宋_GB2312"/>
          <w:sz w:val="32"/>
          <w:szCs w:val="32"/>
        </w:rPr>
        <w:t>，</w:t>
      </w:r>
      <w:r>
        <w:rPr>
          <w:rFonts w:hint="default" w:ascii="仿宋_GB2312" w:hAnsi="宋体"/>
          <w:sz w:val="32"/>
          <w:szCs w:val="32"/>
        </w:rPr>
        <w:t>改善</w:t>
      </w:r>
      <w:r>
        <w:rPr>
          <w:rFonts w:hint="eastAsia" w:ascii="仿宋_GB2312" w:hAnsi="宋体"/>
          <w:sz w:val="32"/>
          <w:szCs w:val="32"/>
          <w:lang w:val="en-US" w:eastAsia="zh-CN"/>
        </w:rPr>
        <w:t>当地的人居环境</w:t>
      </w:r>
      <w:r>
        <w:rPr>
          <w:rFonts w:hint="eastAsia" w:ascii="仿宋_GB2312" w:hAnsi="宋体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有利于提高乡村居民生活质量</w:t>
      </w:r>
      <w:r>
        <w:rPr>
          <w:rFonts w:hint="eastAsia" w:ascii="仿宋_GB2312" w:hAnsi="宋体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项目的实施是</w:t>
      </w:r>
      <w:r>
        <w:rPr>
          <w:rFonts w:hint="eastAsia" w:ascii="仿宋_GB2312" w:hAnsi="宋体"/>
          <w:sz w:val="32"/>
          <w:szCs w:val="32"/>
          <w:lang w:val="en-US" w:eastAsia="zh-CN"/>
        </w:rPr>
        <w:t>改善环境、提升生活垃圾处理的重要项目</w:t>
      </w:r>
      <w:r>
        <w:rPr>
          <w:rFonts w:hint="eastAsia" w:ascii="仿宋_GB2312" w:hAnsi="宋体" w:eastAsia="仿宋_GB2312"/>
          <w:sz w:val="32"/>
          <w:szCs w:val="32"/>
        </w:rPr>
        <w:t>，有利于改善民生，提高居民生活水平。</w:t>
      </w:r>
    </w:p>
    <w:p w14:paraId="3A63C27B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firstLine="643" w:firstLineChars="200"/>
        <w:contextualSpacing/>
        <w:jc w:val="left"/>
        <w:textAlignment w:val="auto"/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zh-CN" w:eastAsia="zh-CN"/>
        </w:rPr>
      </w:pPr>
      <w:r>
        <w:rPr>
          <w:rFonts w:hint="default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预算安排及分配管理</w:t>
      </w:r>
      <w:r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zh-CN" w:eastAsia="zh-CN"/>
        </w:rPr>
        <w:t>。</w:t>
      </w:r>
    </w:p>
    <w:p w14:paraId="4A4E4AA3">
      <w:pPr>
        <w:adjustRightInd w:val="0"/>
        <w:snapToGrid w:val="0"/>
        <w:spacing w:line="52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val="zh-CN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该项目严格按照</w:t>
      </w:r>
      <w:r>
        <w:rPr>
          <w:rFonts w:hint="eastAsia" w:ascii="仿宋_GB2312" w:hAnsi="宋体"/>
          <w:sz w:val="32"/>
          <w:szCs w:val="32"/>
          <w:lang w:val="en-US" w:eastAsia="zh-CN"/>
        </w:rPr>
        <w:t>观音桥生活垃圾无害化处理站</w:t>
      </w:r>
      <w:r>
        <w:rPr>
          <w:rFonts w:hint="eastAsia" w:ascii="仿宋_GB2312" w:hAnsi="宋体" w:eastAsia="仿宋_GB2312"/>
          <w:sz w:val="32"/>
          <w:szCs w:val="32"/>
        </w:rPr>
        <w:t>建设项目实施方案及</w:t>
      </w:r>
      <w:r>
        <w:rPr>
          <w:rFonts w:hint="eastAsia" w:ascii="仿宋_GB2312" w:hAnsi="宋体"/>
          <w:sz w:val="32"/>
          <w:szCs w:val="32"/>
          <w:lang w:val="en-US" w:eastAsia="zh-CN"/>
        </w:rPr>
        <w:t>观音桥生活垃圾无害化处理站</w:t>
      </w:r>
      <w:r>
        <w:rPr>
          <w:rFonts w:hint="eastAsia" w:ascii="仿宋_GB2312" w:hAnsi="宋体" w:eastAsia="仿宋_GB2312"/>
          <w:sz w:val="32"/>
          <w:szCs w:val="32"/>
        </w:rPr>
        <w:t>建设项目可行性研究报告执行。成立以局长为组长负总责，分管副局长为副组长负主要责任，业务股室长负具体责任的领导小组。委派专人任业主代表，负责日常监管及协调等相关工作</w:t>
      </w:r>
      <w:r>
        <w:rPr>
          <w:rFonts w:hint="eastAsia" w:ascii="仿宋_GB2312" w:hAnsi="宋体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/>
          <w:sz w:val="32"/>
          <w:szCs w:val="32"/>
        </w:rPr>
        <w:t>项目经过五方责任主体验收达到建筑工程施工验收规范、标准，设备试运行合格后达到合格标准。敦促施工单位编制了突发事件应急预案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 w14:paraId="15C91F22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firstLine="643" w:firstLineChars="200"/>
        <w:textAlignment w:val="auto"/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zh-CN" w:eastAsia="zh-CN"/>
        </w:rPr>
      </w:pPr>
      <w:r>
        <w:rPr>
          <w:rFonts w:hint="eastAsia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zh-CN" w:eastAsia="zh-CN"/>
        </w:rPr>
        <w:t>项目绩效目标设置。</w:t>
      </w:r>
    </w:p>
    <w:p w14:paraId="5BC97091">
      <w:pPr>
        <w:adjustRightInd w:val="0"/>
        <w:snapToGrid w:val="0"/>
        <w:spacing w:line="520" w:lineRule="exact"/>
        <w:ind w:firstLine="640" w:firstLineChars="200"/>
        <w:rPr>
          <w:rFonts w:hint="eastAsia" w:ascii="仿宋_GB2312" w:hAnsi="宋体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总绩效目标:该项目的实施将为群众</w:t>
      </w:r>
      <w:r>
        <w:rPr>
          <w:rFonts w:hint="eastAsia" w:ascii="仿宋_GB2312" w:hAnsi="宋体"/>
          <w:sz w:val="32"/>
          <w:szCs w:val="32"/>
          <w:lang w:eastAsia="zh-CN"/>
        </w:rPr>
        <w:t>的</w:t>
      </w:r>
      <w:r>
        <w:rPr>
          <w:rFonts w:hint="eastAsia" w:ascii="仿宋_GB2312" w:hAnsi="宋体"/>
          <w:sz w:val="32"/>
          <w:szCs w:val="32"/>
          <w:lang w:val="en-US" w:eastAsia="zh-CN"/>
        </w:rPr>
        <w:t>生活生产提供更好的环境</w:t>
      </w:r>
      <w:r>
        <w:rPr>
          <w:rFonts w:hint="eastAsia" w:ascii="仿宋_GB2312" w:hAnsi="宋体" w:eastAsia="仿宋_GB2312"/>
          <w:sz w:val="32"/>
          <w:szCs w:val="32"/>
        </w:rPr>
        <w:t>，改善</w:t>
      </w:r>
      <w:r>
        <w:rPr>
          <w:rFonts w:hint="eastAsia" w:ascii="仿宋_GB2312" w:hAnsi="宋体"/>
          <w:sz w:val="32"/>
          <w:szCs w:val="32"/>
          <w:lang w:val="en-US" w:eastAsia="zh-CN"/>
        </w:rPr>
        <w:t>当地的环境</w:t>
      </w:r>
      <w:r>
        <w:rPr>
          <w:rFonts w:hint="eastAsia" w:ascii="仿宋_GB2312" w:hAnsi="宋体" w:eastAsia="仿宋_GB2312"/>
          <w:sz w:val="32"/>
          <w:szCs w:val="32"/>
        </w:rPr>
        <w:t>和</w:t>
      </w:r>
      <w:r>
        <w:rPr>
          <w:rFonts w:hint="eastAsia" w:ascii="仿宋_GB2312" w:hAnsi="宋体"/>
          <w:sz w:val="32"/>
          <w:szCs w:val="32"/>
          <w:lang w:val="en-US" w:eastAsia="zh-CN"/>
        </w:rPr>
        <w:t>提升当地对生活垃圾的处理能力</w:t>
      </w:r>
      <w:r>
        <w:rPr>
          <w:rFonts w:hint="eastAsia" w:ascii="仿宋_GB2312" w:hAnsi="宋体" w:eastAsia="仿宋_GB2312"/>
          <w:sz w:val="32"/>
          <w:szCs w:val="32"/>
        </w:rPr>
        <w:t>，为城市的可持续发展创造基础条件</w:t>
      </w:r>
      <w:r>
        <w:rPr>
          <w:rFonts w:hint="eastAsia" w:ascii="仿宋_GB2312" w:hAnsi="宋体"/>
          <w:sz w:val="32"/>
          <w:szCs w:val="32"/>
          <w:lang w:eastAsia="zh-CN"/>
        </w:rPr>
        <w:t>。</w:t>
      </w:r>
    </w:p>
    <w:p w14:paraId="1E6365C6">
      <w:pPr>
        <w:adjustRightInd w:val="0"/>
        <w:snapToGrid w:val="0"/>
        <w:spacing w:line="52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质量目标：符合现行有效的国家验收质量标准；</w:t>
      </w:r>
    </w:p>
    <w:p w14:paraId="0F9A2F00">
      <w:pPr>
        <w:adjustRightInd w:val="0"/>
        <w:snapToGrid w:val="0"/>
        <w:spacing w:line="52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成本目标：严格按照合同约定金额及相关国家竣工结算要求执行。</w:t>
      </w:r>
    </w:p>
    <w:p w14:paraId="4AEE1E9C">
      <w:pPr>
        <w:adjustRightInd w:val="0"/>
        <w:snapToGrid w:val="0"/>
        <w:spacing w:line="520" w:lineRule="exact"/>
        <w:ind w:firstLine="640" w:firstLineChars="200"/>
        <w:rPr>
          <w:rFonts w:hint="default" w:ascii="楷体_GB2312" w:hAnsi="宋体" w:eastAsia="楷体_GB2312" w:cs="Times New Roman"/>
          <w:b/>
          <w:color w:val="auto"/>
          <w:sz w:val="32"/>
          <w:szCs w:val="32"/>
          <w:highlight w:val="none"/>
          <w:u w:val="none"/>
          <w:lang w:val="zh-CN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满意度指标预测在95%以上。</w:t>
      </w:r>
    </w:p>
    <w:p w14:paraId="4AB0D0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firstLine="640" w:firstLineChars="200"/>
        <w:textAlignment w:val="auto"/>
        <w:outlineLvl w:val="9"/>
        <w:rPr>
          <w:rFonts w:hint="eastAsia" w:ascii="黑体" w:hAnsi="宋体" w:eastAsia="黑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宋体" w:eastAsia="黑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黑体" w:hAnsi="宋体" w:eastAsia="黑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评价实施</w:t>
      </w:r>
    </w:p>
    <w:p w14:paraId="35C98A05">
      <w:pPr>
        <w:adjustRightInd w:val="0"/>
        <w:snapToGrid w:val="0"/>
        <w:spacing w:line="52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该项目的实施将满足群众日益增长的美好生活需要，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实现了</w:t>
      </w:r>
      <w:r>
        <w:rPr>
          <w:rFonts w:hint="eastAsia" w:ascii="仿宋_GB2312" w:hAnsi="宋体" w:eastAsia="仿宋_GB2312"/>
          <w:sz w:val="32"/>
          <w:szCs w:val="32"/>
        </w:rPr>
        <w:t>乡镇基础设施，实现小城镇可持续发展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需要的基础；</w:t>
      </w:r>
      <w:r>
        <w:rPr>
          <w:rFonts w:hint="eastAsia" w:ascii="仿宋_GB2312" w:hAnsi="宋体" w:eastAsia="仿宋_GB2312"/>
          <w:sz w:val="32"/>
          <w:szCs w:val="32"/>
        </w:rPr>
        <w:t>改善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了</w:t>
      </w:r>
      <w:r>
        <w:rPr>
          <w:rFonts w:hint="eastAsia" w:ascii="仿宋_GB2312" w:hAnsi="宋体"/>
          <w:sz w:val="32"/>
          <w:szCs w:val="32"/>
          <w:lang w:val="en-US" w:eastAsia="zh-CN"/>
        </w:rPr>
        <w:t>观音桥镇生活垃圾的处理能力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加速该区域的社会发展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/>
          <w:sz w:val="32"/>
          <w:szCs w:val="32"/>
        </w:rPr>
        <w:t>改善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了</w:t>
      </w:r>
      <w:r>
        <w:rPr>
          <w:rFonts w:hint="eastAsia" w:ascii="仿宋_GB2312" w:hAnsi="宋体"/>
          <w:sz w:val="32"/>
          <w:szCs w:val="32"/>
          <w:lang w:val="en-US" w:eastAsia="zh-CN"/>
        </w:rPr>
        <w:t>生态</w:t>
      </w:r>
      <w:r>
        <w:rPr>
          <w:rFonts w:hint="eastAsia" w:ascii="仿宋_GB2312" w:hAnsi="宋体" w:eastAsia="仿宋_GB2312"/>
          <w:sz w:val="32"/>
          <w:szCs w:val="32"/>
        </w:rPr>
        <w:t>环境，加快</w:t>
      </w:r>
      <w:r>
        <w:rPr>
          <w:rFonts w:hint="eastAsia" w:ascii="仿宋_GB2312" w:hAnsi="宋体"/>
          <w:sz w:val="32"/>
          <w:szCs w:val="32"/>
          <w:lang w:val="en-US" w:eastAsia="zh-CN"/>
        </w:rPr>
        <w:t>观音桥镇</w:t>
      </w:r>
      <w:r>
        <w:rPr>
          <w:rFonts w:hint="eastAsia" w:ascii="仿宋_GB2312" w:hAnsi="宋体" w:eastAsia="仿宋_GB2312"/>
          <w:sz w:val="32"/>
          <w:szCs w:val="32"/>
        </w:rPr>
        <w:t>的</w:t>
      </w:r>
      <w:r>
        <w:rPr>
          <w:rFonts w:hint="eastAsia" w:ascii="仿宋_GB2312" w:hAnsi="宋体"/>
          <w:sz w:val="32"/>
          <w:szCs w:val="32"/>
          <w:lang w:val="en-US" w:eastAsia="zh-CN"/>
        </w:rPr>
        <w:t>环境质量提升</w:t>
      </w:r>
      <w:r>
        <w:rPr>
          <w:rFonts w:hint="eastAsia" w:ascii="仿宋_GB2312" w:hAnsi="宋体" w:eastAsia="仿宋_GB2312"/>
          <w:sz w:val="32"/>
          <w:szCs w:val="32"/>
        </w:rPr>
        <w:t>，改善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宋体" w:eastAsia="仿宋_GB2312"/>
          <w:sz w:val="32"/>
          <w:szCs w:val="32"/>
        </w:rPr>
        <w:t>生活人居环境。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通过</w:t>
      </w:r>
      <w:r>
        <w:rPr>
          <w:rFonts w:hint="eastAsia" w:ascii="仿宋_GB2312" w:hAnsi="宋体" w:eastAsia="仿宋_GB2312"/>
          <w:sz w:val="32"/>
          <w:szCs w:val="32"/>
        </w:rPr>
        <w:t>实地勘察法、座谈调研法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来对</w:t>
      </w:r>
      <w:r>
        <w:rPr>
          <w:rFonts w:hint="eastAsia" w:ascii="仿宋_GB2312" w:hAnsi="宋体"/>
          <w:sz w:val="32"/>
          <w:szCs w:val="32"/>
          <w:lang w:val="en-US" w:eastAsia="zh-CN"/>
        </w:rPr>
        <w:t>项目建设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进行全面分析，及时调整。</w:t>
      </w:r>
      <w:r>
        <w:rPr>
          <w:rFonts w:hint="eastAsia" w:ascii="仿宋_GB2312" w:hAnsi="宋体" w:eastAsia="仿宋_GB2312"/>
          <w:sz w:val="32"/>
          <w:szCs w:val="32"/>
        </w:rPr>
        <w:t>（主要说明实施的计划性，评估内容包括是否制定实施方案或计划，组织机构是否健全，职责分工是否明确，是否有具体的实施时间，是否有明确的工作程序，基础设施条件是否能够有效保障，资金能否足额保证，是否具有相应的质量检查、验收等必要的控制措施或手段，是否有针对突发事件或未知风险的应急措施等）</w:t>
      </w:r>
      <w:r>
        <w:rPr>
          <w:rFonts w:hint="eastAsia" w:ascii="仿宋_GB2312" w:hAnsi="宋体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/>
          <w:sz w:val="32"/>
          <w:szCs w:val="32"/>
        </w:rPr>
        <w:t>项目严格按照</w:t>
      </w:r>
      <w:r>
        <w:rPr>
          <w:rFonts w:hint="eastAsia" w:ascii="仿宋_GB2312" w:hAnsi="宋体"/>
          <w:sz w:val="32"/>
          <w:szCs w:val="32"/>
          <w:lang w:val="en-US" w:eastAsia="zh-CN"/>
        </w:rPr>
        <w:t>观音桥生活垃圾无害化处理站</w:t>
      </w:r>
      <w:r>
        <w:rPr>
          <w:rFonts w:hint="eastAsia" w:ascii="仿宋_GB2312" w:hAnsi="宋体" w:eastAsia="仿宋_GB2312"/>
          <w:sz w:val="32"/>
          <w:szCs w:val="32"/>
        </w:rPr>
        <w:t>建设项目实施方案及</w:t>
      </w:r>
      <w:r>
        <w:rPr>
          <w:rFonts w:hint="eastAsia" w:ascii="仿宋_GB2312" w:hAnsi="宋体"/>
          <w:sz w:val="32"/>
          <w:szCs w:val="32"/>
          <w:lang w:val="en-US" w:eastAsia="zh-CN"/>
        </w:rPr>
        <w:t>观音桥生活垃圾无害化处理站</w:t>
      </w:r>
      <w:r>
        <w:rPr>
          <w:rFonts w:hint="eastAsia" w:ascii="仿宋_GB2312" w:hAnsi="宋体" w:eastAsia="仿宋_GB2312"/>
          <w:sz w:val="32"/>
          <w:szCs w:val="32"/>
        </w:rPr>
        <w:t>建设项目可行性研究报告执行。成立以局长为组长负总责，分管副局长为副组长负主要责任，业务股室长负具体责任的领导小组。委派专人任业主代表，负责日常监管及协调等相关工作。项目经过五方责任主体验收达到建筑工程施工验收规范、标准，设备试运行合格后达到合格标准。敦促施工单位编制了突发事件应急预案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 w14:paraId="0E36BA0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firstLine="640" w:firstLineChars="200"/>
        <w:textAlignment w:val="auto"/>
        <w:rPr>
          <w:rFonts w:hint="eastAsia" w:ascii="黑体" w:hAnsi="宋体" w:eastAsia="黑体"/>
          <w:color w:val="auto"/>
          <w:sz w:val="32"/>
          <w:szCs w:val="32"/>
          <w:highlight w:val="none"/>
          <w:u w:val="none"/>
          <w:lang w:val="zh-CN" w:eastAsia="zh-CN"/>
        </w:rPr>
      </w:pPr>
      <w:r>
        <w:rPr>
          <w:rFonts w:hint="eastAsia" w:ascii="黑体" w:hAnsi="宋体" w:eastAsia="黑体"/>
          <w:color w:val="auto"/>
          <w:sz w:val="32"/>
          <w:szCs w:val="32"/>
          <w:highlight w:val="none"/>
          <w:u w:val="none"/>
          <w:lang w:val="en-US" w:eastAsia="zh-CN"/>
        </w:rPr>
        <w:t>三</w:t>
      </w:r>
      <w:r>
        <w:rPr>
          <w:rFonts w:hint="eastAsia" w:ascii="黑体" w:hAnsi="宋体" w:eastAsia="黑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宋体" w:eastAsia="黑体"/>
          <w:color w:val="auto"/>
          <w:sz w:val="32"/>
          <w:szCs w:val="32"/>
          <w:highlight w:val="none"/>
          <w:u w:val="none"/>
          <w:lang w:eastAsia="zh-CN"/>
        </w:rPr>
        <w:t>绩效分析</w:t>
      </w:r>
    </w:p>
    <w:p w14:paraId="516203D0">
      <w:pPr>
        <w:adjustRightInd w:val="0"/>
        <w:snapToGrid w:val="0"/>
        <w:spacing w:line="52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该项目严格按照可行性研究报告实施施工图设计、并经过图审、清单编制、财政评审等环节，并无预算漏项，预算测算严格遵照《建设项目经济评价方法与参数（第三版）》；建设部关于“概预算编制办法”的规定；《建设工程工程量清单计价规范》（GB50500-2013）；《市政公用工程设计文件编制深度规定》（2013年版）。《四川省建设工程量清单计价定额—市政工程》（2015）；《阿坝州工程造价信息》（2017年4期）；金川县类似工程的建设投资指标；国家有关政策规定及收费标准；川价发【2015】40号等相关文件执行。在本项目实施中采取了设计方案优化、施工组织方案审查、进行风险评估及风险对策等相关措施降低成本实现绩效目标。该项目作为民生项目，县财政已预留支撑该项目后续工作资金，并成立了项目管理小组，对该项目进行全程监督管控，制定了项目实施方案，严格按照方案流程进行施工，确保工程安全顺利完成。该项目建成后将满足</w:t>
      </w:r>
      <w:r>
        <w:rPr>
          <w:rFonts w:hint="eastAsia" w:ascii="仿宋_GB2312" w:hAnsi="宋体"/>
          <w:sz w:val="32"/>
          <w:szCs w:val="32"/>
          <w:lang w:val="en-US" w:eastAsia="zh-CN"/>
        </w:rPr>
        <w:t>观音桥镇污水处理的需求</w:t>
      </w:r>
      <w:r>
        <w:rPr>
          <w:rFonts w:hint="eastAsia" w:ascii="仿宋_GB2312" w:hAnsi="宋体" w:eastAsia="仿宋_GB2312"/>
          <w:sz w:val="32"/>
          <w:szCs w:val="32"/>
        </w:rPr>
        <w:t>，</w:t>
      </w:r>
      <w:r>
        <w:rPr>
          <w:rFonts w:hint="eastAsia" w:ascii="仿宋_GB2312" w:hAnsi="宋体"/>
          <w:sz w:val="32"/>
          <w:szCs w:val="32"/>
          <w:lang w:val="en-US" w:eastAsia="zh-CN"/>
        </w:rPr>
        <w:t>使观音桥镇环境质量得到提升，生活垃圾处理能力得到进一步提升</w:t>
      </w:r>
      <w:r>
        <w:rPr>
          <w:rFonts w:hint="eastAsia" w:ascii="仿宋_GB2312" w:hAnsi="宋体" w:eastAsia="仿宋_GB2312"/>
          <w:sz w:val="32"/>
          <w:szCs w:val="32"/>
        </w:rPr>
        <w:t>。使城市形象进一步提升，使城市空间进一步拓宽。让城市发展面向可持续。</w:t>
      </w:r>
    </w:p>
    <w:p w14:paraId="69905B87">
      <w:pPr>
        <w:numPr>
          <w:ilvl w:val="0"/>
          <w:numId w:val="2"/>
        </w:numPr>
        <w:adjustRightInd w:val="0"/>
        <w:snapToGrid w:val="0"/>
        <w:spacing w:line="520" w:lineRule="exact"/>
        <w:ind w:firstLine="640" w:firstLineChars="200"/>
        <w:rPr>
          <w:rFonts w:hint="eastAsia" w:ascii="黑体" w:hAnsi="宋体" w:eastAsia="黑体"/>
          <w:color w:val="auto"/>
          <w:sz w:val="32"/>
          <w:szCs w:val="32"/>
          <w:highlight w:val="none"/>
          <w:u w:val="none"/>
        </w:rPr>
      </w:pPr>
      <w:r>
        <w:rPr>
          <w:rFonts w:hint="eastAsia" w:ascii="黑体" w:hAnsi="宋体" w:eastAsia="黑体"/>
          <w:color w:val="auto"/>
          <w:sz w:val="32"/>
          <w:szCs w:val="32"/>
          <w:highlight w:val="none"/>
          <w:u w:val="none"/>
        </w:rPr>
        <w:t>评价结论</w:t>
      </w:r>
    </w:p>
    <w:p w14:paraId="5610A869">
      <w:pPr>
        <w:adjustRightInd w:val="0"/>
        <w:snapToGrid w:val="0"/>
        <w:spacing w:line="52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该目标符合金川县</w:t>
      </w:r>
      <w:r>
        <w:rPr>
          <w:rFonts w:ascii="仿宋_GB2312" w:hAnsi="宋体" w:eastAsia="仿宋_GB2312"/>
          <w:sz w:val="32"/>
          <w:szCs w:val="32"/>
        </w:rPr>
        <w:t>新型城镇发展专项规划</w:t>
      </w:r>
      <w:r>
        <w:rPr>
          <w:rFonts w:hint="eastAsia" w:ascii="仿宋_GB2312" w:hAnsi="宋体" w:eastAsia="仿宋_GB2312"/>
          <w:sz w:val="32"/>
          <w:szCs w:val="32"/>
        </w:rPr>
        <w:t>发展要求，与我局城镇建设管理的目标相一致</w:t>
      </w:r>
      <w:r>
        <w:rPr>
          <w:rFonts w:hint="eastAsia" w:ascii="仿宋_GB2312" w:hAnsi="宋体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/>
          <w:sz w:val="32"/>
          <w:szCs w:val="32"/>
        </w:rPr>
        <w:t>产出和效果相关联。满意度指标预测在95%以上。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自评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/>
        </w:rPr>
        <w:t>97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分，优</w:t>
      </w:r>
      <w:r>
        <w:rPr>
          <w:rFonts w:hint="eastAsia" w:ascii="仿宋_GB2312" w:hAnsi="仿宋_GB2312" w:cs="仿宋_GB2312"/>
          <w:bCs/>
          <w:sz w:val="32"/>
          <w:szCs w:val="32"/>
          <w:lang w:eastAsia="zh-CN"/>
        </w:rPr>
        <w:t>。</w:t>
      </w:r>
    </w:p>
    <w:p w14:paraId="6C5C42BD">
      <w:pPr>
        <w:pStyle w:val="3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黑体" w:hAnsi="宋体" w:eastAsia="黑体" w:cs="Times New Roman"/>
          <w:color w:val="auto"/>
          <w:sz w:val="32"/>
          <w:szCs w:val="32"/>
          <w:highlight w:val="none"/>
          <w:u w:val="none"/>
          <w:lang w:eastAsia="zh-CN"/>
        </w:rPr>
      </w:pPr>
      <w:r>
        <w:rPr>
          <w:rFonts w:hint="eastAsia" w:ascii="黑体" w:hAnsi="宋体" w:cs="Times New Roman"/>
          <w:color w:val="auto"/>
          <w:sz w:val="32"/>
          <w:szCs w:val="32"/>
          <w:highlight w:val="none"/>
          <w:u w:val="none"/>
          <w:lang w:eastAsia="zh-CN"/>
        </w:rPr>
        <w:t>五、</w:t>
      </w:r>
      <w:r>
        <w:rPr>
          <w:rFonts w:hint="eastAsia" w:ascii="黑体" w:hAnsi="宋体" w:eastAsia="黑体" w:cs="Times New Roman"/>
          <w:color w:val="auto"/>
          <w:sz w:val="32"/>
          <w:szCs w:val="32"/>
          <w:highlight w:val="none"/>
          <w:u w:val="none"/>
          <w:lang w:eastAsia="zh-CN"/>
        </w:rPr>
        <w:t>存在主要问题</w:t>
      </w:r>
    </w:p>
    <w:p w14:paraId="4747566F">
      <w:pPr>
        <w:pStyle w:val="3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positio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position w:val="0"/>
          <w:sz w:val="32"/>
          <w:szCs w:val="32"/>
          <w:highlight w:val="none"/>
          <w:lang w:val="en-US" w:eastAsia="zh-CN" w:bidi="ar-SA"/>
        </w:rPr>
        <w:t>1制定实施方案及程序还需不断完善。2要制定有针对突发事件或未知风险的应急措施。</w:t>
      </w:r>
    </w:p>
    <w:p w14:paraId="0E8F5097">
      <w:pPr>
        <w:pStyle w:val="3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黑体" w:hAnsi="宋体" w:eastAsia="黑体" w:cs="Times New Roman"/>
          <w:color w:val="auto"/>
          <w:kern w:val="0"/>
          <w:position w:val="3"/>
          <w:sz w:val="32"/>
          <w:szCs w:val="32"/>
          <w:highlight w:val="none"/>
          <w:u w:val="none"/>
          <w:lang w:val="zh-CN" w:eastAsia="zh-CN" w:bidi="ar-SA"/>
        </w:rPr>
      </w:pPr>
      <w:r>
        <w:rPr>
          <w:rFonts w:hint="eastAsia" w:ascii="黑体" w:hAnsi="宋体" w:eastAsia="黑体" w:cs="Times New Roman"/>
          <w:color w:val="auto"/>
          <w:kern w:val="0"/>
          <w:position w:val="3"/>
          <w:sz w:val="32"/>
          <w:szCs w:val="32"/>
          <w:highlight w:val="none"/>
          <w:u w:val="none"/>
          <w:lang w:val="zh-CN" w:eastAsia="zh-CN" w:bidi="ar-SA"/>
        </w:rPr>
        <w:t>六、改进建议</w:t>
      </w:r>
    </w:p>
    <w:p w14:paraId="134A415F">
      <w:pPr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 xml:space="preserve"> </w:t>
      </w:r>
      <w:r>
        <w:rPr>
          <w:rFonts w:hint="eastAsia" w:ascii="仿宋_GB2312" w:hAnsi="仿宋_GB2312" w:cs="仿宋_GB2312"/>
          <w:b w:val="0"/>
          <w:bCs w:val="0"/>
          <w:kern w:val="0"/>
          <w:position w:val="0"/>
          <w:sz w:val="32"/>
          <w:szCs w:val="32"/>
          <w:highlight w:val="none"/>
          <w:lang w:val="en-US" w:eastAsia="zh-CN" w:bidi="ar-SA"/>
        </w:rPr>
        <w:t xml:space="preserve">   </w:t>
      </w:r>
      <w:bookmarkStart w:id="0" w:name="_Hlk110546638"/>
      <w:r>
        <w:rPr>
          <w:rFonts w:hint="eastAsia" w:ascii="仿宋_GB2312" w:hAnsi="仿宋_GB2312" w:eastAsia="仿宋_GB2312" w:cs="仿宋_GB2312"/>
          <w:bCs/>
          <w:sz w:val="32"/>
          <w:szCs w:val="32"/>
        </w:rPr>
        <w:t>按照金川县</w:t>
      </w:r>
      <w:r>
        <w:rPr>
          <w:rFonts w:ascii="仿宋_GB2312" w:hAnsi="宋体" w:eastAsia="仿宋_GB2312"/>
          <w:sz w:val="32"/>
          <w:szCs w:val="32"/>
        </w:rPr>
        <w:t>新型城镇发展专项规划</w:t>
      </w:r>
      <w:r>
        <w:rPr>
          <w:rFonts w:hint="eastAsia" w:ascii="仿宋_GB2312" w:hAnsi="宋体" w:eastAsia="仿宋_GB2312"/>
          <w:sz w:val="32"/>
          <w:szCs w:val="32"/>
        </w:rPr>
        <w:t>要求，建议</w:t>
      </w:r>
      <w:r>
        <w:rPr>
          <w:rFonts w:hint="eastAsia" w:ascii="仿宋_GB2312" w:hAnsi="宋体"/>
          <w:sz w:val="32"/>
          <w:szCs w:val="32"/>
          <w:lang w:eastAsia="zh-CN"/>
        </w:rPr>
        <w:t>：</w:t>
      </w:r>
    </w:p>
    <w:p w14:paraId="647A2F98">
      <w:pPr>
        <w:ind w:firstLine="640" w:firstLineChars="200"/>
        <w:rPr>
          <w:rFonts w:hint="eastAsia" w:ascii="仿宋" w:hAnsi="仿宋" w:eastAsia="仿宋" w:cs="仿宋"/>
          <w:color w:val="auto"/>
          <w:kern w:val="2"/>
          <w:sz w:val="32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24"/>
          <w:lang w:val="en-US" w:eastAsia="zh-CN" w:bidi="ar-SA"/>
        </w:rPr>
        <w:t>1.项目实施前，仍要加大宣传力度，多倾听群众意见，以民生诉求为导向，量体裁衣的谋划项目。</w:t>
      </w:r>
    </w:p>
    <w:p w14:paraId="54A97586">
      <w:pPr>
        <w:pStyle w:val="2"/>
        <w:ind w:firstLine="640" w:firstLineChars="20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24"/>
          <w:lang w:val="en-US" w:eastAsia="zh-CN" w:bidi="ar-SA"/>
        </w:rPr>
        <w:t>2.项目实施中，应实事求是，认真对照项目表以及可研报告进行相关的施工及运行。</w:t>
      </w:r>
    </w:p>
    <w:p w14:paraId="6892B164"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</w:p>
    <w:p w14:paraId="6FABBAF4">
      <w:pPr>
        <w:tabs>
          <w:tab w:val="left" w:pos="1911"/>
        </w:tabs>
        <w:jc w:val="left"/>
        <w:rPr>
          <w:rFonts w:hint="eastAsia" w:ascii="仿宋_GB2312" w:hAnsi="仿宋_GB2312" w:eastAsia="仿宋_GB2312" w:cs="仿宋_GB2312"/>
          <w:b w:val="0"/>
          <w:bCs w:val="0"/>
          <w:kern w:val="0"/>
          <w:position w:val="0"/>
          <w:sz w:val="32"/>
          <w:szCs w:val="32"/>
          <w:highlight w:val="none"/>
          <w:lang w:val="en" w:eastAsia="zh-CN" w:bidi="ar-SA"/>
        </w:rPr>
      </w:pPr>
    </w:p>
    <w:bookmarkEnd w:id="0"/>
    <w:p w14:paraId="0973CD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附表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1</w:t>
      </w:r>
    </w:p>
    <w:p w14:paraId="796A78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8" w:lineRule="exact"/>
        <w:ind w:left="0" w:leftChars="0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0"/>
          <w:szCs w:val="40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0"/>
          <w:szCs w:val="40"/>
          <w:highlight w:val="none"/>
          <w:u w:val="none"/>
          <w:lang w:val="en-US" w:eastAsia="zh-CN"/>
        </w:rPr>
        <w:t>专项</w:t>
      </w: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sz w:val="40"/>
          <w:szCs w:val="40"/>
          <w:highlight w:val="none"/>
          <w:u w:val="none"/>
          <w:lang w:val="en-US" w:eastAsia="zh-CN"/>
        </w:rPr>
        <w:t>预算绩效自评打分表</w:t>
      </w:r>
    </w:p>
    <w:tbl>
      <w:tblPr>
        <w:tblStyle w:val="8"/>
        <w:tblW w:w="1090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65"/>
        <w:gridCol w:w="825"/>
        <w:gridCol w:w="1355"/>
        <w:gridCol w:w="696"/>
        <w:gridCol w:w="5340"/>
        <w:gridCol w:w="732"/>
        <w:gridCol w:w="468"/>
      </w:tblGrid>
      <w:tr w14:paraId="54410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361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vAlign w:val="center"/>
          </w:tcPr>
          <w:p w14:paraId="39C1D1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绩效评价指标</w:t>
            </w:r>
          </w:p>
        </w:tc>
        <w:tc>
          <w:tcPr>
            <w:tcW w:w="5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446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指标解释</w:t>
            </w:r>
          </w:p>
        </w:tc>
        <w:tc>
          <w:tcPr>
            <w:tcW w:w="73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C80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自评得分</w:t>
            </w:r>
          </w:p>
        </w:tc>
        <w:tc>
          <w:tcPr>
            <w:tcW w:w="46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D3F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7410F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456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5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F07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A62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8E5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  <w:p w14:paraId="1148B5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5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460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B5A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344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161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79A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1" w:name="OLE_LINK20" w:colFirst="3" w:colLast="3"/>
            <w:bookmarkStart w:id="2" w:name="OLE_LINK12" w:colFirst="3" w:colLast="3"/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通用指标</w:t>
            </w:r>
          </w:p>
          <w:p w14:paraId="141DEB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（54分）</w:t>
            </w: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6D9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项目决策</w:t>
            </w:r>
          </w:p>
          <w:p w14:paraId="0EF853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（18分）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FDC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决策程序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3D8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107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项目决策程序是否严密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73F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501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0671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954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49A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542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规划论证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0E4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A3C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项目规划论证是否符合中省要求，项目绩效目标设置是否科学合理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988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F46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DD65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0D2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F0B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70D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资金投向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6FD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453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项目资金是否与项目总体规划、相关行业事业发展相匹配，是否聚焦重大任务、重点领域、重点环节和重点项目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73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EFA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0DD0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421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E73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项目管理</w:t>
            </w:r>
          </w:p>
          <w:p w14:paraId="5F6D2E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（18分）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B41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制度办法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2A3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52B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项目制度办法是否体系健全、要素完备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8ED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EEA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AFDC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C4B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925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368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分配管理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5AA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518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项目资金分配因素选取、权重设置、区域分布，项目管理、审批是否符合管理要求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164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CE9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9321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00B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5E5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CA6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绩效监管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444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AF3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管资金、项目、政策是否管绩效，项目绩效监管是否按要求开展，对下指导是否有力有效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263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3D3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D395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8EF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355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</w:t>
            </w:r>
          </w:p>
          <w:p w14:paraId="109D83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（9分）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9F6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预算执行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DFD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3FA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项目资金财政拨付、单位执行和地方配套到位情况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5AC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939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E7E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5F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4F8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FC6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资金使用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CF5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11F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资金使用拨付、项目实施是否符合规定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EB4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F83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6DC7A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144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A74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项目结果</w:t>
            </w:r>
          </w:p>
          <w:p w14:paraId="28255B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（9分）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A70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目标完成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A05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5F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项目是否完成预期目标，实施结果是否与绩效目标相匹配，反映目标实现程度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7E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FA4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4C60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147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D98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611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完成时效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7E5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16E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项目实际完成时间与计划完成时间的比较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DEB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903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FE43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FE8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专用指标</w:t>
            </w:r>
          </w:p>
          <w:p w14:paraId="344A3E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157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产业发展</w:t>
            </w:r>
          </w:p>
          <w:p w14:paraId="4561EF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D02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符合性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341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B7B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项目实施是否与省委省政府支持重点、产业支持政策符合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BC0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9BB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53DD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5D3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B5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4A1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成长性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9D6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284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项目实施对相关企业（机构）成长性的促进作用，主要反映支持对象创新创造创业能力情况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F09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8E0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68842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F6E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73C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72C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经济性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AAD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B70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项目实施对相关企业（机构）主营业务收入、净利润、税收、产量等方面增长情况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FCD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CA6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bookmarkEnd w:id="1"/>
      <w:tr w14:paraId="1BAAD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29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748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民生保障</w:t>
            </w:r>
          </w:p>
          <w:p w14:paraId="19E94A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4EB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区域均衡性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AEF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B3A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项目资金分配体现的均衡公平情况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392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6BD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F3B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393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06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CC2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对象精准性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1AF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9CD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资金实际支持对象是否符合管理要求，是否符合支持对象范围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CAB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6A5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B76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B30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71D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F9E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标准合理性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B87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416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资金实际补贴标准是否符合资金管理办法规定的补助标准，是否及时按标准兑现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527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243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30C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340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DA0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F4B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D77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C57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资金涉及相关受益群体、支持对象的满意度调查访谈情况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0C0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EED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10AA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02A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B2C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</w:t>
            </w:r>
          </w:p>
          <w:p w14:paraId="6B1C73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设施</w:t>
            </w:r>
          </w:p>
          <w:p w14:paraId="1F5D30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35B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在建</w:t>
            </w:r>
          </w:p>
          <w:p w14:paraId="58EF95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6F6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工程进度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64F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644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项目是否达到计划工程进度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641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845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CA515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3D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085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843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552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资金拨付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F30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394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项目是否达到预先确定的资金拨付进度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BD2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C61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DB37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1E9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175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70F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建成</w:t>
            </w:r>
          </w:p>
          <w:p w14:paraId="5365E6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A31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项目验收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87F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6AD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项目验收是否及时合格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823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7FB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28D3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BEF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143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21F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69A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功能实现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81D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72F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项目经济社会功能是否实现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78B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FAF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8F91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B88E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882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587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EDC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后续管护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9F5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2F8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项目后续维护是否实现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16A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A48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01CC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F70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专用指标</w:t>
            </w:r>
          </w:p>
          <w:p w14:paraId="47BAE0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9CB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行政运转</w:t>
            </w:r>
          </w:p>
          <w:p w14:paraId="629410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3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3F7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用途合规性</w:t>
            </w:r>
          </w:p>
        </w:tc>
        <w:tc>
          <w:tcPr>
            <w:tcW w:w="6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A94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DA4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是否按规定用途、适用范围进行本地区专项资金分配</w:t>
            </w:r>
          </w:p>
        </w:tc>
        <w:tc>
          <w:tcPr>
            <w:tcW w:w="73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F5B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1B8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8072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7F9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D94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BC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程序合规性</w:t>
            </w:r>
          </w:p>
        </w:tc>
        <w:tc>
          <w:tcPr>
            <w:tcW w:w="6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F18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C7D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资金管理程序是否符合专项资金管理要求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95A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313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E8F7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C01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C97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41F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标准合规性</w:t>
            </w:r>
          </w:p>
        </w:tc>
        <w:tc>
          <w:tcPr>
            <w:tcW w:w="6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25B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C33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资金分配标准是否符合专项资金管理要求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FFD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36D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6560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31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585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个性指标</w:t>
            </w:r>
          </w:p>
          <w:p w14:paraId="168539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（16分）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0DA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F39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250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根据项目个性自行设定部分指标，反映该项指标执行完成情况。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D8A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58E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966B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31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1BD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41A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满意度指标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C44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5D7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B7A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77B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bookmarkEnd w:id="2"/>
      <w:tr w14:paraId="16C23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3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5C9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扣分项</w:t>
            </w:r>
          </w:p>
          <w:p w14:paraId="427006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5A6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被评价</w:t>
            </w:r>
          </w:p>
          <w:p w14:paraId="08B512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部门配合度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671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402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被评价对象工作配合情况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37D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DD1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EFBD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3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13B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3EA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622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8D2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5A1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859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3F1D4D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8" w:lineRule="exact"/>
        <w:ind w:left="0" w:leftChars="0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0"/>
          <w:szCs w:val="40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sz w:val="40"/>
          <w:szCs w:val="40"/>
          <w:highlight w:val="none"/>
          <w:u w:val="none"/>
          <w:lang w:val="en-US" w:eastAsia="zh-CN"/>
        </w:rPr>
        <w:t>专项预算绩效自评实地踏勘点位清单表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5956"/>
        <w:gridCol w:w="905"/>
      </w:tblGrid>
      <w:tr w14:paraId="3F0B9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312A24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5956" w:type="dxa"/>
            <w:noWrap w:val="0"/>
            <w:vAlign w:val="top"/>
          </w:tcPr>
          <w:p w14:paraId="7054DA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实地踏勘点位</w:t>
            </w:r>
          </w:p>
        </w:tc>
        <w:tc>
          <w:tcPr>
            <w:tcW w:w="905" w:type="dxa"/>
            <w:noWrap w:val="0"/>
            <w:vAlign w:val="top"/>
          </w:tcPr>
          <w:p w14:paraId="154402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31617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25234B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5956" w:type="dxa"/>
            <w:noWrap w:val="0"/>
            <w:vAlign w:val="top"/>
          </w:tcPr>
          <w:p w14:paraId="37013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垃圾处理站厂区</w:t>
            </w:r>
          </w:p>
        </w:tc>
        <w:tc>
          <w:tcPr>
            <w:tcW w:w="905" w:type="dxa"/>
            <w:noWrap w:val="0"/>
            <w:vAlign w:val="top"/>
          </w:tcPr>
          <w:p w14:paraId="56701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233FE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3B5DC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5956" w:type="dxa"/>
            <w:noWrap w:val="0"/>
            <w:vAlign w:val="top"/>
          </w:tcPr>
          <w:p w14:paraId="77BCE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3D6F8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6BE0F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440A9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5956" w:type="dxa"/>
            <w:noWrap w:val="0"/>
            <w:vAlign w:val="top"/>
          </w:tcPr>
          <w:p w14:paraId="78FF8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6D56F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79544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29C267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5956" w:type="dxa"/>
            <w:noWrap w:val="0"/>
            <w:vAlign w:val="top"/>
          </w:tcPr>
          <w:p w14:paraId="44B5C9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7E1082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52000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7C8AD6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5956" w:type="dxa"/>
            <w:noWrap w:val="0"/>
            <w:vAlign w:val="top"/>
          </w:tcPr>
          <w:p w14:paraId="72D688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296F53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191E8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exact"/>
          <w:jc w:val="center"/>
        </w:trPr>
        <w:tc>
          <w:tcPr>
            <w:tcW w:w="1123" w:type="dxa"/>
            <w:noWrap w:val="0"/>
            <w:vAlign w:val="top"/>
          </w:tcPr>
          <w:p w14:paraId="7EF542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5956" w:type="dxa"/>
            <w:noWrap w:val="0"/>
            <w:vAlign w:val="top"/>
          </w:tcPr>
          <w:p w14:paraId="40230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274E19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62598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0CA96B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5956" w:type="dxa"/>
            <w:noWrap w:val="0"/>
            <w:vAlign w:val="top"/>
          </w:tcPr>
          <w:p w14:paraId="1C59F8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647E72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58078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3AF68F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5956" w:type="dxa"/>
            <w:noWrap w:val="0"/>
            <w:vAlign w:val="top"/>
          </w:tcPr>
          <w:p w14:paraId="2B5C86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00F12B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18D05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089595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5956" w:type="dxa"/>
            <w:noWrap w:val="0"/>
            <w:vAlign w:val="top"/>
          </w:tcPr>
          <w:p w14:paraId="284D85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7C0252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1A1CC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53A326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5956" w:type="dxa"/>
            <w:noWrap w:val="0"/>
            <w:vAlign w:val="top"/>
          </w:tcPr>
          <w:p w14:paraId="4F8C21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68454D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3EF2E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7163D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5956" w:type="dxa"/>
            <w:noWrap w:val="0"/>
            <w:vAlign w:val="top"/>
          </w:tcPr>
          <w:p w14:paraId="197CC8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729F1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39389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4D58F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5956" w:type="dxa"/>
            <w:noWrap w:val="0"/>
            <w:vAlign w:val="top"/>
          </w:tcPr>
          <w:p w14:paraId="7F6136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4B5A3E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2BB74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687ABE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13</w:t>
            </w:r>
          </w:p>
        </w:tc>
        <w:tc>
          <w:tcPr>
            <w:tcW w:w="5956" w:type="dxa"/>
            <w:noWrap w:val="0"/>
            <w:vAlign w:val="top"/>
          </w:tcPr>
          <w:p w14:paraId="1B591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7EF0B6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3C9DA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35E42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14</w:t>
            </w:r>
          </w:p>
        </w:tc>
        <w:tc>
          <w:tcPr>
            <w:tcW w:w="5956" w:type="dxa"/>
            <w:noWrap w:val="0"/>
            <w:vAlign w:val="top"/>
          </w:tcPr>
          <w:p w14:paraId="54832C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229A4F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6CC22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1A348D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5956" w:type="dxa"/>
            <w:noWrap w:val="0"/>
            <w:vAlign w:val="top"/>
          </w:tcPr>
          <w:p w14:paraId="510B9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56EFFA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43E13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08F89F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16</w:t>
            </w:r>
          </w:p>
        </w:tc>
        <w:tc>
          <w:tcPr>
            <w:tcW w:w="5956" w:type="dxa"/>
            <w:noWrap w:val="0"/>
            <w:vAlign w:val="top"/>
          </w:tcPr>
          <w:p w14:paraId="72473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7792A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76695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19500F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17</w:t>
            </w:r>
          </w:p>
        </w:tc>
        <w:tc>
          <w:tcPr>
            <w:tcW w:w="5956" w:type="dxa"/>
            <w:noWrap w:val="0"/>
            <w:vAlign w:val="top"/>
          </w:tcPr>
          <w:p w14:paraId="0569CF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7EC57B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3592C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3C4678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18</w:t>
            </w:r>
          </w:p>
        </w:tc>
        <w:tc>
          <w:tcPr>
            <w:tcW w:w="5956" w:type="dxa"/>
            <w:noWrap w:val="0"/>
            <w:vAlign w:val="top"/>
          </w:tcPr>
          <w:p w14:paraId="65E080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240D8A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2E871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45546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19</w:t>
            </w:r>
          </w:p>
        </w:tc>
        <w:tc>
          <w:tcPr>
            <w:tcW w:w="5956" w:type="dxa"/>
            <w:noWrap w:val="0"/>
            <w:vAlign w:val="top"/>
          </w:tcPr>
          <w:p w14:paraId="129468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0EA4A5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54224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535F3C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5956" w:type="dxa"/>
            <w:noWrap w:val="0"/>
            <w:vAlign w:val="top"/>
          </w:tcPr>
          <w:p w14:paraId="58FD7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05F13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</w:tbl>
    <w:p w14:paraId="75388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  <w:t>备注：项目</w:t>
      </w:r>
      <w:r>
        <w:rPr>
          <w:rFonts w:hint="eastAsia" w:eastAsia="宋体" w:cs="Times New Roman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  <w:t>实地踏勘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  <w:t>点位包括县</w:t>
      </w:r>
      <w:r>
        <w:rPr>
          <w:rFonts w:hint="eastAsia" w:eastAsia="宋体" w:cs="Times New Roman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  <w:t>本级及有关项目、单位、公司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  <w:t>等。</w:t>
      </w:r>
    </w:p>
    <w:p w14:paraId="7D7D9A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</w:pPr>
    </w:p>
    <w:p w14:paraId="78B38F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br w:type="page"/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附表</w:t>
      </w:r>
      <w:r>
        <w:rPr>
          <w:rFonts w:hint="eastAsia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3</w:t>
      </w:r>
    </w:p>
    <w:tbl>
      <w:tblPr>
        <w:tblStyle w:val="8"/>
        <w:tblW w:w="1023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2"/>
        <w:gridCol w:w="1081"/>
        <w:gridCol w:w="1250"/>
        <w:gridCol w:w="1312"/>
        <w:gridCol w:w="1127"/>
        <w:gridCol w:w="971"/>
        <w:gridCol w:w="1061"/>
        <w:gridCol w:w="938"/>
        <w:gridCol w:w="1841"/>
      </w:tblGrid>
      <w:tr w14:paraId="00081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  <w:jc w:val="center"/>
        </w:trPr>
        <w:tc>
          <w:tcPr>
            <w:tcW w:w="10233" w:type="dxa"/>
            <w:gridSpan w:val="9"/>
            <w:noWrap w:val="0"/>
            <w:vAlign w:val="center"/>
          </w:tcPr>
          <w:p w14:paraId="39C39E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专项预算项目绩效目标完成情况自评表</w:t>
            </w:r>
          </w:p>
        </w:tc>
      </w:tr>
      <w:tr w14:paraId="441E3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32B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F38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金川县观音桥生活垃圾无害化处理站项目</w:t>
            </w:r>
          </w:p>
        </w:tc>
      </w:tr>
      <w:tr w14:paraId="1D30E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8" w:hRule="atLeast"/>
          <w:jc w:val="center"/>
        </w:trPr>
        <w:tc>
          <w:tcPr>
            <w:tcW w:w="4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DC4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CC0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金川县住房和城乡建设局</w:t>
            </w:r>
          </w:p>
        </w:tc>
      </w:tr>
      <w:tr w14:paraId="1C7858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147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457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市政基础</w:t>
            </w:r>
          </w:p>
        </w:tc>
      </w:tr>
      <w:tr w14:paraId="6ABB2A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E4F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概况</w:t>
            </w: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3A5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中长期规划（名称、文号，仅指</w:t>
            </w:r>
          </w:p>
          <w:p w14:paraId="21E954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常年项目）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944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金发改经信行审[2022]254号</w:t>
            </w:r>
          </w:p>
        </w:tc>
      </w:tr>
      <w:tr w14:paraId="798C7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276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443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资金管理办法（名称、文号）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E16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金财建[2023]92号</w:t>
            </w:r>
          </w:p>
        </w:tc>
      </w:tr>
      <w:tr w14:paraId="315C7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67B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51C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绩效分配方式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F24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因素法</w:t>
            </w:r>
          </w:p>
        </w:tc>
        <w:tc>
          <w:tcPr>
            <w:tcW w:w="20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866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£项目法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9E1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据实据效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FDB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因素法与项目法相结合</w:t>
            </w:r>
          </w:p>
        </w:tc>
      </w:tr>
      <w:tr w14:paraId="77B3FB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D76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408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立项依据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E7F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金发改经信行审[2022]254号</w:t>
            </w:r>
          </w:p>
        </w:tc>
      </w:tr>
      <w:tr w14:paraId="378778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21A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803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使用范围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92C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9AE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D7C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4DD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申报（补助）条件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24C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05A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A3D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520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项目起止年限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DC5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FFAF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73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15C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</w:p>
          <w:p w14:paraId="2C56B5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B8C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年度资金总额：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8E1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righ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1400</w:t>
            </w:r>
          </w:p>
        </w:tc>
      </w:tr>
      <w:tr w14:paraId="4D739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7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9BF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771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其中：财政拨款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90D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righ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F780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7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67F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0ED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其他资金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DFB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righ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BC6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FAA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总体 目标</w:t>
            </w:r>
          </w:p>
        </w:tc>
        <w:tc>
          <w:tcPr>
            <w:tcW w:w="958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3C1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</w:t>
            </w:r>
          </w:p>
        </w:tc>
      </w:tr>
      <w:tr w14:paraId="1DCB2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CD3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8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870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  <w:t>新建垃圾热解气化处理站一座，日处理垃圾能力为20t，改善本地区人居环境，促进经济社会的良好发展，为旅游业发展打下坚实基础</w:t>
            </w:r>
          </w:p>
        </w:tc>
      </w:tr>
      <w:tr w14:paraId="64093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0F059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 指标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6EA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4A5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094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D9C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B3E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1C3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度量单位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FA5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权重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827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实际完成指标值</w:t>
            </w:r>
          </w:p>
        </w:tc>
      </w:tr>
      <w:tr w14:paraId="12DF4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558A2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978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9CC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4E2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  <w:t>新建热解气化站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5CD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DA3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7AA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座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CD9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445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</w:tr>
      <w:tr w14:paraId="36D67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DAAD8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1AA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F12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A41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B22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087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E21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EBC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C07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942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1C895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79E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66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B51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  <w:t>符合现行国家有关标准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508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DE0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A6E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%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9F7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A3A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</w:tr>
      <w:tr w14:paraId="72560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C9520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81A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C13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E60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C4C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0B9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2D5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D63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AD3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EC94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3FC84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37D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DBA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6A5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规定内完成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117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5B9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274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%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84F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A36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</w:tr>
      <w:tr w14:paraId="4DEB0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7EA9A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90F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0A6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ADA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BE5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69F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5C1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2A5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BDB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C1D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7F7EE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321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667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</w:t>
            </w:r>
          </w:p>
          <w:p w14:paraId="0D423C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588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节约资金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C97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≥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C3F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4C8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%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8F1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B09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</w:tr>
      <w:tr w14:paraId="389D20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1E951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A89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FC1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BF9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DC1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2F8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D5E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D1E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117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102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37D5C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58C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417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D3C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  <w:t>为城市的可持续发展创造基础设施条件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30B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定性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33D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优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62E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4C7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DC3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优</w:t>
            </w:r>
          </w:p>
        </w:tc>
      </w:tr>
      <w:tr w14:paraId="7424E7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9D02D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291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</w:t>
            </w:r>
          </w:p>
          <w:p w14:paraId="25ADB0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F14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</w:t>
            </w:r>
          </w:p>
          <w:p w14:paraId="5DA8ED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171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  <w:t>群众对新修垃圾站满意度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EA2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CAE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5E5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%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ECC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47E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</w:tr>
      <w:tr w14:paraId="0B013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DA0EF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303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487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经济成本</w:t>
            </w:r>
          </w:p>
          <w:p w14:paraId="201F27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1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EB9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  <w:t>不超合同价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9B6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≤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530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1400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14B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万元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953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4D2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1400</w:t>
            </w:r>
          </w:p>
        </w:tc>
      </w:tr>
    </w:tbl>
    <w:p w14:paraId="324BBE56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left="0" w:leftChars="0"/>
        <w:textAlignment w:val="auto"/>
        <w:rPr>
          <w:rFonts w:hint="default" w:ascii="Times New Roman" w:hAnsi="Times New Roman" w:eastAsia="黑体" w:cs="Times New Roman"/>
          <w:sz w:val="24"/>
          <w:szCs w:val="24"/>
          <w:highlight w:val="none"/>
          <w:lang w:val="en-US" w:eastAsia="zh-CN"/>
        </w:rPr>
      </w:pPr>
      <w:bookmarkStart w:id="3" w:name="_GoBack"/>
      <w:bookmarkEnd w:id="3"/>
    </w:p>
    <w:p w14:paraId="08EB63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4C3804"/>
    <w:multiLevelType w:val="singleLevel"/>
    <w:tmpl w:val="1F4C380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15CAD66"/>
    <w:multiLevelType w:val="singleLevel"/>
    <w:tmpl w:val="315CAD6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jOTg1MWI0ZTZhOTVhOWJiMTFmOGU0N2MxNzBhNWEifQ=="/>
  </w:docVars>
  <w:rsids>
    <w:rsidRoot w:val="53400347"/>
    <w:rsid w:val="01C670F3"/>
    <w:rsid w:val="037D42AE"/>
    <w:rsid w:val="108B0303"/>
    <w:rsid w:val="1258027C"/>
    <w:rsid w:val="1893050A"/>
    <w:rsid w:val="200A09F1"/>
    <w:rsid w:val="2ACA6BF9"/>
    <w:rsid w:val="3068645B"/>
    <w:rsid w:val="3826612B"/>
    <w:rsid w:val="416C498C"/>
    <w:rsid w:val="454D5C2A"/>
    <w:rsid w:val="53400347"/>
    <w:rsid w:val="75BB6B1C"/>
    <w:rsid w:val="7DB3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qFormat/>
    <w:uiPriority w:val="99"/>
    <w:pPr>
      <w:widowControl/>
      <w:tabs>
        <w:tab w:val="left" w:pos="2160"/>
      </w:tabs>
      <w:spacing w:line="480" w:lineRule="auto"/>
      <w:jc w:val="left"/>
    </w:pPr>
    <w:rPr>
      <w:rFonts w:ascii="楷体_GB2312" w:eastAsia="黑体"/>
      <w:kern w:val="0"/>
      <w:position w:val="3"/>
      <w:sz w:val="20"/>
      <w:szCs w:val="20"/>
      <w:lang w:eastAsia="en-US"/>
    </w:rPr>
  </w:style>
  <w:style w:type="paragraph" w:styleId="4">
    <w:name w:val="Body Text Indent"/>
    <w:basedOn w:val="1"/>
    <w:qFormat/>
    <w:uiPriority w:val="0"/>
    <w:pPr>
      <w:spacing w:after="120"/>
      <w:ind w:leftChars="200"/>
    </w:pPr>
    <w:rPr>
      <w:rFonts w:ascii="仿宋_GB2312"/>
      <w:szCs w:val="32"/>
    </w:rPr>
  </w:style>
  <w:style w:type="paragraph" w:styleId="5">
    <w:name w:val="Body Text Indent 2"/>
    <w:basedOn w:val="1"/>
    <w:semiHidden/>
    <w:qFormat/>
    <w:uiPriority w:val="0"/>
    <w:pPr>
      <w:spacing w:after="120" w:line="480" w:lineRule="auto"/>
      <w:ind w:left="420" w:leftChars="200"/>
    </w:pPr>
    <w:rPr>
      <w:sz w:val="28"/>
      <w:szCs w:val="32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7">
    <w:name w:val="Body Text First Indent 2"/>
    <w:basedOn w:val="4"/>
    <w:unhideWhenUsed/>
    <w:qFormat/>
    <w:uiPriority w:val="99"/>
    <w:pPr>
      <w:ind w:firstLine="420" w:firstLineChars="200"/>
    </w:p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标题 5（有编号）（绿盟科技）"/>
    <w:next w:val="1"/>
    <w:qFormat/>
    <w:uiPriority w:val="99"/>
    <w:pPr>
      <w:keepNext/>
      <w:keepLines/>
      <w:widowControl w:val="0"/>
      <w:spacing w:before="280" w:after="156" w:line="377" w:lineRule="auto"/>
      <w:jc w:val="left"/>
      <w:outlineLvl w:val="4"/>
    </w:pPr>
    <w:rPr>
      <w:rFonts w:ascii="Arial" w:hAnsi="Arial" w:eastAsia="黑体" w:cs="Times New Roman"/>
      <w:b/>
      <w:kern w:val="2"/>
      <w:sz w:val="24"/>
      <w:szCs w:val="28"/>
      <w:lang w:val="en-US" w:eastAsia="zh-CN" w:bidi="ar-SA"/>
    </w:rPr>
  </w:style>
  <w:style w:type="paragraph" w:customStyle="1" w:styleId="12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3632</Words>
  <Characters>3783</Characters>
  <Lines>0</Lines>
  <Paragraphs>0</Paragraphs>
  <TotalTime>2</TotalTime>
  <ScaleCrop>false</ScaleCrop>
  <LinksUpToDate>false</LinksUpToDate>
  <CharactersWithSpaces>3812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2024-08-06T01:52:00Z</dcterms:created>
  <dc:creator>oxgen</dc:creator>
  <cp:lastModifiedBy>高旭玲</cp:lastModifiedBy>
  <cp:lastPrinted>2025-05-14T03:12:28Z</cp:lastPrinted>
  <dcterms:modified xsi:type="dcterms:W3CDTF">2025-05-14T03:12:38Z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1D149783CE064149BCFFA2914CA47124_11</vt:lpwstr>
  </property>
  <property fmtid="{D5CDD505-2E9C-101B-9397-08002B2CF9AE}" pid="4" name="KSOTemplateDocerSaveRecord">
    <vt:lpwstr>eyJoZGlkIjoiNTNkNmE4MDViMzg0YjlkMzYzNTgxMzI1MzJhNDZlMjAiLCJ1c2VySWQiOiIxNjA4NDcyNDUxIn0=</vt:lpwstr>
  </property>
</Properties>
</file>