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E89D4">
      <w:pPr>
        <w:spacing w:line="600" w:lineRule="exact"/>
        <w:rPr>
          <w:rFonts w:ascii="Times New Roman" w:hAnsi="Times New Roman"/>
        </w:rPr>
      </w:pPr>
    </w:p>
    <w:p w14:paraId="2F20058D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</w:pPr>
      <w:bookmarkStart w:id="3" w:name="_GoBack"/>
      <w:r>
        <w:rPr>
          <w:rFonts w:hint="eastAsia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  <w:t>金川县沙尔乡沙耳尼村乡村振兴示范建设项目</w:t>
      </w:r>
      <w:bookmarkStart w:id="0" w:name="_Toc91786692"/>
      <w:r>
        <w:rPr>
          <w:rFonts w:hint="default" w:ascii="Times New Roman" w:hAnsi="Times New Roman" w:eastAsia="仿宋_GB2312" w:cs="Times New Roman"/>
          <w:color w:val="auto"/>
          <w:kern w:val="2"/>
          <w:sz w:val="52"/>
          <w:szCs w:val="52"/>
          <w:lang w:val="en-US" w:eastAsia="zh-CN" w:bidi="ar-SA"/>
        </w:rPr>
        <w:t>专项预算绩效自评报告</w:t>
      </w:r>
    </w:p>
    <w:p w14:paraId="29CC2C89">
      <w:pPr>
        <w:pStyle w:val="1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 w:firstLine="640"/>
        <w:jc w:val="center"/>
        <w:textAlignment w:val="auto"/>
        <w:rPr>
          <w:rFonts w:hint="default" w:ascii="Times New Roman" w:hAnsi="Times New Roman" w:cs="Times New Roman"/>
          <w:color w:val="auto"/>
          <w:kern w:val="2"/>
          <w:sz w:val="32"/>
          <w:szCs w:val="32"/>
          <w:highlight w:val="none"/>
        </w:rPr>
      </w:pPr>
    </w:p>
    <w:p w14:paraId="3157A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highlight w:val="none"/>
          <w:lang w:val="zh-CN"/>
        </w:rPr>
      </w:pPr>
      <w:r>
        <w:rPr>
          <w:rFonts w:hint="default" w:ascii="Times New Roman" w:hAnsi="Times New Roman" w:eastAsia="黑体" w:cs="Times New Roman"/>
          <w:highlight w:val="none"/>
        </w:rPr>
        <w:t>一、</w:t>
      </w:r>
      <w:r>
        <w:rPr>
          <w:rFonts w:hint="default" w:ascii="Times New Roman" w:hAnsi="Times New Roman" w:eastAsia="黑体" w:cs="Times New Roman"/>
          <w:highlight w:val="none"/>
          <w:lang w:val="zh-CN"/>
        </w:rPr>
        <w:t>项目概况</w:t>
      </w:r>
    </w:p>
    <w:p w14:paraId="03B2350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（一）设立背景及基本情况。</w:t>
      </w:r>
      <w:r>
        <w:rPr>
          <w:rFonts w:hint="eastAsia" w:ascii="仿宋" w:hAnsi="仿宋" w:eastAsia="仿宋" w:cs="仿宋"/>
          <w:lang w:val="en-US" w:eastAsia="zh-CN"/>
        </w:rPr>
        <w:t>沙耳乡沙耳尼村和山埂子村环线无道路连通，交通不便，农产品外销困难，梨花红叶旅游发展缓慢，制约当地经济发展。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该项目的实施将为</w:t>
      </w:r>
      <w:r>
        <w:rPr>
          <w:rFonts w:hint="eastAsia" w:ascii="仿宋_GB2312" w:hAnsi="宋体"/>
          <w:sz w:val="32"/>
          <w:szCs w:val="32"/>
          <w:lang w:val="en-US" w:eastAsia="zh-CN"/>
        </w:rPr>
        <w:t>沙耳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群众出行</w:t>
      </w:r>
      <w:r>
        <w:rPr>
          <w:rFonts w:hint="eastAsia" w:ascii="仿宋_GB2312" w:hAnsi="宋体"/>
          <w:sz w:val="32"/>
          <w:szCs w:val="32"/>
          <w:lang w:val="en-US" w:eastAsia="zh-CN"/>
        </w:rPr>
        <w:t>、景区游客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提供便利的交通条件，</w:t>
      </w:r>
      <w:r>
        <w:rPr>
          <w:rFonts w:hint="eastAsia" w:ascii="仿宋_GB2312" w:hAnsi="宋体" w:eastAsia="仿宋_GB2312"/>
          <w:sz w:val="32"/>
          <w:szCs w:val="32"/>
        </w:rPr>
        <w:t>改善人民的生活水平和提高人民的生活质量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/>
          <w:sz w:val="32"/>
          <w:szCs w:val="32"/>
          <w:lang w:val="en-US" w:eastAsia="zh-CN"/>
        </w:rPr>
        <w:t>为沙耳乡</w:t>
      </w:r>
      <w:r>
        <w:rPr>
          <w:rFonts w:hint="eastAsia" w:ascii="仿宋_GB2312" w:hAnsi="宋体" w:eastAsia="仿宋_GB2312"/>
          <w:sz w:val="32"/>
          <w:szCs w:val="32"/>
        </w:rPr>
        <w:t>的可持续发展创造基础条件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，该目标符合金川县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新型</w:t>
      </w:r>
      <w:r>
        <w:rPr>
          <w:rFonts w:hint="default" w:ascii="仿宋_GB2312" w:hAnsi="宋体" w:eastAsia="仿宋_GB2312" w:cs="Times New Roman"/>
          <w:sz w:val="32"/>
          <w:szCs w:val="32"/>
        </w:rPr>
        <w:t>城镇发展</w:t>
      </w:r>
      <w:r>
        <w:rPr>
          <w:rFonts w:hint="default" w:ascii="仿宋_GB2312" w:hAnsi="宋体" w:eastAsia="仿宋_GB2312" w:cs="Times New Roman"/>
          <w:sz w:val="32"/>
          <w:szCs w:val="32"/>
          <w:lang w:eastAsia="zh-CN"/>
        </w:rPr>
        <w:t>专项规划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发展要求</w:t>
      </w:r>
    </w:p>
    <w:p w14:paraId="74B6485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left="0" w:leftChars="0" w:firstLine="643" w:firstLineChars="200"/>
        <w:contextualSpacing/>
        <w:jc w:val="left"/>
        <w:textAlignment w:val="auto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实施目的及支持方向。</w:t>
      </w:r>
      <w:r>
        <w:rPr>
          <w:rFonts w:hint="eastAsia" w:ascii="仿宋" w:hAnsi="仿宋" w:eastAsia="仿宋" w:cs="仿宋"/>
          <w:lang w:val="en-US" w:eastAsia="zh-CN"/>
        </w:rPr>
        <w:t>项目的实施</w:t>
      </w:r>
      <w:r>
        <w:rPr>
          <w:rFonts w:hint="eastAsia" w:ascii="仿宋" w:hAnsi="仿宋" w:eastAsia="仿宋" w:cs="仿宋"/>
        </w:rPr>
        <w:t>加强了乡村与城市的连接，使城市的资金、技术、人才等资源能够更好地向乡村流动，同时乡村的特色产品和劳动力也能有序进入城市市场。有利于缩小城乡之间在基础设施和经济发展上的差距，促进城乡一体化发展进程。</w:t>
      </w:r>
    </w:p>
    <w:p w14:paraId="08845C16">
      <w:pPr>
        <w:ind w:firstLine="643" w:firstLineChars="200"/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（三）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预算安排及分配管理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。</w:t>
      </w:r>
      <w:r>
        <w:rPr>
          <w:rFonts w:hint="eastAsia" w:ascii="仿宋" w:hAnsi="仿宋" w:eastAsia="仿宋" w:cs="仿宋"/>
          <w:lang w:val="en-US" w:eastAsia="zh-CN"/>
        </w:rPr>
        <w:t>中央资金2789.69</w:t>
      </w:r>
      <w:r>
        <w:rPr>
          <w:rFonts w:hint="eastAsia" w:ascii="仿宋" w:hAnsi="仿宋" w:eastAsia="仿宋" w:cs="仿宋"/>
        </w:rPr>
        <w:t>万</w:t>
      </w:r>
      <w:r>
        <w:rPr>
          <w:rFonts w:hint="eastAsia"/>
        </w:rPr>
        <w:t>元</w:t>
      </w:r>
      <w:r>
        <w:rPr>
          <w:rFonts w:hint="eastAsia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新建乡村产业道路 3.7 公里及配套基础设施。</w:t>
      </w:r>
    </w:p>
    <w:p w14:paraId="6B31BE1E">
      <w:pPr>
        <w:ind w:firstLine="643" w:firstLineChars="200"/>
        <w:rPr>
          <w:rFonts w:hint="eastAsia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 w:eastAsia="zh-CN"/>
        </w:rPr>
        <w:t>（四）项目绩效目标设置。</w:t>
      </w:r>
      <w:r>
        <w:rPr>
          <w:rFonts w:hint="eastAsia" w:cs="Times New Roman"/>
        </w:rPr>
        <w:t>产出指标</w:t>
      </w:r>
      <w:r>
        <w:rPr>
          <w:rFonts w:hint="eastAsia" w:cs="Times New Roman"/>
          <w:lang w:eastAsia="zh-CN"/>
        </w:rPr>
        <w:t>：</w:t>
      </w:r>
      <w:r>
        <w:rPr>
          <w:rFonts w:hint="eastAsia" w:ascii="仿宋" w:hAnsi="仿宋" w:eastAsia="仿宋" w:cs="仿宋"/>
        </w:rPr>
        <w:t>新建道路</w:t>
      </w:r>
      <w:r>
        <w:rPr>
          <w:rFonts w:hint="eastAsia" w:ascii="仿宋" w:hAnsi="仿宋" w:eastAsia="仿宋" w:cs="仿宋"/>
          <w:lang w:val="en-US" w:eastAsia="zh-CN"/>
        </w:rPr>
        <w:t>2901</w:t>
      </w:r>
      <w:r>
        <w:rPr>
          <w:rFonts w:hint="eastAsia" w:ascii="仿宋" w:hAnsi="仿宋" w:eastAsia="仿宋" w:cs="仿宋"/>
        </w:rPr>
        <w:t>米,配套完善沿线交安、桥</w:t>
      </w:r>
      <w:r>
        <w:rPr>
          <w:rFonts w:hint="eastAsia" w:ascii="仿宋" w:hAnsi="仿宋" w:eastAsia="仿宋" w:cs="仿宋"/>
          <w:lang w:val="en-US" w:eastAsia="zh-CN"/>
        </w:rPr>
        <w:t>涵</w:t>
      </w:r>
      <w:r>
        <w:rPr>
          <w:rFonts w:hint="eastAsia" w:ascii="仿宋" w:hAnsi="仿宋" w:eastAsia="仿宋" w:cs="仿宋"/>
        </w:rPr>
        <w:t>、照明等相关附属设施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；道路改造</w:t>
      </w:r>
      <w:r>
        <w:rPr>
          <w:rFonts w:hint="eastAsia" w:cs="Times New Roman"/>
        </w:rPr>
        <w:t>完成</w:t>
      </w:r>
      <w:r>
        <w:rPr>
          <w:rFonts w:hint="eastAsia"/>
        </w:rPr>
        <w:t>率</w:t>
      </w:r>
      <w:r>
        <w:rPr>
          <w:rFonts w:hint="eastAsia"/>
          <w:lang w:val="en-US" w:eastAsia="zh-CN"/>
        </w:rPr>
        <w:t>总工程量90</w:t>
      </w:r>
      <w:r>
        <w:rPr>
          <w:rFonts w:hint="eastAsia"/>
        </w:rPr>
        <w:t>%；工程</w:t>
      </w:r>
      <w:r>
        <w:rPr>
          <w:rFonts w:hint="eastAsia"/>
          <w:lang w:val="en-US" w:eastAsia="zh-CN"/>
        </w:rPr>
        <w:t>过程</w:t>
      </w:r>
      <w:r>
        <w:rPr>
          <w:rFonts w:hint="eastAsia"/>
        </w:rPr>
        <w:t>验收合格率≥95%</w:t>
      </w:r>
    </w:p>
    <w:p w14:paraId="5A150371">
      <w:pPr>
        <w:rPr>
          <w:rFonts w:hint="eastAsia"/>
        </w:rPr>
      </w:pPr>
      <w:r>
        <w:rPr>
          <w:rFonts w:hint="eastAsia"/>
        </w:rPr>
        <w:t>效益指标</w:t>
      </w:r>
      <w:r>
        <w:rPr>
          <w:rFonts w:hint="eastAsia"/>
          <w:lang w:eastAsia="zh-CN"/>
        </w:rPr>
        <w:t>：</w:t>
      </w:r>
      <w:r>
        <w:rPr>
          <w:rFonts w:hint="eastAsia"/>
        </w:rPr>
        <w:t>居民满意度≥90%</w:t>
      </w:r>
    </w:p>
    <w:bookmarkEnd w:id="3"/>
    <w:p w14:paraId="20B2340A">
      <w:pPr>
        <w:rPr>
          <w:rFonts w:hint="eastAsia"/>
        </w:rPr>
      </w:pPr>
    </w:p>
    <w:p w14:paraId="52E38EEB">
      <w:pP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  <w:r>
        <w:rPr>
          <w:rFonts w:hint="eastAsia"/>
        </w:rPr>
        <w:t>时效指标</w:t>
      </w:r>
      <w:r>
        <w:rPr>
          <w:rFonts w:hint="eastAsia"/>
          <w:lang w:eastAsia="zh-CN"/>
        </w:rPr>
        <w:t>：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年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 xml:space="preserve">月底前完工率100% </w:t>
      </w:r>
      <w:r>
        <w:rPr>
          <w:rFonts w:hint="eastAsia"/>
          <w:lang w:eastAsia="zh-CN"/>
        </w:rPr>
        <w:t>。</w:t>
      </w:r>
    </w:p>
    <w:p w14:paraId="275F2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outlineLvl w:val="9"/>
        <w:rPr>
          <w:rFonts w:hint="default" w:ascii="Times New Roman" w:hAnsi="Times New Roman" w:eastAsia="黑体" w:cs="Times New Roman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highlight w:val="none"/>
        </w:rPr>
        <w:t>二、</w:t>
      </w:r>
      <w:r>
        <w:rPr>
          <w:rFonts w:hint="default" w:ascii="Times New Roman" w:hAnsi="Times New Roman" w:eastAsia="黑体" w:cs="Times New Roman"/>
          <w:highlight w:val="none"/>
          <w:lang w:eastAsia="zh-CN"/>
        </w:rPr>
        <w:t>评价实施</w:t>
      </w:r>
    </w:p>
    <w:p w14:paraId="0F4E3C9C">
      <w:pPr>
        <w:ind w:firstLine="643" w:firstLineChars="200"/>
        <w:rPr>
          <w:rFonts w:hint="eastAsia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（一）评价目的。</w:t>
      </w:r>
      <w:r>
        <w:rPr>
          <w:rFonts w:hint="eastAsia"/>
        </w:rPr>
        <w:t xml:space="preserve">评估资金使用效益，确保改造工程按期保质完成，提升居民生活品质。  </w:t>
      </w:r>
    </w:p>
    <w:p w14:paraId="0506DF9B">
      <w:pPr>
        <w:ind w:firstLine="643" w:firstLineChars="200"/>
        <w:rPr>
          <w:rFonts w:hint="default" w:ascii="Times New Roman" w:hAnsi="Times New Roman" w:cs="Times New Roman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（二）预设问题及评价重点。</w:t>
      </w:r>
      <w:r>
        <w:rPr>
          <w:rFonts w:hint="eastAsia"/>
        </w:rPr>
        <w:t>资金使用合规性（是否专款专用、有无挪用）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>工程进度与质量（是否按期完工、验收合格率）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居民满意度（改造内容是否符合需求） 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</w:t>
      </w:r>
    </w:p>
    <w:p w14:paraId="602FE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leftChars="0" w:firstLine="643" w:firstLineChars="200"/>
        <w:textAlignment w:val="auto"/>
        <w:rPr>
          <w:rFonts w:hint="default" w:ascii="Times New Roman" w:hAnsi="Times New Roman"/>
          <w:szCs w:val="32"/>
          <w:lang w:val="en-US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（三）评价选点。</w:t>
      </w:r>
      <w:r>
        <w:rPr>
          <w:rFonts w:hint="eastAsia" w:ascii="Times New Roman" w:hAnsi="Times New Roman" w:eastAsia="方正仿宋_GBK" w:cs="Times New Roman"/>
          <w:bCs/>
          <w:kern w:val="2"/>
          <w:sz w:val="32"/>
          <w:szCs w:val="32"/>
          <w:lang w:val="en-US" w:eastAsia="zh-CN" w:bidi="ar-SA"/>
        </w:rPr>
        <w:t>桥函、道路及附属设施。</w:t>
      </w:r>
    </w:p>
    <w:p w14:paraId="5CE68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40" w:lineRule="exact"/>
        <w:ind w:left="0" w:leftChars="0" w:firstLine="643" w:firstLineChars="200"/>
        <w:textAlignment w:val="auto"/>
        <w:rPr>
          <w:rFonts w:hint="default" w:ascii="Times New Roman" w:hAnsi="Times New Roman" w:eastAsia="仿宋_GB2312" w:cs="Times New Roman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（四）评价方法。</w:t>
      </w:r>
      <w:r>
        <w:rPr>
          <w:rFonts w:hint="eastAsia"/>
        </w:rPr>
        <w:t xml:space="preserve"> 案卷研究法：查阅资金拨付记录、施工日志。实地勘察法：随机抽查</w:t>
      </w:r>
      <w:r>
        <w:rPr>
          <w:rFonts w:hint="eastAsia" w:ascii="Times New Roman" w:hAnsi="Times New Roman" w:eastAsia="方正仿宋_GBK" w:cs="Times New Roman"/>
          <w:bCs/>
          <w:kern w:val="2"/>
          <w:sz w:val="32"/>
          <w:szCs w:val="32"/>
          <w:lang w:val="en-US" w:eastAsia="zh-CN" w:bidi="ar-SA"/>
        </w:rPr>
        <w:t>桥梁、道路挡墙</w:t>
      </w:r>
      <w:r>
        <w:rPr>
          <w:rFonts w:hint="eastAsia"/>
        </w:rPr>
        <w:t xml:space="preserve">。 </w:t>
      </w:r>
    </w:p>
    <w:p w14:paraId="103A07E4">
      <w:pPr>
        <w:ind w:firstLine="643" w:firstLineChars="200"/>
        <w:rPr>
          <w:rFonts w:hint="default" w:ascii="Times New Roman" w:hAnsi="Times New Roman" w:eastAsia="仿宋_GB2312" w:cs="Times New Roman"/>
          <w:bCs/>
          <w:lang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（五）评价组织。</w:t>
      </w:r>
      <w:r>
        <w:rPr>
          <w:rFonts w:hint="eastAsia"/>
        </w:rPr>
        <w:t>组长：</w:t>
      </w:r>
      <w:r>
        <w:rPr>
          <w:rFonts w:hint="eastAsia"/>
          <w:lang w:val="en-US" w:eastAsia="zh-CN"/>
        </w:rPr>
        <w:t>县</w:t>
      </w:r>
      <w:r>
        <w:rPr>
          <w:rFonts w:hint="eastAsia"/>
        </w:rPr>
        <w:t>住建局副局长</w:t>
      </w:r>
      <w:r>
        <w:rPr>
          <w:rFonts w:hint="eastAsia"/>
          <w:lang w:val="en-US" w:eastAsia="zh-CN"/>
        </w:rPr>
        <w:t>陈鑫</w:t>
      </w:r>
      <w:r>
        <w:rPr>
          <w:rFonts w:hint="eastAsia"/>
        </w:rPr>
        <w:t>（统筹协调）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 xml:space="preserve"> 组员：财政、审计、社区代表（分工核查）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</w:t>
      </w:r>
    </w:p>
    <w:p w14:paraId="07ABD5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8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sz w:val="32"/>
          <w:szCs w:val="32"/>
          <w:highlight w:val="none"/>
          <w:u w:val="none"/>
          <w:lang w:val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三、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绩效分析</w:t>
      </w: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u w:val="none"/>
          <w:lang w:val="zh-CN"/>
        </w:rPr>
        <w:tab/>
      </w:r>
    </w:p>
    <w:p w14:paraId="1222BA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78" w:lineRule="exact"/>
        <w:ind w:firstLine="640"/>
        <w:textAlignment w:val="auto"/>
        <w:outlineLvl w:val="9"/>
        <w:rPr>
          <w:rFonts w:hint="default" w:ascii="Times New Roman" w:hAnsi="Times New Roman" w:eastAsia="仿宋_GB2312" w:cs="Times New Roman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Cs w:val="32"/>
          <w:lang w:val="zh-CN" w:eastAsia="zh-CN"/>
        </w:rPr>
        <w:t>根据项目预算绩效评价指标体系“通用指标”“专用指标”“个性指标”涉及二、三级指标进行逐项绩效分析并评分</w:t>
      </w:r>
      <w:r>
        <w:rPr>
          <w:rFonts w:hint="default" w:ascii="Times New Roman" w:hAnsi="Times New Roman" w:cs="Times New Roman"/>
          <w:szCs w:val="32"/>
          <w:lang w:val="en-US" w:eastAsia="zh-CN"/>
        </w:rPr>
        <w:t>。</w:t>
      </w:r>
    </w:p>
    <w:p w14:paraId="3E978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（一）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通用指标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</w:p>
    <w:p w14:paraId="4F68EA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eastAsia" w:eastAsia="仿宋_GB231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1.</w:t>
      </w:r>
      <w:r>
        <w:rPr>
          <w:rFonts w:hint="default" w:ascii="Times New Roman" w:hAnsi="Times New Roman" w:eastAsia="楷体_GB2312" w:cs="Times New Roman"/>
          <w:color w:val="auto"/>
          <w:szCs w:val="32"/>
          <w:lang w:eastAsia="zh-CN"/>
        </w:rPr>
        <w:t>项目决策。</w:t>
      </w:r>
      <w:r>
        <w:rPr>
          <w:rFonts w:hint="eastAsia"/>
        </w:rPr>
        <w:t>决策程序合规，资金投向符合政策要求</w:t>
      </w:r>
      <w:r>
        <w:rPr>
          <w:rFonts w:hint="eastAsia"/>
          <w:lang w:eastAsia="zh-CN"/>
        </w:rPr>
        <w:t>。</w:t>
      </w:r>
    </w:p>
    <w:p w14:paraId="0F6BF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2.</w:t>
      </w:r>
      <w:r>
        <w:rPr>
          <w:rFonts w:hint="default" w:ascii="Times New Roman" w:hAnsi="Times New Roman" w:eastAsia="楷体_GB2312" w:cs="Times New Roman"/>
          <w:color w:val="auto"/>
          <w:szCs w:val="32"/>
          <w:lang w:eastAsia="zh-CN"/>
        </w:rPr>
        <w:t>项目管理。</w:t>
      </w:r>
      <w:r>
        <w:rPr>
          <w:rFonts w:hint="eastAsia"/>
        </w:rPr>
        <w:t>资金分配合理，</w:t>
      </w:r>
      <w:r>
        <w:rPr>
          <w:rFonts w:hint="eastAsia"/>
          <w:lang w:val="en-US" w:eastAsia="zh-CN"/>
        </w:rPr>
        <w:t>施工组织不合理</w:t>
      </w:r>
      <w:r>
        <w:rPr>
          <w:rFonts w:hint="eastAsia"/>
        </w:rPr>
        <w:t>（扣2分）。</w:t>
      </w:r>
    </w:p>
    <w:p w14:paraId="4B696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640" w:leftChars="200" w:firstLine="0" w:firstLineChars="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3.项目实施。</w:t>
      </w:r>
      <w:r>
        <w:rPr>
          <w:rFonts w:hint="eastAsia"/>
        </w:rPr>
        <w:t>预算执行率98%，资金使用合规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</w:t>
      </w:r>
    </w:p>
    <w:p w14:paraId="0EE739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left="640" w:leftChars="200" w:firstLine="0" w:firstLineChars="0"/>
        <w:textAlignment w:val="auto"/>
        <w:outlineLvl w:val="9"/>
        <w:rPr>
          <w:rFonts w:hint="default" w:ascii="Times New Roman" w:hAnsi="Times New Roman" w:cs="Times New Roman"/>
          <w:color w:val="auto"/>
          <w:szCs w:val="32"/>
          <w:lang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4.项目结果。</w:t>
      </w:r>
      <w:r>
        <w:rPr>
          <w:rFonts w:hint="eastAsia"/>
        </w:rPr>
        <w:t>目标完成率100%，按期完工</w:t>
      </w:r>
      <w:r>
        <w:rPr>
          <w:rFonts w:hint="default" w:ascii="Times New Roman" w:hAnsi="Times New Roman" w:cs="Times New Roman"/>
          <w:color w:val="auto"/>
          <w:szCs w:val="32"/>
          <w:lang w:eastAsia="zh-CN"/>
        </w:rPr>
        <w:t>。</w:t>
      </w:r>
    </w:p>
    <w:p w14:paraId="7FC315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8" w:lineRule="exact"/>
        <w:ind w:firstLine="643" w:firstLineChars="200"/>
        <w:textAlignment w:val="auto"/>
        <w:outlineLvl w:val="9"/>
        <w:rPr>
          <w:rFonts w:hint="default" w:ascii="Times New Roman" w:hAnsi="Times New Roman" w:eastAsia="楷体_GB2312" w:cs="Times New Roman"/>
          <w:color w:val="auto"/>
          <w:szCs w:val="32"/>
          <w:lang w:val="zh-CN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（二）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专用指标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default" w:ascii="Times New Roman" w:hAnsi="Times New Roman" w:cs="Times New Roman"/>
          <w:color w:val="auto"/>
          <w:szCs w:val="32"/>
          <w:lang w:val="zh-CN" w:eastAsia="zh-CN"/>
        </w:rPr>
        <w:t>根据</w:t>
      </w:r>
      <w:r>
        <w:rPr>
          <w:rFonts w:hint="default" w:ascii="Times New Roman" w:hAnsi="Times New Roman" w:cs="Times New Roman"/>
          <w:color w:val="auto"/>
          <w:szCs w:val="32"/>
          <w:lang w:val="en-US" w:eastAsia="zh-CN"/>
        </w:rPr>
        <w:t>专项预算项目资金支持对象选择所属指标进行绩效分析。支持对象</w:t>
      </w:r>
      <w:r>
        <w:rPr>
          <w:rFonts w:hint="default" w:ascii="Times New Roman" w:hAnsi="Times New Roman" w:cs="Times New Roman"/>
          <w:color w:val="auto"/>
          <w:szCs w:val="32"/>
          <w:lang w:val="zh-CN" w:eastAsia="zh-CN"/>
        </w:rPr>
        <w:t>包括产业发展、民生保障、基础设施、行政运转等方面。</w:t>
      </w:r>
    </w:p>
    <w:p w14:paraId="0DB6FFDC">
      <w:pPr>
        <w:ind w:firstLine="640" w:firstLineChars="200"/>
        <w:rPr>
          <w:rFonts w:hint="eastAsia" w:ascii="Times New Roman" w:hAnsi="Times New Roman" w:eastAsia="仿宋_GB2312" w:cs="Times New Roman"/>
          <w:color w:val="auto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szCs w:val="32"/>
          <w:lang w:val="en-US" w:eastAsia="zh-CN"/>
        </w:rPr>
        <w:t>基础设施类。</w:t>
      </w:r>
      <w:r>
        <w:rPr>
          <w:rFonts w:hint="eastAsia"/>
        </w:rPr>
        <w:t xml:space="preserve"> 工程进度：全部按期</w:t>
      </w:r>
      <w:r>
        <w:rPr>
          <w:rFonts w:hint="eastAsia"/>
          <w:lang w:val="en-US" w:eastAsia="zh-CN"/>
        </w:rPr>
        <w:t>施工，个别工程缓慢</w:t>
      </w:r>
      <w:r>
        <w:rPr>
          <w:rFonts w:hint="eastAsia"/>
        </w:rPr>
        <w:t>（扣2分）</w:t>
      </w:r>
      <w:r>
        <w:rPr>
          <w:rFonts w:hint="eastAsia"/>
          <w:lang w:eastAsia="zh-CN"/>
        </w:rPr>
        <w:t>。</w:t>
      </w:r>
    </w:p>
    <w:p w14:paraId="2906D04F">
      <w:pPr>
        <w:ind w:firstLine="643" w:firstLineChars="200"/>
        <w:rPr>
          <w:rFonts w:hint="default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zh-CN"/>
        </w:rPr>
        <w:t>（三）</w:t>
      </w:r>
      <w:r>
        <w:rPr>
          <w:rFonts w:hint="default" w:ascii="Times New Roman" w:hAnsi="Times New Roman" w:eastAsia="楷体_GB2312" w:cs="Times New Roman"/>
          <w:b/>
          <w:color w:val="auto"/>
          <w:sz w:val="32"/>
          <w:szCs w:val="32"/>
          <w:highlight w:val="none"/>
          <w:u w:val="none"/>
          <w:lang w:val="en-US" w:eastAsia="zh-CN"/>
        </w:rPr>
        <w:t>个性指标</w:t>
      </w:r>
      <w:r>
        <w:rPr>
          <w:rFonts w:hint="default" w:ascii="Times New Roman" w:hAnsi="Times New Roman" w:eastAsia="楷体_GB2312" w:cs="Times New Roman"/>
          <w:b/>
          <w:bCs/>
          <w:color w:val="000000"/>
          <w:kern w:val="0"/>
          <w:szCs w:val="32"/>
          <w:highlight w:val="none"/>
          <w:shd w:val="clear" w:color="auto" w:fill="FFFFFF"/>
          <w:lang w:val="zh-CN"/>
        </w:rPr>
        <w:t>绩效分析。</w:t>
      </w:r>
      <w:r>
        <w:rPr>
          <w:rFonts w:hint="eastAsia" w:eastAsia="楷体_GB2312"/>
          <w:lang w:val="en-US" w:eastAsia="zh-CN"/>
        </w:rPr>
        <w:t>群众</w:t>
      </w:r>
      <w:r>
        <w:rPr>
          <w:rFonts w:hint="eastAsia"/>
        </w:rPr>
        <w:t>参与度</w:t>
      </w:r>
      <w:r>
        <w:rPr>
          <w:rFonts w:hint="eastAsia"/>
          <w:lang w:val="en-US" w:eastAsia="zh-CN"/>
        </w:rPr>
        <w:t>95%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村两委、乡党委政府监督</w:t>
      </w:r>
      <w:r>
        <w:rPr>
          <w:rFonts w:hint="eastAsia"/>
        </w:rPr>
        <w:t>。</w:t>
      </w:r>
    </w:p>
    <w:p w14:paraId="6C97E487">
      <w:pPr>
        <w:pStyle w:val="5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</w:rPr>
        <w:t>、评价结论</w:t>
      </w:r>
    </w:p>
    <w:p w14:paraId="55ACBEB6">
      <w:pPr>
        <w:ind w:firstLine="640" w:firstLineChars="200"/>
        <w:rPr>
          <w:rFonts w:hint="eastAsia"/>
        </w:rPr>
      </w:pPr>
      <w:r>
        <w:rPr>
          <w:rFonts w:hint="eastAsia"/>
        </w:rPr>
        <w:t xml:space="preserve">总分：95分（优秀） </w:t>
      </w:r>
    </w:p>
    <w:p w14:paraId="537A187B">
      <w:pPr>
        <w:pStyle w:val="5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  <w:t>项目资金使用规范，</w:t>
      </w:r>
      <w:r>
        <w:rPr>
          <w:rFonts w:hint="eastAsia" w:ascii="Times New Roman" w:hAnsi="Times New Roman" w:cs="Times New Roman"/>
          <w:kern w:val="2"/>
          <w:position w:val="0"/>
          <w:sz w:val="32"/>
          <w:szCs w:val="32"/>
          <w:lang w:val="en-US" w:eastAsia="zh-CN" w:bidi="ar-SA"/>
        </w:rPr>
        <w:t>建设</w:t>
      </w:r>
      <w:r>
        <w:rPr>
          <w:rFonts w:hint="eastAsia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  <w:t>任务完成，居民满意度达9</w:t>
      </w:r>
      <w:r>
        <w:rPr>
          <w:rFonts w:hint="eastAsia" w:ascii="Times New Roman" w:hAnsi="Times New Roman" w:cs="Times New Roman"/>
          <w:kern w:val="2"/>
          <w:position w:val="0"/>
          <w:sz w:val="32"/>
          <w:szCs w:val="32"/>
          <w:lang w:val="en-US" w:eastAsia="zh-CN" w:bidi="ar-SA"/>
        </w:rPr>
        <w:t>7</w:t>
      </w:r>
      <w:r>
        <w:rPr>
          <w:rFonts w:hint="eastAsia" w:ascii="Times New Roman" w:hAnsi="Times New Roman" w:eastAsia="仿宋_GB2312" w:cs="Times New Roman"/>
          <w:kern w:val="2"/>
          <w:position w:val="0"/>
          <w:sz w:val="32"/>
          <w:szCs w:val="32"/>
          <w:lang w:val="en-US" w:eastAsia="zh-CN" w:bidi="ar-SA"/>
        </w:rPr>
        <w:t xml:space="preserve">%。 </w:t>
      </w:r>
    </w:p>
    <w:p w14:paraId="2F8985A2">
      <w:pPr>
        <w:pStyle w:val="5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</w:pPr>
      <w:r>
        <w:rPr>
          <w:rFonts w:hint="default" w:ascii="Times New Roman" w:hAnsi="Times New Roman" w:cs="Times New Roman"/>
          <w:color w:val="auto"/>
          <w:sz w:val="32"/>
          <w:szCs w:val="32"/>
          <w:highlight w:val="none"/>
          <w:u w:val="none"/>
          <w:lang w:eastAsia="zh-CN"/>
        </w:rPr>
        <w:t>五、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lang w:eastAsia="zh-CN"/>
        </w:rPr>
        <w:t>存在主要问题</w:t>
      </w:r>
    </w:p>
    <w:p w14:paraId="07D94C6A">
      <w:pPr>
        <w:ind w:firstLine="640" w:firstLineChars="200"/>
        <w:rPr>
          <w:rFonts w:hint="eastAsia"/>
        </w:rPr>
      </w:pPr>
      <w:r>
        <w:rPr>
          <w:rFonts w:hint="eastAsia"/>
        </w:rPr>
        <w:t>1. 个别</w:t>
      </w:r>
      <w:r>
        <w:rPr>
          <w:rFonts w:hint="eastAsia"/>
          <w:lang w:val="en-US" w:eastAsia="zh-CN"/>
        </w:rPr>
        <w:t>群众存在不合理诉求，导致工期延后</w:t>
      </w:r>
      <w:r>
        <w:rPr>
          <w:rFonts w:hint="eastAsia"/>
        </w:rPr>
        <w:t xml:space="preserve">。  </w:t>
      </w:r>
    </w:p>
    <w:p w14:paraId="470960FC">
      <w:pPr>
        <w:ind w:firstLine="640" w:firstLineChars="200"/>
        <w:rPr>
          <w:rFonts w:hint="eastAsia"/>
        </w:rPr>
      </w:pPr>
      <w:r>
        <w:rPr>
          <w:rFonts w:hint="eastAsia"/>
        </w:rPr>
        <w:t xml:space="preserve">2. 长效管理机制尚未全覆盖。  </w:t>
      </w:r>
    </w:p>
    <w:p w14:paraId="3066725F">
      <w:pPr>
        <w:pStyle w:val="5"/>
        <w:pageBreakBefore w:val="0"/>
        <w:numPr>
          <w:ilvl w:val="0"/>
          <w:numId w:val="0"/>
        </w:numPr>
        <w:tabs>
          <w:tab w:val="left" w:pos="2160"/>
        </w:tabs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</w:pPr>
      <w:r>
        <w:rPr>
          <w:rFonts w:hint="default" w:ascii="Times New Roman" w:hAnsi="Times New Roman" w:eastAsia="黑体" w:cs="Times New Roman"/>
          <w:color w:val="auto"/>
          <w:kern w:val="0"/>
          <w:position w:val="3"/>
          <w:sz w:val="32"/>
          <w:szCs w:val="32"/>
          <w:highlight w:val="none"/>
          <w:u w:val="none"/>
          <w:lang w:val="zh-CN" w:eastAsia="zh-CN" w:bidi="ar-SA"/>
        </w:rPr>
        <w:t>六、改进建议</w:t>
      </w:r>
    </w:p>
    <w:p w14:paraId="123BF1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评估小组通过收集、汇总资料，分析、核实项目绩效，经综合上述绩效评估情况为90分，评估结果为“优”。本次申请的“金川县沙尔乡沙耳尼村乡村振兴示范建设项目”立项合规，依据充分，绩效目标指向明确，与相应的财政支出范围、方向、效果紧密相关，评估过程经调查研究及科学论证，符合实际。</w:t>
      </w:r>
      <w:bookmarkEnd w:id="0"/>
    </w:p>
    <w:p w14:paraId="274F1E0B">
      <w:pPr>
        <w:numPr>
          <w:ilvl w:val="0"/>
          <w:numId w:val="1"/>
        </w:numPr>
        <w:spacing w:line="600" w:lineRule="exact"/>
        <w:ind w:firstLine="640"/>
        <w:rPr>
          <w:rFonts w:hint="eastAsia" w:ascii="黑体" w:eastAsia="黑体"/>
          <w:szCs w:val="32"/>
        </w:rPr>
      </w:pPr>
      <w:r>
        <w:rPr>
          <w:rFonts w:hint="eastAsia" w:ascii="黑体" w:eastAsia="黑体"/>
          <w:szCs w:val="32"/>
        </w:rPr>
        <w:t>其它说明事项</w:t>
      </w:r>
    </w:p>
    <w:p w14:paraId="0E1BF3BD">
      <w:pPr>
        <w:pStyle w:val="6"/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无</w:t>
      </w:r>
    </w:p>
    <w:p w14:paraId="30C2C41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640" w:firstLineChars="2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附表：1.</w:t>
      </w:r>
      <w:r>
        <w:rPr>
          <w:rFonts w:hint="eastAsia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专项</w:t>
      </w: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预算绩效自评打分表</w:t>
      </w:r>
    </w:p>
    <w:p w14:paraId="507124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1600" w:firstLineChars="5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2.专项预算绩效自评实地踏勘点位清单表</w:t>
      </w:r>
    </w:p>
    <w:p w14:paraId="306BE16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ind w:left="0" w:leftChars="0" w:firstLine="1600" w:firstLineChars="500"/>
        <w:textAlignment w:val="auto"/>
        <w:outlineLvl w:val="9"/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3.</w:t>
      </w: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en-US" w:eastAsia="zh-CN"/>
        </w:rPr>
        <w:t>专项预算项目绩效目标完成情况自评表</w:t>
      </w:r>
    </w:p>
    <w:p w14:paraId="0973CDC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Cs w:val="32"/>
          <w:highlight w:val="none"/>
          <w:shd w:val="clear" w:color="auto" w:fill="FFFFFF"/>
          <w:lang w:val="zh-CN" w:eastAsia="zh-CN"/>
        </w:rPr>
        <w:br w:type="page"/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1</w:t>
      </w:r>
    </w:p>
    <w:p w14:paraId="796A780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</w:t>
      </w: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预算绩效自评打分表</w:t>
      </w:r>
    </w:p>
    <w:tbl>
      <w:tblPr>
        <w:tblStyle w:val="8"/>
        <w:tblW w:w="1090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65"/>
        <w:gridCol w:w="825"/>
        <w:gridCol w:w="1355"/>
        <w:gridCol w:w="696"/>
        <w:gridCol w:w="5340"/>
        <w:gridCol w:w="732"/>
        <w:gridCol w:w="468"/>
      </w:tblGrid>
      <w:tr w14:paraId="54410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4361" w:type="dxa"/>
            <w:gridSpan w:val="5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noWrap w:val="0"/>
            <w:vAlign w:val="center"/>
          </w:tcPr>
          <w:p w14:paraId="39C1D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绩效评价指标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B446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指标解释</w:t>
            </w:r>
          </w:p>
        </w:tc>
        <w:tc>
          <w:tcPr>
            <w:tcW w:w="7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C80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自评得分</w:t>
            </w:r>
          </w:p>
        </w:tc>
        <w:tc>
          <w:tcPr>
            <w:tcW w:w="46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BD3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7410F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456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5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F0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CA6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8E5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  <w:p w14:paraId="1148B5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分值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46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5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344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1616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79A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1" w:name="OLE_LINK20" w:colFirst="3" w:colLast="3"/>
            <w:bookmarkStart w:id="2" w:name="OLE_LINK12" w:colFirst="3" w:colLast="3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通用指标</w:t>
            </w:r>
          </w:p>
          <w:p w14:paraId="141DEB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（54分）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6D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</w:t>
            </w:r>
          </w:p>
          <w:p w14:paraId="0EF853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FD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决策程序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3D8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107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项目决策程序是否严密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73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50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671F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954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49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54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规划论证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0E4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A3C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项目规划论证是否符合中省要求，项目绩效目标设置是否科学合理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988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F46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D65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0D2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F0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70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资金投向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06FD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453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项目资金是否与项目总体规划、相关行业事业发展相匹配，是否聚焦重大任务、重点领域、重点环节和重点项目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734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EFA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DD0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42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E73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项目管理</w:t>
            </w:r>
          </w:p>
          <w:p w14:paraId="5F6D2E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（18分）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B4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制度办法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2A3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52B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项目制度办法是否体系健全、要素完备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8ED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EEA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FDC4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C4B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92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68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分配管理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5AA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518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项目资金分配因素选取、权重设置、区域分布，项目管理、审批是否符合管理要求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164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CE9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3216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00B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5E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CA6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绩效监管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44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AF3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管资金、项目、政策是否管绩效，项目绩效监管是否按要求开展，对下指导是否有力有效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26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3D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395C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8E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35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</w:t>
            </w:r>
          </w:p>
          <w:p w14:paraId="109D83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9F6E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预算执行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DF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3FA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项目资金财政拨付、单位执行和地方配套到位情况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5AC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93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E7E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95F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F8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FC6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CF5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11F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资金使用拨付、项目实施是否符合规定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EB4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F83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DC7A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144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A74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项目结果</w:t>
            </w:r>
          </w:p>
          <w:p w14:paraId="28255B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（9分）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A7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目标完成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A0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5F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项目是否完成预期目标，实施结果是否与绩效目标相匹配，反映目标实现程度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7E8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A4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C60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147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D9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611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完成时效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A7E5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616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项目实际完成时间与计划完成时间的比较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DE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03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E43F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FE8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344A3E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F15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产业发展</w:t>
            </w:r>
          </w:p>
          <w:p w14:paraId="4561EF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D02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符合性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341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B7B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项目实施是否与省委省政府支持重点、产业支持政策符合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BC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9B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3DD1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B5D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B5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F4A1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成长性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9D6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284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项目实施对相关企业（机构）成长性的促进作用，主要反映支持对象创新创造创业能力情况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F09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18E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8842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6E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73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72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AA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B7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项目实施对相关企业（机构）主营业务收入、净利润、税收、产量等方面增长情况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6FCD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CA6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bookmarkEnd w:id="1"/>
      <w:tr w14:paraId="1BAADE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29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E748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民生保障</w:t>
            </w:r>
          </w:p>
          <w:p w14:paraId="19E94A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4EB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区域均衡性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AEF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B3A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项目资金分配体现的均衡公平情况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392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6B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F3B9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393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F06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CC2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对象精准性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1AF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69C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资金实际支持对象是否符合管理要求，是否符合支持对象范围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CAB0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6A5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B76D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BB3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71D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F9E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标准合理性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8B87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416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资金实际补贴标准是否符合资金管理办法规定的补助标准，是否及时按标准兑现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52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243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30C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340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3DA0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F4B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D77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C5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资金涉及相关受益群体、支持对象的满意度调查访谈情况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90C0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7EED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0AA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02A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2C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基础</w:t>
            </w:r>
          </w:p>
          <w:p w14:paraId="6B1C73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</w:t>
            </w:r>
          </w:p>
          <w:p w14:paraId="1F5D30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35B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在建</w:t>
            </w:r>
          </w:p>
          <w:p w14:paraId="58EF95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6F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工程进度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64F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644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项目是否达到计划工程进度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64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845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A515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3D1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08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843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55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资金拨付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F30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15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39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项目是否达到预先确定的资金拨付进度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BD2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C61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B37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1E9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4175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70F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建成</w:t>
            </w:r>
          </w:p>
          <w:p w14:paraId="5365E6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A319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87F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6A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项目验收是否及时合格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823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FB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8D34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BE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143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21F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69A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功能实现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81D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72F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项目经济社会功能是否实现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78B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FAF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F91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B88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882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358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EDC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后续管护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F5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92F8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项目后续维护是否实现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16A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A48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1CC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F70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专用指标</w:t>
            </w:r>
          </w:p>
          <w:p w14:paraId="47BAE0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59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C9CB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行政运转</w:t>
            </w:r>
          </w:p>
          <w:p w14:paraId="629410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（30分）</w:t>
            </w: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3F7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用途合规性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A94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EDA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是否按规定用途、适用范围进行本地区专项资金分配</w:t>
            </w:r>
          </w:p>
        </w:tc>
        <w:tc>
          <w:tcPr>
            <w:tcW w:w="73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AF5B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1B8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072B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F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1D94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BC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程序合规性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F18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C7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资金管理程序是否符合专项资金管理要求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95A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431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8F7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01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9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EC9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41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标准合规性</w:t>
            </w:r>
          </w:p>
        </w:tc>
        <w:tc>
          <w:tcPr>
            <w:tcW w:w="696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25B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C33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资金分配标准是否符合专项资金管理要求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FFD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36D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560D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585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个性指标</w:t>
            </w:r>
          </w:p>
          <w:p w14:paraId="168539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（16分）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0DA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F3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250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根据项目个性自行设定部分指标，反映该项指标执行完成情况。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D8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58E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66B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1B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41A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  <w:lang w:eastAsia="zh-CN"/>
              </w:rPr>
              <w:t>满意度指标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C44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5D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B7A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77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2"/>
      <w:tr w14:paraId="16C23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5C9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扣分项</w:t>
            </w:r>
          </w:p>
          <w:p w14:paraId="42700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（10分）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5A6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</w:t>
            </w:r>
          </w:p>
          <w:p w14:paraId="08B512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部门配合度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E671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—</w:t>
            </w: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402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被评价对象工作配合情况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37D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DD1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EFBD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31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13B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总分</w:t>
            </w:r>
          </w:p>
        </w:tc>
        <w:tc>
          <w:tcPr>
            <w:tcW w:w="13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3EA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62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53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8D2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5A1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4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85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590E286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both"/>
        <w:textAlignment w:val="auto"/>
        <w:rPr>
          <w:rFonts w:hint="default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ascii="Times New Roman" w:hAnsi="Times New Roman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2</w:t>
      </w:r>
    </w:p>
    <w:p w14:paraId="31DF9CE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78" w:lineRule="exact"/>
        <w:ind w:left="0" w:leftChars="0"/>
        <w:jc w:val="center"/>
        <w:textAlignment w:val="auto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color w:val="auto"/>
          <w:sz w:val="40"/>
          <w:szCs w:val="40"/>
          <w:highlight w:val="none"/>
          <w:u w:val="none"/>
          <w:lang w:val="en-US" w:eastAsia="zh-CN"/>
        </w:rPr>
        <w:t>专项预算绩效自评实地踏勘点位清单表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5956"/>
        <w:gridCol w:w="905"/>
      </w:tblGrid>
      <w:tr w14:paraId="2228E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B6BF9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5956" w:type="dxa"/>
            <w:noWrap w:val="0"/>
            <w:vAlign w:val="top"/>
          </w:tcPr>
          <w:p w14:paraId="57F77C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实地踏勘点位</w:t>
            </w:r>
          </w:p>
        </w:tc>
        <w:tc>
          <w:tcPr>
            <w:tcW w:w="905" w:type="dxa"/>
            <w:noWrap w:val="0"/>
            <w:vAlign w:val="top"/>
          </w:tcPr>
          <w:p w14:paraId="3EF02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7E6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7DBB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</w:t>
            </w:r>
          </w:p>
        </w:tc>
        <w:tc>
          <w:tcPr>
            <w:tcW w:w="5956" w:type="dxa"/>
            <w:noWrap w:val="0"/>
            <w:vAlign w:val="top"/>
          </w:tcPr>
          <w:p w14:paraId="088FFB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k线道路</w:t>
            </w:r>
          </w:p>
        </w:tc>
        <w:tc>
          <w:tcPr>
            <w:tcW w:w="905" w:type="dxa"/>
            <w:noWrap w:val="0"/>
            <w:vAlign w:val="top"/>
          </w:tcPr>
          <w:p w14:paraId="7C7F8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4649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8047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</w:t>
            </w:r>
          </w:p>
        </w:tc>
        <w:tc>
          <w:tcPr>
            <w:tcW w:w="5956" w:type="dxa"/>
            <w:noWrap w:val="0"/>
            <w:vAlign w:val="top"/>
          </w:tcPr>
          <w:p w14:paraId="04BE9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  <w:t>入口广场</w:t>
            </w:r>
          </w:p>
        </w:tc>
        <w:tc>
          <w:tcPr>
            <w:tcW w:w="905" w:type="dxa"/>
            <w:noWrap w:val="0"/>
            <w:vAlign w:val="top"/>
          </w:tcPr>
          <w:p w14:paraId="4CC502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EBFF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14E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3</w:t>
            </w:r>
          </w:p>
        </w:tc>
        <w:tc>
          <w:tcPr>
            <w:tcW w:w="5956" w:type="dxa"/>
            <w:noWrap w:val="0"/>
            <w:vAlign w:val="top"/>
          </w:tcPr>
          <w:p w14:paraId="40126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35446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AD07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BF68F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4</w:t>
            </w:r>
          </w:p>
        </w:tc>
        <w:tc>
          <w:tcPr>
            <w:tcW w:w="5956" w:type="dxa"/>
            <w:noWrap w:val="0"/>
            <w:vAlign w:val="top"/>
          </w:tcPr>
          <w:p w14:paraId="0476E2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6CED7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8C39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EB455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5</w:t>
            </w:r>
          </w:p>
        </w:tc>
        <w:tc>
          <w:tcPr>
            <w:tcW w:w="5956" w:type="dxa"/>
            <w:noWrap w:val="0"/>
            <w:vAlign w:val="top"/>
          </w:tcPr>
          <w:p w14:paraId="6575F4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545D1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C772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exact"/>
          <w:jc w:val="center"/>
        </w:trPr>
        <w:tc>
          <w:tcPr>
            <w:tcW w:w="1123" w:type="dxa"/>
            <w:noWrap w:val="0"/>
            <w:vAlign w:val="top"/>
          </w:tcPr>
          <w:p w14:paraId="01087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6</w:t>
            </w:r>
          </w:p>
        </w:tc>
        <w:tc>
          <w:tcPr>
            <w:tcW w:w="5956" w:type="dxa"/>
            <w:noWrap w:val="0"/>
            <w:vAlign w:val="top"/>
          </w:tcPr>
          <w:p w14:paraId="45363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49E85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E2EE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282D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</w:p>
        </w:tc>
        <w:tc>
          <w:tcPr>
            <w:tcW w:w="5956" w:type="dxa"/>
            <w:noWrap w:val="0"/>
            <w:vAlign w:val="top"/>
          </w:tcPr>
          <w:p w14:paraId="61BA0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3C1DB7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1FF8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8E7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8</w:t>
            </w:r>
          </w:p>
        </w:tc>
        <w:tc>
          <w:tcPr>
            <w:tcW w:w="5956" w:type="dxa"/>
            <w:noWrap w:val="0"/>
            <w:vAlign w:val="top"/>
          </w:tcPr>
          <w:p w14:paraId="4A03E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00FA56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33142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7D94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5956" w:type="dxa"/>
            <w:noWrap w:val="0"/>
            <w:vAlign w:val="top"/>
          </w:tcPr>
          <w:p w14:paraId="7BEA41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4AFC5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A0BE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58B2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10</w:t>
            </w:r>
          </w:p>
        </w:tc>
        <w:tc>
          <w:tcPr>
            <w:tcW w:w="5956" w:type="dxa"/>
            <w:noWrap w:val="0"/>
            <w:vAlign w:val="top"/>
          </w:tcPr>
          <w:p w14:paraId="0CBF1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215B88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480A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AC643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11</w:t>
            </w:r>
          </w:p>
        </w:tc>
        <w:tc>
          <w:tcPr>
            <w:tcW w:w="5956" w:type="dxa"/>
            <w:noWrap w:val="0"/>
            <w:vAlign w:val="top"/>
          </w:tcPr>
          <w:p w14:paraId="17FC3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67BACF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A35C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45AB5E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12</w:t>
            </w:r>
          </w:p>
        </w:tc>
        <w:tc>
          <w:tcPr>
            <w:tcW w:w="5956" w:type="dxa"/>
            <w:noWrap w:val="0"/>
            <w:vAlign w:val="top"/>
          </w:tcPr>
          <w:p w14:paraId="3660C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63D1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2401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7C01A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13</w:t>
            </w:r>
          </w:p>
        </w:tc>
        <w:tc>
          <w:tcPr>
            <w:tcW w:w="5956" w:type="dxa"/>
            <w:noWrap w:val="0"/>
            <w:vAlign w:val="top"/>
          </w:tcPr>
          <w:p w14:paraId="13AC1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38D04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7C698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65054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14</w:t>
            </w:r>
          </w:p>
        </w:tc>
        <w:tc>
          <w:tcPr>
            <w:tcW w:w="5956" w:type="dxa"/>
            <w:noWrap w:val="0"/>
            <w:vAlign w:val="top"/>
          </w:tcPr>
          <w:p w14:paraId="3333F5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73D98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514D9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1B934D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15</w:t>
            </w:r>
          </w:p>
        </w:tc>
        <w:tc>
          <w:tcPr>
            <w:tcW w:w="5956" w:type="dxa"/>
            <w:noWrap w:val="0"/>
            <w:vAlign w:val="top"/>
          </w:tcPr>
          <w:p w14:paraId="32AD5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6C9225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B210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3F8F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16</w:t>
            </w:r>
          </w:p>
        </w:tc>
        <w:tc>
          <w:tcPr>
            <w:tcW w:w="5956" w:type="dxa"/>
            <w:noWrap w:val="0"/>
            <w:vAlign w:val="top"/>
          </w:tcPr>
          <w:p w14:paraId="15F29A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6A37B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64CA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75078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17</w:t>
            </w:r>
          </w:p>
        </w:tc>
        <w:tc>
          <w:tcPr>
            <w:tcW w:w="5956" w:type="dxa"/>
            <w:noWrap w:val="0"/>
            <w:vAlign w:val="top"/>
          </w:tcPr>
          <w:p w14:paraId="21FC5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10C4B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07B54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07F73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18</w:t>
            </w:r>
          </w:p>
        </w:tc>
        <w:tc>
          <w:tcPr>
            <w:tcW w:w="5956" w:type="dxa"/>
            <w:noWrap w:val="0"/>
            <w:vAlign w:val="top"/>
          </w:tcPr>
          <w:p w14:paraId="497A7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highlight w:val="none"/>
                <w:u w:val="none"/>
                <w:vertAlign w:val="baseline"/>
                <w:lang w:val="en" w:eastAsia="zh-CN" w:bidi="ar-SA"/>
              </w:rPr>
            </w:pPr>
          </w:p>
        </w:tc>
        <w:tc>
          <w:tcPr>
            <w:tcW w:w="905" w:type="dxa"/>
            <w:noWrap w:val="0"/>
            <w:vAlign w:val="top"/>
          </w:tcPr>
          <w:p w14:paraId="29C394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47B91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2DEB4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19</w:t>
            </w:r>
          </w:p>
        </w:tc>
        <w:tc>
          <w:tcPr>
            <w:tcW w:w="5956" w:type="dxa"/>
            <w:noWrap w:val="0"/>
            <w:vAlign w:val="top"/>
          </w:tcPr>
          <w:p w14:paraId="562C2F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2BE57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  <w:tr w14:paraId="6D93D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  <w:jc w:val="center"/>
        </w:trPr>
        <w:tc>
          <w:tcPr>
            <w:tcW w:w="1123" w:type="dxa"/>
            <w:noWrap w:val="0"/>
            <w:vAlign w:val="top"/>
          </w:tcPr>
          <w:p w14:paraId="523EB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20</w:t>
            </w:r>
          </w:p>
        </w:tc>
        <w:tc>
          <w:tcPr>
            <w:tcW w:w="5956" w:type="dxa"/>
            <w:noWrap w:val="0"/>
            <w:vAlign w:val="top"/>
          </w:tcPr>
          <w:p w14:paraId="165CE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" w:eastAsia="zh-CN"/>
              </w:rPr>
            </w:pPr>
          </w:p>
        </w:tc>
        <w:tc>
          <w:tcPr>
            <w:tcW w:w="905" w:type="dxa"/>
            <w:noWrap w:val="0"/>
            <w:vAlign w:val="top"/>
          </w:tcPr>
          <w:p w14:paraId="158F06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textAlignment w:val="auto"/>
              <w:outlineLvl w:val="9"/>
              <w:rPr>
                <w:rFonts w:hint="default" w:ascii="Times New Roman" w:hAnsi="Times New Roman" w:cs="Times New Roman"/>
                <w:color w:val="auto"/>
                <w:sz w:val="24"/>
                <w:szCs w:val="24"/>
                <w:highlight w:val="none"/>
                <w:u w:val="none"/>
                <w:vertAlign w:val="baseline"/>
                <w:lang w:val="en-US" w:eastAsia="zh-CN"/>
              </w:rPr>
            </w:pPr>
          </w:p>
        </w:tc>
      </w:tr>
    </w:tbl>
    <w:p w14:paraId="2A349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备注：项目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实地踏勘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点位包括县</w:t>
      </w:r>
      <w:r>
        <w:rPr>
          <w:rFonts w:hint="eastAsia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本级及有关项目、单位、公司</w:t>
      </w:r>
      <w:r>
        <w:rPr>
          <w:rFonts w:hint="default" w:ascii="Times New Roman" w:hAnsi="Times New Roman" w:eastAsia="宋体" w:cs="Times New Roman"/>
          <w:b w:val="0"/>
          <w:bCs w:val="0"/>
          <w:color w:val="auto"/>
          <w:sz w:val="21"/>
          <w:szCs w:val="21"/>
          <w:highlight w:val="none"/>
          <w:u w:val="none"/>
          <w:vertAlign w:val="baseline"/>
          <w:lang w:val="en-US" w:eastAsia="zh-CN"/>
        </w:rPr>
        <w:t>等。</w:t>
      </w:r>
    </w:p>
    <w:p w14:paraId="61AD5A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</w:pPr>
    </w:p>
    <w:p w14:paraId="45CC86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br w:type="page"/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3</w:t>
      </w:r>
    </w:p>
    <w:tbl>
      <w:tblPr>
        <w:tblStyle w:val="8"/>
        <w:tblW w:w="1020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49"/>
        <w:gridCol w:w="1078"/>
        <w:gridCol w:w="1245"/>
        <w:gridCol w:w="1309"/>
        <w:gridCol w:w="1123"/>
        <w:gridCol w:w="967"/>
        <w:gridCol w:w="1058"/>
        <w:gridCol w:w="934"/>
        <w:gridCol w:w="1837"/>
      </w:tblGrid>
      <w:tr w14:paraId="6D979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00" w:type="dxa"/>
            <w:gridSpan w:val="9"/>
            <w:noWrap w:val="0"/>
            <w:vAlign w:val="center"/>
          </w:tcPr>
          <w:p w14:paraId="3F5B57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 w14:paraId="7EB5B6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BEE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C8A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金川县沙尔乡沙耳尼村乡村振兴示范</w:t>
            </w:r>
          </w:p>
        </w:tc>
      </w:tr>
      <w:tr w14:paraId="662479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043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229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金川县住房和城乡建设局</w:t>
            </w:r>
          </w:p>
        </w:tc>
      </w:tr>
      <w:tr w14:paraId="0D1E7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8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0D2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C55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产业道路</w:t>
            </w:r>
          </w:p>
        </w:tc>
      </w:tr>
      <w:tr w14:paraId="6FCD84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23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5CB2A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 w14:paraId="120AEB3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82B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金发改经信行审〔2021〕329号</w:t>
            </w:r>
          </w:p>
        </w:tc>
      </w:tr>
      <w:tr w14:paraId="485DF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0DC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30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31A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C09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EEB6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B0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9DC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34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D55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据实据效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F98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 w14:paraId="0AACC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8E3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ECF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4A2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金发改经信行审〔2021〕329号</w:t>
            </w:r>
          </w:p>
        </w:tc>
      </w:tr>
      <w:tr w14:paraId="27958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82E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DA9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CC04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553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B77D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477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8D7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D2AF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6EB5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C91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6D26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2023年5月22日-2024年5月22日</w:t>
            </w:r>
          </w:p>
        </w:tc>
      </w:tr>
      <w:tr w14:paraId="062DB3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BD2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 w14:paraId="49DCC5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71C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  年度资金总额：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500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2789.69万元</w:t>
            </w:r>
          </w:p>
        </w:tc>
      </w:tr>
      <w:tr w14:paraId="4F1A41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8" w:hRule="atLeast"/>
          <w:jc w:val="center"/>
        </w:trPr>
        <w:tc>
          <w:tcPr>
            <w:tcW w:w="17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F33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524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377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61A6CA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B0A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BEA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C3C5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3755D8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575B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8D4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 w14:paraId="4606E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560F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5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808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竣工并投入使用</w:t>
            </w:r>
          </w:p>
        </w:tc>
      </w:tr>
      <w:tr w14:paraId="2CB41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EEB96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58B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4C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802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2057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E62F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29F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DE5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FED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 w14:paraId="15BFFD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C0FD6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7EB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131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B3AA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道路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363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73B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 xml:space="preserve">2901 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F66A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米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32A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AEF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 w14:paraId="58E885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841D7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DF2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E23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727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广场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401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A4C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cs="Times New Roman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BB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座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B02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217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 w14:paraId="73B6A9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9DE6B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0FB8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A22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117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施工过程达到验收标准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7B1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101B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C3F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4A0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5F2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 w14:paraId="0DB19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79E927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DADD1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54A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CC7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129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AD5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124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5F45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554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F838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507B07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6AE4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06E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E5A7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2025年12月完工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1E0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279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400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E4E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59B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 w14:paraId="22415A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097F5B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589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40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4090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B75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551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8BD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11E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DD5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F10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EC9D0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734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27F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B44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0A00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E1C0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C36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74B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9EF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9CA3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4CC933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134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E07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可持续发展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5B0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改善城区基础设施条件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49A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47B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62B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569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3F6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 w14:paraId="3F94F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AB8F6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7555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E79F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ACA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AD4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19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0CD6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676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AC4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D89B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D7EEA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CF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DF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  <w:p w14:paraId="4C26B8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2F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群众幸福值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7DB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394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CA85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ECE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09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98%</w:t>
            </w:r>
          </w:p>
        </w:tc>
      </w:tr>
      <w:tr w14:paraId="1512D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5CD5A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396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324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22D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D94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20C1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425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A46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B72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C03E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24D55F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931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ED7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FF9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2F4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A583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989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25D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B03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40CF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63707E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347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 w14:paraId="2F3EE7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4B2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 w14:paraId="19BE70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7A0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受益群众满意度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6B1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50CD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97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5F8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896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A0B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 w14:paraId="2D741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 w14:paraId="39291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09D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BE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</w:t>
            </w:r>
          </w:p>
          <w:p w14:paraId="368A9A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0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A2E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实际投入成本</w:t>
            </w:r>
          </w:p>
        </w:tc>
        <w:tc>
          <w:tcPr>
            <w:tcW w:w="11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378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877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Times New Roman" w:cs="Times New Roman"/>
                <w:sz w:val="21"/>
                <w:szCs w:val="21"/>
                <w:lang w:val="en-US" w:eastAsia="zh-CN"/>
              </w:rPr>
              <w:t>1800万元</w:t>
            </w:r>
          </w:p>
        </w:tc>
        <w:tc>
          <w:tcPr>
            <w:tcW w:w="10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5CF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％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0C0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04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</w:tbl>
    <w:p w14:paraId="5F75CD69"/>
    <w:p w14:paraId="23DA84C7">
      <w:pPr>
        <w:pStyle w:val="6"/>
        <w:numPr>
          <w:ilvl w:val="0"/>
          <w:numId w:val="0"/>
        </w:numPr>
      </w:pPr>
    </w:p>
    <w:p w14:paraId="4A93FDE6">
      <w:pPr>
        <w:pStyle w:val="6"/>
        <w:rPr>
          <w:rFonts w:hint="eastAsia" w:ascii="仿宋" w:hAnsi="仿宋" w:eastAsia="仿宋" w:cs="仿宋"/>
        </w:rPr>
      </w:pPr>
    </w:p>
    <w:p w14:paraId="6E8926F4">
      <w:pPr>
        <w:pStyle w:val="6"/>
        <w:rPr>
          <w:rFonts w:hint="eastAsia" w:ascii="仿宋" w:hAnsi="仿宋" w:eastAsia="仿宋" w:cs="仿宋"/>
        </w:rPr>
      </w:pPr>
    </w:p>
    <w:p w14:paraId="55CBF8AD">
      <w:pPr>
        <w:pStyle w:val="6"/>
        <w:rPr>
          <w:rFonts w:hint="eastAsia" w:ascii="仿宋" w:hAnsi="仿宋" w:eastAsia="仿宋" w:cs="仿宋"/>
        </w:rPr>
      </w:pPr>
    </w:p>
    <w:p w14:paraId="46A4360E">
      <w:pPr>
        <w:pStyle w:val="6"/>
        <w:rPr>
          <w:rFonts w:hint="eastAsia" w:ascii="仿宋" w:hAnsi="仿宋" w:eastAsia="仿宋" w:cs="仿宋"/>
        </w:rPr>
      </w:pPr>
    </w:p>
    <w:p w14:paraId="61881D6D">
      <w:pPr>
        <w:pStyle w:val="6"/>
        <w:rPr>
          <w:rFonts w:hint="eastAsia" w:ascii="仿宋" w:hAnsi="仿宋" w:eastAsia="仿宋" w:cs="仿宋"/>
        </w:rPr>
      </w:pPr>
    </w:p>
    <w:p w14:paraId="5B3DF2E1">
      <w:pPr>
        <w:pStyle w:val="6"/>
        <w:rPr>
          <w:rFonts w:hint="eastAsia" w:ascii="仿宋" w:hAnsi="仿宋" w:eastAsia="仿宋" w:cs="仿宋"/>
        </w:rPr>
      </w:pPr>
    </w:p>
    <w:p w14:paraId="3F9B569F">
      <w:pPr>
        <w:pStyle w:val="6"/>
        <w:rPr>
          <w:rFonts w:hint="eastAsia" w:ascii="仿宋" w:hAnsi="仿宋" w:eastAsia="仿宋" w:cs="仿宋"/>
        </w:rPr>
      </w:pPr>
    </w:p>
    <w:p w14:paraId="18695FFD">
      <w:pPr>
        <w:pStyle w:val="6"/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AD09C3A-AC99-4F8F-8F16-F4AEB1F2337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444B7237-B0B4-4E3F-BEE5-76D53A7E55C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5D9B910F-36FD-4492-8E4F-172842A7C637}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??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C232C22F-C08B-4A27-A3BB-7446751AB93B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1E6BE846-ED72-48C2-91F6-009FAE0BD3AC}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6" w:fontKey="{1C8C4AA2-EDCF-4A0D-94E0-EDAFAE14C03A}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7" w:fontKey="{961A6A0B-79B5-4205-A825-C074B6799FC7}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  <w:embedRegular r:id="rId8" w:fontKey="{9434BCD2-C04D-4964-AC21-427F6B5DB8D5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4CA716"/>
    <w:multiLevelType w:val="singleLevel"/>
    <w:tmpl w:val="7C4CA71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dit="readOnly" w:enforcement="0"/>
  <w:defaultTabStop w:val="420"/>
  <w:drawingGridHorizontalSpacing w:val="1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yMGQ4ZjUxZGMwZDdmZjZlZGU2ZmIyNWU5NWEwZjgifQ=="/>
  </w:docVars>
  <w:rsids>
    <w:rsidRoot w:val="00000000"/>
    <w:rsid w:val="0A775CC6"/>
    <w:rsid w:val="0B01002D"/>
    <w:rsid w:val="0CC223BD"/>
    <w:rsid w:val="0FD77DEB"/>
    <w:rsid w:val="10177692"/>
    <w:rsid w:val="10766464"/>
    <w:rsid w:val="129403EE"/>
    <w:rsid w:val="12CA43D0"/>
    <w:rsid w:val="140702C4"/>
    <w:rsid w:val="17C23271"/>
    <w:rsid w:val="18E71188"/>
    <w:rsid w:val="1CB33F5D"/>
    <w:rsid w:val="28A47A5B"/>
    <w:rsid w:val="29DE44B9"/>
    <w:rsid w:val="34BA5036"/>
    <w:rsid w:val="39D74D64"/>
    <w:rsid w:val="3AF46B4A"/>
    <w:rsid w:val="3CF95747"/>
    <w:rsid w:val="3D2B3AB7"/>
    <w:rsid w:val="3E13398E"/>
    <w:rsid w:val="420C765B"/>
    <w:rsid w:val="4230498B"/>
    <w:rsid w:val="42541789"/>
    <w:rsid w:val="42A076B5"/>
    <w:rsid w:val="45116913"/>
    <w:rsid w:val="47110372"/>
    <w:rsid w:val="49F91133"/>
    <w:rsid w:val="4D275037"/>
    <w:rsid w:val="5736447E"/>
    <w:rsid w:val="57C4301D"/>
    <w:rsid w:val="5B6918B3"/>
    <w:rsid w:val="5BB531D8"/>
    <w:rsid w:val="5FF27016"/>
    <w:rsid w:val="63175049"/>
    <w:rsid w:val="632E2EB2"/>
    <w:rsid w:val="647F5B7A"/>
    <w:rsid w:val="66073482"/>
    <w:rsid w:val="6885581C"/>
    <w:rsid w:val="689D4368"/>
    <w:rsid w:val="6D8A215B"/>
    <w:rsid w:val="6DC55C3F"/>
    <w:rsid w:val="6E8F54E2"/>
    <w:rsid w:val="71DA3A81"/>
    <w:rsid w:val="74AF778B"/>
    <w:rsid w:val="76636A95"/>
    <w:rsid w:val="78C12455"/>
    <w:rsid w:val="7A080BEF"/>
    <w:rsid w:val="7A743020"/>
    <w:rsid w:val="7CFA6F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qFormat/>
    <w:uiPriority w:val="0"/>
    <w:pPr>
      <w:spacing w:after="120"/>
    </w:pPr>
  </w:style>
  <w:style w:type="paragraph" w:styleId="6">
    <w:name w:val="Body Text Indent 2"/>
    <w:basedOn w:val="1"/>
    <w:autoRedefine/>
    <w:unhideWhenUsed/>
    <w:qFormat/>
    <w:uiPriority w:val="0"/>
    <w:pPr>
      <w:spacing w:after="120" w:line="480" w:lineRule="auto"/>
      <w:ind w:left="420" w:leftChars="200"/>
    </w:p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列出段落1"/>
    <w:basedOn w:val="1"/>
    <w:autoRedefine/>
    <w:qFormat/>
    <w:uiPriority w:val="0"/>
    <w:pPr>
      <w:ind w:firstLine="200" w:firstLineChars="200"/>
    </w:pPr>
    <w:rPr>
      <w:rFonts w:eastAsia="宋体" w:cs="Calibri"/>
      <w:sz w:val="21"/>
      <w:szCs w:val="21"/>
    </w:rPr>
  </w:style>
  <w:style w:type="paragraph" w:customStyle="1" w:styleId="12">
    <w:name w:val="Char Char Char Char1"/>
    <w:basedOn w:val="1"/>
    <w:qFormat/>
    <w:uiPriority w:val="0"/>
    <w:rPr>
      <w:rFonts w:ascii="Times New Roman" w:hAnsi="Times New Roman" w:eastAsia="宋体"/>
      <w:szCs w:val="21"/>
    </w:rPr>
  </w:style>
  <w:style w:type="character" w:customStyle="1" w:styleId="13">
    <w:name w:val="font11"/>
    <w:basedOn w:val="10"/>
    <w:qFormat/>
    <w:uiPriority w:val="0"/>
    <w:rPr>
      <w:rFonts w:ascii="Tahoma" w:hAnsi="Tahoma" w:eastAsia="Tahoma" w:cs="Tahoma"/>
      <w:color w:val="000000"/>
      <w:sz w:val="22"/>
      <w:szCs w:val="22"/>
      <w:u w:val="none"/>
    </w:rPr>
  </w:style>
  <w:style w:type="paragraph" w:customStyle="1" w:styleId="14">
    <w:name w:val="NormalIndent"/>
    <w:next w:val="7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customStyle="1" w:styleId="15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  <w:style w:type="paragraph" w:customStyle="1" w:styleId="16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7</Pages>
  <Words>2700</Words>
  <Characters>2868</Characters>
  <Lines>130</Lines>
  <Paragraphs>63</Paragraphs>
  <TotalTime>0</TotalTime>
  <ScaleCrop>false</ScaleCrop>
  <LinksUpToDate>false</LinksUpToDate>
  <CharactersWithSpaces>2919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2021-07-05T09:32:00Z</dcterms:created>
  <dc:creator>Administrator</dc:creator>
  <cp:lastModifiedBy>高旭玲</cp:lastModifiedBy>
  <cp:lastPrinted>2021-10-11T01:34:00Z</cp:lastPrinted>
  <dcterms:modified xsi:type="dcterms:W3CDTF">2025-05-12T01:25:17Z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2CFDAB8D44F14F9C97A04DEA843D0D87_13</vt:lpwstr>
  </property>
  <property fmtid="{D5CDD505-2E9C-101B-9397-08002B2CF9AE}" pid="4" name="KSOTemplateDocerSaveRecord">
    <vt:lpwstr>eyJoZGlkIjoiNTNkNmE4MDViMzg0YjlkMzYzNTgxMzI1MzJhNDZlMjAiLCJ1c2VySWQiOiIxNjA4NDcyNDUxIn0=</vt:lpwstr>
  </property>
</Properties>
</file>