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9DD3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highlight w:val="none"/>
          <w:lang w:val="en-US" w:eastAsia="zh-CN"/>
        </w:rPr>
        <w:t>2024年农村危房改造项目专项预算</w:t>
      </w:r>
    </w:p>
    <w:p w14:paraId="6E04634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highlight w:val="none"/>
          <w:lang w:val="en-US" w:eastAsia="zh-CN"/>
        </w:rPr>
        <w:t>项目绩效自评报告</w:t>
      </w:r>
    </w:p>
    <w:p w14:paraId="6C736F6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  <w:highlight w:val="none"/>
        </w:rPr>
      </w:pPr>
    </w:p>
    <w:p w14:paraId="43EE9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黑体" w:hAnsi="宋体" w:eastAsia="黑体"/>
          <w:highlight w:val="none"/>
          <w:lang w:val="zh-CN"/>
        </w:rPr>
      </w:pPr>
      <w:r>
        <w:rPr>
          <w:rFonts w:hint="eastAsia" w:ascii="黑体" w:hAnsi="宋体" w:eastAsia="黑体"/>
          <w:highlight w:val="none"/>
        </w:rPr>
        <w:t>一、</w:t>
      </w:r>
      <w:r>
        <w:rPr>
          <w:rFonts w:hint="eastAsia" w:ascii="黑体" w:hAnsi="宋体" w:eastAsia="黑体"/>
          <w:highlight w:val="none"/>
          <w:lang w:val="zh-CN"/>
        </w:rPr>
        <w:t>项目概况</w:t>
      </w:r>
    </w:p>
    <w:p w14:paraId="714BBD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</w:p>
    <w:p w14:paraId="411BEE9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en-US" w:eastAsia="zh-CN"/>
        </w:rPr>
        <w:t>1、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项目设立原因及背景</w:t>
      </w:r>
    </w:p>
    <w:p w14:paraId="595ADA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从安全角度看，危房存在墙体裂缝、屋顶塌陷等诸多安全隐患，随时可能倒塌，对居住者的生命安全构成严重威胁。从居住条件来说，危房的内部设施往往简陋陈旧。改造可以改善居住的舒适度，包括改善通风、采光、保暖等条件，提升居民生活质量。从社会稳定角度考虑，帮助危房居民改善居住环境，可以减少因住房问题引发的社会矛盾和纠纷。</w:t>
      </w:r>
    </w:p>
    <w:p w14:paraId="3B68385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项目立项、资金申报的依据</w:t>
      </w:r>
    </w:p>
    <w:p w14:paraId="7B5C5C13">
      <w:pPr>
        <w:pStyle w:val="18"/>
        <w:spacing w:line="560" w:lineRule="exact"/>
        <w:ind w:left="0" w:firstLine="640" w:firstLineChars="200"/>
        <w:rPr>
          <w:rFonts w:hint="eastAsia" w:ascii="仿宋_GB2312"/>
          <w:u w:val="single"/>
        </w:rPr>
      </w:pPr>
      <w:r>
        <w:rPr>
          <w:rFonts w:hint="eastAsia" w:ascii="仿宋_GB2312" w:eastAsia="仿宋_GB2312"/>
        </w:rPr>
        <w:t>该项目申报预算</w:t>
      </w:r>
      <w:r>
        <w:rPr>
          <w:rFonts w:hint="eastAsia" w:ascii="仿宋_GB2312"/>
          <w:lang w:val="en-US" w:eastAsia="zh-CN"/>
        </w:rPr>
        <w:t xml:space="preserve"> 39</w:t>
      </w:r>
      <w:r>
        <w:rPr>
          <w:rFonts w:hint="eastAsia" w:ascii="仿宋_GB2312" w:eastAsia="仿宋_GB2312"/>
        </w:rPr>
        <w:t>万元，年度申报金额为</w:t>
      </w:r>
      <w:r>
        <w:rPr>
          <w:rFonts w:hint="eastAsia" w:ascii="仿宋_GB2312"/>
          <w:lang w:val="en-US" w:eastAsia="zh-CN"/>
        </w:rPr>
        <w:t>39</w:t>
      </w:r>
      <w:r>
        <w:rPr>
          <w:rFonts w:hint="eastAsia" w:ascii="仿宋_GB2312" w:eastAsia="仿宋_GB2312"/>
        </w:rPr>
        <w:t>万元，资金来源为</w:t>
      </w:r>
      <w:r>
        <w:rPr>
          <w:rFonts w:hint="eastAsia" w:ascii="仿宋_GB2312" w:hAnsi="仿宋_GB2312" w:cs="仿宋_GB2312"/>
          <w:lang w:val="en-US" w:eastAsia="zh-CN"/>
        </w:rPr>
        <w:t>中央预算内投资及地方配套资金,</w:t>
      </w:r>
      <w:r>
        <w:rPr>
          <w:rFonts w:hint="eastAsia" w:cs="Times New Roman"/>
          <w:szCs w:val="32"/>
          <w:lang w:val="en-US" w:eastAsia="zh-CN"/>
        </w:rPr>
        <w:t>其中维修加固5000元每户；新建20000元每户</w:t>
      </w:r>
      <w:r>
        <w:rPr>
          <w:rFonts w:hint="eastAsia" w:ascii="仿宋_GB2312" w:eastAsia="仿宋_GB2312"/>
          <w:u w:val="none"/>
        </w:rPr>
        <w:t>。</w:t>
      </w:r>
      <w:r>
        <w:rPr>
          <w:rFonts w:hint="eastAsia" w:ascii="仿宋_GB2312" w:eastAsia="仿宋_GB2312"/>
        </w:rPr>
        <w:t>本次对项目投入经济性的评估是在项目事前绩效评估、预算测算的基础上，按照厉行节约的要求，结合项目</w:t>
      </w:r>
      <w:r>
        <w:rPr>
          <w:rFonts w:hint="eastAsia" w:ascii="仿宋_GB2312"/>
          <w:lang w:val="en-US" w:eastAsia="zh-CN"/>
        </w:rPr>
        <w:t>2024</w:t>
      </w:r>
      <w:r>
        <w:rPr>
          <w:rFonts w:hint="eastAsia" w:ascii="仿宋_GB2312" w:eastAsia="仿宋_GB2312"/>
        </w:rPr>
        <w:t>年开支情况结合</w:t>
      </w:r>
      <w:r>
        <w:rPr>
          <w:rFonts w:hint="eastAsia" w:ascii="仿宋_GB2312"/>
          <w:lang w:val="en-US" w:eastAsia="zh-CN"/>
        </w:rPr>
        <w:t>2024</w:t>
      </w:r>
      <w:r>
        <w:rPr>
          <w:rFonts w:hint="eastAsia" w:ascii="仿宋_GB2312" w:eastAsia="仿宋_GB2312"/>
        </w:rPr>
        <w:t>年实际需求、相关费用标准及市场价格水平，重点对数量是否合理、投入是否经济、预算测算是否准确、测算过程是否详细、测算依据是否充分等方面进行了评估。评估认为，该项目任务数量</w:t>
      </w:r>
      <w:r>
        <w:rPr>
          <w:rFonts w:hint="eastAsia" w:ascii="仿宋_GB2312" w:eastAsia="仿宋_GB2312"/>
          <w:u w:val="none"/>
        </w:rPr>
        <w:t>基本合理</w:t>
      </w:r>
      <w:r>
        <w:rPr>
          <w:rFonts w:hint="eastAsia" w:ascii="仿宋_GB2312" w:eastAsia="仿宋_GB2312"/>
        </w:rPr>
        <w:t>、预算测算过程</w:t>
      </w:r>
      <w:r>
        <w:rPr>
          <w:rFonts w:hint="eastAsia" w:ascii="仿宋_GB2312" w:eastAsia="仿宋_GB2312"/>
          <w:u w:val="none"/>
        </w:rPr>
        <w:t>较为详细</w:t>
      </w:r>
      <w:r>
        <w:rPr>
          <w:rFonts w:hint="eastAsia" w:ascii="仿宋_GB2312" w:eastAsia="仿宋_GB2312"/>
        </w:rPr>
        <w:t>、测算依据</w:t>
      </w:r>
      <w:r>
        <w:rPr>
          <w:rFonts w:hint="eastAsia" w:ascii="仿宋_GB2312" w:eastAsia="仿宋_GB2312"/>
          <w:u w:val="none"/>
        </w:rPr>
        <w:t>基本充分、有一定的经济性</w:t>
      </w:r>
      <w:r>
        <w:rPr>
          <w:rFonts w:hint="eastAsia" w:ascii="仿宋_GB2312" w:eastAsia="仿宋_GB2312"/>
        </w:rPr>
        <w:t>。</w:t>
      </w:r>
    </w:p>
    <w:p w14:paraId="4289AC72">
      <w:pPr>
        <w:numPr>
          <w:ilvl w:val="0"/>
          <w:numId w:val="1"/>
        </w:numPr>
        <w:spacing w:line="540" w:lineRule="exact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项目主要内容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。</w:t>
      </w:r>
    </w:p>
    <w:p w14:paraId="41F74403">
      <w:pPr>
        <w:snapToGrid w:val="0"/>
        <w:spacing w:line="600" w:lineRule="exact"/>
        <w:ind w:firstLine="640" w:firstLineChars="200"/>
        <w:jc w:val="left"/>
        <w:rPr>
          <w:rFonts w:hint="eastAsia" w:ascii="Times New Roman" w:hAnsi="Times New Roman"/>
          <w:szCs w:val="32"/>
          <w:lang w:val="en-US" w:eastAsia="zh-CN"/>
        </w:rPr>
      </w:pPr>
      <w:r>
        <w:rPr>
          <w:rFonts w:hint="eastAsia" w:ascii="仿宋_GB2312" w:eastAsia="仿宋_GB2312"/>
        </w:rPr>
        <w:t>本项目的主要内容</w:t>
      </w:r>
      <w:r>
        <w:rPr>
          <w:rFonts w:hint="eastAsia" w:ascii="仿宋_GB2312"/>
          <w:lang w:eastAsia="zh-CN"/>
        </w:rPr>
        <w:t>为危房改造</w:t>
      </w:r>
      <w:r>
        <w:rPr>
          <w:rFonts w:hint="eastAsia" w:ascii="仿宋_GB2312"/>
          <w:lang w:val="en-US" w:eastAsia="zh-CN"/>
        </w:rPr>
        <w:t>27户，其中马奈镇2户、安宁镇3户、卡撒乡3户、河东乡2户、勒乌镇6户、咯尔乡1户、毛日乡9户、阿科里1户。</w:t>
      </w:r>
      <w:r>
        <w:rPr>
          <w:rFonts w:hint="eastAsia" w:ascii="仿宋_GB2312"/>
          <w:u w:val="single" w:color="auto"/>
        </w:rPr>
        <w:t xml:space="preserve"> </w:t>
      </w:r>
    </w:p>
    <w:p w14:paraId="2B9160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二）</w:t>
      </w:r>
      <w:r>
        <w:rPr>
          <w:rFonts w:hint="default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 w14:paraId="4F3FEB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项目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管理办法制定情况</w:t>
      </w:r>
    </w:p>
    <w:p w14:paraId="5D98770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0" w:firstLineChars="200"/>
        <w:contextualSpacing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根据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《四川省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住房城乡建设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厅 四川省财政厅关于做好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2024年农村危房改造工作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的通知》（川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建村镇发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〔201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〕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52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号）文件内容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，结合我县实际，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由县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住房和城乡建设局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管理工作</w:t>
      </w:r>
      <w:bookmarkStart w:id="0" w:name="OLE_LINK8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下发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《金川县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2024农村危房改造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实施方案》</w:t>
      </w:r>
      <w:bookmarkEnd w:id="0"/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金住建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〔2024〕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30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号），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并于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20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24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下发给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相关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乡（镇）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。</w:t>
      </w:r>
    </w:p>
    <w:p w14:paraId="4FF215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2、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项目实施目的和主要工作任务，项目支持方向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。</w:t>
      </w:r>
    </w:p>
    <w:p w14:paraId="4D98FE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消除农村房屋存在的安全隐患，让居民住在安全的房屋中，避免因房屋倒塌等危险情况对生命和财产造成威胁。对危房进行改造，提升房屋的使用功能和舒适度，如增加采光、通风，改善卫生条件等，提高居民的生活质量。有助于解决困难群众的住房问题，减少社会不稳定因素，让居民安居乐业，促进农村社会的和谐稳定发展。提升农村整体风貌，改善农村人居环境，为乡村振兴战略的实施奠定基础。</w:t>
      </w:r>
    </w:p>
    <w:p w14:paraId="09C2459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hint="default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</w:p>
    <w:p w14:paraId="169204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根据州</w:t>
      </w:r>
      <w:r>
        <w:rPr>
          <w:rFonts w:hint="eastAsia" w:ascii="仿宋_GB2312"/>
          <w:sz w:val="32"/>
          <w:szCs w:val="32"/>
          <w:lang w:val="en-US" w:eastAsia="zh-CN"/>
        </w:rPr>
        <w:t>财政局预</w:t>
      </w:r>
      <w:r>
        <w:rPr>
          <w:rFonts w:hint="eastAsia" w:ascii="仿宋_GB2312" w:eastAsia="仿宋_GB2312"/>
          <w:sz w:val="32"/>
          <w:szCs w:val="32"/>
        </w:rPr>
        <w:t>下达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年中央财政</w:t>
      </w:r>
      <w:r>
        <w:rPr>
          <w:rFonts w:hint="eastAsia" w:ascii="仿宋_GB2312"/>
          <w:sz w:val="32"/>
          <w:szCs w:val="32"/>
          <w:lang w:val="en-US" w:eastAsia="zh-CN"/>
        </w:rPr>
        <w:t>农村危房改造补助</w:t>
      </w:r>
      <w:r>
        <w:rPr>
          <w:rFonts w:hint="eastAsia" w:ascii="仿宋_GB2312" w:eastAsia="仿宋_GB2312"/>
          <w:sz w:val="32"/>
          <w:szCs w:val="32"/>
          <w:lang w:eastAsia="zh-CN"/>
        </w:rPr>
        <w:t>资金</w:t>
      </w:r>
      <w:r>
        <w:rPr>
          <w:rFonts w:hint="eastAsia" w:ascii="仿宋_GB2312"/>
          <w:sz w:val="32"/>
          <w:szCs w:val="32"/>
          <w:lang w:val="en-US" w:eastAsia="zh-CN"/>
        </w:rPr>
        <w:t>39</w:t>
      </w:r>
      <w:r>
        <w:rPr>
          <w:rStyle w:val="16"/>
          <w:rFonts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保持政策的稳定性和连续性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及时拨付资金给农户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bookmarkStart w:id="1" w:name="OLE_LINK6"/>
      <w:r>
        <w:rPr>
          <w:rFonts w:hint="eastAsia" w:cs="Times New Roman"/>
          <w:szCs w:val="32"/>
          <w:lang w:val="en-US" w:eastAsia="zh-CN"/>
        </w:rPr>
        <w:t>以维修加固5000元每户；新建20000元每户</w:t>
      </w:r>
      <w:r>
        <w:rPr>
          <w:rFonts w:hint="eastAsia" w:ascii="仿宋_GB2312"/>
          <w:u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进行补贴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061EF39">
      <w:pPr>
        <w:pStyle w:val="2"/>
        <w:rPr>
          <w:rFonts w:hint="eastAsia" w:ascii="仿宋_GB2312" w:eastAsia="仿宋_GB2312"/>
          <w:sz w:val="32"/>
          <w:szCs w:val="32"/>
        </w:rPr>
      </w:pPr>
    </w:p>
    <w:tbl>
      <w:tblPr>
        <w:tblStyle w:val="11"/>
        <w:tblW w:w="8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176"/>
        <w:gridCol w:w="2376"/>
        <w:gridCol w:w="1176"/>
        <w:gridCol w:w="696"/>
        <w:gridCol w:w="816"/>
        <w:gridCol w:w="696"/>
        <w:gridCol w:w="714"/>
        <w:gridCol w:w="53"/>
      </w:tblGrid>
      <w:tr w14:paraId="0023A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1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11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金川县2024年危房改造汇总表</w:t>
            </w:r>
          </w:p>
        </w:tc>
      </w:tr>
      <w:tr w14:paraId="3E836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2189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6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70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BA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6B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户主姓名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19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改造类别     （抗震改造、危房改造）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D8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初步评定等级 （C、D级）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4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改造方式        （新建、维修加固）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72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补助资金（万元）</w:t>
            </w:r>
          </w:p>
        </w:tc>
      </w:tr>
      <w:tr w14:paraId="30720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09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D4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安宁镇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50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末末扎村民委员会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E03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任国伍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7BD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8D6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BA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2B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6FF33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D1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05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安宁镇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CD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八角碉村民委员会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67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杨治芬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4C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34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56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C7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55CED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B3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B2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安宁镇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43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炭厂沟村民委员会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26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邵明志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10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4A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3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29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467F8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13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63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勒乌镇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DC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二甲村民委员会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570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吴传茂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E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7A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6E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8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31D24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C1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6F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勒乌镇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A7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二甲村民委员会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D3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6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3E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B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6E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2BC08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9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65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勒乌镇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10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二甲村民委员会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A0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龙正海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E1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A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0B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C6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5279F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A69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CF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勒乌镇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1FB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新开宗村民委员会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7A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李树明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7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8C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D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024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0E609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EAC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77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勒乌镇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15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新开宗村民委员会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01F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罗开顺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16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80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0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99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3CBE3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FD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A2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勒乌镇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BA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牧场村民委员会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63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杨文光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C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06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A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42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6F5B5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2D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D4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马奈镇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3E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独足沟村民委员会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C9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张天贵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2C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2A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AC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DF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202A0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59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403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马奈镇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18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独足沟村民委员会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E1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高光全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3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9C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CD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E7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51EFB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72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E8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咯尔乡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25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德胜村民委员会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38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吴继兰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7BD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EB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59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6A8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0E2BA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A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26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河东乡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11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旦甲木足村民委员会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782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龙兴全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79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B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C3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C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22C2E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57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A5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河东乡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63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旦甲木足村民委员会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A5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杨德军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4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D4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7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0F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2A843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65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A7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阿科里乡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04F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阿科里村民委员会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9A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一西娜姆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A0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73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35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800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4A2DF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1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3D4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卡撒乡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53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脚姆塘村民委员会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6B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郑祖德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A7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07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51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B2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030EA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61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5C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卡撒乡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977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巴拉塘村民委员会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59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杨先续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0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37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C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77F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79A9F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93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FA1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卡撒乡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04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巴拉塘村民委员会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AC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余德健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A4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0C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6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2C7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5CAD4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7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83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02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热它村民委员会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BC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东后卓马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A1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4B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1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3A5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1243D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8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82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EB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热它村民委员会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45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班马尼麦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C3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5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DB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3D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03FA5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BD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0C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0A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热它村民委员会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38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对热各总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0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4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E63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62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6AA2E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D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0A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EC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热它村民委员会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57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泽郎奔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5E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C2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A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52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02025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4A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52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FB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热它村民委员会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8E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多吉拉里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4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8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5B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9B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1596A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0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F6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B5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热它村民委员会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D1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看卓木措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E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16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D7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FF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1E164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DF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FC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30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壳它村民委员会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CC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尼麦切央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A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12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6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4D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30D88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B2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3F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C60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甲克村民委员会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22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嘎让拉姆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3B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38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4F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维修加固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E7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 w14:paraId="4D5B7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trHeight w:val="868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F5E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F4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毛日乡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70F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甲克村民委员会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65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银木初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57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危房改造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E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B9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C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</w:tbl>
    <w:p w14:paraId="1EA5F6B0">
      <w:pPr>
        <w:pStyle w:val="2"/>
        <w:rPr>
          <w:rFonts w:hint="eastAsia" w:ascii="仿宋_GB2312" w:eastAsia="仿宋_GB2312"/>
          <w:sz w:val="32"/>
          <w:szCs w:val="32"/>
        </w:rPr>
      </w:pPr>
    </w:p>
    <w:p w14:paraId="6803F57B">
      <w:pPr>
        <w:pStyle w:val="2"/>
        <w:rPr>
          <w:rFonts w:hint="eastAsia" w:ascii="仿宋_GB2312" w:eastAsia="仿宋_GB2312"/>
          <w:sz w:val="32"/>
          <w:szCs w:val="32"/>
        </w:rPr>
      </w:pPr>
    </w:p>
    <w:bookmarkEnd w:id="1"/>
    <w:p w14:paraId="08802806">
      <w:pPr>
        <w:pStyle w:val="5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四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）项目绩效目标设置。</w:t>
      </w:r>
      <w:bookmarkStart w:id="2" w:name="OLE_LINK11"/>
      <w:r>
        <w:rPr>
          <w:rFonts w:hint="eastAsia" w:ascii="仿宋_GB2312" w:eastAsia="仿宋_GB2312"/>
          <w:lang w:val="en-US" w:eastAsia="zh-CN"/>
        </w:rPr>
        <w:t>金川县2024年危房改造</w:t>
      </w:r>
      <w:r>
        <w:rPr>
          <w:rFonts w:hint="eastAsia" w:ascii="仿宋_GB2312" w:eastAsia="仿宋_GB2312"/>
        </w:rPr>
        <w:t>主要内容</w:t>
      </w:r>
      <w:r>
        <w:rPr>
          <w:rFonts w:hint="eastAsia" w:ascii="仿宋_GB2312"/>
          <w:lang w:eastAsia="zh-CN"/>
        </w:rPr>
        <w:t>为危房改造</w:t>
      </w:r>
      <w:r>
        <w:rPr>
          <w:rFonts w:hint="eastAsia" w:ascii="仿宋_GB2312"/>
          <w:lang w:val="en-US" w:eastAsia="zh-CN"/>
        </w:rPr>
        <w:t>27户，其中马奈镇2户、安宁镇3户、卡撒乡3户、河东乡2户、勒乌镇6户、咯尔乡1户、毛日乡9户、阿科里1户。</w:t>
      </w:r>
      <w:r>
        <w:rPr>
          <w:rFonts w:hint="eastAsia" w:ascii="仿宋_GB2312"/>
          <w:u w:val="single" w:color="auto"/>
        </w:rPr>
        <w:t xml:space="preserve"> </w:t>
      </w:r>
    </w:p>
    <w:bookmarkEnd w:id="2"/>
    <w:p w14:paraId="2B2E4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outlineLvl w:val="9"/>
        <w:rPr>
          <w:rFonts w:hint="eastAsia" w:ascii="黑体" w:hAnsi="宋体" w:eastAsia="黑体"/>
          <w:highlight w:val="none"/>
          <w:lang w:eastAsia="zh-CN"/>
        </w:rPr>
      </w:pPr>
      <w:r>
        <w:rPr>
          <w:rFonts w:hint="eastAsia" w:ascii="黑体" w:hAnsi="宋体" w:eastAsia="黑体"/>
          <w:highlight w:val="none"/>
        </w:rPr>
        <w:t>二、</w:t>
      </w:r>
      <w:r>
        <w:rPr>
          <w:rFonts w:hint="eastAsia" w:ascii="黑体" w:hAnsi="宋体" w:eastAsia="黑体"/>
          <w:highlight w:val="none"/>
          <w:lang w:eastAsia="zh-CN"/>
        </w:rPr>
        <w:t>评价实施</w:t>
      </w:r>
    </w:p>
    <w:p w14:paraId="3727271B">
      <w:pPr>
        <w:snapToGrid w:val="0"/>
        <w:spacing w:line="600" w:lineRule="exact"/>
        <w:ind w:firstLine="643" w:firstLineChars="200"/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（一）评价目的。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从安全角度看，危房存在墙体裂缝、屋顶塌陷等诸多安全隐患，随时可能倒塌，对居住者的生命安全构成严重威胁。从居住条件来说，危房的内部设施往往简陋陈旧。改造可以改善居住的舒适度，包括改善通风、采光、保暖等条件，提升居民生活质量。从社会稳定角度考虑，帮助危房居民改善居住环境，可以减少因住房问题引发的社会矛盾和纠纷。</w:t>
      </w:r>
    </w:p>
    <w:p w14:paraId="4E214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outlineLvl w:val="9"/>
        <w:rPr>
          <w:rFonts w:hint="eastAsia" w:cs="Times New Roman"/>
          <w:szCs w:val="32"/>
          <w:lang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 w:eastAsia="仿宋_GB2312" w:cs="Times New Roman"/>
          <w:szCs w:val="32"/>
        </w:rPr>
        <w:t>按照绩效评价指标体系，对资金支出使用全过程及其实施效果进行综合评价和判断</w:t>
      </w:r>
      <w:r>
        <w:rPr>
          <w:rFonts w:hint="eastAsia" w:eastAsia="仿宋_GB2312" w:cs="Times New Roman"/>
          <w:szCs w:val="32"/>
          <w:lang w:eastAsia="zh-CN"/>
        </w:rPr>
        <w:t>。</w:t>
      </w:r>
    </w:p>
    <w:p w14:paraId="19CBA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outlineLvl w:val="9"/>
        <w:rPr>
          <w:rFonts w:hint="eastAsia" w:cs="Times New Roman"/>
          <w:szCs w:val="32"/>
          <w:lang w:val="zh-CN"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bookmarkStart w:id="3" w:name="OLE_LINK9"/>
      <w:r>
        <w:rPr>
          <w:rFonts w:hint="eastAsia" w:cs="Times New Roman"/>
          <w:szCs w:val="32"/>
          <w:lang w:val="zh-CN" w:eastAsia="zh-CN"/>
        </w:rPr>
        <w:t>选取安全达标率、质量合格率、资金拨付及时率、群众满意度、后期维护可行性作为评价选点，综合衡量项目成效。</w:t>
      </w:r>
    </w:p>
    <w:p w14:paraId="57614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cs="Times New Roman"/>
          <w:szCs w:val="32"/>
          <w:lang w:val="zh-CN"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hint="eastAsia" w:cs="Times New Roman"/>
          <w:szCs w:val="32"/>
          <w:lang w:val="zh-CN" w:eastAsia="zh-CN"/>
        </w:rPr>
        <w:t>从目标达成看，核查房屋安全隐患消除及居住功能改善情况；工程质量方面，检测材料、监督施工工艺；资金使用上，审查到位与合规性；社会效益评价中，通过农户满意度调查、乡村风貌观察衡量；可持续性评估则关注房屋耐久性与可维护性，多手段结合确保全面、客观评价项目成效。</w:t>
      </w:r>
    </w:p>
    <w:p w14:paraId="66F31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eastAsia="仿宋_GB2312" w:cs="Times New Roman"/>
          <w:bCs/>
          <w:szCs w:val="32"/>
          <w:lang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 w:cs="Times New Roman"/>
          <w:szCs w:val="32"/>
          <w:lang w:val="en-US" w:eastAsia="zh-CN"/>
        </w:rPr>
        <w:t>质监站和</w:t>
      </w:r>
      <w:r>
        <w:rPr>
          <w:rFonts w:hint="eastAsia" w:cs="Times New Roman"/>
          <w:szCs w:val="32"/>
          <w:lang w:eastAsia="zh-CN"/>
        </w:rPr>
        <w:t>相关股站工作人员参与，第三方机构构成的专项小组，制定评价流程，规范资料收集与现场核查，开展人员培训与多方沟通。</w:t>
      </w:r>
    </w:p>
    <w:bookmarkEnd w:id="3"/>
    <w:p w14:paraId="6193F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仿宋_GB2312" w:hAnsi="宋体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  <w:t>三、</w:t>
      </w: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hint="eastAsia" w:ascii="仿宋_GB2312" w:hAnsi="宋体"/>
          <w:color w:val="auto"/>
          <w:sz w:val="32"/>
          <w:szCs w:val="32"/>
          <w:highlight w:val="none"/>
          <w:u w:val="none"/>
          <w:lang w:val="zh-CN"/>
        </w:rPr>
        <w:tab/>
      </w:r>
    </w:p>
    <w:p w14:paraId="3CD60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eastAsia="仿宋_GB2312" w:cs="Times New Roman"/>
          <w:szCs w:val="32"/>
          <w:lang w:val="en-US" w:eastAsia="zh-CN"/>
        </w:rPr>
      </w:pPr>
      <w:r>
        <w:rPr>
          <w:rFonts w:hint="default" w:eastAsia="仿宋_GB2312" w:cs="Times New Roman"/>
          <w:szCs w:val="32"/>
          <w:lang w:val="zh-CN" w:eastAsia="zh-CN"/>
        </w:rPr>
        <w:t>根据</w:t>
      </w:r>
      <w:r>
        <w:rPr>
          <w:rFonts w:hint="eastAsia" w:eastAsia="仿宋_GB2312" w:cs="Times New Roman"/>
          <w:szCs w:val="32"/>
          <w:lang w:val="zh-CN" w:eastAsia="zh-CN"/>
        </w:rPr>
        <w:t>项目</w:t>
      </w:r>
      <w:r>
        <w:rPr>
          <w:rFonts w:hint="default" w:eastAsia="仿宋_GB2312" w:cs="Times New Roman"/>
          <w:szCs w:val="32"/>
          <w:lang w:val="zh-CN" w:eastAsia="zh-CN"/>
        </w:rPr>
        <w:t>预算绩效评价指标体系“</w:t>
      </w:r>
      <w:r>
        <w:rPr>
          <w:rFonts w:hint="eastAsia" w:eastAsia="仿宋_GB2312" w:cs="Times New Roman"/>
          <w:szCs w:val="32"/>
          <w:lang w:val="zh-CN" w:eastAsia="zh-CN"/>
        </w:rPr>
        <w:t>通用指标</w:t>
      </w:r>
      <w:r>
        <w:rPr>
          <w:rFonts w:hint="default" w:eastAsia="仿宋_GB2312" w:cs="Times New Roman"/>
          <w:szCs w:val="32"/>
          <w:lang w:val="zh-CN" w:eastAsia="zh-CN"/>
        </w:rPr>
        <w:t>”</w:t>
      </w:r>
      <w:r>
        <w:rPr>
          <w:rFonts w:hint="eastAsia" w:eastAsia="仿宋_GB2312" w:cs="Times New Roman"/>
          <w:szCs w:val="32"/>
          <w:lang w:val="zh-CN" w:eastAsia="zh-CN"/>
        </w:rPr>
        <w:t>“专用指标”“个性指标”</w:t>
      </w:r>
      <w:r>
        <w:rPr>
          <w:rFonts w:hint="default" w:eastAsia="仿宋_GB2312" w:cs="Times New Roman"/>
          <w:szCs w:val="32"/>
          <w:lang w:val="zh-CN" w:eastAsia="zh-CN"/>
        </w:rPr>
        <w:t>涉及</w:t>
      </w:r>
      <w:r>
        <w:rPr>
          <w:rFonts w:hint="eastAsia" w:eastAsia="仿宋_GB2312" w:cs="Times New Roman"/>
          <w:szCs w:val="32"/>
          <w:lang w:val="zh-CN" w:eastAsia="zh-CN"/>
        </w:rPr>
        <w:t>二、三级</w:t>
      </w:r>
      <w:r>
        <w:rPr>
          <w:rFonts w:hint="default" w:eastAsia="仿宋_GB2312" w:cs="Times New Roman"/>
          <w:szCs w:val="32"/>
          <w:lang w:val="zh-CN" w:eastAsia="zh-CN"/>
        </w:rPr>
        <w:t>指标进行</w:t>
      </w:r>
      <w:r>
        <w:rPr>
          <w:rFonts w:hint="eastAsia" w:eastAsia="仿宋_GB2312" w:cs="Times New Roman"/>
          <w:szCs w:val="32"/>
          <w:lang w:val="zh-CN" w:eastAsia="zh-CN"/>
        </w:rPr>
        <w:t>逐项</w:t>
      </w:r>
      <w:r>
        <w:rPr>
          <w:rFonts w:hint="default" w:eastAsia="仿宋_GB2312" w:cs="Times New Roman"/>
          <w:szCs w:val="32"/>
          <w:lang w:val="zh-CN" w:eastAsia="zh-CN"/>
        </w:rPr>
        <w:t>绩效分析</w:t>
      </w:r>
      <w:r>
        <w:rPr>
          <w:rFonts w:hint="eastAsia" w:eastAsia="仿宋_GB2312" w:cs="Times New Roman"/>
          <w:szCs w:val="32"/>
          <w:lang w:val="zh-CN" w:eastAsia="zh-CN"/>
        </w:rPr>
        <w:t>并评分</w:t>
      </w:r>
      <w:r>
        <w:rPr>
          <w:rFonts w:hint="eastAsia" w:cs="Times New Roman"/>
          <w:szCs w:val="32"/>
          <w:lang w:val="en-US" w:eastAsia="zh-CN"/>
        </w:rPr>
        <w:t>。</w:t>
      </w:r>
    </w:p>
    <w:p w14:paraId="6DE42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75879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color w:val="auto"/>
          <w:szCs w:val="32"/>
          <w:lang w:eastAsia="zh-CN"/>
        </w:rPr>
        <w:t>项目决策。</w:t>
      </w:r>
      <w:r>
        <w:rPr>
          <w:rFonts w:hint="eastAsia" w:ascii="仿宋_GB2312" w:hAnsi="仿宋_GB2312" w:cs="仿宋_GB2312"/>
          <w:szCs w:val="32"/>
        </w:rPr>
        <w:t>首先，深入开展需求调研，运用入户摸排、数据分析等方式，精准掌握危房数量、等级及群众意愿，锁定改造对象。其次，紧扣国家住房保障、乡村振兴等政策，结合地方实际，明确项目目标与原则。同时，制定多套改造方案，对比技术、经济、社会效应，确定最优路径。此外，拓宽财政拨款、社会资本等资金渠道，保障资金供给，并评估政策、施工等风险，制定预案，确保项目科学决策、稳步实施。</w:t>
      </w:r>
    </w:p>
    <w:p w14:paraId="6436F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仿宋_GB2312" w:hAnsi="Times New Roman" w:cs="Times New Roman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color w:val="auto"/>
          <w:szCs w:val="32"/>
          <w:lang w:eastAsia="zh-CN"/>
        </w:rPr>
        <w:t>项目管理。</w:t>
      </w:r>
      <w:r>
        <w:rPr>
          <w:rFonts w:hint="eastAsia" w:ascii="仿宋_GB2312"/>
          <w:color w:val="auto"/>
          <w:sz w:val="32"/>
          <w:szCs w:val="32"/>
          <w:lang w:eastAsia="zh-CN"/>
        </w:rPr>
        <w:t>危房改造项目管理以全流程管控为核心。前期做好规划，保障方案科学、施工方合规；中期强化施工监管，把控质量安全与进度；后期严格验收，确保改造达标。同时建立动态沟通机制，协调政府部门、施工方、农户关系，妥善处理资金拨付、纠纷调解等问题，保障项目顺利推进。</w:t>
      </w:r>
    </w:p>
    <w:p w14:paraId="4347AF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3.项目实施。</w:t>
      </w:r>
      <w:r>
        <w:rPr>
          <w:rFonts w:hint="eastAsia" w:ascii="仿宋_GB2312" w:eastAsia="仿宋_GB2312"/>
          <w:sz w:val="32"/>
          <w:szCs w:val="32"/>
        </w:rPr>
        <w:t>危房改造项目实施过程中，首先要做好前期准备，开展危房鉴定、制定改造方案并公示。实施阶段，组织施工队伍按标准施工，严格把控材料质量与施工工艺；建立多方沟通机制，及时处理农户诉求与施工问题。竣工后，组织多部门联合验收，整改不合格项，确保房屋安全达标、群众满意入住。</w:t>
      </w:r>
    </w:p>
    <w:p w14:paraId="10FB26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rPr>
          <w:rFonts w:hint="eastAsia" w:ascii="Times New Roman" w:hAnsi="Times New Roman" w:cs="Times New Roman"/>
          <w:color w:val="auto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4.项目结果。</w:t>
      </w:r>
      <w:r>
        <w:rPr>
          <w:rFonts w:hint="eastAsia" w:ascii="仿宋_GB2312"/>
          <w:sz w:val="32"/>
          <w:szCs w:val="32"/>
          <w:lang w:eastAsia="zh-CN"/>
        </w:rPr>
        <w:t>房屋安全隐患全面消除，结构稳固性达标，居住功能完善，采光、通风、厨卫条件显著改善；群众居住安全与生活质量提升，满意度较高；乡村风貌得以优化，部分地区带动旅游等产业发展；资金使用合理，工程质量验收合格，实现项目预期目标与社会效益 。</w:t>
      </w:r>
    </w:p>
    <w:p w14:paraId="2ADD0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color w:val="auto"/>
          <w:szCs w:val="32"/>
          <w:lang w:val="zh-CN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7BD81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安全达标率体现房屋结构安全改善程度；质量验收合格率反映工程建设水平；资金拨付及时率衡量资金使用效率；群众满意度体现项目惠民效果；改造完成及时率保障项目进度。通过对这些指标量化分析，全面评估项目实施成效与资源利用效益。</w:t>
      </w:r>
    </w:p>
    <w:p w14:paraId="72A5685E">
      <w:pPr>
        <w:pStyle w:val="5"/>
        <w:numPr>
          <w:ilvl w:val="0"/>
          <w:numId w:val="0"/>
        </w:numPr>
        <w:ind w:firstLine="643" w:firstLineChars="200"/>
        <w:rPr>
          <w:rFonts w:hint="eastAsia" w:cs="Times New Roman"/>
          <w:color w:val="auto"/>
          <w:szCs w:val="32"/>
          <w:lang w:val="en-US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bookmarkStart w:id="4" w:name="OLE_LINK10"/>
      <w:r>
        <w:rPr>
          <w:rFonts w:hint="eastAsia"/>
          <w:lang w:val="en-US" w:eastAsia="zh-CN"/>
        </w:rPr>
        <w:t>重点关注地域风貌契合度，评估房屋与传统风格、自然环境融合度；考量文化传承性，查看地方建筑工艺与民俗元素留存；分析产业带动性，探究对乡村旅游等产业的促进作用；衡量生态友好度，评估绿色建材及节能技术应用效果，实现多元价值评估。</w:t>
      </w:r>
    </w:p>
    <w:bookmarkEnd w:id="4"/>
    <w:p w14:paraId="66084844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  <w:t>、评价结论</w:t>
      </w:r>
    </w:p>
    <w:p w14:paraId="28D60E87"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综合来看，本危房改造项目通过精准识别与科学规划，达成消除安全隐患、改善居住条件的核心目标，工程质量达标，资金使用规范高效。群众满意度较高，对乡村风貌提升与产业发展有积极推动作用，同时在生态与文化保护上取得一定成效。但仍存在部分细节优化空间，建议持续完善长效维护机制，巩固改造成果 。</w:t>
      </w:r>
      <w:r>
        <w:rPr>
          <w:rFonts w:hint="eastAsia" w:ascii="仿宋_GB2312"/>
          <w:sz w:val="32"/>
          <w:szCs w:val="32"/>
          <w:lang w:val="en-US" w:eastAsia="zh-CN"/>
        </w:rPr>
        <w:t>2024危房改造</w:t>
      </w:r>
      <w:r>
        <w:rPr>
          <w:rFonts w:hint="eastAsia" w:ascii="仿宋_GB2312" w:eastAsia="仿宋_GB2312"/>
          <w:sz w:val="32"/>
          <w:szCs w:val="32"/>
          <w:lang w:eastAsia="zh-CN"/>
        </w:rPr>
        <w:t>补贴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综合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自评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得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分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96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分，评估等级为优。</w:t>
      </w:r>
    </w:p>
    <w:p w14:paraId="55B644DC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宋体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eastAsia" w:ascii="黑体" w:hAnsi="宋体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1EF4386F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黑体" w:cs="黑体"/>
          <w:b w:val="0"/>
          <w:bCs w:val="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无</w:t>
      </w:r>
    </w:p>
    <w:p w14:paraId="2CEFFAE9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eastAsia" w:ascii="黑体" w:hAnsi="宋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4570F987">
      <w:pPr>
        <w:tabs>
          <w:tab w:val="left" w:pos="1911"/>
        </w:tabs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 xml:space="preserve"> </w:t>
      </w:r>
      <w:r>
        <w:rPr>
          <w:rFonts w:hint="eastAsia" w:ascii="仿宋_GB2312" w:hAns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  </w:t>
      </w:r>
      <w:bookmarkStart w:id="5" w:name="_Hlk110546638"/>
      <w:r>
        <w:rPr>
          <w:rFonts w:hint="eastAsia" w:ascii="仿宋_GB2312" w:hAns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无</w:t>
      </w:r>
    </w:p>
    <w:bookmarkEnd w:id="5"/>
    <w:p w14:paraId="6D3E6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</w:pPr>
    </w:p>
    <w:p w14:paraId="4B367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</w:p>
    <w:p w14:paraId="558B29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960" w:firstLineChars="3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附表：1.</w:t>
      </w: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预算绩效自评打分表</w:t>
      </w:r>
    </w:p>
    <w:p w14:paraId="60A84E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2.专项预算绩效自评实地踏勘点位清单表</w:t>
      </w:r>
    </w:p>
    <w:p w14:paraId="605F1B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专项预算项目绩效目标完成情况自评表</w:t>
      </w:r>
    </w:p>
    <w:p w14:paraId="0973CD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</w:p>
    <w:p w14:paraId="796A78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预算绩效自评打分表</w:t>
      </w:r>
    </w:p>
    <w:tbl>
      <w:tblPr>
        <w:tblStyle w:val="11"/>
        <w:tblW w:w="109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65"/>
        <w:gridCol w:w="825"/>
        <w:gridCol w:w="1355"/>
        <w:gridCol w:w="696"/>
        <w:gridCol w:w="5340"/>
        <w:gridCol w:w="732"/>
        <w:gridCol w:w="468"/>
      </w:tblGrid>
      <w:tr w14:paraId="54410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36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39C1D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绩效评价指标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44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指标解释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8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自评得分</w:t>
            </w:r>
          </w:p>
        </w:tc>
        <w:tc>
          <w:tcPr>
            <w:tcW w:w="4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D3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741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5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F0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6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8E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1148B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46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5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34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6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9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6" w:name="OLE_LINK20" w:colFirst="3" w:colLast="3"/>
            <w:bookmarkStart w:id="7" w:name="OLE_LINK12" w:colFirst="3" w:colLast="3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通用指标</w:t>
            </w:r>
          </w:p>
          <w:p w14:paraId="141DE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（54分）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6D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</w:t>
            </w:r>
          </w:p>
          <w:p w14:paraId="0EF85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FD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决策程序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3D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10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项目决策程序是否严密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73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0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671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5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9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54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规划论证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E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3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项目规划论证是否符合中省要求，项目绩效目标设置是否科学合理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98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4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D65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D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F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0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资金投向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6F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5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项目资金是否与项目总体规划、相关行业事业发展相匹配，是否聚焦重大任务、重点领域、重点环节和重点项目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3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EF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DD0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2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E7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项目管理</w:t>
            </w:r>
          </w:p>
          <w:p w14:paraId="5F6D2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4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制度办法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2A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52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项目制度办法是否体系健全、要素完备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E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EE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FDC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C4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6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分配管理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A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51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项目资金分配因素选取、权重设置、区域分布，项目管理、审批是否符合管理要求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6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CE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32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00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E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CA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绩效监管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AF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管资金、项目、政策是否管绩效，项目绩效监管是否按要求开展，对下指导是否有力有效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26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D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395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8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35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</w:t>
            </w:r>
          </w:p>
          <w:p w14:paraId="109D8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9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F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F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项目资金财政拨付、单位执行和地方配套到位情况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5A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9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E7E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F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F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FC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CF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11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资金使用拨付、项目实施是否符合规定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EB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8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DC7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14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A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项目结果</w:t>
            </w:r>
          </w:p>
          <w:p w14:paraId="28255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7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目标完成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A0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5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项目是否完成预期目标，实施结果是否与绩效目标相匹配，反映目标实现程度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E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A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C60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4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D9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1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E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6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项目实际完成时间与计划完成时间的比较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E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0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43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E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344A3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  <w:p w14:paraId="4561E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0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7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项目实施是否与省委省政府支持重点、产业支持政策符合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C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9B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3D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D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5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4A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成长性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D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28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项目实施对相关企业（机构）成长性的促进作用，主要反映支持对象创新创造创业能力情况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F0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E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884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6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73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72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项目实施对相关企业（机构）主营业务收入、净利润、税收、产量等方面增长情况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FC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CA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bookmarkEnd w:id="6"/>
      <w:tr w14:paraId="1BAAD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9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74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民生保障</w:t>
            </w:r>
          </w:p>
          <w:p w14:paraId="19E94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E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区域均衡性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E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3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项目资金分配体现的均衡公平情况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39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6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F3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9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6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对象精准性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1A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9C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资金实际支持对象是否符合管理要求，是否符合支持对象范围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A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6A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B7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3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1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F9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8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41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资金实际补贴标准是否符合资金管理办法规定的补助标准，是否及时按标准兑现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52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4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30C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34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A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F4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D7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5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资金涉及相关受益群体、支持对象的满意度调查访谈情况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0C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E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0AA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02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</w:t>
            </w:r>
          </w:p>
          <w:p w14:paraId="6B1C7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</w:t>
            </w:r>
          </w:p>
          <w:p w14:paraId="1F5D3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在建</w:t>
            </w:r>
          </w:p>
          <w:p w14:paraId="58EF9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6F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工程进度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4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4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项目是否达到计划工程进度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64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84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5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3D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8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8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5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3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9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项目是否达到预先确定的资金拨付进度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D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6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B37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1E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17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0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建成</w:t>
            </w:r>
          </w:p>
          <w:p w14:paraId="5365E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A3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7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6A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项目验收是否及时合格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2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F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8D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BE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4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1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69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功能实现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1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72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项目经济社会功能是否实现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78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FA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F91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88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88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58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ED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后续管护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F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F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项目后续维护是否实现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16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1CC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F7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47BAE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9C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行政运转</w:t>
            </w:r>
          </w:p>
          <w:p w14:paraId="62941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用途合规性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A9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A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是否按规定用途、适用范围进行本地区专项资金分配</w:t>
            </w:r>
          </w:p>
        </w:tc>
        <w:tc>
          <w:tcPr>
            <w:tcW w:w="7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5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B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072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F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D9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B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1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7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资金管理程序是否符合专项资金管理要求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5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31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F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0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1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25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3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资金分配标准是否符合专项资金管理要求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F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6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560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58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个性指标</w:t>
            </w:r>
          </w:p>
          <w:p w14:paraId="16853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D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25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根据项目个性自行设定部分指标，反映该项指标执行完成情况。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58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66B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1B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41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满意度指标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4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D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7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7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7"/>
      <w:tr w14:paraId="16C23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C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扣分项</w:t>
            </w:r>
          </w:p>
          <w:p w14:paraId="42700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A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</w:t>
            </w:r>
          </w:p>
          <w:p w14:paraId="08B51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部门配合度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67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0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被评价对象工作配合情况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7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D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EF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3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E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2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D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A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  <w:bookmarkStart w:id="11" w:name="_GoBack"/>
            <w:bookmarkEnd w:id="11"/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85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784753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</w:t>
      </w:r>
    </w:p>
    <w:p w14:paraId="2B2298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专项预算绩效自评实地踏勘点位清单表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5956"/>
        <w:gridCol w:w="905"/>
      </w:tblGrid>
      <w:tr w14:paraId="0EE2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2205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956" w:type="dxa"/>
            <w:noWrap w:val="0"/>
            <w:vAlign w:val="top"/>
          </w:tcPr>
          <w:p w14:paraId="4CEAD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实地踏勘点位</w:t>
            </w:r>
          </w:p>
        </w:tc>
        <w:tc>
          <w:tcPr>
            <w:tcW w:w="905" w:type="dxa"/>
            <w:noWrap w:val="0"/>
            <w:vAlign w:val="top"/>
          </w:tcPr>
          <w:p w14:paraId="73DA2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CE2C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BE5A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5956" w:type="dxa"/>
            <w:noWrap w:val="0"/>
            <w:vAlign w:val="top"/>
          </w:tcPr>
          <w:p w14:paraId="1BAB1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勒乌镇</w:t>
            </w:r>
          </w:p>
        </w:tc>
        <w:tc>
          <w:tcPr>
            <w:tcW w:w="905" w:type="dxa"/>
            <w:noWrap w:val="0"/>
            <w:vAlign w:val="top"/>
          </w:tcPr>
          <w:p w14:paraId="1EFED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753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7200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5956" w:type="dxa"/>
            <w:noWrap w:val="0"/>
            <w:vAlign w:val="top"/>
          </w:tcPr>
          <w:p w14:paraId="5ED2F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安宁镇</w:t>
            </w:r>
          </w:p>
        </w:tc>
        <w:tc>
          <w:tcPr>
            <w:tcW w:w="905" w:type="dxa"/>
            <w:noWrap w:val="0"/>
            <w:vAlign w:val="top"/>
          </w:tcPr>
          <w:p w14:paraId="4AC37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998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A82E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5956" w:type="dxa"/>
            <w:noWrap w:val="0"/>
            <w:vAlign w:val="top"/>
          </w:tcPr>
          <w:p w14:paraId="38219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马奈镇</w:t>
            </w:r>
          </w:p>
        </w:tc>
        <w:tc>
          <w:tcPr>
            <w:tcW w:w="905" w:type="dxa"/>
            <w:noWrap w:val="0"/>
            <w:vAlign w:val="top"/>
          </w:tcPr>
          <w:p w14:paraId="578D2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2A8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FC3E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5956" w:type="dxa"/>
            <w:noWrap w:val="0"/>
            <w:vAlign w:val="top"/>
          </w:tcPr>
          <w:p w14:paraId="7CA6D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咯尔乡</w:t>
            </w:r>
          </w:p>
        </w:tc>
        <w:tc>
          <w:tcPr>
            <w:tcW w:w="905" w:type="dxa"/>
            <w:noWrap w:val="0"/>
            <w:vAlign w:val="top"/>
          </w:tcPr>
          <w:p w14:paraId="46B15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975D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94CF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5956" w:type="dxa"/>
            <w:noWrap w:val="0"/>
            <w:vAlign w:val="top"/>
          </w:tcPr>
          <w:p w14:paraId="3A760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  <w:t>卡撒乡</w:t>
            </w:r>
          </w:p>
        </w:tc>
        <w:tc>
          <w:tcPr>
            <w:tcW w:w="905" w:type="dxa"/>
            <w:noWrap w:val="0"/>
            <w:vAlign w:val="top"/>
          </w:tcPr>
          <w:p w14:paraId="58E16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BFB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123" w:type="dxa"/>
            <w:noWrap w:val="0"/>
            <w:vAlign w:val="top"/>
          </w:tcPr>
          <w:p w14:paraId="4AF89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5956" w:type="dxa"/>
            <w:noWrap w:val="0"/>
            <w:vAlign w:val="top"/>
          </w:tcPr>
          <w:p w14:paraId="0D47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毛日乡</w:t>
            </w:r>
          </w:p>
        </w:tc>
        <w:tc>
          <w:tcPr>
            <w:tcW w:w="905" w:type="dxa"/>
            <w:noWrap w:val="0"/>
            <w:vAlign w:val="top"/>
          </w:tcPr>
          <w:p w14:paraId="5D768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552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C24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5956" w:type="dxa"/>
            <w:noWrap w:val="0"/>
            <w:vAlign w:val="top"/>
          </w:tcPr>
          <w:p w14:paraId="311CB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河东乡</w:t>
            </w:r>
          </w:p>
        </w:tc>
        <w:tc>
          <w:tcPr>
            <w:tcW w:w="905" w:type="dxa"/>
            <w:noWrap w:val="0"/>
            <w:vAlign w:val="top"/>
          </w:tcPr>
          <w:p w14:paraId="66CF6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C81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5996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5956" w:type="dxa"/>
            <w:noWrap w:val="0"/>
            <w:vAlign w:val="top"/>
          </w:tcPr>
          <w:p w14:paraId="35C45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阿科里乡</w:t>
            </w:r>
          </w:p>
        </w:tc>
        <w:tc>
          <w:tcPr>
            <w:tcW w:w="905" w:type="dxa"/>
            <w:noWrap w:val="0"/>
            <w:vAlign w:val="top"/>
          </w:tcPr>
          <w:p w14:paraId="00073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E72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CD4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5956" w:type="dxa"/>
            <w:noWrap w:val="0"/>
            <w:vAlign w:val="top"/>
          </w:tcPr>
          <w:p w14:paraId="27E02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CAD3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BC2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34842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5956" w:type="dxa"/>
            <w:noWrap w:val="0"/>
            <w:vAlign w:val="top"/>
          </w:tcPr>
          <w:p w14:paraId="767F7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64A3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F605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72A5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5956" w:type="dxa"/>
            <w:noWrap w:val="0"/>
            <w:vAlign w:val="top"/>
          </w:tcPr>
          <w:p w14:paraId="1C8DE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5084C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C856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8EB3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5956" w:type="dxa"/>
            <w:noWrap w:val="0"/>
            <w:vAlign w:val="top"/>
          </w:tcPr>
          <w:p w14:paraId="39169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54D0C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BBD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430E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5956" w:type="dxa"/>
            <w:noWrap w:val="0"/>
            <w:vAlign w:val="top"/>
          </w:tcPr>
          <w:p w14:paraId="701EF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2ECF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AB04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9C11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5956" w:type="dxa"/>
            <w:noWrap w:val="0"/>
            <w:vAlign w:val="top"/>
          </w:tcPr>
          <w:p w14:paraId="61613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24AE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707C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323E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5956" w:type="dxa"/>
            <w:noWrap w:val="0"/>
            <w:vAlign w:val="top"/>
          </w:tcPr>
          <w:p w14:paraId="0D72F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BC61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58A2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54AA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5956" w:type="dxa"/>
            <w:noWrap w:val="0"/>
            <w:vAlign w:val="top"/>
          </w:tcPr>
          <w:p w14:paraId="5BAFC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36E83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5ADD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FAE9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5956" w:type="dxa"/>
            <w:noWrap w:val="0"/>
            <w:vAlign w:val="top"/>
          </w:tcPr>
          <w:p w14:paraId="676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388F5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0F5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4804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5956" w:type="dxa"/>
            <w:noWrap w:val="0"/>
            <w:vAlign w:val="top"/>
          </w:tcPr>
          <w:p w14:paraId="7EC96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2D1E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47E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F025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5956" w:type="dxa"/>
            <w:noWrap w:val="0"/>
            <w:vAlign w:val="top"/>
          </w:tcPr>
          <w:p w14:paraId="25071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2EE41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FB22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3F47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5956" w:type="dxa"/>
            <w:noWrap w:val="0"/>
            <w:vAlign w:val="top"/>
          </w:tcPr>
          <w:p w14:paraId="0DDA3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9282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0AEB3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备注：项目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实地踏勘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点位包括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实际2024年危房改造相关乡镇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。</w:t>
      </w:r>
    </w:p>
    <w:p w14:paraId="058850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</w:p>
    <w:p w14:paraId="68CBE6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3</w:t>
      </w:r>
    </w:p>
    <w:p w14:paraId="5785862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8"/>
        <w:gridCol w:w="947"/>
        <w:gridCol w:w="948"/>
        <w:gridCol w:w="947"/>
        <w:gridCol w:w="947"/>
        <w:gridCol w:w="713"/>
        <w:gridCol w:w="1104"/>
        <w:gridCol w:w="1028"/>
      </w:tblGrid>
      <w:tr w14:paraId="2F7A0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b w:val="0"/>
                <w:bCs w:val="0"/>
                <w:color w:val="auto"/>
                <w:sz w:val="40"/>
                <w:szCs w:val="40"/>
                <w:highlight w:val="none"/>
                <w:u w:val="none"/>
                <w:lang w:val="en-US" w:eastAsia="zh-CN"/>
              </w:rPr>
              <w:t>专项预算项目绩效目标完成情况自评表</w:t>
            </w:r>
          </w:p>
        </w:tc>
      </w:tr>
      <w:tr w14:paraId="50E3D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2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4A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1ED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金川县2024年农村危房改造</w:t>
            </w:r>
          </w:p>
        </w:tc>
      </w:tr>
      <w:tr w14:paraId="76E57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2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1A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D9A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金川县住房和城乡建设局</w:t>
            </w:r>
          </w:p>
        </w:tc>
      </w:tr>
      <w:tr w14:paraId="016EE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2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78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59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061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B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项目概况</w:t>
            </w:r>
          </w:p>
        </w:tc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4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中长期规划（名称、文号，仅指常年项目）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38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《四川省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住房城乡建设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厅 四川省财政厅关于做好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2024年农村危房改造工作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的通知》（川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建村镇发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〔201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〕1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号）文件内容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</w:tr>
      <w:tr w14:paraId="23034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D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6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6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《金川县2024年农村危房改造实施方案》</w:t>
            </w:r>
          </w:p>
        </w:tc>
      </w:tr>
      <w:tr w14:paraId="05038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8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7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26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£因素法</w:t>
            </w:r>
          </w:p>
        </w:tc>
        <w:tc>
          <w:tcPr>
            <w:tcW w:w="9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£据实据效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4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£因素法与项目法相结合</w:t>
            </w:r>
          </w:p>
        </w:tc>
      </w:tr>
      <w:tr w14:paraId="558E9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FC8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8B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709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C8F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1D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85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7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全县8个乡镇27户</w:t>
            </w:r>
          </w:p>
        </w:tc>
      </w:tr>
      <w:tr w14:paraId="33EC7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6EE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C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F1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2024年农村危房改造实施补贴</w:t>
            </w:r>
          </w:p>
        </w:tc>
      </w:tr>
      <w:tr w14:paraId="5081D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16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2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48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2024年4月-2025年6月</w:t>
            </w:r>
          </w:p>
        </w:tc>
      </w:tr>
      <w:tr w14:paraId="0EAC8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1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AE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1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</w:tr>
      <w:tr w14:paraId="35954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C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D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CC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</w:tr>
      <w:tr w14:paraId="1BE8A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1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7E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2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其他资金</w:t>
            </w:r>
          </w:p>
        </w:tc>
        <w:tc>
          <w:tcPr>
            <w:tcW w:w="27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0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 w14:paraId="29DFE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7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444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B8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</w:t>
            </w:r>
          </w:p>
        </w:tc>
      </w:tr>
      <w:tr w14:paraId="30380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93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B5D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2024年中央财政利用资金39万元，危房改造27户，其中马奈镇2户、安宁镇3户、卡撒乡3户、河东乡2户、勒乌镇6户、咯尔乡1户、毛日乡9户、阿科里1户</w:t>
            </w:r>
            <w:r>
              <w:rPr>
                <w:rFonts w:hint="eastAsia" w:ascii="仿宋_GB2312"/>
                <w:lang w:val="en-US" w:eastAsia="zh-CN"/>
              </w:rPr>
              <w:t>。</w:t>
            </w:r>
          </w:p>
        </w:tc>
      </w:tr>
      <w:tr w14:paraId="05150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D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D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3E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AC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97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6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2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权重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B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</w:tr>
      <w:tr w14:paraId="2237F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7B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7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95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1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2024危房改造户数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3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E0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0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27户</w:t>
            </w:r>
          </w:p>
        </w:tc>
      </w:tr>
      <w:tr w14:paraId="78A4C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A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B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AA5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01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7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A5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F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BF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8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51E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78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C5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B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2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9B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94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4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8" w:name="OLE_LINK1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  <w:bookmarkEnd w:id="8"/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8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2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731CF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07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4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81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8B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9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8B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D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8D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D25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05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9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EF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B1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改善居民住房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F3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85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D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6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E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优</w:t>
            </w:r>
          </w:p>
        </w:tc>
      </w:tr>
      <w:tr w14:paraId="245F7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32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6D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1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A0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提升居民住房质量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5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9" w:name="OLE_LINK18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  <w:bookmarkEnd w:id="9"/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4E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E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优</w:t>
            </w:r>
          </w:p>
        </w:tc>
      </w:tr>
      <w:tr w14:paraId="434FA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66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8D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D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C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C7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0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7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</w:tr>
      <w:tr w14:paraId="265F4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C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F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E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6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补助标准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46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10" w:name="OLE_LINK13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  <w:bookmarkEnd w:id="10"/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B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4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6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16.5万元</w:t>
            </w:r>
          </w:p>
        </w:tc>
      </w:tr>
    </w:tbl>
    <w:p w14:paraId="2CBFED1E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78" w:lineRule="exact"/>
        <w:rPr>
          <w:rFonts w:hint="default" w:ascii="黑体" w:hAnsi="黑体" w:eastAsia="黑体" w:cs="黑体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45E0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8A1D7F"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8A1D7F"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AF89B"/>
    <w:multiLevelType w:val="singleLevel"/>
    <w:tmpl w:val="5ECAF89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2MDA2NWRiM2RmOWU2ZTRmNjg0YmE5MWEwNmI3MDMifQ=="/>
    <w:docVar w:name="KSO_WPS_MARK_KEY" w:val="50f6cf70-aa55-4733-8375-f78b5e710e9d"/>
  </w:docVars>
  <w:rsids>
    <w:rsidRoot w:val="771D4D51"/>
    <w:rsid w:val="07B50185"/>
    <w:rsid w:val="0DA43BD9"/>
    <w:rsid w:val="10DA1605"/>
    <w:rsid w:val="11B40530"/>
    <w:rsid w:val="15A22546"/>
    <w:rsid w:val="15B209BE"/>
    <w:rsid w:val="18D976B2"/>
    <w:rsid w:val="19512015"/>
    <w:rsid w:val="19DF33D8"/>
    <w:rsid w:val="19F31437"/>
    <w:rsid w:val="1AEC2487"/>
    <w:rsid w:val="1C25106F"/>
    <w:rsid w:val="1C6A1C3C"/>
    <w:rsid w:val="1CCF12B9"/>
    <w:rsid w:val="1CFD8DF6"/>
    <w:rsid w:val="1FFF9AD9"/>
    <w:rsid w:val="213122D9"/>
    <w:rsid w:val="22AD555F"/>
    <w:rsid w:val="23CD3AD4"/>
    <w:rsid w:val="2479151A"/>
    <w:rsid w:val="25451F61"/>
    <w:rsid w:val="258861F2"/>
    <w:rsid w:val="269B17A4"/>
    <w:rsid w:val="26CF2DB3"/>
    <w:rsid w:val="27962929"/>
    <w:rsid w:val="2AF86ED7"/>
    <w:rsid w:val="2AFDF212"/>
    <w:rsid w:val="2B385C88"/>
    <w:rsid w:val="2B6BF484"/>
    <w:rsid w:val="2D2D083C"/>
    <w:rsid w:val="2FFF7DE7"/>
    <w:rsid w:val="33F748AD"/>
    <w:rsid w:val="35874596"/>
    <w:rsid w:val="35F2A362"/>
    <w:rsid w:val="36EA2AC9"/>
    <w:rsid w:val="371A51D2"/>
    <w:rsid w:val="373BBD0C"/>
    <w:rsid w:val="37C00D36"/>
    <w:rsid w:val="3899744F"/>
    <w:rsid w:val="38CD40A1"/>
    <w:rsid w:val="39BFEDBA"/>
    <w:rsid w:val="39DBABD8"/>
    <w:rsid w:val="39F2111A"/>
    <w:rsid w:val="3AED12ED"/>
    <w:rsid w:val="3AFF6A5D"/>
    <w:rsid w:val="3BDD34D2"/>
    <w:rsid w:val="3BDDFF97"/>
    <w:rsid w:val="3BFFD43B"/>
    <w:rsid w:val="3C7BD5C9"/>
    <w:rsid w:val="3D3E5CAB"/>
    <w:rsid w:val="3D4C0E93"/>
    <w:rsid w:val="3D9C1D8E"/>
    <w:rsid w:val="3E673275"/>
    <w:rsid w:val="3FBF9251"/>
    <w:rsid w:val="3FED766E"/>
    <w:rsid w:val="3FFEEAD9"/>
    <w:rsid w:val="3FFFE931"/>
    <w:rsid w:val="40FA4F7A"/>
    <w:rsid w:val="41363E99"/>
    <w:rsid w:val="428F3FA1"/>
    <w:rsid w:val="43200086"/>
    <w:rsid w:val="451E0D8C"/>
    <w:rsid w:val="456D5DB1"/>
    <w:rsid w:val="457F07F2"/>
    <w:rsid w:val="45B96797"/>
    <w:rsid w:val="45D82D27"/>
    <w:rsid w:val="48076F4F"/>
    <w:rsid w:val="4888456C"/>
    <w:rsid w:val="4B726781"/>
    <w:rsid w:val="4CC6FDBD"/>
    <w:rsid w:val="4DA72544"/>
    <w:rsid w:val="4DD5530E"/>
    <w:rsid w:val="4E07F45D"/>
    <w:rsid w:val="4F1F7CF4"/>
    <w:rsid w:val="4FF59AF5"/>
    <w:rsid w:val="503D00E8"/>
    <w:rsid w:val="504240C4"/>
    <w:rsid w:val="50535877"/>
    <w:rsid w:val="50E6470E"/>
    <w:rsid w:val="55FE10A2"/>
    <w:rsid w:val="56EF6619"/>
    <w:rsid w:val="5755260F"/>
    <w:rsid w:val="57AF1E73"/>
    <w:rsid w:val="58924846"/>
    <w:rsid w:val="5AB21C33"/>
    <w:rsid w:val="5B778EC0"/>
    <w:rsid w:val="5BF53FD6"/>
    <w:rsid w:val="5BFD93EC"/>
    <w:rsid w:val="5CBA8FF2"/>
    <w:rsid w:val="5CD050B5"/>
    <w:rsid w:val="5D5F7E21"/>
    <w:rsid w:val="5D6D6DA8"/>
    <w:rsid w:val="5E0D2C78"/>
    <w:rsid w:val="5E985DFC"/>
    <w:rsid w:val="5F5B35E4"/>
    <w:rsid w:val="5FB66778"/>
    <w:rsid w:val="609FA7B0"/>
    <w:rsid w:val="616D41DB"/>
    <w:rsid w:val="62B2166D"/>
    <w:rsid w:val="637E2556"/>
    <w:rsid w:val="6747736B"/>
    <w:rsid w:val="69BD2254"/>
    <w:rsid w:val="69FCE5E7"/>
    <w:rsid w:val="6BCDA9CC"/>
    <w:rsid w:val="6BE648F5"/>
    <w:rsid w:val="6D041F26"/>
    <w:rsid w:val="6D6E7C26"/>
    <w:rsid w:val="6D9F2765"/>
    <w:rsid w:val="6DB508E5"/>
    <w:rsid w:val="6DDFA6BD"/>
    <w:rsid w:val="6E767ACE"/>
    <w:rsid w:val="6E781687"/>
    <w:rsid w:val="6E865F1C"/>
    <w:rsid w:val="6EEE3ED1"/>
    <w:rsid w:val="6EFFED40"/>
    <w:rsid w:val="6F1B2166"/>
    <w:rsid w:val="6F5FC1DE"/>
    <w:rsid w:val="6F935305"/>
    <w:rsid w:val="6FB3E1FD"/>
    <w:rsid w:val="6FD768E4"/>
    <w:rsid w:val="6FF341F1"/>
    <w:rsid w:val="6FFEBD86"/>
    <w:rsid w:val="702C0B28"/>
    <w:rsid w:val="71A76951"/>
    <w:rsid w:val="73847299"/>
    <w:rsid w:val="73FF1F09"/>
    <w:rsid w:val="73FF684B"/>
    <w:rsid w:val="74A708C5"/>
    <w:rsid w:val="7590142E"/>
    <w:rsid w:val="76DFCB7D"/>
    <w:rsid w:val="771D4D51"/>
    <w:rsid w:val="7735A28E"/>
    <w:rsid w:val="77778F6D"/>
    <w:rsid w:val="77ABFD6B"/>
    <w:rsid w:val="77B7A121"/>
    <w:rsid w:val="77C748BA"/>
    <w:rsid w:val="77DD24F1"/>
    <w:rsid w:val="77F10335"/>
    <w:rsid w:val="77F7E860"/>
    <w:rsid w:val="77FB8D34"/>
    <w:rsid w:val="78703000"/>
    <w:rsid w:val="797D0128"/>
    <w:rsid w:val="79E76FD3"/>
    <w:rsid w:val="79EDB415"/>
    <w:rsid w:val="7ABBCDAB"/>
    <w:rsid w:val="7AFCAD25"/>
    <w:rsid w:val="7AFEB9B4"/>
    <w:rsid w:val="7B230186"/>
    <w:rsid w:val="7B5E0C37"/>
    <w:rsid w:val="7B63F034"/>
    <w:rsid w:val="7B735637"/>
    <w:rsid w:val="7B7DE504"/>
    <w:rsid w:val="7BFEC4F8"/>
    <w:rsid w:val="7D135751"/>
    <w:rsid w:val="7DA14F75"/>
    <w:rsid w:val="7DB57A61"/>
    <w:rsid w:val="7DC7DC1F"/>
    <w:rsid w:val="7DF95E12"/>
    <w:rsid w:val="7DFDF40F"/>
    <w:rsid w:val="7DFF9BC7"/>
    <w:rsid w:val="7EB645E3"/>
    <w:rsid w:val="7EB6B7AB"/>
    <w:rsid w:val="7EDEF702"/>
    <w:rsid w:val="7EF03830"/>
    <w:rsid w:val="7EFD6908"/>
    <w:rsid w:val="7EFF8787"/>
    <w:rsid w:val="7F1C270D"/>
    <w:rsid w:val="7F5F4807"/>
    <w:rsid w:val="7F722518"/>
    <w:rsid w:val="7F7CF90E"/>
    <w:rsid w:val="7F9E3557"/>
    <w:rsid w:val="7FBF2857"/>
    <w:rsid w:val="7FD3B1BB"/>
    <w:rsid w:val="7FE7031F"/>
    <w:rsid w:val="7FEC5D3B"/>
    <w:rsid w:val="7FEF37E2"/>
    <w:rsid w:val="7FF220EA"/>
    <w:rsid w:val="7FF70813"/>
    <w:rsid w:val="7FF7B584"/>
    <w:rsid w:val="7FFDFB4B"/>
    <w:rsid w:val="7FFF1910"/>
    <w:rsid w:val="7FFF8C1D"/>
    <w:rsid w:val="7FFF92F0"/>
    <w:rsid w:val="7FFFF07C"/>
    <w:rsid w:val="9BF3195D"/>
    <w:rsid w:val="A5DB4128"/>
    <w:rsid w:val="A6E375DB"/>
    <w:rsid w:val="A6EFA809"/>
    <w:rsid w:val="A6F7CC0B"/>
    <w:rsid w:val="AABFBDFA"/>
    <w:rsid w:val="AF7DE88E"/>
    <w:rsid w:val="AFED1DC0"/>
    <w:rsid w:val="AFFBB299"/>
    <w:rsid w:val="B3ECA4C8"/>
    <w:rsid w:val="B4D7E8EA"/>
    <w:rsid w:val="B4EF3795"/>
    <w:rsid w:val="B5E79B51"/>
    <w:rsid w:val="B6E7F02A"/>
    <w:rsid w:val="B797ED78"/>
    <w:rsid w:val="BB75119C"/>
    <w:rsid w:val="BBD3B774"/>
    <w:rsid w:val="BBDF02B2"/>
    <w:rsid w:val="BCFB0575"/>
    <w:rsid w:val="BE5EC634"/>
    <w:rsid w:val="BEC77393"/>
    <w:rsid w:val="BEFECBAE"/>
    <w:rsid w:val="BF2F7DA9"/>
    <w:rsid w:val="BF7F7592"/>
    <w:rsid w:val="BFB71281"/>
    <w:rsid w:val="BFBDF2DF"/>
    <w:rsid w:val="BFE4DD88"/>
    <w:rsid w:val="BFF9117D"/>
    <w:rsid w:val="BFFF6947"/>
    <w:rsid w:val="C8FDA203"/>
    <w:rsid w:val="CEF79301"/>
    <w:rsid w:val="CEFBB93B"/>
    <w:rsid w:val="CF7C6158"/>
    <w:rsid w:val="CF9D4E98"/>
    <w:rsid w:val="CFBFEC5E"/>
    <w:rsid w:val="D65BF816"/>
    <w:rsid w:val="D73F10CF"/>
    <w:rsid w:val="D977C3BB"/>
    <w:rsid w:val="D977C9A6"/>
    <w:rsid w:val="D9FF310B"/>
    <w:rsid w:val="DBF57698"/>
    <w:rsid w:val="DBFFAB54"/>
    <w:rsid w:val="DDFF5069"/>
    <w:rsid w:val="DECF83A1"/>
    <w:rsid w:val="DEEBD176"/>
    <w:rsid w:val="DEED29CB"/>
    <w:rsid w:val="DEFF6025"/>
    <w:rsid w:val="DF4E686F"/>
    <w:rsid w:val="DF7F78BD"/>
    <w:rsid w:val="DFDFC0CD"/>
    <w:rsid w:val="DFF7F21C"/>
    <w:rsid w:val="DFFE4986"/>
    <w:rsid w:val="E3F74AB8"/>
    <w:rsid w:val="E5FD7CF6"/>
    <w:rsid w:val="E7FE6222"/>
    <w:rsid w:val="E9BB2A12"/>
    <w:rsid w:val="EDDF69E1"/>
    <w:rsid w:val="EDF76BB3"/>
    <w:rsid w:val="EEF68640"/>
    <w:rsid w:val="EFF41AC0"/>
    <w:rsid w:val="EFF76D95"/>
    <w:rsid w:val="EFFF2C87"/>
    <w:rsid w:val="EFFFA435"/>
    <w:rsid w:val="F1DF82E1"/>
    <w:rsid w:val="F1F64F55"/>
    <w:rsid w:val="F2E22473"/>
    <w:rsid w:val="F35D14F0"/>
    <w:rsid w:val="F3F4C349"/>
    <w:rsid w:val="F3F64609"/>
    <w:rsid w:val="F4E96614"/>
    <w:rsid w:val="F4F54B3B"/>
    <w:rsid w:val="F58EBBB0"/>
    <w:rsid w:val="F5CBD2AD"/>
    <w:rsid w:val="F6F3FBF3"/>
    <w:rsid w:val="F6FE0D0F"/>
    <w:rsid w:val="F9B8FDC3"/>
    <w:rsid w:val="F9BF4E89"/>
    <w:rsid w:val="FA79E738"/>
    <w:rsid w:val="FAD729CA"/>
    <w:rsid w:val="FB1B5977"/>
    <w:rsid w:val="FBF62448"/>
    <w:rsid w:val="FBF76486"/>
    <w:rsid w:val="FBFF7DC7"/>
    <w:rsid w:val="FC37AF17"/>
    <w:rsid w:val="FCDE5A6F"/>
    <w:rsid w:val="FCFE5638"/>
    <w:rsid w:val="FCFF1FE1"/>
    <w:rsid w:val="FD7C7175"/>
    <w:rsid w:val="FDD7319B"/>
    <w:rsid w:val="FDDE4FF7"/>
    <w:rsid w:val="FDF8F696"/>
    <w:rsid w:val="FE7B38A4"/>
    <w:rsid w:val="FE7EBDAF"/>
    <w:rsid w:val="FEAF5424"/>
    <w:rsid w:val="FECB8DB0"/>
    <w:rsid w:val="FECF948F"/>
    <w:rsid w:val="FEDCE487"/>
    <w:rsid w:val="FEED62B0"/>
    <w:rsid w:val="FEEFF60E"/>
    <w:rsid w:val="FEFD6F73"/>
    <w:rsid w:val="FF0F1500"/>
    <w:rsid w:val="FF5995C2"/>
    <w:rsid w:val="FF6B552C"/>
    <w:rsid w:val="FF6F74D4"/>
    <w:rsid w:val="FFBB4B28"/>
    <w:rsid w:val="FFCFE300"/>
    <w:rsid w:val="FFD58A98"/>
    <w:rsid w:val="FFDD382A"/>
    <w:rsid w:val="FFDFD60A"/>
    <w:rsid w:val="FFE6F78D"/>
    <w:rsid w:val="FFEBBD1A"/>
    <w:rsid w:val="FFEF3B9A"/>
    <w:rsid w:val="FFF171B6"/>
    <w:rsid w:val="FFF33D76"/>
    <w:rsid w:val="FFF3C5BB"/>
    <w:rsid w:val="FFFA984C"/>
    <w:rsid w:val="FFFB4651"/>
    <w:rsid w:val="FFFD90B9"/>
    <w:rsid w:val="FFFF2620"/>
    <w:rsid w:val="FFFF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99"/>
    <w:pPr>
      <w:widowControl/>
      <w:tabs>
        <w:tab w:val="left" w:pos="2160"/>
      </w:tabs>
      <w:spacing w:line="480" w:lineRule="auto"/>
      <w:jc w:val="left"/>
    </w:pPr>
    <w:rPr>
      <w:rFonts w:ascii="楷体_GB2312" w:eastAsia="黑体"/>
      <w:kern w:val="0"/>
      <w:position w:val="3"/>
      <w:sz w:val="20"/>
      <w:szCs w:val="20"/>
      <w:lang w:eastAsia="en-US"/>
    </w:rPr>
  </w:style>
  <w:style w:type="paragraph" w:styleId="4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5">
    <w:name w:val="Body Text Indent 2"/>
    <w:basedOn w:val="1"/>
    <w:autoRedefine/>
    <w:qFormat/>
    <w:uiPriority w:val="0"/>
    <w:pPr>
      <w:spacing w:line="317" w:lineRule="atLeast"/>
      <w:ind w:firstLine="476"/>
      <w:jc w:val="both"/>
      <w:textAlignment w:val="center"/>
    </w:pPr>
    <w:rPr>
      <w:kern w:val="28"/>
    </w:r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7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8">
    <w:name w:val="toc 1"/>
    <w:basedOn w:val="1"/>
    <w:next w:val="1"/>
    <w:autoRedefine/>
    <w:qFormat/>
    <w:uiPriority w:val="0"/>
  </w:style>
  <w:style w:type="paragraph" w:styleId="9">
    <w:name w:val="table of figures"/>
    <w:basedOn w:val="1"/>
    <w:next w:val="1"/>
    <w:qFormat/>
    <w:uiPriority w:val="0"/>
    <w:pPr>
      <w:ind w:leftChars="200" w:hanging="200" w:hangingChars="200"/>
    </w:pPr>
    <w:rPr>
      <w:rFonts w:ascii="Times New Roman" w:hAnsi="Times New Roman" w:eastAsia="宋体"/>
      <w:sz w:val="21"/>
      <w:szCs w:val="20"/>
    </w:rPr>
  </w:style>
  <w:style w:type="paragraph" w:styleId="10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customStyle="1" w:styleId="1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  <w:style w:type="character" w:customStyle="1" w:styleId="16">
    <w:name w:val="NormalCharacter"/>
    <w:qFormat/>
    <w:uiPriority w:val="0"/>
  </w:style>
  <w:style w:type="character" w:customStyle="1" w:styleId="17">
    <w:name w:val="font11"/>
    <w:basedOn w:val="13"/>
    <w:autoRedefine/>
    <w:qFormat/>
    <w:uiPriority w:val="0"/>
    <w:rPr>
      <w:rFonts w:hint="default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paragraph" w:customStyle="1" w:styleId="18">
    <w:name w:val="NormalIndent"/>
    <w:next w:val="7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9">
    <w:name w:val="font31"/>
    <w:basedOn w:val="13"/>
    <w:qFormat/>
    <w:uiPriority w:val="0"/>
    <w:rPr>
      <w:rFonts w:hint="eastAsia" w:ascii="仿宋" w:hAnsi="仿宋" w:eastAsia="仿宋" w:cs="仿宋"/>
      <w:b/>
      <w:bCs/>
      <w:color w:val="000000"/>
      <w:sz w:val="24"/>
      <w:szCs w:val="24"/>
      <w:u w:val="none"/>
    </w:rPr>
  </w:style>
  <w:style w:type="character" w:customStyle="1" w:styleId="20">
    <w:name w:val="font7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3955</Words>
  <Characters>4102</Characters>
  <Lines>0</Lines>
  <Paragraphs>0</Paragraphs>
  <TotalTime>2</TotalTime>
  <ScaleCrop>false</ScaleCrop>
  <LinksUpToDate>false</LinksUpToDate>
  <CharactersWithSpaces>4127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2020-07-12T08:13:00Z</dcterms:created>
  <dc:creator>Administrator</dc:creator>
  <cp:lastModifiedBy>高旭玲</cp:lastModifiedBy>
  <cp:lastPrinted>2025-05-13T03:45:05Z</cp:lastPrinted>
  <dcterms:modified xsi:type="dcterms:W3CDTF">2025-05-13T03:45:18Z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7A39785BFBAB4209873AF7590B360C42_13</vt:lpwstr>
  </property>
  <property fmtid="{D5CDD505-2E9C-101B-9397-08002B2CF9AE}" pid="4" name="KSOTemplateDocerSaveRecord">
    <vt:lpwstr>eyJoZGlkIjoiMzFmZmI5MGYzM2Q1NGFjZjU5ZWE1NWI0YWY0MGQzZDEiLCJ1c2VySWQiOiIxNjA4NDcyNDUxIn0=</vt:lpwstr>
  </property>
</Properties>
</file>