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2024年，我单位部门预算351.48万元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我局将聚焦民生问题，进一步完善推动城镇老旧小区改造、住房保障体系建设、农房管控和风貌提升、城镇空间环境改善和品质提升等的措施，提供更高质量的民生保障，不断增强人民群众获得感、幸福感、安全感。聚焦污染防治，加快推进城镇生活污水收集和处理效能提升、生活垃圾规范管理、建筑工地扬尘治理等污染防治，坚决打赢污染防治攻坚战。聚焦质安监管，规范工程建设全过程质量安全监督机制，建立安全隐患排查和安全预防控制体系，推进安全生产治理体系和治理能力现代化。 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2024年我单位未申报重点项目绩效目标。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398</Words>
  <Characters>415</Characters>
  <Lines>22</Lines>
  <Paragraphs>9</Paragraphs>
  <CharactersWithSpaces>418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2024-03-11T03:39:10Z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2052-11.1.0.10314</vt:lpwstr>
  </property>
  <property fmtid="{D5CDD505-2E9C-101B-9397-08002B2CF9AE}" pid="3" name="ICV">
    <vt:lpwstr>FEF6C403DF3B47208B71D580EBDD4DC8_13</vt:lpwstr>
  </property>
</Properties>
</file>