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193"/>
      <w:bookmarkStart w:id="3" w:name="_Toc15378441"/>
      <w:bookmarkStart w:id="4" w:name="_Toc15377425"/>
      <w:bookmarkStart w:id="5" w:name="_Toc15396475"/>
      <w:r>
        <w:rPr>
          <w:rFonts w:ascii="黑体" w:eastAsia="黑体"/>
          <w:color w:val="000000"/>
          <w:sz w:val="72"/>
          <w:szCs w:val="72"/>
        </w:rPr>
        <w:t>20</w:t>
      </w:r>
      <w:r>
        <w:rPr>
          <w:rFonts w:ascii="黑体" w:eastAsia="黑体" w:hint="eastAsia"/>
          <w:color w:val="000000"/>
          <w:sz w:val="72"/>
          <w:szCs w:val="72"/>
          <w:lang w:val="en-US" w:eastAsia="zh-CN"/>
        </w:rPr>
        <w:t>22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96598"/>
      <w:bookmarkStart w:id="8" w:name="_Toc15378442"/>
      <w:bookmarkStart w:id="9" w:name="_Toc15377194"/>
      <w:bookmarkStart w:id="10" w:name="_Toc15377426"/>
      <w:r>
        <w:rPr>
          <w:rFonts w:ascii="方正小标宋简体" w:eastAsia="方正小标宋简体" w:hint="eastAsia"/>
          <w:color w:val="000000"/>
          <w:sz w:val="72"/>
          <w:szCs w:val="72"/>
          <w:lang w:val="en-US" w:eastAsia="zh-CN"/>
        </w:rPr>
        <w:t>四川省</w:t>
      </w:r>
      <w:bookmarkStart w:id="11" w:name="_Toc15306268"/>
      <w:bookmarkEnd w:id="0"/>
      <w:r>
        <w:rPr>
          <w:rFonts w:ascii="方正小标宋简体" w:eastAsia="方正小标宋简体" w:hint="eastAsia"/>
          <w:color w:val="000000"/>
          <w:sz w:val="72"/>
          <w:szCs w:val="72"/>
          <w:lang w:eastAsia="zh-CN"/>
        </w:rPr>
        <w:t>金川县住房和城乡建设局</w:t>
      </w:r>
      <w:r>
        <w:rPr>
          <w:rFonts w:ascii="方正小标宋简体" w:eastAsia="方正小标宋简体" w:hint="eastAsia"/>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公开时间：2023年8月26日</w:t>
      </w: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TOC \o "1-2" \h \z \u </w:instrText>
      </w:r>
      <w:r>
        <w:rPr>
          <w:rFonts w:ascii="仿宋" w:eastAsia="仿宋" w:cs="Times New Roman" w:hint="eastAsia"/>
          <w:kern w:val="2"/>
          <w:sz w:val="28"/>
          <w:szCs w:val="28"/>
          <w:lang w:val="en-US" w:eastAsia="zh-CN" w:bidi="ar-SA"/>
        </w:rPr>
        <w:fldChar w:fldCharType="separate"/>
      </w:r>
    </w:p>
    <w:p>
      <w:pPr>
        <w:rPr>
          <w:rFonts w:ascii="仿宋" w:eastAsia="仿宋" w:cs="Times New Roman" w:hint="eastAsia"/>
          <w:kern w:val="2"/>
          <w:sz w:val="28"/>
          <w:szCs w:val="28"/>
          <w:lang w:val="en-US" w:eastAsia="zh-CN" w:bidi="ar-SA"/>
        </w:rPr>
      </w:pPr>
    </w:p>
    <w:p>
      <w:pPr>
        <w:pStyle w:val="23"/>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"_Toc15396599"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第一部分 部门概况</w:t>
        <w:tab/>
        <w:t>4</w:t>
      </w:r>
      <w:r>
        <w:rPr>
          <w:rFonts w:ascii="仿宋" w:eastAsia="仿宋" w:cs="Times New Roman" w:hint="eastAsia"/>
          <w:kern w:val="2"/>
          <w:sz w:val="28"/>
          <w:szCs w:val="28"/>
          <w:lang w:val="en-US" w:eastAsia="zh-CN" w:bidi="ar-SA"/>
        </w:rPr>
        <w:fldChar w:fldCharType="end"/>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"_Toc15396600"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一、基本职能及主要工作</w:t>
        <w:tab/>
        <w:t>4</w:t>
      </w:r>
      <w:r>
        <w:rPr>
          <w:rFonts w:ascii="仿宋" w:eastAsia="仿宋" w:cs="Times New Roman" w:hint="eastAsia"/>
          <w:kern w:val="2"/>
          <w:sz w:val="28"/>
          <w:szCs w:val="28"/>
          <w:lang w:val="en-US" w:eastAsia="zh-CN" w:bidi="ar-SA"/>
        </w:rPr>
        <w:fldChar w:fldCharType="end"/>
      </w:r>
    </w:p>
    <w:p>
      <w:pPr>
        <w:pStyle w:val="24"/>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"_Toc15396601"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二、机构设置</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0</w:t>
      </w:r>
    </w:p>
    <w:p>
      <w:pPr>
        <w:pStyle w:val="23"/>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"_Toc15396602"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第二部分 2022年度部门决算情况说明</w:t>
        <w:tab/>
      </w:r>
      <w:r>
        <w:rPr>
          <w:rFonts w:ascii="仿宋" w:eastAsia="仿宋" w:cs="Times New Roman" w:hint="eastAsia"/>
          <w:kern w:val="2"/>
          <w:sz w:val="28"/>
          <w:szCs w:val="28"/>
          <w:lang w:val="en-US" w:eastAsia="zh-CN" w:bidi="ar-SA"/>
        </w:rPr>
        <w:fldChar w:fldCharType="end"/>
      </w:r>
      <w:r>
        <w:rPr>
          <w:rFonts w:cs="Times New Roman" w:hint="eastAsia"/>
          <w:kern w:val="2"/>
          <w:sz w:val="28"/>
          <w:szCs w:val="28"/>
          <w:lang w:val="en-US" w:eastAsia="zh-CN" w:bidi="ar-SA"/>
        </w:rPr>
        <w:t>10</w:t>
      </w:r>
    </w:p>
    <w:p>
      <w:pPr>
        <w:pStyle w:val="24"/>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"_Toc15396603"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一、收入支出决算总体情况说明</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0</w:t>
      </w:r>
    </w:p>
    <w:p>
      <w:pPr>
        <w:pStyle w:val="24"/>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"_Toc15396604"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二、收入决算情况说明</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1</w:t>
      </w:r>
    </w:p>
    <w:p>
      <w:pPr>
        <w:pStyle w:val="24"/>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"_Toc15396605"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三、支出决算情况说明</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2</w:t>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"_Toc15396606"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四、财政拨款收入支出决算总体情况说明</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3</w:t>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"_Toc15396607"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五、一般公共预算财政拨款支出决算情况说明</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4</w:t>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"_Toc15396608"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六、一般公共预算财政拨款基本支出决算情况说明</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9</w:t>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"_Toc15396609"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七、财政拨款“三公”经费支出决算情况说明</w:t>
        <w:tab/>
        <w:t>1</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9</w:t>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"_Toc15396610"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八、政府性基金预算支出决算情况说明</w:t>
        <w:tab/>
        <w:t>2</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1</w:t>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"_Toc15396611"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九、 国有资本经营预算支出决算情况说明</w:t>
        <w:tab/>
        <w:t>2</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1</w:t>
      </w:r>
    </w:p>
    <w:p>
      <w:pPr>
        <w:pStyle w:val="24"/>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"_Toc15396612"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十、其他重要事项的情况说明</w:t>
        <w:tab/>
        <w:t>2</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1</w:t>
      </w:r>
    </w:p>
    <w:p>
      <w:pPr>
        <w:pStyle w:val="23"/>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"_Toc15396613"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第三部分 名词解释</w:t>
        <w:tab/>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2</w:t>
      </w:r>
      <w:r>
        <w:rPr>
          <w:rFonts w:cs="Times New Roman" w:hint="eastAsia"/>
          <w:kern w:val="2"/>
          <w:sz w:val="28"/>
          <w:szCs w:val="28"/>
          <w:lang w:val="en-US" w:eastAsia="zh-CN" w:bidi="ar-SA"/>
        </w:rPr>
        <w:t>2</w:t>
      </w:r>
    </w:p>
    <w:p>
      <w:pPr>
        <w:pStyle w:val="23"/>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"_Toc15396614"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第四部分 附件</w:t>
        <w:tab/>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2</w:t>
      </w:r>
      <w:r>
        <w:rPr>
          <w:rFonts w:cs="Times New Roman" w:hint="eastAsia"/>
          <w:kern w:val="2"/>
          <w:sz w:val="28"/>
          <w:szCs w:val="28"/>
          <w:lang w:val="en-US" w:eastAsia="zh-CN" w:bidi="ar-SA"/>
        </w:rPr>
        <w:t>6</w:t>
      </w:r>
    </w:p>
    <w:p>
      <w:pPr>
        <w:pStyle w:val="24"/>
        <w:tabs>
          <w:tab w:val="right" w:leader="dot" w:pos="8296"/>
        </w:tabs>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"_Toc15396615"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附件1</w:t>
        <w:tab/>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26</w:t>
      </w:r>
    </w:p>
    <w:p>
      <w:pPr>
        <w:pStyle w:val="23"/>
        <w:tabs>
          <w:tab w:val="right" w:leader="dot" w:pos="8296"/>
        </w:tabs>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"_Toc15396618"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第五部分 附表</w:t>
        <w:tab/>
      </w:r>
      <w:r>
        <w:rPr>
          <w:rFonts w:cs="Times New Roman" w:hint="eastAsia"/>
          <w:kern w:val="2"/>
          <w:sz w:val="28"/>
          <w:szCs w:val="28"/>
          <w:lang w:val="en-US" w:eastAsia="zh-CN" w:bidi="ar-SA"/>
        </w:rPr>
        <w:t>3</w:t>
      </w:r>
      <w:r>
        <w:rPr>
          <w:rFonts w:ascii="仿宋" w:eastAsia="仿宋" w:cs="Times New Roman" w:hint="eastAsia"/>
          <w:kern w:val="2"/>
          <w:sz w:val="28"/>
          <w:szCs w:val="28"/>
          <w:lang w:val="en-US" w:eastAsia="zh-CN" w:bidi="ar-SA"/>
        </w:rPr>
        <w:fldChar w:fldCharType="end"/>
      </w:r>
      <w:r>
        <w:rPr>
          <w:rFonts w:cs="Times New Roman" w:hint="eastAsia"/>
          <w:kern w:val="2"/>
          <w:sz w:val="28"/>
          <w:szCs w:val="28"/>
          <w:lang w:val="en-US" w:eastAsia="zh-CN" w:bidi="ar-SA"/>
        </w:rPr>
        <w:t>2</w:t>
      </w:r>
    </w:p>
    <w:p>
      <w:pPr>
        <w:pStyle w:val="24"/>
        <w:tabs>
          <w:tab w:val="right" w:leader="dot" w:pos="8296"/>
        </w:tabs>
        <w:rPr>
          <w:rFonts w:ascii="仿宋" w:eastAsia="仿宋" w:cs="Arial" w:hint="eastAsia"/>
          <w:sz w:val="28"/>
          <w:szCs w:val="28"/>
          <w:lang w:val="en-US" w:eastAsia="zh-CN"/>
        </w:rPr>
      </w:pPr>
      <w:r>
        <w:rPr>
          <w:rFonts w:ascii="仿宋" w:eastAsia="仿宋" w:cs="Times New Roman" w:hint="eastAsia"/>
          <w:kern w:val="2"/>
          <w:sz w:val="28"/>
          <w:szCs w:val="28"/>
          <w:lang w:val="en-US" w:eastAsia="zh-CN" w:bidi="ar-SA"/>
        </w:rPr>
        <w:fldChar w:fldCharType="end"/>
      </w:r>
      <w:r>
        <w:rPr>
          <w:rFonts w:ascii="仿宋" w:eastAsia="仿宋" w:hint="eastAsia"/>
          <w:sz w:val="28"/>
          <w:szCs w:val="28"/>
        </w:rPr>
        <w:t>一、</w:t>
      </w:r>
      <w:r>
        <w:rPr>
          <w:rFonts w:ascii="仿宋" w:eastAsia="仿宋" w:hint="eastAsia"/>
          <w:sz w:val="28"/>
          <w:szCs w:val="28"/>
        </w:rPr>
        <w:fldChar w:fldCharType="begin"/>
      </w:r>
      <w:r>
        <w:instrText>HYPERLINK  \l "_Toc15396619"</w:instrText>
      </w:r>
      <w:r>
        <w:rPr>
          <w:rFonts w:ascii="仿宋" w:eastAsia="仿宋" w:hint="eastAsia"/>
          <w:sz w:val="28"/>
          <w:szCs w:val="28"/>
        </w:rPr>
        <w:fldChar w:fldCharType="separate"/>
      </w:r>
      <w:r>
        <w:rPr>
          <w:rFonts w:ascii="仿宋" w:eastAsia="仿宋" w:hint="eastAsia"/>
          <w:sz w:val="28"/>
          <w:szCs w:val="28"/>
        </w:rPr>
        <w:t>收入支出决算总</w:t>
      </w:r>
      <w:r>
        <w:rPr>
          <w:rFonts w:ascii="仿宋" w:eastAsia="仿宋" w:hint="eastAsia"/>
          <w:sz w:val="28"/>
          <w:szCs w:val="28"/>
          <w:lang w:val="en-US" w:eastAsia="zh-CN"/>
        </w:rPr>
        <w:t>表..................................3</w:t>
      </w:r>
      <w:r>
        <w:rPr>
          <w:rFonts w:ascii="仿宋" w:eastAsia="仿宋" w:hint="eastAsia"/>
          <w:sz w:val="28"/>
          <w:szCs w:val="28"/>
        </w:rPr>
        <w:fldChar w:fldCharType="end"/>
      </w:r>
      <w:r>
        <w:rPr>
          <w:rFonts w:ascii="仿宋" w:eastAsia="仿宋" w:hint="eastAsia"/>
          <w:sz w:val="28"/>
          <w:szCs w:val="28"/>
          <w:lang w:val="en-US" w:eastAsia="zh-CN"/>
        </w:rPr>
        <w:t>2</w:t>
      </w:r>
    </w:p>
    <w:p>
      <w:pPr>
        <w:pStyle w:val="24"/>
        <w:tabs>
          <w:tab w:val="right" w:leader="dot" w:pos="8296"/>
        </w:tabs>
        <w:rPr>
          <w:rFonts w:ascii="仿宋" w:eastAsia="仿宋"/>
          <w:sz w:val="28"/>
          <w:szCs w:val="28"/>
          <w:lang w:val="en-US" w:eastAsia="zh-CN"/>
        </w:rPr>
      </w:pPr>
      <w:r>
        <w:rPr>
          <w:rFonts w:ascii="仿宋" w:eastAsia="仿宋" w:hint="eastAsia"/>
          <w:sz w:val="28"/>
          <w:szCs w:val="28"/>
        </w:rPr>
        <w:t>二、</w:t>
      </w:r>
      <w:r>
        <w:rPr>
          <w:rFonts w:ascii="仿宋" w:eastAsia="仿宋" w:hint="eastAsia"/>
          <w:sz w:val="28"/>
          <w:szCs w:val="28"/>
        </w:rPr>
        <w:fldChar w:fldCharType="begin"/>
      </w:r>
      <w:r>
        <w:instrText>HYPERLINK  \l "_Toc15396620"</w:instrText>
      </w:r>
      <w:r>
        <w:rPr>
          <w:rFonts w:ascii="仿宋" w:eastAsia="仿宋" w:hint="eastAsia"/>
          <w:sz w:val="28"/>
          <w:szCs w:val="28"/>
        </w:rPr>
        <w:fldChar w:fldCharType="separate"/>
      </w:r>
      <w:r>
        <w:rPr>
          <w:rFonts w:ascii="仿宋" w:eastAsia="仿宋" w:hint="eastAsia"/>
          <w:sz w:val="28"/>
          <w:szCs w:val="28"/>
        </w:rPr>
        <w:t>收入决算表</w:t>
      </w:r>
      <w:r>
        <w:rPr>
          <w:rFonts w:ascii="仿宋" w:eastAsia="仿宋" w:hint="eastAsia"/>
          <w:sz w:val="28"/>
          <w:szCs w:val="28"/>
          <w:lang w:val="en-US" w:eastAsia="zh-CN"/>
        </w:rPr>
        <w:t>.</w:t>
      </w:r>
      <w:r>
        <w:rPr>
          <w:rFonts w:ascii="仿宋" w:eastAsia="仿宋" w:hint="eastAsia"/>
          <w:sz w:val="28"/>
          <w:szCs w:val="28"/>
        </w:rPr>
        <w:fldChar w:fldCharType="end"/>
      </w:r>
      <w:r>
        <w:rPr>
          <w:rFonts w:ascii="仿宋" w:eastAsia="仿宋" w:hint="eastAsia"/>
          <w:sz w:val="28"/>
          <w:szCs w:val="28"/>
          <w:lang w:val="en-US" w:eastAsia="zh-CN"/>
        </w:rPr>
        <w:t>.......................................32</w:t>
      </w:r>
    </w:p>
    <w:p>
      <w:pPr>
        <w:pStyle w:val="24"/>
        <w:tabs>
          <w:tab w:val="right" w:leader="dot" w:pos="8296"/>
        </w:tabs>
        <w:rPr>
          <w:rFonts w:ascii="仿宋" w:eastAsia="仿宋"/>
          <w:sz w:val="28"/>
          <w:szCs w:val="28"/>
          <w:lang w:val="en-US" w:eastAsia="zh-CN"/>
        </w:rPr>
      </w:pPr>
      <w:r>
        <w:rPr>
          <w:rFonts w:ascii="仿宋" w:eastAsia="仿宋" w:hint="eastAsia"/>
          <w:sz w:val="28"/>
          <w:szCs w:val="28"/>
          <w:lang w:val="en-US" w:eastAsia="zh-CN"/>
        </w:rPr>
        <w:t>三、</w:t>
      </w:r>
      <w:r>
        <w:rPr>
          <w:rFonts w:ascii="仿宋" w:eastAsia="仿宋" w:hint="eastAsia"/>
          <w:sz w:val="28"/>
          <w:szCs w:val="28"/>
          <w:lang w:val="en-US" w:eastAsia="zh-CN"/>
        </w:rPr>
        <w:fldChar w:fldCharType="begin"/>
      </w:r>
      <w:r>
        <w:instrText>HYPERLINK  \l "_Toc15396621"</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支出决算表........................................3</w:t>
      </w:r>
      <w:r>
        <w:rPr>
          <w:rFonts w:ascii="仿宋" w:eastAsia="仿宋" w:hint="eastAsia"/>
          <w:sz w:val="28"/>
          <w:szCs w:val="28"/>
          <w:lang w:val="en-US" w:eastAsia="zh-CN"/>
        </w:rPr>
        <w:fldChar w:fldCharType="end"/>
      </w:r>
      <w:r>
        <w:rPr>
          <w:rFonts w:ascii="仿宋" w:eastAsia="仿宋" w:hint="eastAsia"/>
          <w:sz w:val="28"/>
          <w:szCs w:val="28"/>
          <w:lang w:val="en-US" w:eastAsia="zh-CN"/>
        </w:rPr>
        <w:t>2</w:t>
      </w:r>
    </w:p>
    <w:p>
      <w:pPr>
        <w:pStyle w:val="24"/>
        <w:tabs>
          <w:tab w:val="right" w:leader="dot" w:pos="8296"/>
        </w:tabs>
        <w:rPr>
          <w:rFonts w:ascii="仿宋" w:eastAsia="仿宋" w:hint="eastAsia"/>
          <w:sz w:val="28"/>
          <w:szCs w:val="28"/>
          <w:lang w:val="en-US" w:eastAsia="zh-CN"/>
        </w:rPr>
      </w:pPr>
      <w:r>
        <w:rPr>
          <w:rFonts w:ascii="仿宋" w:eastAsia="仿宋" w:hint="eastAsia"/>
          <w:sz w:val="28"/>
          <w:szCs w:val="28"/>
          <w:lang w:val="en-US" w:eastAsia="zh-CN"/>
        </w:rPr>
        <w:t>四、</w:t>
      </w:r>
      <w:r>
        <w:rPr>
          <w:rFonts w:ascii="仿宋" w:eastAsia="仿宋" w:hint="eastAsia"/>
          <w:sz w:val="28"/>
          <w:szCs w:val="28"/>
          <w:lang w:val="en-US" w:eastAsia="zh-CN"/>
        </w:rPr>
        <w:fldChar w:fldCharType="begin"/>
      </w:r>
      <w:r>
        <w:instrText>HYPERLINK  \l "_Toc15396622"</w:instrText>
      </w:r>
      <w:r>
        <w:rPr>
          <w:rFonts w:ascii="仿宋" w:eastAsia="仿宋" w:hint="eastAsia"/>
          <w:sz w:val="28"/>
          <w:szCs w:val="28"/>
          <w:lang w:val="en-US" w:eastAsia="zh-CN"/>
        </w:rPr>
        <w:fldChar w:fldCharType="separate"/>
      </w:r>
      <w:r>
        <w:rPr>
          <w:rFonts w:ascii="仿宋" w:eastAsia="仿宋" w:hint="eastAsia"/>
          <w:sz w:val="28"/>
          <w:szCs w:val="28"/>
          <w:lang w:val="en-US" w:eastAsia="zh-CN"/>
        </w:rPr>
        <w:t>财政拨款收入支出决算明细表.........................3</w:t>
      </w:r>
      <w:r>
        <w:rPr>
          <w:rFonts w:ascii="仿宋" w:eastAsia="仿宋" w:hint="eastAsia"/>
          <w:sz w:val="28"/>
          <w:szCs w:val="28"/>
          <w:lang w:val="en-US" w:eastAsia="zh-CN"/>
        </w:rPr>
        <w:fldChar w:fldCharType="end"/>
      </w:r>
      <w:r>
        <w:rPr>
          <w:rFonts w:ascii="仿宋" w:eastAsia="仿宋" w:hint="eastAsia"/>
          <w:sz w:val="28"/>
          <w:szCs w:val="28"/>
          <w:lang w:val="en-US" w:eastAsia="zh-CN"/>
        </w:rPr>
        <w:t>2</w:t>
      </w:r>
    </w:p>
    <w:p>
      <w:pPr>
        <w:pStyle w:val="25"/>
        <w:keepNext w:val="0"/>
        <w:keepLines w:val="0"/>
        <w:widowControl/>
        <w:suppressLineNumbers w:val="0"/>
        <w:spacing w:before="0" w:beforeAutospacing="0"/>
        <w:ind w:left="420"/>
        <w:jc w:val="left"/>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t>五、</w:t>
      </w:r>
      <w:r>
        <w:rPr>
          <w:rFonts w:ascii="仿宋" w:eastAsia="仿宋" w:cs="Times New Roman" w:hint="eastAsia"/>
          <w:kern w:val="2"/>
          <w:sz w:val="28"/>
          <w:szCs w:val="28"/>
          <w:lang w:val="en-US" w:eastAsia="zh-CN" w:bidi="ar-SA"/>
        </w:rPr>
        <w:fldChar w:fldCharType="begin"/>
      </w:r>
      <w:r>
        <w:instrText>HYPERLINK  \l "_Toc15396623"</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财政拨款支出决算明细表.............................3</w:t>
      </w:r>
      <w:r>
        <w:rPr>
          <w:rFonts w:ascii="仿宋" w:eastAsia="仿宋" w:cs="Times New Roman" w:hint="eastAsia"/>
          <w:kern w:val="2"/>
          <w:sz w:val="28"/>
          <w:szCs w:val="28"/>
          <w:lang w:val="en-US" w:eastAsia="zh-CN" w:bidi="ar-SA"/>
        </w:rPr>
        <w:fldChar w:fldCharType="end"/>
      </w:r>
      <w:r>
        <w:rPr>
          <w:rFonts w:ascii="仿宋" w:eastAsia="仿宋" w:hint="eastAsia"/>
          <w:sz w:val="28"/>
          <w:szCs w:val="28"/>
          <w:lang w:val="en-US" w:eastAsia="zh-CN"/>
        </w:rPr>
        <w:t>2</w:t>
      </w:r>
      <w:r>
        <w:rPr>
          <w:rFonts w:ascii="仿宋" w:eastAsia="仿宋" w:cs="Times New Roman" w:hint="eastAsia"/>
          <w:kern w:val="2"/>
          <w:sz w:val="28"/>
          <w:szCs w:val="28"/>
          <w:lang w:val="en-US" w:eastAsia="zh-CN" w:bidi="ar-SA"/>
        </w:rPr>
        <w:t>六、</w:t>
      </w:r>
      <w:r>
        <w:rPr>
          <w:rFonts w:ascii="仿宋" w:eastAsia="仿宋" w:cs="Times New Roman" w:hint="eastAsia"/>
          <w:kern w:val="2"/>
          <w:sz w:val="28"/>
          <w:szCs w:val="28"/>
          <w:lang w:val="en-US" w:eastAsia="zh-CN" w:bidi="ar-SA"/>
        </w:rPr>
        <w:fldChar w:fldCharType="begin"/>
      </w:r>
      <w:r>
        <w:instrText>HYPERLINK  \l "_Toc15396624"</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一般公共预算财政拨款支出决算表.....................3</w:t>
      </w:r>
      <w:r>
        <w:rPr>
          <w:rFonts w:ascii="仿宋" w:eastAsia="仿宋" w:cs="Times New Roman" w:hint="eastAsia"/>
          <w:kern w:val="2"/>
          <w:sz w:val="28"/>
          <w:szCs w:val="28"/>
          <w:lang w:val="en-US" w:eastAsia="zh-CN" w:bidi="ar-SA"/>
        </w:rPr>
        <w:fldChar w:fldCharType="end"/>
      </w:r>
      <w:r>
        <w:rPr>
          <w:rFonts w:ascii="仿宋" w:eastAsia="仿宋" w:hint="eastAsia"/>
          <w:sz w:val="28"/>
          <w:szCs w:val="28"/>
          <w:lang w:val="en-US" w:eastAsia="zh-CN"/>
        </w:rPr>
        <w:t>2</w:t>
      </w:r>
      <w:r>
        <w:rPr>
          <w:rFonts w:ascii="仿宋" w:eastAsia="仿宋" w:cs="Times New Roman" w:hint="eastAsia"/>
          <w:kern w:val="2"/>
          <w:sz w:val="28"/>
          <w:szCs w:val="28"/>
          <w:lang w:val="en-US" w:eastAsia="zh-CN" w:bidi="ar-SA"/>
        </w:rPr>
        <w:t>七、</w:t>
      </w:r>
      <w:r>
        <w:rPr>
          <w:rFonts w:ascii="仿宋" w:eastAsia="仿宋" w:cs="Times New Roman" w:hint="eastAsia"/>
          <w:kern w:val="2"/>
          <w:sz w:val="28"/>
          <w:szCs w:val="28"/>
          <w:lang w:val="en-US" w:eastAsia="zh-CN" w:bidi="ar-SA"/>
        </w:rPr>
        <w:fldChar w:fldCharType="begin"/>
      </w:r>
      <w:r>
        <w:instrText>HYPERLINK  \l "_Toc15396625"</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一般公共预算财政拨款支出决算明细表.................3</w:t>
      </w:r>
      <w:r>
        <w:rPr>
          <w:rFonts w:ascii="仿宋" w:eastAsia="仿宋" w:cs="Times New Roman" w:hint="eastAsia"/>
          <w:kern w:val="2"/>
          <w:sz w:val="28"/>
          <w:szCs w:val="28"/>
          <w:lang w:val="en-US" w:eastAsia="zh-CN" w:bidi="ar-SA"/>
        </w:rPr>
        <w:fldChar w:fldCharType="end"/>
      </w:r>
      <w:r>
        <w:rPr>
          <w:rFonts w:ascii="仿宋" w:eastAsia="仿宋" w:hint="eastAsia"/>
          <w:sz w:val="28"/>
          <w:szCs w:val="28"/>
          <w:lang w:val="en-US" w:eastAsia="zh-CN"/>
        </w:rPr>
        <w:t>2</w:t>
      </w:r>
      <w:r>
        <w:rPr>
          <w:rFonts w:ascii="仿宋" w:eastAsia="仿宋" w:cs="Times New Roman" w:hint="eastAsia"/>
          <w:kern w:val="2"/>
          <w:sz w:val="28"/>
          <w:szCs w:val="28"/>
          <w:lang w:val="en-US" w:eastAsia="zh-CN" w:bidi="ar-SA"/>
        </w:rPr>
        <w:t>八、</w:t>
      </w:r>
      <w:r>
        <w:rPr>
          <w:rFonts w:ascii="仿宋" w:eastAsia="仿宋" w:cs="Times New Roman" w:hint="eastAsia"/>
          <w:kern w:val="2"/>
          <w:sz w:val="28"/>
          <w:szCs w:val="28"/>
          <w:lang w:val="en-US" w:eastAsia="zh-CN" w:bidi="ar-SA"/>
        </w:rPr>
        <w:fldChar w:fldCharType="begin"/>
      </w:r>
      <w:r>
        <w:instrText>HYPERLINK  \l "_Toc15396626"</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一般公共预算财政拨款基本支出决算表.................3</w:t>
      </w:r>
      <w:r>
        <w:rPr>
          <w:rFonts w:ascii="仿宋" w:eastAsia="仿宋" w:cs="Times New Roman" w:hint="eastAsia"/>
          <w:kern w:val="2"/>
          <w:sz w:val="28"/>
          <w:szCs w:val="28"/>
          <w:lang w:val="en-US" w:eastAsia="zh-CN" w:bidi="ar-SA"/>
        </w:rPr>
        <w:fldChar w:fldCharType="end"/>
      </w:r>
      <w:r>
        <w:rPr>
          <w:rFonts w:ascii="仿宋" w:eastAsia="仿宋" w:hint="eastAsia"/>
          <w:sz w:val="28"/>
          <w:szCs w:val="28"/>
          <w:lang w:val="en-US" w:eastAsia="zh-CN"/>
        </w:rPr>
        <w:t>2</w:t>
      </w:r>
      <w:r>
        <w:rPr>
          <w:rFonts w:ascii="仿宋" w:eastAsia="仿宋" w:cs="Times New Roman" w:hint="eastAsia"/>
          <w:kern w:val="2"/>
          <w:sz w:val="28"/>
          <w:szCs w:val="28"/>
          <w:lang w:val="en-US" w:eastAsia="zh-CN" w:bidi="ar-SA"/>
        </w:rPr>
        <w:t>九、</w:t>
      </w:r>
      <w:r>
        <w:rPr>
          <w:rFonts w:ascii="仿宋" w:eastAsia="仿宋" w:cs="Times New Roman" w:hint="eastAsia"/>
          <w:kern w:val="2"/>
          <w:sz w:val="28"/>
          <w:szCs w:val="28"/>
          <w:lang w:val="en-US" w:eastAsia="zh-CN" w:bidi="ar-SA"/>
        </w:rPr>
        <w:fldChar w:fldCharType="begin"/>
      </w:r>
      <w:r>
        <w:instrText>HYPERLINK  \l "_Toc15396627"</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一般公共预算财政拨款项目支出决算表.................3</w:t>
      </w:r>
      <w:r>
        <w:rPr>
          <w:rFonts w:ascii="仿宋" w:eastAsia="仿宋" w:cs="Times New Roman" w:hint="eastAsia"/>
          <w:kern w:val="2"/>
          <w:sz w:val="28"/>
          <w:szCs w:val="28"/>
          <w:lang w:val="en-US" w:eastAsia="zh-CN" w:bidi="ar-SA"/>
        </w:rPr>
        <w:fldChar w:fldCharType="end"/>
      </w:r>
      <w:r>
        <w:rPr>
          <w:rFonts w:ascii="仿宋" w:eastAsia="仿宋" w:hint="eastAsia"/>
          <w:sz w:val="28"/>
          <w:szCs w:val="28"/>
          <w:lang w:val="en-US" w:eastAsia="zh-CN"/>
        </w:rPr>
        <w:t>2</w:t>
      </w:r>
      <w:r>
        <w:rPr>
          <w:rFonts w:ascii="仿宋" w:eastAsia="仿宋" w:cs="Times New Roman" w:hint="eastAsia"/>
          <w:kern w:val="2"/>
          <w:sz w:val="28"/>
          <w:szCs w:val="28"/>
          <w:lang w:val="en-US" w:eastAsia="zh-CN" w:bidi="ar-SA"/>
        </w:rPr>
        <w:t>十、</w:t>
      </w:r>
      <w:r>
        <w:rPr>
          <w:rFonts w:ascii="仿宋" w:eastAsia="仿宋" w:cs="Times New Roman" w:hint="eastAsia"/>
          <w:kern w:val="2"/>
          <w:sz w:val="28"/>
          <w:szCs w:val="28"/>
          <w:lang w:val="en-US" w:eastAsia="zh-CN" w:bidi="ar-SA"/>
        </w:rPr>
        <w:fldChar w:fldCharType="begin"/>
      </w:r>
      <w:r>
        <w:instrText>HYPERLINK  \l "_Toc15396628"</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政府性基金预算财政拨款收入支出决算表..............3</w:t>
      </w:r>
      <w:r>
        <w:rPr>
          <w:rFonts w:ascii="仿宋" w:eastAsia="仿宋" w:cs="Times New Roman" w:hint="eastAsia"/>
          <w:kern w:val="2"/>
          <w:sz w:val="28"/>
          <w:szCs w:val="28"/>
          <w:lang w:val="en-US" w:eastAsia="zh-CN" w:bidi="ar-SA"/>
        </w:rPr>
        <w:fldChar w:fldCharType="end"/>
      </w:r>
      <w:r>
        <w:rPr>
          <w:rFonts w:ascii="仿宋" w:eastAsia="仿宋" w:hint="eastAsia"/>
          <w:sz w:val="28"/>
          <w:szCs w:val="28"/>
          <w:lang w:val="en-US" w:eastAsia="zh-CN"/>
        </w:rPr>
        <w:t>2</w:t>
      </w:r>
      <w:r>
        <w:rPr>
          <w:rFonts w:ascii="仿宋" w:eastAsia="仿宋" w:cs="Times New Roman" w:hint="eastAsia"/>
          <w:kern w:val="2"/>
          <w:sz w:val="28"/>
          <w:szCs w:val="28"/>
          <w:lang w:val="en-US" w:eastAsia="zh-CN" w:bidi="ar-SA"/>
        </w:rPr>
        <w:t>十一、</w:t>
      </w:r>
      <w:r>
        <w:rPr>
          <w:rFonts w:ascii="仿宋" w:eastAsia="仿宋" w:cs="Times New Roman" w:hint="eastAsia"/>
          <w:kern w:val="2"/>
          <w:sz w:val="28"/>
          <w:szCs w:val="28"/>
          <w:lang w:val="en-US" w:eastAsia="zh-CN" w:bidi="ar-SA"/>
        </w:rPr>
        <w:fldChar w:fldCharType="begin"/>
      </w:r>
      <w:r>
        <w:instrText>HYPERLINK  \l "_Toc15396629"</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国有资本经营预算财政拨款收入支出决算表..........3</w:t>
      </w:r>
      <w:r>
        <w:rPr>
          <w:rFonts w:ascii="仿宋" w:eastAsia="仿宋" w:cs="Times New Roman" w:hint="eastAsia"/>
          <w:kern w:val="2"/>
          <w:sz w:val="28"/>
          <w:szCs w:val="28"/>
          <w:lang w:val="en-US" w:eastAsia="zh-CN" w:bidi="ar-SA"/>
        </w:rPr>
        <w:fldChar w:fldCharType="end"/>
      </w:r>
      <w:r>
        <w:rPr>
          <w:rFonts w:ascii="仿宋" w:eastAsia="仿宋" w:hint="eastAsia"/>
          <w:sz w:val="28"/>
          <w:szCs w:val="28"/>
          <w:lang w:val="en-US" w:eastAsia="zh-CN"/>
        </w:rPr>
        <w:t>2</w:t>
      </w:r>
      <w:r>
        <w:rPr>
          <w:rFonts w:ascii="仿宋" w:eastAsia="仿宋" w:cs="Times New Roman" w:hint="eastAsia"/>
          <w:kern w:val="2"/>
          <w:sz w:val="28"/>
          <w:szCs w:val="28"/>
          <w:lang w:val="en-US" w:eastAsia="zh-CN" w:bidi="ar-SA"/>
        </w:rPr>
        <w:t>十二、</w:t>
      </w:r>
      <w:r>
        <w:rPr>
          <w:rFonts w:ascii="仿宋" w:eastAsia="仿宋" w:cs="Times New Roman" w:hint="eastAsia"/>
          <w:kern w:val="2"/>
          <w:sz w:val="28"/>
          <w:szCs w:val="28"/>
          <w:lang w:val="en-US" w:eastAsia="zh-CN" w:bidi="ar-SA"/>
        </w:rPr>
        <w:fldChar w:fldCharType="begin"/>
      </w:r>
      <w:r>
        <w:instrText>HYPERLINK  \l "_Toc15396629"</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国有资本经营预算财政拨款支出决算表..............3</w:t>
      </w:r>
      <w:r>
        <w:rPr>
          <w:rFonts w:ascii="仿宋" w:eastAsia="仿宋" w:cs="Times New Roman" w:hint="eastAsia"/>
          <w:kern w:val="2"/>
          <w:sz w:val="28"/>
          <w:szCs w:val="28"/>
          <w:lang w:val="en-US" w:eastAsia="zh-CN" w:bidi="ar-SA"/>
        </w:rPr>
        <w:fldChar w:fldCharType="end"/>
      </w:r>
      <w:r>
        <w:rPr>
          <w:rFonts w:ascii="仿宋" w:eastAsia="仿宋" w:cs="Times New Roman" w:hint="eastAsia"/>
          <w:b w:val="0"/>
          <w:bCs w:val="0"/>
          <w:kern w:val="2"/>
          <w:sz w:val="28"/>
          <w:szCs w:val="28"/>
          <w:lang w:val="en-US" w:eastAsia="zh-CN" w:bidi="ar-SA"/>
        </w:rPr>
        <w:t>2</w:t>
      </w:r>
      <w:r>
        <w:rPr>
          <w:rFonts w:ascii="仿宋" w:eastAsia="仿宋" w:cs="Times New Roman" w:hint="eastAsia"/>
          <w:kern w:val="2"/>
          <w:sz w:val="28"/>
          <w:szCs w:val="28"/>
          <w:lang w:val="en-US" w:eastAsia="zh-CN" w:bidi="ar-SA"/>
        </w:rPr>
        <w:t>十三、财政拨款“三公”经费支出决算表..................32</w:t>
      </w:r>
    </w:p>
    <w:p>
      <w:pPr>
        <w:pStyle w:val="2"/>
        <w:ind w:firstLineChars="100" w:firstLine="280"/>
        <w:rPr>
          <w:rFonts w:ascii="仿宋" w:eastAsia="仿宋" w:cs="Times New Roman" w:hint="eastAsia"/>
          <w:kern w:val="2"/>
          <w:sz w:val="28"/>
          <w:szCs w:val="28"/>
          <w:lang w:val="en-US" w:eastAsia="zh-CN" w:bidi="ar-SA"/>
        </w:rPr>
      </w:pP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14" w:name="_Toc15377197"/>
      <w:bookmarkStart w:id="15" w:name="_Toc15396600"/>
      <w:r>
        <w:rPr>
          <w:rFonts w:ascii="黑体" w:eastAsia="黑体" w:hint="eastAsia"/>
          <w:b w:val="0"/>
          <w:color w:val="000000"/>
        </w:rPr>
        <w:t>一、基</w:t>
      </w:r>
      <w:r>
        <w:rPr>
          <w:rStyle w:val="2Char"/>
          <w:rFonts w:ascii="黑体" w:eastAsia="黑体" w:hint="eastAsia"/>
          <w:b w:val="0"/>
          <w:bCs w:val="0"/>
        </w:rPr>
        <w:t>本职能及主要工作</w:t>
      </w:r>
      <w:bookmarkStart w:id="16" w:name="_Toc15378445"/>
      <w:bookmarkStart w:id="17" w:name="_Toc15377198"/>
      <w:bookmarkEnd w:id="14"/>
      <w:bookmarkEnd w:id="15"/>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8" w:name="_Toc15378446"/>
      <w:bookmarkStart w:id="19" w:name="_Toc15377199"/>
      <w:bookmarkEnd w:id="16"/>
      <w:bookmarkEnd w:id="17"/>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1.贯彻执行国家、省、州住房和城乡建设的法律、法规和方针政策。研究拟定住房保障、工程建设、城乡建设、建筑业、房屋装饰装修业、住宅与房地产业、勘察设计咨询业、市政公用事业的有关地方性法规和规章草案，负责本系统、本部门依法行政工作，落实行政执法责任制。</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2.承担推进住房制度改革、保障城镇低收入家庭住房的责任。拟定全县住房及住房保障相关政策并指导实施，指导住房建设和住房制度改革。拟订廉租住房规划及政策，会同有关部门做好国家、省、州有关廉租住房资金安排并监督地方组织实施。编制住房保障发展规划和年度计划并监督实施。</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3.承担建立全县工程建设标准体系的责任。组织实施工程建设实施阶段的国家标准、四川省统一定额和行业标准定额，组织制定工程建设的地方标准，拟订建设项目可行性研究评价方法、经济参数、建设标准和工程造价的管理制度，指导监督各类工程建设标准定额的实施和工程造价计价，组织发布工程造价信息。</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4.承担规范房地产市场秩序、监督管理房地产市场的责任。会同有关部门组织拟订房地产市场监督管理政策并监督执行，指导城镇土地使用权有偿转让和开发利用工作，提出房地产业的行业发展规划和产业政策，制定房地产开发、房屋权属管理、房屋租赁、房屋面积管理、危房鉴定、白蚁防治、房地产估价与经济管理、物业管理、房屋征收拆迁的规章制度并监督执行。</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5.承担监督管理建筑市场、规范市场各方主体行为的责任。指导全县建筑活动，拟订工程建设、建筑业及装饰装修业发展战略、中长期规划、改革方案、产业政策、规章制度并监督执行。配合相关部门开展房屋建筑和市政基础设施工程项目招投标活动的监督。拟订建设工程施工、监理以及规范建筑市场各方主体行为的规章制度并监督执行。负责建筑工程质量安全监督管理工作，拟订建筑工程质量、建筑安全生产和竣工验收备案的政策、规章制度并监督执行，组织或参与工程重大质量、安全事故的调查处理。</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6.承担监督管理勘察设计咨询市场秩序和勘察设计咨询质量的责任。拟订工程勘察设计咨询业的发展战略、中长期规划、改革方案、产业和技术政策、规章制度并指导实施。指导建设工程抗震设防工作，组织编制并实施房屋建筑和市政设施抗震技术地方规范和标准图集，组织开展城镇建筑物抗震性能普查、鉴定加固和改造工作，指导村镇和农村建设抗震工作，指导和组织灾后恢复重建工作。</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7.承担指导城镇建设管理的责任。拟订城镇建设的政策、规划并指导实施，指导城镇供水、节水、排水、燃气、污水等市政公用设施的建设管理；指导城镇防汛排涝工作；指导城镇建设档案管理工作。会同有关部门做好城市维护资金安排并监督组织实施。</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8.承担推进建筑节能、城镇减排的责任。会同有关部门拟订建筑节能政策、规划并监督实施，组织实施重大建筑节能项目，推进城镇减排。组织实施重点科技项目成果转化工作，承担推进墙体材料革新的责任。</w:t>
      </w:r>
    </w:p>
    <w:p>
      <w:pPr>
        <w:pStyle w:val="25"/>
        <w:shd w:val="clear" w:color="auto" w:fill="FFFFFF"/>
        <w:spacing w:beforeAutospacing="0" w:afterAutospacing="0" w:line="375" w:lineRule="atLeast"/>
        <w:ind w:firstLineChars="200" w:firstLine="640"/>
        <w:rPr>
          <w:rFonts w:ascii="仿宋_GB2312" w:eastAsia="仿宋_GB2312" w:cs="仿宋_GB2312"/>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9.制订建设行业人才培养和教育发展规划并组织实施，指导建设行业科技人才队伍建设和执业资格管理工作。负责指导住房和城乡建设系统的信访工作，督查督办重大信访案件。开展住房和城乡建设方面的交流与合作。</w:t>
        <w:br/>
        <w:t xml:space="preserve">    10.承担建设工程消防设计审查验收及房屋建筑工程和市政基础设施工程防雷装置设计审核、竣工验收许可相关职责。</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11.承担县政府公布的有关行政审批事项。</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12.承办县政府交办的其他事项。</w:t>
      </w:r>
    </w:p>
    <w:p>
      <w:pPr>
        <w:pStyle w:val="2"/>
        <w:spacing w:before="0" w:after="0" w:line="240" w:lineRule="auto"/>
        <w:ind w:firstLineChars="200" w:firstLine="640"/>
        <w:rPr>
          <w:rFonts w:ascii="楷体" w:eastAsia="楷体" w:cs="楷体" w:hint="eastAsia"/>
          <w:bCs/>
          <w:color w:val="C0504D"/>
          <w:sz w:val="32"/>
          <w:szCs w:val="32"/>
          <w14:textFill>
            <w14:solidFill>
              <w14:srgbClr w14:val="C0504D"/>
            </w14:solidFill>
          </w14:textFill>
        </w:rPr>
      </w:pPr>
      <w:r>
        <w:rPr>
          <w:rFonts w:ascii="楷体" w:eastAsia="楷体" w:cs="楷体" w:hint="eastAsia"/>
          <w:bCs/>
          <w:color w:val="000000"/>
          <w:sz w:val="32"/>
          <w:szCs w:val="32"/>
          <w14:textFill>
            <w14:solidFill>
              <w14:srgbClr w14:val="000000"/>
            </w14:solidFill>
          </w14:textFill>
        </w:rPr>
        <w:t>（二）20</w:t>
      </w:r>
      <w:r>
        <w:rPr>
          <w:rFonts w:ascii="楷体" w:eastAsia="楷体" w:cs="楷体" w:hint="eastAsia"/>
          <w:bCs/>
          <w:color w:val="000000"/>
          <w:sz w:val="32"/>
          <w:szCs w:val="32"/>
          <w14:textFill>
            <w14:solidFill>
              <w14:srgbClr w14:val="000000"/>
            </w14:solidFill>
          </w14:textFill>
          <w:lang w:val="en-US" w:eastAsia="zh-CN"/>
        </w:rPr>
        <w:t>22</w:t>
      </w:r>
      <w:r>
        <w:rPr>
          <w:rFonts w:ascii="楷体" w:eastAsia="楷体" w:cs="楷体" w:hint="eastAsia"/>
          <w:bCs/>
          <w:color w:val="000000"/>
          <w:sz w:val="32"/>
          <w:szCs w:val="32"/>
          <w14:textFill>
            <w14:solidFill>
              <w14:srgbClr w14:val="000000"/>
            </w14:solidFill>
          </w14:textFill>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lang w:val="en-US" w:eastAsia="zh-CN"/>
        </w:rPr>
      </w:pPr>
      <w:bookmarkStart w:id="20" w:name="_Toc15396601"/>
      <w:bookmarkStart w:id="21" w:name="_Toc15377200"/>
      <w:r>
        <w:rPr>
          <w:rFonts w:ascii="仿宋_GB2312" w:eastAsia="仿宋_GB2312" w:cs="仿宋_GB2312" w:hint="eastAsia"/>
          <w:b/>
          <w:bCs/>
          <w:sz w:val="32"/>
          <w:szCs w:val="32"/>
          <w:lang w:val="en-US" w:eastAsia="zh-CN"/>
        </w:rPr>
        <w:t>（一）咬定目标，全力加快城镇建设。</w:t>
      </w:r>
      <w:r>
        <w:rPr>
          <w:rFonts w:ascii="仿宋_GB2312" w:eastAsia="仿宋_GB2312" w:cs="仿宋_GB2312" w:hint="eastAsia"/>
          <w:sz w:val="32"/>
          <w:szCs w:val="32"/>
          <w:lang w:val="en-US" w:eastAsia="zh-CN"/>
        </w:rPr>
        <w:t>坚持以城镇基础设施建设为核心，以新区建设、老城改造、集镇提升、灾后恢复为重点，</w:t>
      </w:r>
      <w:r>
        <w:rPr>
          <w:rFonts w:ascii="仿宋_GB2312" w:eastAsia="仿宋_GB2312" w:cs="仿宋_GB2312" w:hint="eastAsia"/>
          <w:sz w:val="32"/>
          <w:szCs w:val="32"/>
        </w:rPr>
        <w:t>全力推进</w:t>
      </w:r>
      <w:r>
        <w:rPr>
          <w:rFonts w:ascii="仿宋_GB2312" w:eastAsia="仿宋_GB2312" w:cs="仿宋_GB2312" w:hint="eastAsia"/>
          <w:sz w:val="32"/>
          <w:szCs w:val="32"/>
          <w:lang w:eastAsia="zh-CN"/>
        </w:rPr>
        <w:t>项目建设</w:t>
      </w:r>
      <w:r>
        <w:rPr>
          <w:rFonts w:ascii="仿宋_GB2312" w:eastAsia="仿宋_GB2312" w:cs="仿宋_GB2312" w:hint="eastAsia"/>
          <w:sz w:val="32"/>
          <w:szCs w:val="32"/>
        </w:rPr>
        <w:t>。</w:t>
      </w:r>
      <w:r>
        <w:rPr>
          <w:rFonts w:ascii="仿宋_GB2312" w:eastAsia="仿宋_GB2312" w:cs="仿宋_GB2312" w:hint="eastAsia"/>
          <w:b/>
          <w:bCs/>
          <w:sz w:val="32"/>
          <w:szCs w:val="32"/>
          <w:lang w:eastAsia="zh-CN"/>
        </w:rPr>
        <w:t>截至目前，</w:t>
      </w:r>
      <w:r>
        <w:rPr>
          <w:rFonts w:ascii="仿宋_GB2312" w:eastAsia="仿宋_GB2312" w:cs="仿宋_GB2312" w:hint="eastAsia"/>
          <w:sz w:val="32"/>
          <w:szCs w:val="32"/>
          <w:lang w:val="en-US" w:eastAsia="zh-CN"/>
        </w:rPr>
        <w:t>金川县干部周转房（一期）（二期）项目、干部职工周转宿舍项目和住建、公安老旧小区提升改造项目、</w:t>
      </w:r>
      <w:r>
        <w:rPr>
          <w:rFonts w:ascii="仿宋_GB2312" w:eastAsia="仿宋_GB2312" w:cs="仿宋_GB2312" w:hint="eastAsia"/>
          <w:sz w:val="32"/>
          <w:szCs w:val="32"/>
          <w:lang w:val="en-US" w:eastAsia="zh-CN"/>
          <w:highlight w:val="auto"/>
        </w:rPr>
        <w:t>广金坝大桥建设项目、</w:t>
      </w:r>
      <w:r>
        <w:rPr>
          <w:rFonts w:ascii="仿宋_GB2312" w:eastAsia="仿宋_GB2312" w:cs="仿宋_GB2312" w:hint="eastAsia"/>
          <w:color w:val="auto"/>
          <w:sz w:val="32"/>
          <w:szCs w:val="32"/>
          <w:lang w:val="en-US" w:eastAsia="zh-CN"/>
          <w:highlight w:val="auto"/>
        </w:rPr>
        <w:t>观音桥镇道路基础设施项目</w:t>
      </w:r>
      <w:r>
        <w:rPr>
          <w:rFonts w:ascii="仿宋_GB2312" w:eastAsia="仿宋_GB2312" w:cs="仿宋_GB2312" w:hint="eastAsia"/>
          <w:sz w:val="32"/>
          <w:szCs w:val="32"/>
          <w:lang w:val="en-US" w:eastAsia="zh-CN"/>
        </w:rPr>
        <w:t>已全面完工；老旧小区配套基础设施建设及城南中环路丁家湾片区老旧小区提升改造建设项目已完成总工程量的90%，预计11月底全面完工；勒乌镇滨河路市政基础设施项目（一期）、城区供水管网改扩建项目、金川县城区防洪堤防提升加固工程、沙耳乡临江路市政基础设</w:t>
      </w:r>
      <w:r>
        <w:rPr>
          <w:rFonts w:ascii="仿宋_GB2312" w:eastAsia="仿宋_GB2312" w:cs="仿宋_GB2312" w:hint="eastAsia"/>
          <w:sz w:val="32"/>
          <w:szCs w:val="32"/>
          <w:lang w:val="en-US" w:eastAsia="zh-CN"/>
          <w:highlight w:val="auto"/>
        </w:rPr>
        <w:t>施、</w:t>
      </w:r>
      <w:r>
        <w:rPr>
          <w:rFonts w:ascii="仿宋_GB2312" w:eastAsia="仿宋_GB2312" w:cs="仿宋_GB2312" w:hint="eastAsia"/>
          <w:sz w:val="32"/>
          <w:szCs w:val="32"/>
          <w:lang w:val="en-US" w:eastAsia="zh-CN"/>
        </w:rPr>
        <w:t>金川县安宁镇顺河路市政基础设施项目、金川县勒乌沟口至拦沙坝市政基础设施建设、金川县观音桥镇生活污水处理工程项目，</w:t>
      </w:r>
      <w:r>
        <w:rPr>
          <w:rFonts w:ascii="仿宋_GB2312" w:eastAsia="仿宋_GB2312" w:cs="仿宋_GB2312" w:hint="eastAsia"/>
          <w:color w:val="auto"/>
          <w:sz w:val="32"/>
          <w:szCs w:val="32"/>
          <w:lang w:val="en-US" w:eastAsia="zh-CN"/>
          <w:highlight w:val="auto"/>
        </w:rPr>
        <w:t>正</w:t>
      </w:r>
      <w:r>
        <w:rPr>
          <w:rFonts w:ascii="仿宋_GB2312" w:eastAsia="仿宋_GB2312" w:cs="仿宋_GB2312" w:hint="eastAsia"/>
          <w:sz w:val="32"/>
          <w:szCs w:val="32"/>
          <w:lang w:val="en-US" w:eastAsia="zh-CN"/>
        </w:rPr>
        <w:t>全力推进；双柏树市政基础设施项目已完成总工程量的50%，目前因征地相关工作处于停工状态，正协调相关部门、乡镇推进征地拆迁等工作；</w:t>
      </w:r>
      <w:r>
        <w:rPr>
          <w:rFonts w:ascii="仿宋_GB2312" w:eastAsia="仿宋_GB2312" w:cs="仿宋_GB2312" w:hint="eastAsia"/>
          <w:b/>
          <w:bCs/>
          <w:sz w:val="32"/>
          <w:szCs w:val="32"/>
          <w:lang w:val="en-US" w:eastAsia="zh-CN"/>
        </w:rPr>
        <w:t>同时，</w:t>
      </w:r>
      <w:r>
        <w:rPr>
          <w:rFonts w:ascii="仿宋_GB2312" w:eastAsia="仿宋_GB2312" w:cs="仿宋_GB2312" w:hint="eastAsia"/>
          <w:sz w:val="32"/>
          <w:szCs w:val="32"/>
          <w:lang w:val="en-US" w:eastAsia="zh-CN"/>
        </w:rPr>
        <w:t>金川县2022年老旧小区环境综合整治项目、金川县城市污水处理厂（二期）建设项目、金川县沙尔乡沙耳尼村乡村振兴示范建设项目、金川县乡镇干部职工周转宿舍建设（一期）项目、金川县观音桥生活垃圾无害化处理站建设项目、安宁镇垃圾污水处理建设项目正在有序开展项目前期工作。</w:t>
      </w:r>
    </w:p>
    <w:p>
      <w:pPr>
        <w:snapToGrid/>
        <w:spacing w:before="0" w:beforeAutospacing="0" w:after="0" w:afterAutospacing="0" w:line="560" w:lineRule="exact"/>
        <w:ind w:firstLineChars="200" w:firstLine="640"/>
        <w:jc w:val="both"/>
        <w:textAlignment w:val="baseline"/>
        <w:rPr>
          <w:rFonts w:ascii="仿宋_GB2312" w:eastAsia="仿宋_GB2312" w:cs="仿宋_GB2312" w:hint="eastAsia"/>
          <w:kern w:val="0"/>
          <w:sz w:val="32"/>
          <w:szCs w:val="32"/>
          <w:lang w:val="en-US" w:eastAsia="zh-CN"/>
          <w:highlight w:val="auto"/>
        </w:rPr>
      </w:pPr>
      <w:r>
        <w:rPr>
          <w:rFonts w:ascii="仿宋_GB2312" w:eastAsia="仿宋_GB2312" w:cs="仿宋_GB2312" w:hint="eastAsia"/>
          <w:b/>
          <w:color w:val="auto"/>
          <w:kern w:val="2"/>
          <w:sz w:val="32"/>
          <w:szCs w:val="32"/>
          <w:lang w:eastAsia="zh-CN"/>
        </w:rPr>
        <w:t>（</w:t>
      </w:r>
      <w:r>
        <w:rPr>
          <w:rFonts w:ascii="仿宋_GB2312" w:eastAsia="仿宋_GB2312" w:cs="仿宋_GB2312" w:hint="eastAsia"/>
          <w:b/>
          <w:color w:val="auto"/>
          <w:kern w:val="2"/>
          <w:sz w:val="32"/>
          <w:szCs w:val="32"/>
          <w:lang w:val="en-US" w:eastAsia="zh-CN"/>
        </w:rPr>
        <w:t>二</w:t>
      </w:r>
      <w:r>
        <w:rPr>
          <w:rFonts w:ascii="仿宋_GB2312" w:eastAsia="仿宋_GB2312" w:cs="仿宋_GB2312" w:hint="eastAsia"/>
          <w:b/>
          <w:color w:val="auto"/>
          <w:kern w:val="2"/>
          <w:sz w:val="32"/>
          <w:szCs w:val="32"/>
          <w:lang w:eastAsia="zh-CN"/>
        </w:rPr>
        <w:t>）</w:t>
      </w:r>
      <w:r>
        <w:rPr>
          <w:rFonts w:ascii="仿宋_GB2312" w:eastAsia="仿宋_GB2312" w:cs="仿宋_GB2312" w:hint="eastAsia"/>
          <w:b/>
          <w:color w:val="auto"/>
          <w:kern w:val="2"/>
          <w:sz w:val="32"/>
          <w:szCs w:val="32"/>
        </w:rPr>
        <w:t>全力以赴做好民生保障。</w:t>
      </w:r>
      <w:r>
        <w:rPr>
          <w:rStyle w:val="35"/>
          <w:rFonts w:ascii="仿宋_GB2312" w:eastAsia="仿宋_GB2312" w:cs="仿宋_GB2312" w:hint="eastAsia"/>
          <w:color w:val="auto"/>
          <w:sz w:val="32"/>
          <w:szCs w:val="32"/>
        </w:rPr>
        <w:t>克难排障，集聚要素，全力以赴做好民生保障。</w:t>
      </w:r>
      <w:r>
        <w:rPr>
          <w:rStyle w:val="35"/>
          <w:rFonts w:ascii="仿宋_GB2312" w:eastAsia="仿宋_GB2312" w:cs="仿宋_GB2312" w:hint="eastAsia"/>
          <w:b/>
          <w:bCs/>
          <w:color w:val="auto"/>
          <w:sz w:val="32"/>
          <w:szCs w:val="32"/>
        </w:rPr>
        <w:t>一是</w:t>
      </w:r>
      <w:r>
        <w:rPr>
          <w:rStyle w:val="35"/>
          <w:rFonts w:ascii="仿宋_GB2312" w:eastAsia="仿宋_GB2312" w:cs="仿宋_GB2312" w:hint="eastAsia"/>
          <w:color w:val="auto"/>
          <w:sz w:val="32"/>
          <w:szCs w:val="32"/>
          <w:lang w:val="en-US" w:eastAsia="zh-CN"/>
        </w:rPr>
        <w:t>聘请第三方机构完成马尔康6.10地震128户受灾农房鉴定工作，目前维修加固126户已完成92户，2户重建，其中1户已购买住房，1户正在开展拆旧工作。</w:t>
      </w:r>
      <w:r>
        <w:rPr>
          <w:rStyle w:val="35"/>
          <w:rFonts w:ascii="仿宋_GB2312" w:eastAsia="仿宋_GB2312" w:cs="仿宋_GB2312" w:hint="eastAsia"/>
          <w:b/>
          <w:bCs/>
          <w:color w:val="auto"/>
          <w:sz w:val="32"/>
          <w:szCs w:val="32"/>
          <w:lang w:val="en-US" w:eastAsia="zh-CN"/>
        </w:rPr>
        <w:t>二是</w:t>
      </w:r>
      <w:r>
        <w:rPr>
          <w:rStyle w:val="35"/>
          <w:rFonts w:ascii="仿宋_GB2312" w:eastAsia="仿宋_GB2312" w:cs="仿宋_GB2312" w:hint="eastAsia"/>
          <w:color w:val="auto"/>
          <w:sz w:val="32"/>
          <w:szCs w:val="32"/>
        </w:rPr>
        <w:t>持续推进中央环保督</w:t>
      </w:r>
      <w:r>
        <w:rPr>
          <w:rStyle w:val="35"/>
          <w:rFonts w:ascii="仿宋_GB2312" w:eastAsia="仿宋_GB2312" w:cs="仿宋_GB2312"/>
          <w:color w:val="auto"/>
          <w:sz w:val="32"/>
          <w:szCs w:val="32"/>
        </w:rPr>
        <w:t>察</w:t>
      </w:r>
      <w:r>
        <w:rPr>
          <w:rStyle w:val="35"/>
          <w:rFonts w:ascii="仿宋_GB2312" w:eastAsia="仿宋_GB2312" w:cs="仿宋_GB2312" w:hint="eastAsia"/>
          <w:color w:val="auto"/>
          <w:sz w:val="32"/>
          <w:szCs w:val="32"/>
        </w:rPr>
        <w:t>问题整改，目前</w:t>
      </w:r>
      <w:r>
        <w:rPr>
          <w:rStyle w:val="35"/>
          <w:rFonts w:ascii="仿宋_GB2312" w:eastAsia="仿宋_GB2312" w:cs="仿宋_GB2312" w:hint="eastAsia"/>
          <w:color w:val="auto"/>
          <w:sz w:val="32"/>
          <w:szCs w:val="32"/>
          <w:lang w:eastAsia="zh-CN"/>
        </w:rPr>
        <w:t>，</w:t>
      </w:r>
      <w:r>
        <w:rPr>
          <w:rFonts w:ascii="仿宋_GB2312" w:eastAsia="仿宋_GB2312" w:cs="仿宋_GB2312" w:hint="eastAsia"/>
          <w:sz w:val="32"/>
          <w:szCs w:val="32"/>
          <w:lang w:val="en-US" w:eastAsia="zh-CN"/>
        </w:rPr>
        <w:t>金川县城市污水处理厂（二期）建设项目已完成可研编制，准备启动设计工作。</w:t>
      </w:r>
      <w:r>
        <w:rPr>
          <w:rFonts w:ascii="仿宋_GB2312" w:eastAsia="仿宋_GB2312" w:cs="仿宋_GB2312" w:hint="eastAsia"/>
          <w:b/>
          <w:bCs/>
          <w:sz w:val="32"/>
          <w:szCs w:val="32"/>
          <w:lang w:val="en-US" w:eastAsia="zh-CN"/>
        </w:rPr>
        <w:t>三是</w:t>
      </w:r>
      <w:r>
        <w:rPr>
          <w:rFonts w:ascii="仿宋_GB2312" w:eastAsia="仿宋_GB2312" w:cs="仿宋_GB2312" w:hint="eastAsia"/>
          <w:sz w:val="32"/>
          <w:szCs w:val="32"/>
          <w:lang w:val="en-US" w:eastAsia="zh-CN"/>
        </w:rPr>
        <w:t>加快推进城镇老</w:t>
      </w:r>
      <w:r>
        <w:rPr>
          <w:rFonts w:ascii="仿宋_GB2312" w:eastAsia="仿宋_GB2312" w:cs="仿宋_GB2312" w:hint="eastAsia"/>
          <w:color w:val="auto"/>
          <w:sz w:val="32"/>
          <w:szCs w:val="32"/>
        </w:rPr>
        <w:t>旧小区改造项目，切实改善人民群众居住条件。</w:t>
      </w:r>
      <w:r>
        <w:rPr>
          <w:rFonts w:ascii="仿宋_GB2312" w:eastAsia="仿宋_GB2312" w:cs="仿宋_GB2312" w:hint="eastAsia"/>
          <w:color w:val="auto"/>
          <w:sz w:val="32"/>
          <w:szCs w:val="32"/>
          <w:lang w:val="en-US" w:eastAsia="zh-CN"/>
        </w:rPr>
        <w:t>公安住建小区已基本完工，正进行收尾工作；老旧小区配套基础设施建设项目及城南中环路丁家湾片区老旧小区提升改造建设项目已完成总工程量的90%，计划11月底全面完工。</w:t>
      </w:r>
      <w:r>
        <w:rPr>
          <w:rFonts w:ascii="仿宋_GB2312" w:eastAsia="仿宋_GB2312" w:cs="仿宋_GB2312" w:hint="eastAsia"/>
          <w:b/>
          <w:bCs/>
          <w:color w:val="auto"/>
          <w:sz w:val="32"/>
          <w:szCs w:val="32"/>
          <w:lang w:val="en-US" w:eastAsia="zh-CN"/>
          <w:highlight w:val="auto"/>
        </w:rPr>
        <w:t>四</w:t>
      </w:r>
      <w:r>
        <w:rPr>
          <w:rFonts w:ascii="仿宋_GB2312" w:eastAsia="仿宋_GB2312" w:cs="仿宋_GB2312" w:hint="eastAsia"/>
          <w:b/>
          <w:bCs/>
          <w:kern w:val="0"/>
          <w:sz w:val="32"/>
          <w:szCs w:val="32"/>
          <w:highlight w:val="auto"/>
        </w:rPr>
        <w:t>是</w:t>
      </w:r>
      <w:r>
        <w:rPr>
          <w:rFonts w:ascii="仿宋_GB2312" w:eastAsia="仿宋_GB2312" w:cs="仿宋_GB2312" w:hint="eastAsia"/>
          <w:kern w:val="0"/>
          <w:sz w:val="32"/>
          <w:szCs w:val="32"/>
          <w:highlight w:val="auto"/>
        </w:rPr>
        <w:t>扎实开展</w:t>
      </w:r>
      <w:r>
        <w:rPr>
          <w:rFonts w:ascii="仿宋_GB2312" w:eastAsia="仿宋_GB2312" w:cs="仿宋_GB2312" w:hint="eastAsia"/>
          <w:kern w:val="0"/>
          <w:sz w:val="32"/>
          <w:szCs w:val="32"/>
          <w:lang w:eastAsia="zh-CN"/>
          <w:highlight w:val="auto"/>
        </w:rPr>
        <w:t>住房安全保障工作，开展</w:t>
      </w:r>
      <w:r>
        <w:rPr>
          <w:rFonts w:ascii="仿宋_GB2312" w:eastAsia="仿宋_GB2312" w:cs="仿宋_GB2312" w:hint="eastAsia"/>
          <w:kern w:val="0"/>
          <w:sz w:val="32"/>
          <w:szCs w:val="32"/>
          <w:lang w:val="en-US" w:eastAsia="zh-CN"/>
          <w:highlight w:val="auto"/>
        </w:rPr>
        <w:t>自建房安全专项整治工作</w:t>
      </w:r>
      <w:r>
        <w:rPr>
          <w:rFonts w:ascii="仿宋_GB2312" w:eastAsia="仿宋_GB2312" w:cs="仿宋_GB2312" w:hint="eastAsia"/>
          <w:kern w:val="0"/>
          <w:sz w:val="32"/>
          <w:szCs w:val="32"/>
          <w:highlight w:val="auto"/>
        </w:rPr>
        <w:t>，</w:t>
      </w:r>
      <w:r>
        <w:rPr>
          <w:rFonts w:ascii="仿宋_GB2312" w:eastAsia="仿宋_GB2312" w:cs="仿宋_GB2312" w:hint="eastAsia"/>
          <w:kern w:val="0"/>
          <w:sz w:val="32"/>
          <w:szCs w:val="32"/>
          <w:lang w:val="en-US" w:eastAsia="zh-CN"/>
          <w:highlight w:val="auto"/>
        </w:rPr>
        <w:t>已完成《金川县自建房安全整治方案》编制工作，各乡镇、部门、社区根据自己职能职责有序推进全县自建</w:t>
      </w:r>
      <w:r>
        <w:rPr>
          <w:rFonts w:ascii="仿宋_GB2312" w:eastAsia="仿宋_GB2312" w:cs="仿宋_GB2312" w:hint="eastAsia"/>
          <w:kern w:val="0"/>
          <w:sz w:val="32"/>
          <w:szCs w:val="32"/>
          <w:highlight w:val="auto"/>
        </w:rPr>
        <w:t>房安全</w:t>
      </w:r>
      <w:r>
        <w:rPr>
          <w:rFonts w:ascii="仿宋_GB2312" w:eastAsia="仿宋_GB2312" w:cs="仿宋_GB2312" w:hint="eastAsia"/>
          <w:kern w:val="0"/>
          <w:sz w:val="32"/>
          <w:szCs w:val="32"/>
          <w:lang w:val="en-US" w:eastAsia="zh-CN"/>
          <w:highlight w:val="auto"/>
        </w:rPr>
        <w:t>隐患排查工作，截至目前，已排查自建房20189栋，其中，经营性自建房1107栋，存在安全隐患经营性自建6栋，均已采取管控措施</w:t>
      </w:r>
      <w:r>
        <w:rPr>
          <w:rFonts w:ascii="仿宋_GB2312" w:eastAsia="仿宋_GB2312" w:cs="仿宋_GB2312" w:hint="eastAsia"/>
          <w:kern w:val="0"/>
          <w:sz w:val="32"/>
          <w:szCs w:val="32"/>
          <w:lang w:eastAsia="zh-CN"/>
          <w:highlight w:val="auto"/>
        </w:rPr>
        <w:t>；</w:t>
      </w:r>
      <w:r>
        <w:rPr>
          <w:rStyle w:val="35"/>
          <w:rFonts w:ascii="仿宋_GB2312" w:eastAsia="仿宋_GB2312" w:cs="仿宋_GB2312" w:hint="eastAsia"/>
          <w:b w:val="0"/>
          <w:i w:val="0"/>
          <w:caps w:val="0"/>
          <w:smallCaps w:val="0"/>
          <w:spacing w:val="0"/>
          <w:w w:val="100"/>
          <w:kern w:val="2"/>
          <w:sz w:val="32"/>
          <w:szCs w:val="32"/>
          <w:lang w:val="en-US" w:eastAsia="zh-CN" w:bidi="ar-SA"/>
        </w:rPr>
        <w:t>2022年我县危房改造任务18户，上级要求于2023年3月全面完工，截</w:t>
      </w:r>
      <w:r>
        <w:rPr>
          <w:rStyle w:val="35"/>
          <w:rFonts w:ascii="仿宋_GB2312" w:eastAsia="仿宋_GB2312" w:cs="仿宋_GB2312"/>
          <w:b w:val="0"/>
          <w:i w:val="0"/>
          <w:caps w:val="0"/>
          <w:smallCaps w:val="0"/>
          <w:spacing w:val="0"/>
          <w:w w:val="100"/>
          <w:kern w:val="2"/>
          <w:sz w:val="32"/>
          <w:szCs w:val="32"/>
          <w:lang w:val="en-US" w:eastAsia="zh-CN" w:bidi="ar-SA"/>
        </w:rPr>
        <w:t>至</w:t>
      </w:r>
      <w:r>
        <w:rPr>
          <w:rStyle w:val="35"/>
          <w:rFonts w:ascii="仿宋_GB2312" w:eastAsia="仿宋_GB2312" w:cs="仿宋_GB2312" w:hint="eastAsia"/>
          <w:b w:val="0"/>
          <w:i w:val="0"/>
          <w:caps w:val="0"/>
          <w:smallCaps w:val="0"/>
          <w:spacing w:val="0"/>
          <w:w w:val="100"/>
          <w:kern w:val="2"/>
          <w:sz w:val="32"/>
          <w:szCs w:val="32"/>
          <w:lang w:val="en-US" w:eastAsia="zh-CN" w:bidi="ar-SA"/>
        </w:rPr>
        <w:t>目前已全面开工，完工7户，力争12月底前全面完成竣工验收及资金拨付工作</w:t>
      </w:r>
      <w:r>
        <w:rPr>
          <w:rFonts w:ascii="仿宋_GB2312" w:eastAsia="仿宋_GB2312" w:cs="仿宋_GB2312" w:hint="eastAsia"/>
          <w:sz w:val="32"/>
          <w:szCs w:val="32"/>
          <w:lang w:val="en-US" w:eastAsia="zh-CN"/>
        </w:rPr>
        <w:t>；</w:t>
      </w:r>
      <w:r>
        <w:rPr>
          <w:rFonts w:ascii="仿宋_GB2312" w:eastAsia="仿宋_GB2312" w:cs="仿宋_GB2312" w:hint="eastAsia"/>
          <w:kern w:val="0"/>
          <w:sz w:val="32"/>
          <w:szCs w:val="32"/>
          <w:lang w:val="en-US" w:eastAsia="zh-CN"/>
          <w:highlight w:val="auto"/>
        </w:rPr>
        <w:t>“三乡一镇两河”农村房屋功能性提升改造项目，对沙耳、庆宁、咯尔乡、勒乌镇、河东、河西、俄热985户房屋开展功能性提升改造，计划投资1735万元，目前已全面完工，其中河东乡、庆宁乡、沙尔乡已完成验收工作，拨付资金</w:t>
      </w:r>
      <w:r>
        <w:rPr>
          <w:rFonts w:ascii="仿宋_GB2312" w:eastAsia="仿宋_GB2312" w:cs="仿宋_GB2312" w:hint="eastAsia"/>
          <w:sz w:val="32"/>
          <w:szCs w:val="32"/>
          <w:lang w:val="en-US" w:eastAsia="zh-CN"/>
        </w:rPr>
        <w:t>723.2526</w:t>
      </w:r>
      <w:r>
        <w:rPr>
          <w:rFonts w:ascii="仿宋_GB2312" w:eastAsia="仿宋_GB2312" w:cs="仿宋_GB2312" w:hint="eastAsia"/>
          <w:kern w:val="0"/>
          <w:sz w:val="32"/>
          <w:szCs w:val="32"/>
          <w:lang w:val="en-US" w:eastAsia="zh-CN"/>
          <w:highlight w:val="auto"/>
        </w:rPr>
        <w:t>万元，进一步提升了农村房屋品质形象，房屋功能得到进一步完善。</w:t>
      </w:r>
    </w:p>
    <w:p>
      <w:pPr>
        <w:spacing w:line="560" w:lineRule="exact"/>
        <w:ind w:firstLineChars="200" w:firstLine="640"/>
        <w:rPr>
          <w:rFonts w:ascii="仿宋_GB2312" w:eastAsia="仿宋_GB2312" w:cs="仿宋_GB2312" w:hint="eastAsia"/>
          <w:color w:val="auto"/>
          <w:kern w:val="0"/>
          <w:sz w:val="32"/>
          <w:szCs w:val="32"/>
          <w:lang w:val="en-US" w:eastAsia="zh-CN" w:bidi="ar-SA"/>
        </w:rPr>
      </w:pPr>
      <w:r>
        <w:rPr>
          <w:rFonts w:ascii="仿宋_GB2312" w:eastAsia="仿宋_GB2312" w:cs="仿宋_GB2312" w:hint="eastAsia"/>
          <w:b/>
          <w:color w:val="auto"/>
          <w:kern w:val="0"/>
          <w:sz w:val="32"/>
          <w:szCs w:val="32"/>
          <w:lang w:val="en-US" w:eastAsia="zh-CN" w:bidi="ar-SA"/>
        </w:rPr>
        <w:t>（三）强化管理，全力加强建筑工地管理。</w:t>
      </w:r>
      <w:r>
        <w:rPr>
          <w:rFonts w:ascii="仿宋_GB2312" w:eastAsia="仿宋_GB2312" w:cs="仿宋_GB2312" w:hint="eastAsia"/>
          <w:color w:val="auto"/>
          <w:kern w:val="0"/>
          <w:sz w:val="32"/>
          <w:szCs w:val="32"/>
          <w:lang w:val="en-US" w:eastAsia="zh-CN" w:bidi="ar-SA"/>
        </w:rPr>
        <w:t>坚持以房屋市政在建项目工地管理为核心，以安全生产、疫情防控、环境保护、重点行业领域整治为重点，制发《关于进一步规范管理在建工地的通知》，督促指导各项目业主和施工、监理企业严格落实在建项目工地管理措施，始终保持高压严管态势。截至目前，开展安全生产百日攻坚、在建项目环境整治、住建领域扫黑除恶等专项检查100余人次，</w:t>
      </w:r>
      <w:r>
        <w:rPr>
          <w:rFonts w:ascii="仿宋_GB2312" w:eastAsia="仿宋_GB2312" w:cs="仿宋_GB2312" w:hint="eastAsia"/>
          <w:color w:val="000000"/>
          <w:kern w:val="2"/>
          <w:sz w:val="32"/>
          <w:szCs w:val="32"/>
          <w:shd w:val="clear" w:color="auto" w:fill="FFFFFF"/>
          <w:lang w:eastAsia="zh-CN" w:bidi="ar-SA"/>
        </w:rPr>
        <w:t>下达</w:t>
      </w:r>
      <w:r>
        <w:rPr>
          <w:rFonts w:ascii="仿宋_GB2312" w:eastAsia="仿宋_GB2312" w:cs="仿宋_GB2312" w:hint="eastAsia"/>
          <w:color w:val="000000"/>
          <w:kern w:val="2"/>
          <w:sz w:val="32"/>
          <w:szCs w:val="32"/>
          <w:shd w:val="clear" w:color="auto" w:fill="FFFFFF"/>
          <w:lang w:val="en-US" w:eastAsia="zh-CN" w:bidi="ar-SA"/>
        </w:rPr>
        <w:t>限时</w:t>
      </w:r>
      <w:r>
        <w:rPr>
          <w:rFonts w:ascii="仿宋_GB2312" w:eastAsia="仿宋_GB2312" w:cs="仿宋_GB2312" w:hint="eastAsia"/>
          <w:color w:val="000000"/>
          <w:kern w:val="2"/>
          <w:sz w:val="32"/>
          <w:szCs w:val="32"/>
          <w:shd w:val="clear" w:color="auto" w:fill="FFFFFF"/>
          <w:lang w:eastAsia="zh-CN" w:bidi="ar-SA"/>
        </w:rPr>
        <w:t>整改通知书</w:t>
      </w:r>
      <w:r>
        <w:rPr>
          <w:rFonts w:ascii="仿宋_GB2312" w:eastAsia="仿宋_GB2312" w:cs="仿宋_GB2312" w:hint="eastAsia"/>
          <w:color w:val="000000"/>
          <w:kern w:val="2"/>
          <w:sz w:val="32"/>
          <w:szCs w:val="32"/>
          <w:shd w:val="clear" w:color="auto" w:fill="FFFFFF"/>
          <w:lang w:val="en-US" w:eastAsia="zh-CN" w:bidi="ar-SA"/>
        </w:rPr>
        <w:t>15</w:t>
      </w:r>
      <w:r>
        <w:rPr>
          <w:rFonts w:ascii="仿宋_GB2312" w:eastAsia="仿宋_GB2312" w:cs="仿宋_GB2312" w:hint="eastAsia"/>
          <w:color w:val="000000"/>
          <w:kern w:val="2"/>
          <w:sz w:val="32"/>
          <w:szCs w:val="32"/>
          <w:shd w:val="clear" w:color="auto" w:fill="FFFFFF"/>
          <w:lang w:eastAsia="zh-CN" w:bidi="ar-SA"/>
        </w:rPr>
        <w:t>份，移交线索</w:t>
      </w:r>
      <w:r>
        <w:rPr>
          <w:rFonts w:ascii="仿宋_GB2312" w:eastAsia="仿宋_GB2312" w:cs="仿宋_GB2312" w:hint="eastAsia"/>
          <w:color w:val="000000"/>
          <w:kern w:val="2"/>
          <w:sz w:val="32"/>
          <w:szCs w:val="32"/>
          <w:shd w:val="clear" w:color="auto" w:fill="FFFFFF"/>
          <w:lang w:val="en-US" w:eastAsia="zh-CN" w:bidi="ar-SA"/>
        </w:rPr>
        <w:t>3件。</w:t>
      </w:r>
      <w:r>
        <w:rPr>
          <w:rFonts w:ascii="仿宋_GB2312" w:eastAsia="仿宋_GB2312" w:cs="仿宋_GB2312" w:hint="eastAsia"/>
          <w:color w:val="auto"/>
          <w:kern w:val="0"/>
          <w:sz w:val="32"/>
          <w:szCs w:val="32"/>
          <w:lang w:val="en-US" w:eastAsia="zh-CN" w:bidi="ar-SA"/>
        </w:rPr>
        <w:t>实现房屋市政在建项目施工围挡、冲洗装置、车辆覆盖、洒水降尘全覆盖。同时，开展梨香水岸房地产开发项目投资进度和房地产领域违法违规、市场乱象、物业服务、管理检查，切实保护群众合法权益，维护良好产市场秩序。</w:t>
      </w:r>
    </w:p>
    <w:p>
      <w:pPr>
        <w:spacing w:line="560" w:lineRule="exact"/>
        <w:ind w:firstLineChars="200" w:firstLine="640"/>
        <w:rPr>
          <w:rFonts w:ascii="仿宋_GB2312" w:eastAsia="仿宋_GB2312" w:cs="仿宋_GB2312" w:hint="eastAsia"/>
          <w:color w:val="000000"/>
          <w:kern w:val="2"/>
          <w:sz w:val="32"/>
          <w:szCs w:val="32"/>
          <w:shd w:val="clear" w:color="auto" w:fill="FFFFFF"/>
          <w:lang w:eastAsia="zh-CN" w:bidi="ar-SA"/>
        </w:rPr>
      </w:pPr>
      <w:r>
        <w:rPr>
          <w:rFonts w:ascii="仿宋_GB2312" w:eastAsia="仿宋_GB2312" w:cs="仿宋_GB2312" w:hint="eastAsia"/>
          <w:b/>
          <w:color w:val="auto"/>
          <w:kern w:val="0"/>
          <w:sz w:val="32"/>
          <w:szCs w:val="32"/>
          <w:lang w:val="en-US" w:eastAsia="zh-CN"/>
        </w:rPr>
        <w:t>（四）</w:t>
      </w:r>
      <w:r>
        <w:rPr>
          <w:rFonts w:ascii="仿宋_GB2312" w:eastAsia="仿宋_GB2312" w:cs="仿宋_GB2312" w:hint="eastAsia"/>
          <w:b/>
          <w:color w:val="auto"/>
          <w:kern w:val="0"/>
          <w:sz w:val="32"/>
          <w:szCs w:val="32"/>
        </w:rPr>
        <w:t>加大建筑市场整顿力度。</w:t>
      </w:r>
      <w:r>
        <w:rPr>
          <w:rFonts w:ascii="仿宋_GB2312" w:eastAsia="仿宋_GB2312" w:cs="仿宋_GB2312" w:hint="eastAsia"/>
          <w:sz w:val="32"/>
          <w:szCs w:val="32"/>
        </w:rPr>
        <w:t>加强工程投资与建设全过程的监管，在立项、规划、</w:t>
      </w:r>
      <w:r>
        <w:rPr>
          <w:rFonts w:ascii="仿宋_GB2312" w:eastAsia="仿宋_GB2312" w:cs="仿宋_GB2312" w:hint="eastAsia"/>
          <w:sz w:val="32"/>
          <w:szCs w:val="32"/>
          <w:lang w:eastAsia="zh-CN"/>
        </w:rPr>
        <w:t>招投标、</w:t>
      </w:r>
      <w:r>
        <w:rPr>
          <w:rFonts w:ascii="仿宋_GB2312" w:eastAsia="仿宋_GB2312" w:cs="仿宋_GB2312" w:hint="eastAsia"/>
          <w:sz w:val="32"/>
          <w:szCs w:val="32"/>
        </w:rPr>
        <w:t>施工许可、合同、民工</w:t>
      </w:r>
      <w:r>
        <w:rPr>
          <w:rFonts w:ascii="仿宋_GB2312" w:eastAsia="仿宋_GB2312" w:cs="仿宋_GB2312" w:hint="eastAsia"/>
          <w:sz w:val="32"/>
          <w:szCs w:val="32"/>
          <w:lang w:eastAsia="zh-CN"/>
        </w:rPr>
        <w:t>实名制管理</w:t>
      </w:r>
      <w:r>
        <w:rPr>
          <w:rFonts w:ascii="仿宋_GB2312" w:eastAsia="仿宋_GB2312" w:cs="仿宋_GB2312" w:hint="eastAsia"/>
          <w:sz w:val="32"/>
          <w:szCs w:val="32"/>
        </w:rPr>
        <w:t>等主要环节严格把关。为确保农民工工资发放，</w:t>
      </w:r>
      <w:r>
        <w:rPr>
          <w:rFonts w:ascii="仿宋_GB2312" w:eastAsia="仿宋_GB2312" w:cs="仿宋_GB2312" w:hint="eastAsia"/>
          <w:sz w:val="32"/>
          <w:szCs w:val="32"/>
          <w:lang w:eastAsia="zh-CN"/>
        </w:rPr>
        <w:t>要求中标企业办理民工工资专用账户。</w:t>
      </w:r>
      <w:r>
        <w:rPr>
          <w:rFonts w:ascii="仿宋_GB2312" w:eastAsia="仿宋_GB2312" w:cs="仿宋_GB2312" w:hint="eastAsia"/>
          <w:sz w:val="32"/>
          <w:szCs w:val="32"/>
        </w:rPr>
        <w:t>严格规范劳动用工制度，督促建筑企业与农民工签订规范的劳动合同，规范工资支付制度</w:t>
      </w:r>
      <w:r>
        <w:rPr>
          <w:rFonts w:ascii="仿宋_GB2312" w:eastAsia="仿宋_GB2312" w:cs="仿宋_GB2312" w:hint="eastAsia"/>
          <w:sz w:val="32"/>
          <w:szCs w:val="32"/>
          <w:lang w:eastAsia="zh-CN"/>
        </w:rPr>
        <w:t>。</w:t>
      </w:r>
      <w:r>
        <w:rPr>
          <w:rFonts w:ascii="仿宋_GB2312" w:eastAsia="仿宋_GB2312" w:cs="仿宋_GB2312" w:hint="eastAsia"/>
          <w:sz w:val="32"/>
          <w:szCs w:val="32"/>
        </w:rPr>
        <w:t>工程在办理施工许可证时必须按规定</w:t>
      </w:r>
      <w:r>
        <w:rPr>
          <w:rFonts w:ascii="仿宋_GB2312" w:eastAsia="仿宋_GB2312" w:cs="仿宋_GB2312" w:hint="eastAsia"/>
          <w:sz w:val="32"/>
          <w:szCs w:val="32"/>
          <w:lang w:eastAsia="zh-CN"/>
        </w:rPr>
        <w:t>实行农民工实名</w:t>
      </w:r>
      <w:r>
        <w:rPr>
          <w:rFonts w:ascii="仿宋_GB2312" w:eastAsia="仿宋_GB2312" w:cs="仿宋_GB2312" w:hint="eastAsia"/>
          <w:color w:val="000000"/>
          <w:kern w:val="2"/>
          <w:sz w:val="32"/>
          <w:szCs w:val="32"/>
          <w:shd w:val="clear" w:color="auto" w:fill="FFFFFF"/>
          <w:lang w:eastAsia="zh-CN" w:bidi="ar-SA"/>
        </w:rPr>
        <w:t>制管理和建立施工现场民工维权公示牌。特别是在项目竣工验收阶段严格要求企业对工资发放情况进行公示，业主签字认可才进行验收，避免产生新的拖欠。</w:t>
      </w:r>
    </w:p>
    <w:p>
      <w:pPr>
        <w:spacing w:line="560" w:lineRule="exact"/>
        <w:ind w:firstLineChars="200" w:firstLine="640"/>
        <w:rPr>
          <w:rFonts w:ascii="仿宋_GB2312" w:eastAsia="仿宋_GB2312" w:cs="仿宋_GB2312" w:hint="eastAsia"/>
          <w:color w:val="000000"/>
          <w:kern w:val="2"/>
          <w:sz w:val="32"/>
          <w:szCs w:val="32"/>
          <w:shd w:val="clear" w:color="auto" w:fill="FFFFFF"/>
          <w:lang w:val="en-US" w:eastAsia="zh-CN" w:bidi="ar-SA"/>
        </w:rPr>
      </w:pPr>
      <w:r>
        <w:rPr>
          <w:rFonts w:ascii="仿宋_GB2312" w:eastAsia="仿宋_GB2312" w:cs="仿宋_GB2312" w:hint="eastAsia"/>
          <w:b/>
          <w:color w:val="auto"/>
          <w:kern w:val="0"/>
          <w:sz w:val="32"/>
          <w:szCs w:val="32"/>
          <w:lang w:val="en-US" w:eastAsia="zh-CN"/>
        </w:rPr>
        <w:t>（五）</w:t>
      </w:r>
      <w:r>
        <w:rPr>
          <w:rFonts w:ascii="仿宋_GB2312" w:eastAsia="仿宋_GB2312" w:cs="仿宋_GB2312" w:hint="eastAsia"/>
          <w:b/>
          <w:color w:val="auto"/>
          <w:kern w:val="0"/>
          <w:sz w:val="32"/>
          <w:szCs w:val="32"/>
          <w:lang w:eastAsia="zh-CN"/>
        </w:rPr>
        <w:t>加强房地产领域监管。</w:t>
      </w:r>
      <w:r>
        <w:rPr>
          <w:rFonts w:ascii="仿宋_GB2312" w:eastAsia="仿宋_GB2312" w:cs="仿宋_GB2312" w:hint="eastAsia"/>
          <w:color w:val="000000"/>
          <w:kern w:val="2"/>
          <w:sz w:val="32"/>
          <w:szCs w:val="32"/>
          <w:shd w:val="clear" w:color="auto" w:fill="FFFFFF"/>
          <w:lang w:eastAsia="zh-CN" w:bidi="ar-SA"/>
        </w:rPr>
        <w:t>继续以去库存、稳房价为主要目标，加快新型城镇化建设，规范房地产交易备案和中介管理，建立中介机构从业人员的信用档案制度。提升物业服务档次，完善管理办法，解决热点问题，切实加强物业小区的规范化管理。</w:t>
      </w:r>
      <w:r>
        <w:rPr>
          <w:rFonts w:ascii="仿宋_GB2312" w:eastAsia="仿宋_GB2312" w:cs="仿宋_GB2312" w:hint="eastAsia"/>
          <w:color w:val="000000"/>
          <w:kern w:val="2"/>
          <w:sz w:val="32"/>
          <w:szCs w:val="32"/>
          <w:shd w:val="clear" w:color="auto" w:fill="FFFFFF"/>
          <w:lang w:val="en-US" w:eastAsia="zh-CN" w:bidi="ar-SA"/>
        </w:rPr>
        <w:t>我县房地产开发项目6个，其中在建项目1个（梨香水岸房地产项目），已完成主体建设；截至目前，2022年办理预售许可证1件，监管预售资金6467.89万元,收取维修基金42.49万元。</w:t>
      </w:r>
      <w:r>
        <w:rPr>
          <w:rFonts w:ascii="仿宋_GB2312" w:eastAsia="仿宋_GB2312" w:cs="仿宋_GB2312" w:hint="eastAsia"/>
          <w:color w:val="000000"/>
          <w:kern w:val="2"/>
          <w:sz w:val="32"/>
          <w:szCs w:val="32"/>
          <w:shd w:val="clear" w:color="auto" w:fill="FFFFFF"/>
          <w:lang w:val="en-US" w:eastAsia="zh-CN" w:bidi="ar-SA"/>
          <w:highlight w:val="auto"/>
        </w:rPr>
        <w:t>完成商品房预售合同备案393件、房屋登记查询</w:t>
      </w:r>
      <w:r>
        <w:rPr>
          <w:rStyle w:val="35"/>
          <w:rFonts w:ascii="仿宋_GB2312" w:eastAsia="仿宋_GB2312" w:cs="仿宋_GB2312" w:hint="eastAsia"/>
          <w:b w:val="0"/>
          <w:bCs w:val="0"/>
          <w:i w:val="0"/>
          <w:caps w:val="0"/>
          <w:smallCaps w:val="0"/>
          <w:color w:val="000000"/>
          <w:spacing w:val="0"/>
          <w:w w:val="100"/>
          <w:kern w:val="2"/>
          <w:sz w:val="32"/>
          <w:szCs w:val="32"/>
          <w:lang w:val="en-US" w:eastAsia="zh-CN" w:bidi="ar-SA"/>
          <w:highlight w:val="auto"/>
        </w:rPr>
        <w:t>1652</w:t>
      </w:r>
      <w:r>
        <w:rPr>
          <w:rFonts w:ascii="仿宋_GB2312" w:eastAsia="仿宋_GB2312" w:cs="仿宋_GB2312" w:hint="eastAsia"/>
          <w:color w:val="000000"/>
          <w:kern w:val="2"/>
          <w:sz w:val="32"/>
          <w:szCs w:val="32"/>
          <w:shd w:val="clear" w:color="auto" w:fill="FFFFFF"/>
          <w:lang w:val="en-US" w:eastAsia="zh-CN" w:bidi="ar-SA"/>
          <w:highlight w:val="auto"/>
        </w:rPr>
        <w:t>余次，协助开展干部信息核查</w:t>
      </w:r>
      <w:r>
        <w:rPr>
          <w:rStyle w:val="35"/>
          <w:rFonts w:ascii="仿宋_GB2312" w:eastAsia="仿宋_GB2312" w:cs="仿宋_GB2312" w:hint="eastAsia"/>
          <w:b w:val="0"/>
          <w:bCs w:val="0"/>
          <w:i w:val="0"/>
          <w:caps w:val="0"/>
          <w:smallCaps w:val="0"/>
          <w:color w:val="000000"/>
          <w:spacing w:val="0"/>
          <w:w w:val="100"/>
          <w:kern w:val="2"/>
          <w:sz w:val="32"/>
          <w:szCs w:val="32"/>
          <w:lang w:val="en-US" w:eastAsia="zh-CN" w:bidi="ar-SA"/>
          <w:highlight w:val="auto"/>
        </w:rPr>
        <w:t>1346</w:t>
      </w:r>
      <w:r>
        <w:rPr>
          <w:rFonts w:ascii="仿宋_GB2312" w:eastAsia="仿宋_GB2312" w:cs="仿宋_GB2312" w:hint="eastAsia"/>
          <w:color w:val="000000"/>
          <w:kern w:val="2"/>
          <w:sz w:val="32"/>
          <w:szCs w:val="32"/>
          <w:shd w:val="clear" w:color="auto" w:fill="FFFFFF"/>
          <w:lang w:val="en-US" w:eastAsia="zh-CN" w:bidi="ar-SA"/>
          <w:highlight w:val="auto"/>
        </w:rPr>
        <w:t>人次；</w:t>
      </w:r>
      <w:r>
        <w:rPr>
          <w:rFonts w:ascii="仿宋_GB2312" w:eastAsia="仿宋_GB2312" w:cs="仿宋_GB2312" w:hint="eastAsia"/>
          <w:color w:val="000000"/>
          <w:kern w:val="2"/>
          <w:sz w:val="32"/>
          <w:szCs w:val="32"/>
          <w:shd w:val="clear" w:color="auto" w:fill="FFFFFF"/>
          <w:lang w:val="en-US" w:eastAsia="zh-CN" w:bidi="ar-SA"/>
        </w:rPr>
        <w:t>完成城南花园项目安置57户，后期将协助办理不动产登记证书。</w:t>
      </w:r>
    </w:p>
    <w:p>
      <w:pPr>
        <w:spacing w:line="560" w:lineRule="exact"/>
        <w:ind w:firstLineChars="200" w:firstLine="640"/>
        <w:rPr>
          <w:rFonts w:ascii="仿宋_GB2312" w:eastAsia="仿宋_GB2312" w:cs="仿宋_GB2312" w:hint="eastAsia"/>
          <w:b/>
          <w:color w:val="auto"/>
          <w:kern w:val="0"/>
          <w:sz w:val="32"/>
          <w:szCs w:val="32"/>
          <w:lang w:val="en-US" w:eastAsia="zh-CN"/>
        </w:rPr>
      </w:pPr>
      <w:r>
        <w:rPr>
          <w:rFonts w:ascii="仿宋_GB2312" w:eastAsia="仿宋_GB2312" w:cs="仿宋_GB2312" w:hint="eastAsia"/>
          <w:b/>
          <w:color w:val="auto"/>
          <w:kern w:val="0"/>
          <w:sz w:val="32"/>
          <w:szCs w:val="32"/>
          <w:lang w:val="en-US" w:eastAsia="zh-CN"/>
        </w:rPr>
        <w:t>（六）全力开展安全生产监督检查。</w:t>
      </w:r>
      <w:r>
        <w:rPr>
          <w:rFonts w:ascii="仿宋_GB2312" w:eastAsia="仿宋_GB2312" w:cs="仿宋_GB2312" w:hint="eastAsia"/>
          <w:bCs/>
          <w:sz w:val="32"/>
          <w:szCs w:val="32"/>
        </w:rPr>
        <w:t>紧盯“住房、燃气</w:t>
      </w:r>
      <w:r>
        <w:rPr>
          <w:rFonts w:ascii="仿宋_GB2312" w:eastAsia="仿宋_GB2312" w:cs="仿宋_GB2312" w:hint="eastAsia"/>
          <w:bCs/>
          <w:sz w:val="32"/>
          <w:szCs w:val="32"/>
          <w:lang w:eastAsia="zh-CN"/>
        </w:rPr>
        <w:t>、在建工地</w:t>
      </w:r>
      <w:r>
        <w:rPr>
          <w:rFonts w:ascii="仿宋_GB2312" w:eastAsia="仿宋_GB2312" w:cs="仿宋_GB2312" w:hint="eastAsia"/>
          <w:bCs/>
          <w:sz w:val="32"/>
          <w:szCs w:val="32"/>
        </w:rPr>
        <w:t>”领域，</w:t>
      </w:r>
      <w:r>
        <w:rPr>
          <w:rFonts w:ascii="仿宋_GB2312" w:eastAsia="仿宋_GB2312" w:cs="仿宋_GB2312" w:hint="eastAsia"/>
          <w:bCs/>
          <w:sz w:val="32"/>
          <w:szCs w:val="32"/>
          <w:lang w:eastAsia="zh-CN"/>
        </w:rPr>
        <w:t>全力开展自建房排查、燃气安全、在建工地安全排查工作，目前，</w:t>
      </w:r>
      <w:r>
        <w:rPr>
          <w:rFonts w:ascii="仿宋_GB2312" w:eastAsia="仿宋_GB2312" w:cs="仿宋_GB2312" w:hint="eastAsia"/>
          <w:kern w:val="0"/>
          <w:sz w:val="32"/>
          <w:szCs w:val="32"/>
          <w:lang w:val="en-US" w:eastAsia="zh-CN"/>
          <w:highlight w:val="auto"/>
        </w:rPr>
        <w:t>已排查自建房20189栋，其中，经营性自建房1107栋，存在安全隐患经营性自建6栋，均已采取管控措施</w:t>
      </w:r>
      <w:r>
        <w:rPr>
          <w:rFonts w:ascii="仿宋_GB2312" w:eastAsia="仿宋_GB2312" w:cs="仿宋_GB2312" w:hint="eastAsia"/>
          <w:kern w:val="0"/>
          <w:sz w:val="32"/>
          <w:szCs w:val="32"/>
          <w:lang w:eastAsia="zh-CN"/>
          <w:highlight w:val="auto"/>
        </w:rPr>
        <w:t>；</w:t>
      </w:r>
      <w:r>
        <w:rPr>
          <w:rFonts w:ascii="仿宋_GB2312" w:eastAsia="仿宋_GB2312" w:cs="仿宋_GB2312" w:hint="eastAsia"/>
          <w:bCs/>
          <w:sz w:val="32"/>
          <w:szCs w:val="32"/>
          <w:lang w:eastAsia="zh-CN"/>
        </w:rPr>
        <w:t>开展</w:t>
      </w:r>
      <w:r>
        <w:rPr>
          <w:rFonts w:ascii="仿宋_GB2312" w:eastAsia="仿宋_GB2312" w:cs="仿宋_GB2312" w:hint="eastAsia"/>
          <w:bCs/>
          <w:sz w:val="32"/>
          <w:szCs w:val="32"/>
        </w:rPr>
        <w:t>燃气领域应急演练1次，</w:t>
      </w:r>
      <w:r>
        <w:rPr>
          <w:rFonts w:ascii="仿宋_GB2312" w:eastAsia="仿宋_GB2312" w:cs="仿宋_GB2312" w:hint="eastAsia"/>
          <w:sz w:val="32"/>
          <w:szCs w:val="32"/>
        </w:rPr>
        <w:t>排查燃气用户9550户，发放燃气安全使用明白卡9550户，</w:t>
      </w:r>
      <w:r>
        <w:rPr>
          <w:rFonts w:ascii="仿宋_GB2312" w:eastAsia="仿宋_GB2312" w:cs="仿宋_GB2312" w:hint="eastAsia"/>
          <w:sz w:val="32"/>
          <w:szCs w:val="32"/>
          <w:lang w:eastAsia="zh-CN"/>
        </w:rPr>
        <w:t>其中</w:t>
      </w:r>
      <w:r>
        <w:rPr>
          <w:rFonts w:ascii="仿宋_GB2312" w:eastAsia="仿宋_GB2312" w:cs="仿宋_GB2312" w:hint="eastAsia"/>
          <w:sz w:val="32"/>
          <w:szCs w:val="32"/>
        </w:rPr>
        <w:t>发现</w:t>
      </w:r>
      <w:r>
        <w:rPr>
          <w:rFonts w:ascii="仿宋_GB2312" w:eastAsia="仿宋_GB2312" w:cs="仿宋_GB2312" w:hint="eastAsia"/>
          <w:sz w:val="32"/>
          <w:szCs w:val="32"/>
          <w:lang w:eastAsia="zh-CN"/>
        </w:rPr>
        <w:t>未安装燃气报警器的餐饮企业</w:t>
      </w:r>
      <w:r>
        <w:rPr>
          <w:rFonts w:ascii="仿宋_GB2312" w:eastAsia="仿宋_GB2312" w:cs="仿宋_GB2312" w:hint="eastAsia"/>
          <w:sz w:val="32"/>
          <w:szCs w:val="32"/>
          <w:lang w:val="en-US" w:eastAsia="zh-CN"/>
        </w:rPr>
        <w:t>165家</w:t>
      </w:r>
      <w:r>
        <w:rPr>
          <w:rFonts w:ascii="仿宋_GB2312" w:eastAsia="仿宋_GB2312" w:cs="仿宋_GB2312" w:hint="eastAsia"/>
          <w:sz w:val="32"/>
          <w:szCs w:val="32"/>
        </w:rPr>
        <w:t>，均已整改完成。</w:t>
      </w:r>
      <w:r>
        <w:rPr>
          <w:rFonts w:ascii="仿宋_GB2312" w:eastAsia="仿宋_GB2312" w:cs="仿宋_GB2312" w:hint="eastAsia"/>
          <w:bCs/>
          <w:sz w:val="32"/>
          <w:szCs w:val="32"/>
        </w:rPr>
        <w:t>开展住建</w:t>
      </w:r>
      <w:r>
        <w:rPr>
          <w:rFonts w:ascii="仿宋_GB2312" w:eastAsia="仿宋_GB2312" w:cs="仿宋_GB2312" w:hint="eastAsia"/>
          <w:bCs/>
          <w:sz w:val="32"/>
          <w:szCs w:val="32"/>
          <w:lang w:eastAsia="zh-CN"/>
        </w:rPr>
        <w:t>工地</w:t>
      </w:r>
      <w:r>
        <w:rPr>
          <w:rFonts w:ascii="仿宋_GB2312" w:eastAsia="仿宋_GB2312" w:cs="仿宋_GB2312" w:hint="eastAsia"/>
          <w:bCs/>
          <w:sz w:val="32"/>
          <w:szCs w:val="32"/>
        </w:rPr>
        <w:t>安全生产检查</w:t>
      </w:r>
      <w:r>
        <w:rPr>
          <w:rFonts w:ascii="仿宋_GB2312" w:eastAsia="仿宋_GB2312" w:cs="仿宋_GB2312" w:hint="eastAsia"/>
          <w:bCs/>
          <w:sz w:val="32"/>
          <w:szCs w:val="32"/>
          <w:lang w:val="en-US" w:eastAsia="zh-CN"/>
        </w:rPr>
        <w:t>60余</w:t>
      </w:r>
      <w:r>
        <w:rPr>
          <w:rFonts w:ascii="仿宋_GB2312" w:eastAsia="仿宋_GB2312" w:cs="仿宋_GB2312" w:hint="eastAsia"/>
          <w:bCs/>
          <w:sz w:val="32"/>
          <w:szCs w:val="32"/>
        </w:rPr>
        <w:t>次</w:t>
      </w:r>
      <w:r>
        <w:rPr>
          <w:rFonts w:ascii="仿宋_GB2312" w:eastAsia="仿宋_GB2312" w:cs="仿宋_GB2312" w:hint="eastAsia"/>
          <w:bCs/>
          <w:sz w:val="32"/>
          <w:szCs w:val="32"/>
          <w:lang w:eastAsia="zh-CN"/>
        </w:rPr>
        <w:t>，</w:t>
      </w:r>
      <w:r>
        <w:rPr>
          <w:rFonts w:ascii="仿宋_GB2312" w:eastAsia="仿宋_GB2312" w:cs="仿宋_GB2312" w:hint="eastAsia"/>
          <w:sz w:val="32"/>
          <w:szCs w:val="32"/>
        </w:rPr>
        <w:t>下发整改通知书1</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份，交办问题</w:t>
      </w:r>
      <w:r>
        <w:rPr>
          <w:rFonts w:ascii="仿宋_GB2312" w:eastAsia="仿宋_GB2312" w:cs="仿宋_GB2312" w:hint="eastAsia"/>
          <w:sz w:val="32"/>
          <w:szCs w:val="32"/>
          <w:lang w:val="en-US" w:eastAsia="zh-CN"/>
        </w:rPr>
        <w:t>30</w:t>
      </w:r>
      <w:r>
        <w:rPr>
          <w:rFonts w:ascii="仿宋_GB2312" w:eastAsia="仿宋_GB2312" w:cs="仿宋_GB2312" w:hint="eastAsia"/>
          <w:sz w:val="32"/>
          <w:szCs w:val="32"/>
        </w:rPr>
        <w:t>个，整改</w:t>
      </w:r>
      <w:r>
        <w:rPr>
          <w:rFonts w:ascii="仿宋_GB2312" w:eastAsia="仿宋_GB2312" w:cs="仿宋_GB2312" w:hint="eastAsia"/>
          <w:sz w:val="32"/>
          <w:szCs w:val="32"/>
          <w:lang w:val="en-US" w:eastAsia="zh-CN"/>
        </w:rPr>
        <w:t>30</w:t>
      </w:r>
      <w:r>
        <w:rPr>
          <w:rFonts w:ascii="仿宋_GB2312" w:eastAsia="仿宋_GB2312" w:cs="仿宋_GB2312" w:hint="eastAsia"/>
          <w:sz w:val="32"/>
          <w:szCs w:val="32"/>
        </w:rPr>
        <w:t>个。</w:t>
      </w:r>
      <w:r>
        <w:rPr>
          <w:rFonts w:ascii="仿宋_GB2312" w:eastAsia="仿宋_GB2312" w:cs="仿宋_GB2312" w:hint="eastAsia"/>
          <w:bCs/>
          <w:sz w:val="32"/>
          <w:szCs w:val="32"/>
        </w:rPr>
        <w:t>有力保障了人民群众生命财产安全和社会大局稳定。</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keepNext w:val="0"/>
        <w:keepLines w:val="0"/>
        <w:widowControl w:val="0"/>
        <w:suppressLineNumbers w:val="0"/>
        <w:spacing w:before="0" w:beforeAutospacing="0" w:after="0" w:afterAutospacing="0"/>
        <w:ind w:left="0" w:right="0" w:firstLineChars="200" w:firstLine="640"/>
        <w:jc w:val="both"/>
      </w:pPr>
      <w:bookmarkStart w:id="22" w:name="_Toc15377204"/>
      <w:bookmarkStart w:id="23" w:name="_Toc15396602"/>
      <w:r>
        <w:rPr>
          <w:rFonts w:ascii="仿宋_GB2312" w:eastAsia="仿宋_GB2312" w:cs="仿宋_GB2312" w:hint="eastAsia"/>
          <w:color w:val="000000"/>
          <w:kern w:val="0"/>
          <w:sz w:val="32"/>
          <w:szCs w:val="32"/>
          <w:shd w:val="clear" w:color="auto" w:fill="FFFFFF"/>
          <w:lang w:val="en-US" w:eastAsia="zh-CN"/>
        </w:rPr>
        <w:t>金川县住房和城乡建设局</w:t>
      </w:r>
      <w:r>
        <w:rPr>
          <w:rFonts w:ascii="仿宋" w:eastAsia="仿宋" w:cs="仿宋" w:hint="eastAsia"/>
          <w:color w:val="333333"/>
          <w:kern w:val="0"/>
          <w:sz w:val="32"/>
          <w:szCs w:val="32"/>
          <w:shd w:val="clear" w:color="auto" w:fill="FFFFFF"/>
          <w:lang w:val="en-US" w:eastAsia="zh-CN"/>
        </w:rPr>
        <w:t>是行政单位,独立机构数1个,独立核算机构1个。</w:t>
      </w:r>
      <w:r>
        <w:rPr>
          <w:rFonts w:ascii="仿宋_GB2312" w:eastAsia="仿宋_GB2312" w:cs="仿宋_GB2312" w:hint="eastAsia"/>
          <w:color w:val="000000"/>
          <w:kern w:val="0"/>
          <w:sz w:val="32"/>
          <w:szCs w:val="32"/>
          <w:shd w:val="clear" w:color="auto" w:fill="FFFFFF"/>
          <w:lang w:val="en-US" w:eastAsia="zh-CN"/>
        </w:rPr>
        <w:t>内设行政办公室、建设管理股、住房保障与房地产市场管理股、城乡建设股，金川县建设工程质量安全监督站。</w:t>
      </w:r>
    </w:p>
    <w:p>
      <w:pPr>
        <w:pStyle w:val="1"/>
        <w:numPr>
          <w:ilvl w:val="0"/>
          <w:numId w:val="1"/>
        </w:numPr>
        <w:ind w:right="440"/>
        <w:jc w:val="right"/>
      </w:pPr>
      <w:r>
        <w:rPr>
          <w:rStyle w:val="1Char"/>
          <w:rFonts w:ascii="黑体" w:eastAsia="黑体" w:hint="eastAsia"/>
          <w:b w:val="0"/>
          <w:bCs w:val="0"/>
        </w:rPr>
        <w:t>20</w:t>
      </w:r>
      <w:r>
        <w:rPr>
          <w:rStyle w:val="1Char"/>
          <w:rFonts w:ascii="黑体" w:eastAsia="黑体" w:hint="eastAsia"/>
          <w:b w:val="0"/>
          <w:bCs w:val="0"/>
          <w:lang w:val="en-US"/>
        </w:rPr>
        <w:t>22</w:t>
      </w:r>
      <w:r>
        <w:rPr>
          <w:rStyle w:val="1Char"/>
          <w:rFonts w:ascii="黑体" w:eastAsia="黑体" w:hint="eastAsia"/>
          <w:b w:val="0"/>
          <w:bCs w:val="0"/>
        </w:rPr>
        <w:t>年度部门决算情况说明</w:t>
      </w:r>
      <w:bookmarkEnd w:id="22"/>
      <w:bookmarkEnd w:id="23"/>
    </w:p>
    <w:p>
      <w:pPr>
        <w:pStyle w:val="32"/>
        <w:numPr>
          <w:ilvl w:val="0"/>
          <w:numId w:val="2"/>
        </w:numPr>
        <w:spacing w:line="240" w:lineRule="auto"/>
        <w:ind w:left="0" w:firstLineChars="0" w:firstLine="0"/>
        <w:outlineLvl w:val="1"/>
        <w:rPr>
          <w:rStyle w:val="2Char"/>
          <w:rFonts w:ascii="黑体" w:eastAsia="黑体"/>
          <w:b w:val="0"/>
        </w:rPr>
      </w:pPr>
      <w:bookmarkStart w:id="24" w:name="_Toc15377205"/>
      <w:bookmarkStart w:id="25"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r>
        <w:rPr>
          <w:rStyle w:val="2Char"/>
          <w:rFonts w:ascii="黑体" w:eastAsia="黑体" w:hint="eastAsia"/>
          <w:b w:val="0"/>
          <w:lang w:val="en-US"/>
        </w:rPr>
        <w:t xml:space="preserve"> </w:t>
      </w:r>
    </w:p>
    <w:p>
      <w:pPr>
        <w:snapToGrid w:val="0"/>
        <w:spacing w:line="520" w:lineRule="exact"/>
        <w:ind w:firstLineChars="200" w:firstLine="632"/>
        <w:rPr>
          <w:rFonts w:ascii="仿宋_GB2312" w:eastAsia="仿宋_GB2312"/>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2022年度总收入15692.01万元，较上年收入增加7270.77万元，增加86.34%。增加的主要原因是2022年项目资金增加。</w:t>
      </w:r>
    </w:p>
    <w:p>
      <w:pPr>
        <w:snapToGrid w:val="0"/>
        <w:spacing w:line="520" w:lineRule="exact"/>
        <w:ind w:firstLineChars="200" w:firstLine="632"/>
        <w:rPr>
          <w:rFonts w:ascii="仿宋_GB2312" w:eastAsia="仿宋_GB2312" w:hint="eastAsia"/>
          <w:color w:val="auto"/>
          <w:spacing w:val="-2"/>
          <w:kern w:val="2"/>
          <w:sz w:val="32"/>
          <w:szCs w:val="32"/>
          <w:lang w:val="en-US" w:eastAsia="zh-CN" w:bidi="ar-SA"/>
        </w:rPr>
      </w:pPr>
      <w:r>
        <w:rPr>
          <w:rFonts w:ascii="仿宋_GB2312" w:eastAsia="仿宋_GB2312" w:hint="eastAsia"/>
          <w:color w:val="auto"/>
          <w:spacing w:val="-2"/>
          <w:kern w:val="2"/>
          <w:sz w:val="32"/>
          <w:szCs w:val="32"/>
          <w:lang w:val="en-US" w:eastAsia="zh-CN" w:bidi="ar-SA"/>
        </w:rPr>
        <w:t>2022年总支出15692.01万元，较上年支出增加7270.77万元，增加86.34%。主要原因是当年部门预算安排项目支出较上年有所增加。</w:t>
      </w:r>
    </w:p>
    <w:p>
      <w:pPr>
        <w:rPr>
          <w:rStyle w:val="2Char"/>
          <w:rFonts w:ascii="黑体" w:eastAsia="黑体"/>
          <w:b w:val="0"/>
        </w:rPr>
      </w:pPr>
      <w:r>
        <w:drawing>
          <wp:anchor distT="0" distB="0" distL="114300" distR="114300" simplePos="0" relativeHeight="22" behindDoc="0" locked="0" layoutInCell="1" hidden="0" allowOverlap="1">
            <wp:simplePos x="0" y="0"/>
            <wp:positionH relativeFrom="column">
              <wp:posOffset>89535</wp:posOffset>
            </wp:positionH>
            <wp:positionV relativeFrom="paragraph">
              <wp:posOffset>284480</wp:posOffset>
            </wp:positionV>
            <wp:extent cx="5055234" cy="3440430"/>
            <wp:effectExtent l="0" t="0" r="0" b="0"/>
            <wp:wrapThrough wrapText="bothSides">
              <wp:wrapPolygon>
                <wp:start x="-16" y="-32"/>
                <wp:lineTo x="-16" y="21555"/>
                <wp:lineTo x="21594" y="21555"/>
                <wp:lineTo x="21594" y="-32"/>
                <wp:lineTo x="-16" y="-32"/>
              </wp:wrapPolygon>
            </wp:wrapThrough>
            <wp:docPr id="1" name="图表 2"/>
            <wp:cNvGraphicFramePr>
              <a:graphicFrameLocks noChangeAspect="0"/>
            </wp:cNvGraphicFramePr>
            <a:graphic>
              <a:graphicData uri="http://schemas.openxmlformats.org/drawingml/2006/chart">
                <c:chart xmlns:c="http://schemas.openxmlformats.org/drawingml/2006/chart" r:id="rId4"/>
              </a:graphicData>
            </a:graphic>
          </wp:anchor>
        </w:drawing>
      </w:r>
      <w:bookmarkStart w:id="26" w:name="_Toc15377206"/>
      <w:bookmarkStart w:id="27" w:name="_Toc15396604"/>
      <w:r>
        <w:rPr>
          <w:rFonts w:hint="eastAsia"/>
          <w:lang w:val="en-US" w:eastAsia="zh-CN"/>
        </w:rPr>
        <w:t xml:space="preserve">      </w:t>
      </w:r>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_GB2312" w:eastAsia="仿宋_GB2312" w:hint="eastAsia"/>
          <w:color w:val="000000"/>
          <w:spacing w:val="-2"/>
          <w:kern w:val="2"/>
          <w:sz w:val="32"/>
          <w:szCs w:val="32"/>
          <w:lang w:val="en-US" w:eastAsia="zh-CN" w:bidi="ar-SA"/>
        </w:rPr>
        <w:t>15692.01</w:t>
      </w:r>
      <w:r>
        <w:rPr>
          <w:rFonts w:ascii="仿宋" w:eastAsia="仿宋" w:hint="eastAsia"/>
          <w:color w:val="000000"/>
          <w:sz w:val="32"/>
          <w:szCs w:val="32"/>
        </w:rPr>
        <w:t>万元，其中：一般公共预算财政拨款收入</w:t>
      </w:r>
      <w:r>
        <w:rPr>
          <w:rFonts w:ascii="仿宋_GB2312" w:eastAsia="仿宋_GB2312" w:hint="eastAsia"/>
          <w:color w:val="000000"/>
          <w:spacing w:val="-2"/>
          <w:kern w:val="2"/>
          <w:sz w:val="32"/>
          <w:szCs w:val="32"/>
          <w:lang w:val="en-US" w:eastAsia="zh-CN" w:bidi="ar-SA"/>
        </w:rPr>
        <w:t>15692.01</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val="en-US" w:eastAsia="zh-CN"/>
        </w:rPr>
        <w:t>。</w:t>
      </w:r>
    </w:p>
    <w:p>
      <w:pPr>
        <w:spacing w:line="600" w:lineRule="exact"/>
        <w:ind w:firstLineChars="200" w:firstLine="420"/>
        <w:outlineLvl w:val="1"/>
        <w:rPr>
          <w:rStyle w:val="2Char"/>
          <w:rFonts w:ascii="黑体" w:eastAsia="黑体"/>
          <w:b w:val="0"/>
        </w:rPr>
      </w:pPr>
      <w:bookmarkStart w:id="28" w:name="_Toc15396605"/>
      <w:bookmarkStart w:id="29" w:name="_Toc15377207"/>
      <w:r>
        <w:drawing>
          <wp:anchor distT="0" distB="0" distL="114300" distR="114300" simplePos="0" relativeHeight="24" behindDoc="0" locked="0" layoutInCell="1" hidden="0" allowOverlap="1">
            <wp:simplePos x="0" y="0"/>
            <wp:positionH relativeFrom="column">
              <wp:posOffset>172720</wp:posOffset>
            </wp:positionH>
            <wp:positionV relativeFrom="paragraph">
              <wp:posOffset>240665</wp:posOffset>
            </wp:positionV>
            <wp:extent cx="4976495" cy="3726180"/>
            <wp:effectExtent l="0" t="0" r="0" b="0"/>
            <wp:wrapThrough wrapText="bothSides">
              <wp:wrapPolygon>
                <wp:start x="-5" y="-18"/>
                <wp:lineTo x="-5" y="21569"/>
                <wp:lineTo x="21574" y="21569"/>
                <wp:lineTo x="21574" y="-18"/>
                <wp:lineTo x="-5" y="-18"/>
              </wp:wrapPolygon>
            </wp:wrapThrough>
            <wp:docPr id="2" name="图表 4"/>
            <wp:cNvGraphicFramePr>
              <a:graphicFrameLocks noChangeAspect="0"/>
            </wp:cNvGraphicFramePr>
            <a:graphic>
              <a:graphicData uri="http://schemas.openxmlformats.org/drawingml/2006/chart">
                <c:chart xmlns:c="http://schemas.openxmlformats.org/drawingml/2006/chart" r:id="rId5"/>
              </a:graphicData>
            </a:graphic>
          </wp:anchor>
        </w:drawing>
      </w:r>
      <w:r>
        <w:rPr>
          <w:rFonts w:hint="eastAsia"/>
          <w:lang w:val="en-US" w:eastAsia="zh-CN"/>
        </w:rPr>
        <w:t xml:space="preserve">   </w:t>
      </w:r>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15692.01</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426.72</w:t>
      </w:r>
      <w:r>
        <w:rPr>
          <w:rFonts w:ascii="仿宋" w:eastAsia="仿宋" w:hint="eastAsia"/>
          <w:color w:val="000000"/>
          <w:sz w:val="32"/>
          <w:szCs w:val="32"/>
        </w:rPr>
        <w:t>万元，占</w:t>
      </w:r>
      <w:r>
        <w:rPr>
          <w:rFonts w:ascii="仿宋" w:eastAsia="仿宋" w:hint="eastAsia"/>
          <w:color w:val="000000"/>
          <w:sz w:val="32"/>
          <w:szCs w:val="32"/>
          <w:lang w:val="en-US" w:eastAsia="zh-CN"/>
        </w:rPr>
        <w:t>2.72</w:t>
      </w:r>
      <w:r>
        <w:rPr>
          <w:rFonts w:ascii="仿宋" w:eastAsia="仿宋" w:hint="eastAsia"/>
          <w:color w:val="000000"/>
          <w:sz w:val="32"/>
          <w:szCs w:val="32"/>
        </w:rPr>
        <w:t>%；项目支出</w:t>
      </w:r>
      <w:r>
        <w:rPr>
          <w:rFonts w:ascii="仿宋" w:eastAsia="仿宋" w:hint="eastAsia"/>
          <w:color w:val="000000"/>
          <w:sz w:val="32"/>
          <w:szCs w:val="32"/>
          <w:lang w:val="en-US" w:eastAsia="zh-CN"/>
        </w:rPr>
        <w:t>15265.30</w:t>
      </w:r>
      <w:r>
        <w:rPr>
          <w:rFonts w:ascii="仿宋" w:eastAsia="仿宋" w:hint="eastAsia"/>
          <w:color w:val="000000"/>
          <w:sz w:val="32"/>
          <w:szCs w:val="32"/>
        </w:rPr>
        <w:t>万元，占</w:t>
      </w:r>
      <w:r>
        <w:rPr>
          <w:rFonts w:ascii="仿宋" w:eastAsia="仿宋" w:hint="eastAsia"/>
          <w:color w:val="000000"/>
          <w:sz w:val="32"/>
          <w:szCs w:val="32"/>
          <w:lang w:val="en-US" w:eastAsia="zh-CN"/>
        </w:rPr>
        <w:t>97.28</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rPr>
          <w:rFonts w:ascii="仿宋_GB2312" w:eastAsia="仿宋_GB2312" w:hint="eastAsia"/>
          <w:color w:val="FF0000"/>
          <w:sz w:val="32"/>
          <w:szCs w:val="32"/>
          <w:lang w:eastAsia="zh-CN"/>
        </w:rPr>
      </w:pPr>
    </w:p>
    <w:p>
      <w:pPr>
        <w:spacing w:line="600" w:lineRule="exact"/>
        <w:ind w:firstLineChars="200" w:firstLine="640"/>
        <w:outlineLvl w:val="1"/>
        <w:rPr>
          <w:rFonts w:ascii="黑体" w:eastAsia="黑体" w:hint="eastAsia"/>
          <w:color w:val="000000"/>
          <w:sz w:val="32"/>
          <w:szCs w:val="32"/>
        </w:rPr>
      </w:pPr>
      <w:bookmarkStart w:id="30" w:name="_Toc15377208"/>
      <w:bookmarkStart w:id="31" w:name="_Toc15396606"/>
    </w:p>
    <w:p>
      <w:pPr>
        <w:spacing w:line="600" w:lineRule="exact"/>
        <w:outlineLvl w:val="1"/>
        <w:rPr>
          <w:rFonts w:ascii="仿宋_GB2312" w:eastAsia="仿宋_GB2312" w:hint="eastAsia"/>
          <w:color w:val="FF0000"/>
          <w:sz w:val="32"/>
          <w:szCs w:val="32"/>
          <w:lang w:val="en-US" w:eastAsia="zh-CN"/>
        </w:rPr>
      </w:pPr>
      <w:r>
        <w:rPr>
          <w:rFonts w:ascii="仿宋_GB2312" w:eastAsia="仿宋_GB2312" w:hint="eastAsia"/>
          <w:color w:val="FF0000"/>
          <w:sz w:val="32"/>
          <w:szCs w:val="32"/>
          <w:lang w:val="en-US" w:eastAsia="zh-CN"/>
        </w:rPr>
        <w:t xml:space="preserve">   </w:t>
      </w:r>
    </w:p>
    <w:p>
      <w:pPr>
        <w:spacing w:line="600" w:lineRule="exact"/>
        <w:outlineLvl w:val="1"/>
        <w:rPr>
          <w:rFonts w:ascii="仿宋_GB2312" w:eastAsia="仿宋_GB2312" w:hint="eastAsia"/>
          <w:color w:val="FF0000"/>
          <w:sz w:val="32"/>
          <w:szCs w:val="32"/>
          <w:lang w:val="en-US" w:eastAsia="zh-CN"/>
        </w:rPr>
      </w:pPr>
    </w:p>
    <w:p>
      <w:pPr>
        <w:spacing w:line="600" w:lineRule="exact"/>
        <w:outlineLvl w:val="1"/>
        <w:rPr>
          <w:rStyle w:val="2Char"/>
          <w:rFonts w:ascii="黑体" w:eastAsia="黑体"/>
          <w:b w:val="0"/>
        </w:rPr>
      </w:pPr>
      <w:r>
        <w:rPr>
          <w:rFonts w:ascii="仿宋_GB2312" w:eastAsia="仿宋_GB2312" w:hint="eastAsia"/>
          <w:color w:val="FF0000"/>
          <w:sz w:val="32"/>
          <w:szCs w:val="32"/>
          <w:lang w:eastAsia="zh-CN"/>
        </w:rPr>
        <w:drawing>
          <wp:anchor distT="0" distB="0" distL="114300" distR="114300" simplePos="0" relativeHeight="30" behindDoc="0" locked="0" layoutInCell="1" hidden="0" allowOverlap="1">
            <wp:simplePos x="0" y="0"/>
            <wp:positionH relativeFrom="column">
              <wp:posOffset>88264</wp:posOffset>
            </wp:positionH>
            <wp:positionV relativeFrom="paragraph">
              <wp:posOffset>225425</wp:posOffset>
            </wp:positionV>
            <wp:extent cx="5079999" cy="3810000"/>
            <wp:effectExtent l="0" t="0" r="0" b="0"/>
            <wp:wrapTight wrapText="bothSides">
              <wp:wrapPolygon>
                <wp:start x="-10" y="-29"/>
                <wp:lineTo x="-10" y="21570"/>
                <wp:lineTo x="21575" y="21570"/>
                <wp:lineTo x="21575" y="-29"/>
                <wp:lineTo x="-10" y="-29"/>
              </wp:wrapPolygon>
            </wp:wrapTight>
            <wp:docPr id="3" name="图表 4"/>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_GB2312" w:eastAsia="仿宋_GB2312" w:hint="eastAsia"/>
          <w:color w:val="FF0000"/>
          <w:sz w:val="32"/>
          <w:szCs w:val="32"/>
          <w:lang w:val="en-US" w:eastAsia="zh-CN"/>
        </w:rPr>
        <w:t xml:space="preserve">    </w:t>
      </w: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pacing w:line="600" w:lineRule="exact"/>
        <w:ind w:firstLine="640"/>
        <w:rPr>
          <w:rFonts w:ascii="仿宋" w:eastAsia="仿宋" w:cs="Times New Roman" w:hint="eastAsia"/>
          <w:color w:val="000000"/>
          <w:sz w:val="32"/>
          <w:szCs w:val="32"/>
          <w:lang w:val="en-US" w:eastAsia="zh-CN"/>
        </w:rPr>
      </w:pPr>
      <w:r>
        <w:rPr>
          <w:rFonts w:ascii="仿宋" w:eastAsia="仿宋" w:cs="Times New Roman" w:hint="eastAsia"/>
          <w:color w:val="000000"/>
          <w:sz w:val="32"/>
          <w:szCs w:val="32"/>
          <w:lang w:val="en-US" w:eastAsia="zh-CN"/>
        </w:rPr>
        <w:t>2022年财政拨款收入15692.01万元。与2021年相比，一般公共预算财政拨款收入较上年增加7270.77万元，增加86.34%。增加的主要原因是2022年项目资金增加。2022年财政拨款支出15692.01万元，较上年支出增加7270.77万元，增加86.34%。</w:t>
      </w:r>
    </w:p>
    <w:p>
      <w:pPr>
        <w:spacing w:line="600" w:lineRule="exact"/>
        <w:ind w:firstLineChars="200" w:firstLine="640"/>
        <w:rPr>
          <w:rFonts w:ascii="黑体" w:eastAsia="黑体" w:hint="eastAsia"/>
          <w:color w:val="000000"/>
          <w:sz w:val="32"/>
          <w:szCs w:val="32"/>
          <w:lang w:eastAsia="zh-CN"/>
        </w:rPr>
      </w:pPr>
      <w:bookmarkStart w:id="32" w:name="_Toc15396607"/>
      <w:bookmarkStart w:id="33" w:name="_Toc15377209"/>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lang w:eastAsia="zh-CN"/>
        </w:rPr>
        <w:drawing>
          <wp:anchor distT="0" distB="0" distL="114300" distR="114300" simplePos="0" relativeHeight="18" behindDoc="0" locked="0" layoutInCell="1" hidden="0" allowOverlap="1">
            <wp:simplePos x="0" y="0"/>
            <wp:positionH relativeFrom="column">
              <wp:posOffset>20320</wp:posOffset>
            </wp:positionH>
            <wp:positionV relativeFrom="paragraph">
              <wp:posOffset>71120</wp:posOffset>
            </wp:positionV>
            <wp:extent cx="5079999" cy="3703320"/>
            <wp:effectExtent l="0" t="0" r="0" b="0"/>
            <wp:wrapTight wrapText="bothSides">
              <wp:wrapPolygon>
                <wp:start x="-5" y="-41"/>
                <wp:lineTo x="-5" y="21569"/>
                <wp:lineTo x="21580" y="21569"/>
                <wp:lineTo x="21580" y="-41"/>
                <wp:lineTo x="-5" y="-41"/>
              </wp:wrapPolygon>
            </wp:wrapTight>
            <wp:docPr id="4" name="图表 6"/>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napToGrid w:val="0"/>
        <w:spacing w:line="520" w:lineRule="exact"/>
        <w:ind w:firstLineChars="200" w:firstLine="640"/>
        <w:rPr>
          <w:rFonts w:ascii="仿宋_GB2312" w:eastAsia="仿宋_GB2312" w:hint="eastAsia"/>
          <w:color w:val="FF0000"/>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一般公共预算财政拨款支出15692.01万元，，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支出增加7270.77万元，增加86.34%。</w:t>
      </w:r>
      <w:r>
        <w:rPr>
          <w:rFonts w:ascii="仿宋_GB2312" w:eastAsia="仿宋_GB2312" w:hint="eastAsia"/>
          <w:color w:val="auto"/>
          <w:spacing w:val="-2"/>
          <w:kern w:val="2"/>
          <w:sz w:val="32"/>
          <w:szCs w:val="32"/>
          <w:lang w:val="en-US" w:eastAsia="zh-CN" w:bidi="ar-SA"/>
        </w:rPr>
        <w:t>主要原因是当年部门预算安排项目支出较上年有所增加。</w:t>
      </w:r>
    </w:p>
    <w:p>
      <w:pPr>
        <w:snapToGrid w:val="0"/>
        <w:spacing w:line="520" w:lineRule="exact"/>
        <w:ind w:firstLineChars="200" w:firstLine="640"/>
        <w:rPr>
          <w:rFonts w:ascii="仿宋" w:eastAsia="仿宋"/>
          <w:b/>
          <w:color w:val="000000"/>
          <w:sz w:val="32"/>
          <w:szCs w:val="32"/>
        </w:rPr>
      </w:pPr>
      <w:bookmarkStart w:id="35" w:name="_Toc15377211"/>
      <w:r>
        <w:rPr>
          <w:rFonts w:ascii="仿宋" w:eastAsia="仿宋" w:hint="eastAsia"/>
          <w:b/>
          <w:color w:val="000000"/>
          <w:sz w:val="32"/>
          <w:szCs w:val="32"/>
          <w:lang w:eastAsia="zh-CN"/>
        </w:rPr>
        <w:drawing>
          <wp:anchor distT="0" distB="0" distL="114300" distR="114300" simplePos="0" relativeHeight="20" behindDoc="0" locked="0" layoutInCell="1" hidden="0" allowOverlap="1">
            <wp:simplePos x="0" y="0"/>
            <wp:positionH relativeFrom="column">
              <wp:posOffset>191770</wp:posOffset>
            </wp:positionH>
            <wp:positionV relativeFrom="paragraph">
              <wp:posOffset>193675</wp:posOffset>
            </wp:positionV>
            <wp:extent cx="5079999" cy="3861434"/>
            <wp:effectExtent l="0" t="0" r="0" b="0"/>
            <wp:wrapTight wrapText="bothSides">
              <wp:wrapPolygon>
                <wp:start x="-5" y="-7"/>
                <wp:lineTo x="-5" y="21570"/>
                <wp:lineTo x="21580" y="21570"/>
                <wp:lineTo x="21580" y="-7"/>
                <wp:lineTo x="-5" y="-7"/>
              </wp:wrapPolygon>
            </wp:wrapTight>
            <wp:docPr id="5" name="图表 9"/>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_GB2312" w:eastAsia="仿宋_GB2312" w:hint="eastAsia"/>
          <w:spacing w:val="-2"/>
          <w:kern w:val="2"/>
          <w:sz w:val="32"/>
          <w:szCs w:val="32"/>
          <w:lang w:val="en-US" w:eastAsia="zh-CN" w:bidi="ar-SA"/>
        </w:rPr>
        <w:t>15692.01</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社会保障和就业支出（类）</w:t>
      </w:r>
      <w:r>
        <w:rPr>
          <w:rFonts w:ascii="仿宋" w:eastAsia="仿宋" w:hint="eastAsia"/>
          <w:color w:val="000000"/>
          <w:sz w:val="32"/>
          <w:szCs w:val="32"/>
          <w:lang w:val="en-US" w:eastAsia="zh-CN"/>
        </w:rPr>
        <w:t>49.69</w:t>
      </w:r>
      <w:r>
        <w:rPr>
          <w:rFonts w:ascii="仿宋" w:eastAsia="仿宋" w:hint="eastAsia"/>
          <w:color w:val="000000"/>
          <w:sz w:val="32"/>
          <w:szCs w:val="32"/>
        </w:rPr>
        <w:t>万元，占</w:t>
      </w:r>
      <w:r>
        <w:rPr>
          <w:rFonts w:ascii="仿宋" w:eastAsia="仿宋" w:hint="eastAsia"/>
          <w:color w:val="000000"/>
          <w:sz w:val="32"/>
          <w:szCs w:val="32"/>
          <w:lang w:val="en-US" w:eastAsia="zh-CN"/>
        </w:rPr>
        <w:t>0.32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卫生健康支出（类）</w:t>
      </w:r>
      <w:r>
        <w:rPr>
          <w:rFonts w:ascii="仿宋" w:eastAsia="仿宋" w:hint="eastAsia"/>
          <w:color w:val="000000"/>
          <w:sz w:val="32"/>
          <w:szCs w:val="32"/>
          <w:lang w:val="en-US" w:eastAsia="zh-CN"/>
        </w:rPr>
        <w:t>21.27</w:t>
      </w:r>
      <w:r>
        <w:rPr>
          <w:rFonts w:ascii="仿宋" w:eastAsia="仿宋" w:hint="eastAsia"/>
          <w:color w:val="000000"/>
          <w:sz w:val="32"/>
          <w:szCs w:val="32"/>
        </w:rPr>
        <w:t>万元，占</w:t>
      </w:r>
      <w:r>
        <w:rPr>
          <w:rFonts w:ascii="仿宋" w:eastAsia="仿宋" w:hint="eastAsia"/>
          <w:color w:val="000000"/>
          <w:sz w:val="32"/>
          <w:szCs w:val="32"/>
          <w:lang w:val="en-US" w:eastAsia="zh-CN"/>
        </w:rPr>
        <w:t>0.14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城乡社区支出</w:t>
      </w:r>
      <w:r>
        <w:rPr>
          <w:rFonts w:ascii="仿宋" w:eastAsia="仿宋" w:hint="eastAsia"/>
          <w:b/>
          <w:color w:val="000000"/>
          <w:sz w:val="32"/>
          <w:szCs w:val="32"/>
        </w:rPr>
        <w:t>（类）</w:t>
      </w:r>
      <w:r>
        <w:rPr>
          <w:rFonts w:ascii="仿宋" w:eastAsia="仿宋" w:hint="eastAsia"/>
          <w:color w:val="000000"/>
          <w:sz w:val="32"/>
          <w:szCs w:val="32"/>
          <w:lang w:val="en-US" w:eastAsia="zh-CN"/>
        </w:rPr>
        <w:t>4151.47</w:t>
      </w:r>
      <w:r>
        <w:rPr>
          <w:rFonts w:ascii="仿宋" w:eastAsia="仿宋" w:hint="eastAsia"/>
          <w:color w:val="000000"/>
          <w:sz w:val="32"/>
          <w:szCs w:val="32"/>
        </w:rPr>
        <w:t>万元，占</w:t>
      </w:r>
      <w:r>
        <w:rPr>
          <w:rFonts w:ascii="仿宋" w:eastAsia="仿宋" w:hint="eastAsia"/>
          <w:color w:val="000000"/>
          <w:sz w:val="32"/>
          <w:szCs w:val="32"/>
          <w:lang w:val="en-US" w:eastAsia="zh-CN"/>
        </w:rPr>
        <w:t>26.46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农林水支出</w:t>
      </w:r>
      <w:r>
        <w:rPr>
          <w:rFonts w:ascii="仿宋" w:eastAsia="仿宋" w:hint="eastAsia"/>
          <w:b/>
          <w:color w:val="000000"/>
          <w:sz w:val="32"/>
          <w:szCs w:val="32"/>
        </w:rPr>
        <w:t>（类）</w:t>
      </w:r>
      <w:r>
        <w:rPr>
          <w:rFonts w:ascii="仿宋" w:eastAsia="仿宋" w:hint="eastAsia"/>
          <w:b w:val="0"/>
          <w:bCs w:val="0"/>
          <w:color w:val="000000"/>
          <w:sz w:val="32"/>
          <w:szCs w:val="32"/>
          <w:lang w:val="en-US" w:eastAsia="zh-CN"/>
        </w:rPr>
        <w:t>763万元，占4.86%；</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color w:val="000000"/>
          <w:sz w:val="32"/>
          <w:szCs w:val="32"/>
          <w:lang w:val="en-US" w:eastAsia="zh-CN"/>
        </w:rPr>
        <w:t>776.7</w:t>
      </w:r>
      <w:r>
        <w:rPr>
          <w:rFonts w:ascii="仿宋" w:eastAsia="仿宋" w:hint="eastAsia"/>
          <w:color w:val="000000"/>
          <w:sz w:val="32"/>
          <w:szCs w:val="32"/>
        </w:rPr>
        <w:t>万元，占</w:t>
      </w:r>
      <w:r>
        <w:rPr>
          <w:rFonts w:ascii="仿宋" w:eastAsia="仿宋" w:hint="eastAsia"/>
          <w:color w:val="000000"/>
          <w:sz w:val="32"/>
          <w:szCs w:val="32"/>
          <w:lang w:val="en-US" w:eastAsia="zh-CN"/>
        </w:rPr>
        <w:t>4.95</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val="en-US" w:eastAsia="zh-CN"/>
        </w:rPr>
        <w:t>其他支出</w:t>
      </w:r>
      <w:r>
        <w:rPr>
          <w:rFonts w:ascii="仿宋" w:eastAsia="仿宋" w:hint="eastAsia"/>
          <w:b w:val="0"/>
          <w:bCs w:val="0"/>
          <w:color w:val="000000"/>
          <w:sz w:val="32"/>
          <w:szCs w:val="32"/>
          <w:lang w:val="en-US" w:eastAsia="zh-CN"/>
        </w:rPr>
        <w:t>（类）9929.88万元，占63.28%</w:t>
      </w:r>
      <w:r>
        <w:rPr>
          <w:rFonts w:ascii="仿宋" w:eastAsia="仿宋" w:hint="eastAsia"/>
          <w:color w:val="000000"/>
          <w:sz w:val="32"/>
          <w:szCs w:val="32"/>
        </w:rPr>
        <w:t>。</w:t>
      </w:r>
    </w:p>
    <w:p>
      <w:pPr>
        <w:spacing w:line="600" w:lineRule="exact"/>
        <w:ind w:firstLineChars="2600" w:firstLine="8320"/>
        <w:outlineLvl w:val="2"/>
        <w:rPr>
          <w:rFonts w:ascii="仿宋" w:eastAsia="仿宋" w:hint="eastAsia"/>
          <w:b/>
          <w:color w:val="000000"/>
          <w:sz w:val="32"/>
          <w:szCs w:val="32"/>
          <w:lang w:val="en-US" w:eastAsia="zh-CN"/>
        </w:rPr>
      </w:pPr>
      <w:bookmarkStart w:id="36" w:name="_Toc15378460"/>
      <w:bookmarkStart w:id="37" w:name="_Toc15377444"/>
      <w:bookmarkStart w:id="38" w:name="_Toc15377213"/>
    </w:p>
    <w:p>
      <w:pPr>
        <w:spacing w:line="600" w:lineRule="exact"/>
        <w:outlineLvl w:val="2"/>
        <w:rPr>
          <w:rFonts w:ascii="仿宋" w:eastAsia="仿宋" w:hint="eastAsia"/>
          <w:b/>
          <w:color w:val="000000"/>
          <w:sz w:val="32"/>
          <w:szCs w:val="32"/>
          <w:lang w:val="en-US" w:eastAsia="zh-CN"/>
        </w:rPr>
      </w:pPr>
      <w:bookmarkStart w:id="39" w:name="_Toc15377212"/>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r>
        <w:rPr>
          <w:rFonts w:ascii="仿宋" w:eastAsia="仿宋" w:hint="eastAsia"/>
          <w:b/>
          <w:color w:val="000000"/>
          <w:sz w:val="32"/>
          <w:szCs w:val="32"/>
          <w:lang w:eastAsia="zh-CN"/>
        </w:rPr>
        <w:drawing>
          <wp:anchor distT="0" distB="0" distL="114300" distR="114300" simplePos="0" relativeHeight="26" behindDoc="0" locked="0" layoutInCell="1" hidden="0" allowOverlap="1">
            <wp:simplePos x="0" y="0"/>
            <wp:positionH relativeFrom="column">
              <wp:posOffset>172085</wp:posOffset>
            </wp:positionH>
            <wp:positionV relativeFrom="paragraph">
              <wp:posOffset>133985</wp:posOffset>
            </wp:positionV>
            <wp:extent cx="4851399" cy="3810000"/>
            <wp:effectExtent l="0" t="0" r="0" b="0"/>
            <wp:wrapTight wrapText="bothSides">
              <wp:wrapPolygon>
                <wp:start x="-2" y="-29"/>
                <wp:lineTo x="-2" y="21570"/>
                <wp:lineTo x="21582" y="21570"/>
                <wp:lineTo x="21582" y="-29"/>
                <wp:lineTo x="-2" y="-29"/>
              </wp:wrapPolygon>
            </wp:wrapTight>
            <wp:docPr id="6" name="图表 1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r>
        <w:rPr>
          <w:rFonts w:ascii="仿宋" w:eastAsia="仿宋" w:hint="eastAsia"/>
          <w:b/>
          <w:color w:val="000000"/>
          <w:sz w:val="32"/>
          <w:szCs w:val="32"/>
          <w:lang w:val="en-US" w:eastAsia="zh-CN"/>
        </w:rPr>
        <w:t xml:space="preserve"> </w:t>
      </w:r>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p>
    <w:p>
      <w:pPr>
        <w:spacing w:line="600" w:lineRule="exact"/>
        <w:ind w:firstLineChars="200" w:firstLine="640"/>
        <w:outlineLvl w:val="2"/>
        <w:rPr>
          <w:rFonts w:ascii="仿宋" w:eastAsia="仿宋" w:hint="eastAsia"/>
          <w:b/>
          <w:color w:val="000000"/>
          <w:sz w:val="32"/>
          <w:szCs w:val="32"/>
          <w:lang w:val="en-US" w:eastAsia="zh-CN"/>
        </w:rPr>
      </w:pPr>
      <w:r>
        <w:rPr>
          <w:rFonts w:ascii="仿宋" w:eastAsia="仿宋" w:hint="eastAsia"/>
          <w:b/>
          <w:color w:val="000000"/>
          <w:sz w:val="32"/>
          <w:szCs w:val="32"/>
        </w:rPr>
        <w:t>（三）一般公共预算财政拨款支出决算具体情况</w:t>
      </w:r>
      <w:bookmarkEnd w:id="39"/>
    </w:p>
    <w:p>
      <w:pPr>
        <w:spacing w:line="600" w:lineRule="exact"/>
        <w:outlineLvl w:val="2"/>
        <w:rPr>
          <w:rFonts w:ascii="仿宋" w:eastAsia="仿宋"/>
          <w:b w:val="0"/>
          <w:bCs/>
          <w:color w:val="FF0000"/>
          <w:sz w:val="32"/>
          <w:szCs w:val="32"/>
        </w:rPr>
      </w:pPr>
      <w:r>
        <w:rPr>
          <w:rFonts w:ascii="仿宋" w:eastAsia="仿宋" w:hint="eastAsia"/>
          <w:b w:val="0"/>
          <w:bCs/>
          <w:color w:val="000000"/>
          <w:sz w:val="32"/>
          <w:szCs w:val="32"/>
          <w:lang w:val="en-US" w:eastAsia="zh-CN"/>
        </w:rPr>
        <w:t xml:space="preserve">    </w:t>
      </w:r>
      <w:r>
        <w:rPr>
          <w:rFonts w:ascii="仿宋" w:eastAsia="仿宋" w:hint="eastAsia"/>
          <w:b w:val="0"/>
          <w:bCs/>
          <w:color w:val="000000"/>
          <w:sz w:val="32"/>
          <w:szCs w:val="32"/>
        </w:rPr>
        <w:t>20</w:t>
      </w:r>
      <w:r>
        <w:rPr>
          <w:rFonts w:ascii="仿宋" w:eastAsia="仿宋" w:hint="eastAsia"/>
          <w:b w:val="0"/>
          <w:bCs/>
          <w:color w:val="000000"/>
          <w:sz w:val="32"/>
          <w:szCs w:val="32"/>
          <w:lang w:val="en-US" w:eastAsia="zh-CN"/>
        </w:rPr>
        <w:t>22</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般公共预算财政拨款收入预算</w:t>
      </w:r>
      <w:r>
        <w:rPr>
          <w:rFonts w:ascii="仿宋" w:eastAsia="仿宋" w:hint="eastAsia"/>
          <w:b w:val="0"/>
          <w:bCs/>
          <w:color w:val="000000"/>
          <w:sz w:val="32"/>
          <w:szCs w:val="32"/>
          <w:lang w:val="en-US" w:eastAsia="zh-CN"/>
        </w:rPr>
        <w:t>数为15692.01万元，</w:t>
      </w:r>
      <w:r>
        <w:rPr>
          <w:rFonts w:ascii="仿宋" w:eastAsia="仿宋" w:hint="eastAsia"/>
          <w:b w:val="0"/>
          <w:bCs/>
          <w:color w:val="000000"/>
          <w:sz w:val="32"/>
          <w:szCs w:val="32"/>
        </w:rPr>
        <w:t>支出决算数为</w:t>
      </w:r>
      <w:r>
        <w:rPr>
          <w:rFonts w:ascii="仿宋" w:eastAsia="仿宋" w:hint="eastAsia"/>
          <w:b w:val="0"/>
          <w:bCs/>
          <w:color w:val="000000"/>
          <w:sz w:val="32"/>
          <w:szCs w:val="32"/>
          <w:lang w:val="en-US" w:eastAsia="zh-CN"/>
        </w:rPr>
        <w:t>15692.01万元</w:t>
      </w:r>
      <w:r>
        <w:rPr>
          <w:rFonts w:ascii="仿宋" w:eastAsia="仿宋" w:hint="eastAsia"/>
          <w:b w:val="0"/>
          <w:bCs/>
          <w:color w:val="000000"/>
          <w:sz w:val="32"/>
          <w:szCs w:val="32"/>
        </w:rPr>
        <w:t>，完</w:t>
      </w:r>
      <w:r>
        <w:rPr>
          <w:rStyle w:val="26"/>
          <w:rFonts w:ascii="仿宋" w:eastAsia="仿宋" w:hint="eastAsia"/>
          <w:b w:val="0"/>
          <w:bCs/>
          <w:color w:val="000000"/>
          <w:sz w:val="32"/>
          <w:szCs w:val="32"/>
        </w:rPr>
        <w:t>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w:t>
      </w:r>
      <w:r>
        <w:rPr>
          <w:rStyle w:val="26"/>
          <w:rFonts w:ascii="仿宋" w:eastAsia="仿宋" w:hint="eastAsia"/>
          <w:b w:val="0"/>
          <w:bCs/>
          <w:color w:val="000000"/>
          <w:sz w:val="32"/>
          <w:szCs w:val="32"/>
          <w:lang w:val="en-US" w:eastAsia="zh-CN"/>
        </w:rPr>
        <w:t>2022年结转下年0万元。</w:t>
      </w:r>
      <w:r>
        <w:rPr>
          <w:rStyle w:val="26"/>
          <w:rFonts w:ascii="仿宋" w:eastAsia="仿宋" w:hint="eastAsia"/>
          <w:b w:val="0"/>
          <w:bCs/>
          <w:color w:val="000000"/>
          <w:sz w:val="32"/>
          <w:szCs w:val="32"/>
        </w:rPr>
        <w:t>其中：</w:t>
      </w:r>
      <w:bookmarkEnd w:id="36"/>
      <w:bookmarkEnd w:id="37"/>
      <w:bookmarkEnd w:id="38"/>
    </w:p>
    <w:p>
      <w:pPr>
        <w:spacing w:line="600" w:lineRule="exact"/>
        <w:ind w:firstLineChars="200" w:firstLine="640"/>
        <w:rPr>
          <w:rStyle w:val="26"/>
          <w:rFonts w:ascii="仿宋" w:eastAsia="仿宋" w:hint="eastAsia"/>
          <w:b w:val="0"/>
          <w:bCs/>
          <w:color w:val="000000"/>
          <w:sz w:val="32"/>
          <w:szCs w:val="32"/>
        </w:rPr>
      </w:pPr>
      <w:r>
        <w:rPr>
          <w:rStyle w:val="26"/>
          <w:rFonts w:ascii="仿宋" w:eastAsia="仿宋" w:hint="eastAsia"/>
          <w:bCs/>
          <w:color w:val="000000"/>
          <w:sz w:val="32"/>
          <w:szCs w:val="32"/>
          <w:lang w:val="en-US" w:eastAsia="zh-CN"/>
        </w:rPr>
        <w:t>1.</w:t>
      </w:r>
      <w:r>
        <w:rPr>
          <w:rStyle w:val="26"/>
          <w:rFonts w:ascii="仿宋" w:eastAsia="仿宋" w:hint="eastAsia"/>
          <w:bCs/>
          <w:color w:val="000000"/>
          <w:sz w:val="32"/>
          <w:szCs w:val="32"/>
        </w:rPr>
        <w:t>社会保障和就业支出（类</w:t>
      </w:r>
      <w:r>
        <w:rPr>
          <w:rStyle w:val="26"/>
          <w:rFonts w:ascii="仿宋" w:eastAsia="仿宋" w:hint="eastAsia"/>
          <w:bCs/>
          <w:color w:val="000000"/>
          <w:sz w:val="32"/>
          <w:szCs w:val="32"/>
          <w:lang w:eastAsia="zh-CN"/>
        </w:rPr>
        <w:t>）</w:t>
      </w:r>
      <w:r>
        <w:rPr>
          <w:rStyle w:val="26"/>
          <w:rFonts w:ascii="仿宋" w:eastAsia="仿宋" w:hint="eastAsia"/>
          <w:bCs/>
          <w:color w:val="000000"/>
          <w:sz w:val="32"/>
          <w:szCs w:val="32"/>
        </w:rPr>
        <w:t>行政事业单位养老支出（款）</w:t>
      </w:r>
      <w:r>
        <w:rPr>
          <w:rStyle w:val="26"/>
          <w:rFonts w:ascii="仿宋" w:eastAsia="仿宋" w:hint="eastAsia"/>
          <w:bCs/>
          <w:color w:val="000000"/>
          <w:sz w:val="32"/>
          <w:szCs w:val="32"/>
          <w:lang w:val="en-US" w:eastAsia="zh-CN"/>
        </w:rPr>
        <w:t xml:space="preserve"> 机关事业单位基本养老保险缴费支出</w:t>
      </w:r>
      <w:r>
        <w:rPr>
          <w:rStyle w:val="26"/>
          <w:rFonts w:ascii="仿宋" w:eastAsia="仿宋" w:hint="eastAsia"/>
          <w:bCs/>
          <w:color w:val="000000"/>
          <w:sz w:val="32"/>
          <w:szCs w:val="32"/>
        </w:rPr>
        <w:t>（项）</w:t>
      </w:r>
      <w:r>
        <w:rPr>
          <w:rStyle w:val="26"/>
          <w:rFonts w:ascii="仿宋" w:eastAsia="仿宋"/>
          <w:bCs/>
          <w:color w:val="000000"/>
          <w:sz w:val="32"/>
          <w:szCs w:val="32"/>
        </w:rPr>
        <w:t>:</w:t>
      </w:r>
      <w:r>
        <w:rPr>
          <w:rStyle w:val="26"/>
          <w:rFonts w:ascii="仿宋" w:eastAsia="仿宋"/>
          <w:b w:val="0"/>
          <w:bCs/>
          <w:color w:val="000000"/>
          <w:sz w:val="32"/>
          <w:szCs w:val="32"/>
        </w:rPr>
        <w:t xml:space="preserve"> </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33.37</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Style w:val="26"/>
          <w:rFonts w:ascii="仿宋" w:eastAsia="仿宋" w:hint="eastAsia"/>
          <w:b w:val="0"/>
          <w:bCs/>
          <w:color w:val="000000"/>
          <w:sz w:val="32"/>
          <w:szCs w:val="32"/>
          <w:lang w:val="en-US" w:eastAsia="zh-CN"/>
        </w:rPr>
      </w:pPr>
      <w:r>
        <w:rPr>
          <w:rStyle w:val="26"/>
          <w:rFonts w:ascii="仿宋" w:eastAsia="仿宋"/>
          <w:bCs/>
          <w:color w:val="000000"/>
          <w:sz w:val="32"/>
          <w:szCs w:val="32"/>
        </w:rPr>
        <w:t>2.</w:t>
      </w:r>
      <w:r>
        <w:rPr>
          <w:rStyle w:val="26"/>
          <w:rFonts w:ascii="仿宋" w:eastAsia="仿宋" w:hint="eastAsia"/>
          <w:bCs/>
          <w:color w:val="000000"/>
          <w:sz w:val="32"/>
          <w:szCs w:val="32"/>
        </w:rPr>
        <w:t>社会保障和就业支出（类</w:t>
      </w:r>
      <w:r>
        <w:rPr>
          <w:rStyle w:val="26"/>
          <w:rFonts w:ascii="仿宋" w:eastAsia="仿宋" w:hint="eastAsia"/>
          <w:bCs/>
          <w:color w:val="000000"/>
          <w:sz w:val="32"/>
          <w:szCs w:val="32"/>
          <w:lang w:eastAsia="zh-CN"/>
        </w:rPr>
        <w:t>）</w:t>
      </w:r>
      <w:r>
        <w:rPr>
          <w:rStyle w:val="26"/>
          <w:rFonts w:ascii="仿宋" w:eastAsia="仿宋" w:hint="eastAsia"/>
          <w:bCs/>
          <w:color w:val="000000"/>
          <w:sz w:val="32"/>
          <w:szCs w:val="32"/>
        </w:rPr>
        <w:t>行政事业单位养老支出（款）</w:t>
      </w:r>
      <w:r>
        <w:rPr>
          <w:rStyle w:val="26"/>
          <w:rFonts w:ascii="仿宋" w:eastAsia="仿宋" w:hint="eastAsia"/>
          <w:bCs/>
          <w:color w:val="000000"/>
          <w:sz w:val="32"/>
          <w:szCs w:val="32"/>
          <w:lang w:val="en-US" w:eastAsia="zh-CN"/>
        </w:rPr>
        <w:t xml:space="preserve">  机关事业单位职业年金缴费支出</w:t>
      </w:r>
      <w:r>
        <w:rPr>
          <w:rStyle w:val="26"/>
          <w:rFonts w:ascii="仿宋" w:eastAsia="仿宋" w:hint="eastAsia"/>
          <w:bCs/>
          <w:color w:val="000000"/>
          <w:sz w:val="32"/>
          <w:szCs w:val="32"/>
        </w:rPr>
        <w:t>（项）</w:t>
      </w:r>
      <w:r>
        <w:rPr>
          <w:rStyle w:val="26"/>
          <w:rFonts w:ascii="仿宋" w:eastAsia="仿宋"/>
          <w:bCs/>
          <w:color w:val="000000"/>
          <w:sz w:val="32"/>
          <w:szCs w:val="32"/>
        </w:rPr>
        <w:t>:</w:t>
      </w:r>
      <w:r>
        <w:rPr>
          <w:rStyle w:val="26"/>
          <w:rFonts w:ascii="仿宋" w:eastAsia="仿宋"/>
          <w:b w:val="0"/>
          <w:bCs/>
          <w:color w:val="000000"/>
          <w:sz w:val="32"/>
          <w:szCs w:val="32"/>
        </w:rPr>
        <w:t xml:space="preserve"> </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16.32</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lang w:val="en-US" w:eastAsia="zh-CN"/>
        </w:rPr>
        <w:t>,</w:t>
      </w:r>
      <w:r>
        <w:rPr>
          <w:rStyle w:val="26"/>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6"/>
          <w:rFonts w:ascii="仿宋" w:eastAsia="仿宋" w:hint="eastAsia"/>
          <w:bCs/>
          <w:color w:val="000000"/>
          <w:sz w:val="32"/>
          <w:szCs w:val="32"/>
          <w:lang w:val="en-US" w:eastAsia="zh-CN"/>
        </w:rPr>
        <w:t>3</w:t>
      </w:r>
      <w:r>
        <w:rPr>
          <w:rStyle w:val="26"/>
          <w:rFonts w:ascii="仿宋" w:eastAsia="仿宋"/>
          <w:bCs/>
          <w:color w:val="000000"/>
          <w:sz w:val="32"/>
          <w:szCs w:val="32"/>
        </w:rPr>
        <w:t>.</w:t>
      </w:r>
      <w:r>
        <w:rPr>
          <w:rStyle w:val="26"/>
          <w:rFonts w:ascii="仿宋" w:eastAsia="仿宋" w:hint="eastAsia"/>
          <w:bCs/>
          <w:color w:val="000000"/>
          <w:sz w:val="32"/>
          <w:szCs w:val="32"/>
        </w:rPr>
        <w:t>卫生健康支出（类）</w:t>
      </w:r>
      <w:r>
        <w:rPr>
          <w:rStyle w:val="26"/>
          <w:rFonts w:ascii="仿宋" w:eastAsia="仿宋" w:hint="eastAsia"/>
          <w:bCs/>
          <w:color w:val="000000"/>
          <w:sz w:val="32"/>
          <w:szCs w:val="32"/>
          <w:lang w:val="en-US" w:eastAsia="zh-CN"/>
        </w:rPr>
        <w:t>行政事业单位医疗</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 xml:space="preserve"> 行政单位医疗</w:t>
      </w:r>
      <w:r>
        <w:rPr>
          <w:rStyle w:val="26"/>
          <w:rFonts w:ascii="仿宋" w:eastAsia="仿宋" w:hint="eastAsia"/>
          <w:bCs/>
          <w:color w:val="000000"/>
          <w:sz w:val="32"/>
          <w:szCs w:val="32"/>
        </w:rPr>
        <w:t>（项）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7.27</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6"/>
          <w:rFonts w:ascii="仿宋" w:eastAsia="仿宋" w:hint="eastAsia"/>
          <w:bCs/>
          <w:color w:val="000000"/>
          <w:sz w:val="32"/>
          <w:szCs w:val="32"/>
          <w:lang w:val="en-US" w:eastAsia="zh-CN"/>
        </w:rPr>
        <w:t>4.</w:t>
      </w:r>
      <w:r>
        <w:rPr>
          <w:rStyle w:val="26"/>
          <w:rFonts w:ascii="仿宋" w:eastAsia="仿宋" w:hint="eastAsia"/>
          <w:bCs/>
          <w:color w:val="000000"/>
          <w:sz w:val="32"/>
          <w:szCs w:val="32"/>
          <w:lang w:eastAsia="zh-CN"/>
        </w:rPr>
        <w:t>卫生健康支出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行政事业单位医疗</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 xml:space="preserve">  事业单位医疗</w:t>
      </w:r>
      <w:r>
        <w:rPr>
          <w:rStyle w:val="26"/>
          <w:rFonts w:ascii="仿宋" w:eastAsia="仿宋" w:hint="eastAsia"/>
          <w:bCs/>
          <w:color w:val="000000"/>
          <w:sz w:val="32"/>
          <w:szCs w:val="32"/>
        </w:rPr>
        <w:t>（项）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8.31</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6"/>
          <w:rFonts w:ascii="仿宋" w:eastAsia="仿宋" w:hint="eastAsia"/>
          <w:bCs/>
          <w:color w:val="000000"/>
          <w:sz w:val="32"/>
          <w:szCs w:val="32"/>
          <w:lang w:val="en-US" w:eastAsia="zh-CN"/>
        </w:rPr>
        <w:t>5.</w:t>
      </w:r>
      <w:r>
        <w:rPr>
          <w:rStyle w:val="26"/>
          <w:rFonts w:ascii="仿宋" w:eastAsia="仿宋" w:hint="eastAsia"/>
          <w:bCs/>
          <w:color w:val="000000"/>
          <w:sz w:val="32"/>
          <w:szCs w:val="32"/>
          <w:lang w:eastAsia="zh-CN"/>
        </w:rPr>
        <w:t>卫生健康支出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行政事业单位医疗</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公务员医疗补助</w:t>
      </w:r>
      <w:r>
        <w:rPr>
          <w:rStyle w:val="26"/>
          <w:rFonts w:ascii="仿宋" w:eastAsia="仿宋" w:hint="eastAsia"/>
          <w:bCs/>
          <w:color w:val="000000"/>
          <w:sz w:val="32"/>
          <w:szCs w:val="32"/>
        </w:rPr>
        <w:t>（项）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3.67</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Style w:val="26"/>
          <w:rFonts w:ascii="仿宋" w:eastAsia="仿宋"/>
          <w:bCs/>
          <w:color w:val="000000"/>
          <w:sz w:val="32"/>
          <w:szCs w:val="32"/>
          <w:lang w:val="en-US" w:eastAsia="zh-CN"/>
        </w:rPr>
      </w:pPr>
      <w:bookmarkStart w:id="40" w:name="_Toc15377214"/>
      <w:bookmarkStart w:id="41" w:name="_Toc15396608"/>
      <w:r>
        <w:rPr>
          <w:rStyle w:val="26"/>
          <w:rFonts w:ascii="仿宋" w:eastAsia="仿宋" w:hint="eastAsia"/>
          <w:bCs/>
          <w:color w:val="000000"/>
          <w:sz w:val="32"/>
          <w:szCs w:val="32"/>
          <w:lang w:val="en-US" w:eastAsia="zh-CN"/>
        </w:rPr>
        <w:t>6.</w:t>
      </w:r>
      <w:r>
        <w:rPr>
          <w:rStyle w:val="26"/>
          <w:rFonts w:ascii="仿宋" w:eastAsia="仿宋" w:hint="eastAsia"/>
          <w:bCs/>
          <w:color w:val="000000"/>
          <w:sz w:val="32"/>
          <w:szCs w:val="32"/>
          <w:lang w:eastAsia="zh-CN"/>
        </w:rPr>
        <w:t>卫生健康支出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行政事业单位医疗</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其他行政事业单位医疗支出</w:t>
      </w:r>
      <w:r>
        <w:rPr>
          <w:rStyle w:val="26"/>
          <w:rFonts w:ascii="仿宋" w:eastAsia="仿宋" w:hint="eastAsia"/>
          <w:bCs/>
          <w:color w:val="000000"/>
          <w:sz w:val="32"/>
          <w:szCs w:val="32"/>
        </w:rPr>
        <w:t>（项）</w:t>
      </w:r>
      <w:r>
        <w:rPr>
          <w:rStyle w:val="26"/>
          <w:rFonts w:ascii="仿宋" w:eastAsia="仿宋"/>
          <w:bCs/>
          <w:color w:val="000000"/>
          <w:sz w:val="32"/>
          <w:szCs w:val="32"/>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2.02</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Style w:val="26"/>
          <w:rFonts w:ascii="仿宋" w:eastAsia="仿宋" w:hint="eastAsia"/>
          <w:bCs/>
          <w:color w:val="000000"/>
          <w:sz w:val="32"/>
          <w:szCs w:val="32"/>
          <w:lang w:eastAsia="zh-CN"/>
        </w:rPr>
      </w:pPr>
      <w:r>
        <w:rPr>
          <w:rStyle w:val="26"/>
          <w:rFonts w:ascii="仿宋" w:eastAsia="仿宋" w:hint="eastAsia"/>
          <w:bCs/>
          <w:color w:val="000000"/>
          <w:sz w:val="32"/>
          <w:szCs w:val="32"/>
          <w:lang w:val="en-US" w:eastAsia="zh-CN"/>
        </w:rPr>
        <w:t>7.城乡社区支出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城乡社区管理事务</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行政运行</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148.29</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Style w:val="26"/>
          <w:rFonts w:ascii="仿宋" w:eastAsia="仿宋" w:hint="eastAsia"/>
          <w:bCs/>
          <w:color w:val="000000"/>
          <w:sz w:val="32"/>
          <w:szCs w:val="32"/>
          <w:lang w:val="en-US" w:eastAsia="zh-CN"/>
        </w:rPr>
      </w:pPr>
      <w:r>
        <w:rPr>
          <w:rStyle w:val="26"/>
          <w:rFonts w:ascii="仿宋" w:eastAsia="仿宋" w:hint="eastAsia"/>
          <w:bCs/>
          <w:color w:val="000000"/>
          <w:sz w:val="32"/>
          <w:szCs w:val="32"/>
          <w:lang w:val="en-US" w:eastAsia="zh-CN"/>
        </w:rPr>
        <w:t>8.城乡社区支出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城乡社区管理事务</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机关服务</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180.06</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r>
        <w:rPr>
          <w:rStyle w:val="26"/>
          <w:rFonts w:ascii="仿宋" w:eastAsia="仿宋" w:hint="eastAsia"/>
          <w:b w:val="0"/>
          <w:bCs/>
          <w:color w:val="000000"/>
          <w:sz w:val="32"/>
          <w:szCs w:val="32"/>
          <w:lang w:eastAsia="zh-CN"/>
        </w:rPr>
        <w:t>。</w:t>
      </w:r>
    </w:p>
    <w:p>
      <w:pPr>
        <w:spacing w:line="600" w:lineRule="exact"/>
        <w:ind w:firstLineChars="200" w:firstLine="640"/>
        <w:rPr>
          <w:rFonts w:hint="eastAsia"/>
          <w:lang w:eastAsia="zh-CN"/>
        </w:rPr>
      </w:pPr>
      <w:r>
        <w:rPr>
          <w:rStyle w:val="26"/>
          <w:rFonts w:ascii="仿宋" w:eastAsia="仿宋" w:hint="eastAsia"/>
          <w:bCs/>
          <w:color w:val="000000"/>
          <w:sz w:val="32"/>
          <w:szCs w:val="32"/>
          <w:lang w:val="en-US" w:eastAsia="zh-CN"/>
        </w:rPr>
        <w:t>9.城乡社区支出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城乡社区管理事务</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其他城乡社区管理事务支出</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63.50</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Style w:val="26"/>
          <w:rFonts w:ascii="仿宋" w:eastAsia="仿宋" w:hint="eastAsia"/>
          <w:bCs/>
          <w:color w:val="000000"/>
          <w:sz w:val="32"/>
          <w:szCs w:val="32"/>
          <w:lang w:eastAsia="zh-CN"/>
        </w:rPr>
      </w:pPr>
      <w:r>
        <w:rPr>
          <w:rStyle w:val="26"/>
          <w:rFonts w:ascii="仿宋" w:eastAsia="仿宋" w:hint="eastAsia"/>
          <w:bCs/>
          <w:color w:val="000000"/>
          <w:sz w:val="32"/>
          <w:szCs w:val="32"/>
          <w:lang w:val="en-US" w:eastAsia="zh-CN"/>
        </w:rPr>
        <w:t>10.城乡社区支出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城乡社区公共设施</w:t>
      </w:r>
      <w:r>
        <w:rPr>
          <w:rStyle w:val="26"/>
          <w:rFonts w:ascii="仿宋" w:eastAsia="仿宋" w:hint="eastAsia"/>
          <w:bCs/>
          <w:color w:val="000000"/>
          <w:sz w:val="32"/>
          <w:szCs w:val="32"/>
        </w:rPr>
        <w:t>（款）</w:t>
      </w:r>
      <w:r>
        <w:rPr>
          <w:rStyle w:val="26"/>
          <w:rFonts w:ascii="仿宋" w:eastAsia="仿宋" w:hint="eastAsia"/>
          <w:bCs/>
          <w:color w:val="000000"/>
          <w:sz w:val="32"/>
          <w:szCs w:val="32"/>
          <w:lang w:eastAsia="zh-CN"/>
        </w:rPr>
        <w:t>其他</w:t>
      </w:r>
      <w:r>
        <w:rPr>
          <w:rStyle w:val="26"/>
          <w:rFonts w:ascii="仿宋" w:eastAsia="仿宋" w:hint="eastAsia"/>
          <w:bCs/>
          <w:color w:val="000000"/>
          <w:sz w:val="32"/>
          <w:szCs w:val="32"/>
          <w:lang w:val="en-US" w:eastAsia="zh-CN"/>
        </w:rPr>
        <w:t>城乡社区公共设施支出</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52.80</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r>
        <w:rPr>
          <w:rStyle w:val="26"/>
          <w:rFonts w:ascii="仿宋" w:eastAsia="仿宋" w:hint="eastAsia"/>
          <w:b w:val="0"/>
          <w:bCs/>
          <w:color w:val="000000"/>
          <w:sz w:val="32"/>
          <w:szCs w:val="32"/>
          <w:lang w:eastAsia="zh-CN"/>
        </w:rPr>
        <w:t>。</w:t>
      </w:r>
    </w:p>
    <w:p>
      <w:pPr>
        <w:spacing w:line="600" w:lineRule="exact"/>
        <w:ind w:firstLineChars="200" w:firstLine="640"/>
        <w:rPr>
          <w:rStyle w:val="26"/>
          <w:rFonts w:ascii="仿宋" w:eastAsia="仿宋" w:hint="eastAsia"/>
          <w:bCs/>
          <w:color w:val="000000"/>
          <w:sz w:val="32"/>
          <w:szCs w:val="32"/>
          <w:lang w:eastAsia="zh-CN"/>
        </w:rPr>
      </w:pPr>
      <w:r>
        <w:rPr>
          <w:rStyle w:val="26"/>
          <w:rFonts w:ascii="仿宋" w:eastAsia="仿宋" w:hint="eastAsia"/>
          <w:bCs/>
          <w:color w:val="000000"/>
          <w:sz w:val="32"/>
          <w:szCs w:val="32"/>
          <w:lang w:val="en-US" w:eastAsia="zh-CN"/>
        </w:rPr>
        <w:t>11.城乡社区支出</w:t>
      </w:r>
      <w:r>
        <w:rPr>
          <w:rStyle w:val="26"/>
          <w:rFonts w:ascii="仿宋" w:eastAsia="仿宋" w:hint="eastAsia"/>
          <w:bCs/>
          <w:color w:val="000000"/>
          <w:sz w:val="32"/>
          <w:szCs w:val="32"/>
        </w:rPr>
        <w:t>（类）</w:t>
      </w:r>
      <w:r>
        <w:rPr>
          <w:rStyle w:val="26"/>
          <w:rFonts w:ascii="仿宋" w:eastAsia="仿宋" w:hint="eastAsia"/>
          <w:bCs/>
          <w:color w:val="000000"/>
          <w:sz w:val="32"/>
          <w:szCs w:val="32"/>
          <w:lang w:val="en-US" w:eastAsia="zh-CN"/>
        </w:rPr>
        <w:t>城乡社区环境卫生</w:t>
      </w:r>
      <w:r>
        <w:rPr>
          <w:rStyle w:val="26"/>
          <w:rFonts w:ascii="仿宋" w:eastAsia="仿宋" w:hint="eastAsia"/>
          <w:bCs/>
          <w:color w:val="000000"/>
          <w:sz w:val="32"/>
          <w:szCs w:val="32"/>
        </w:rPr>
        <w:t>（款）</w:t>
      </w:r>
      <w:r>
        <w:rPr>
          <w:rStyle w:val="26"/>
          <w:rFonts w:ascii="仿宋" w:eastAsia="仿宋" w:hint="eastAsia"/>
          <w:bCs/>
          <w:color w:val="000000"/>
          <w:sz w:val="32"/>
          <w:szCs w:val="32"/>
          <w:lang w:val="en-US" w:eastAsia="zh-CN"/>
        </w:rPr>
        <w:t>城乡社区环境卫生</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69.99</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r>
        <w:rPr>
          <w:rStyle w:val="26"/>
          <w:rFonts w:ascii="仿宋" w:eastAsia="仿宋" w:hint="eastAsia"/>
          <w:b w:val="0"/>
          <w:bCs/>
          <w:color w:val="000000"/>
          <w:sz w:val="32"/>
          <w:szCs w:val="32"/>
          <w:lang w:eastAsia="zh-CN"/>
        </w:rPr>
        <w:t>。</w:t>
      </w:r>
    </w:p>
    <w:p>
      <w:pPr>
        <w:spacing w:line="600" w:lineRule="exact"/>
        <w:ind w:firstLineChars="200" w:firstLine="640"/>
        <w:rPr>
          <w:rStyle w:val="26"/>
          <w:rFonts w:ascii="仿宋" w:eastAsia="仿宋" w:hint="eastAsia"/>
          <w:b w:val="0"/>
          <w:bCs/>
          <w:color w:val="000000"/>
          <w:sz w:val="32"/>
          <w:szCs w:val="32"/>
          <w:lang w:eastAsia="zh-CN"/>
        </w:rPr>
      </w:pPr>
      <w:r>
        <w:rPr>
          <w:rStyle w:val="26"/>
          <w:rFonts w:ascii="仿宋" w:eastAsia="仿宋" w:hint="eastAsia"/>
          <w:bCs/>
          <w:color w:val="000000"/>
          <w:sz w:val="32"/>
          <w:szCs w:val="32"/>
          <w:lang w:val="en-US" w:eastAsia="zh-CN"/>
        </w:rPr>
        <w:t>12.城乡社区支出</w:t>
      </w:r>
      <w:r>
        <w:rPr>
          <w:rStyle w:val="26"/>
          <w:rFonts w:ascii="仿宋" w:eastAsia="仿宋" w:hint="eastAsia"/>
          <w:bCs/>
          <w:color w:val="000000"/>
          <w:sz w:val="32"/>
          <w:szCs w:val="32"/>
        </w:rPr>
        <w:t>（类）</w:t>
      </w:r>
      <w:r>
        <w:rPr>
          <w:rStyle w:val="26"/>
          <w:rFonts w:ascii="仿宋" w:eastAsia="仿宋" w:hint="eastAsia"/>
          <w:bCs/>
          <w:color w:val="000000"/>
          <w:sz w:val="32"/>
          <w:szCs w:val="32"/>
          <w:lang w:eastAsia="zh-CN"/>
        </w:rPr>
        <w:t>其他</w:t>
      </w:r>
      <w:r>
        <w:rPr>
          <w:rStyle w:val="26"/>
          <w:rFonts w:ascii="仿宋" w:eastAsia="仿宋" w:hint="eastAsia"/>
          <w:bCs/>
          <w:color w:val="000000"/>
          <w:sz w:val="32"/>
          <w:szCs w:val="32"/>
          <w:lang w:val="en-US" w:eastAsia="zh-CN"/>
        </w:rPr>
        <w:t>城乡社区支出</w:t>
      </w:r>
      <w:r>
        <w:rPr>
          <w:rStyle w:val="26"/>
          <w:rFonts w:ascii="仿宋" w:eastAsia="仿宋" w:hint="eastAsia"/>
          <w:bCs/>
          <w:color w:val="000000"/>
          <w:sz w:val="32"/>
          <w:szCs w:val="32"/>
        </w:rPr>
        <w:t>（款）</w:t>
      </w:r>
      <w:r>
        <w:rPr>
          <w:rStyle w:val="26"/>
          <w:rFonts w:ascii="仿宋" w:eastAsia="仿宋" w:hint="eastAsia"/>
          <w:bCs/>
          <w:color w:val="000000"/>
          <w:sz w:val="32"/>
          <w:szCs w:val="32"/>
          <w:lang w:eastAsia="zh-CN"/>
        </w:rPr>
        <w:t>其他</w:t>
      </w:r>
      <w:r>
        <w:rPr>
          <w:rStyle w:val="26"/>
          <w:rFonts w:ascii="仿宋" w:eastAsia="仿宋" w:hint="eastAsia"/>
          <w:bCs/>
          <w:color w:val="000000"/>
          <w:sz w:val="32"/>
          <w:szCs w:val="32"/>
          <w:lang w:val="en-US" w:eastAsia="zh-CN"/>
        </w:rPr>
        <w:t>城乡社区支出</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3636.85</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r>
        <w:rPr>
          <w:rStyle w:val="26"/>
          <w:rFonts w:ascii="仿宋" w:eastAsia="仿宋" w:hint="eastAsia"/>
          <w:b w:val="0"/>
          <w:bCs/>
          <w:color w:val="000000"/>
          <w:sz w:val="32"/>
          <w:szCs w:val="32"/>
          <w:lang w:eastAsia="zh-CN"/>
        </w:rPr>
        <w:t>。</w:t>
      </w:r>
    </w:p>
    <w:p>
      <w:pPr>
        <w:pStyle w:val="15"/>
        <w:ind w:leftChars="0" w:left="0" w:firstLineChars="200" w:firstLine="640"/>
        <w:rPr>
          <w:rStyle w:val="26"/>
          <w:rFonts w:ascii="仿宋" w:eastAsia="仿宋" w:hint="eastAsia"/>
          <w:b w:val="0"/>
          <w:bCs/>
          <w:color w:val="000000"/>
          <w:sz w:val="32"/>
          <w:szCs w:val="32"/>
          <w:lang w:eastAsia="zh-CN"/>
        </w:rPr>
      </w:pPr>
      <w:r>
        <w:rPr>
          <w:rStyle w:val="26"/>
          <w:rFonts w:ascii="仿宋" w:eastAsia="仿宋" w:hint="eastAsia"/>
          <w:bCs/>
          <w:color w:val="000000"/>
          <w:sz w:val="32"/>
          <w:szCs w:val="32"/>
          <w:lang w:val="en-US" w:eastAsia="zh-CN"/>
        </w:rPr>
        <w:t>1</w:t>
      </w:r>
      <w:r>
        <w:rPr>
          <w:rStyle w:val="26"/>
          <w:rFonts w:ascii="仿宋" w:hAnsi="仿宋" w:hint="eastAsia"/>
          <w:bCs/>
          <w:color w:val="000000"/>
          <w:sz w:val="32"/>
          <w:szCs w:val="32"/>
          <w:lang w:val="en-US" w:eastAsia="zh-CN"/>
        </w:rPr>
        <w:t>3</w:t>
      </w:r>
      <w:r>
        <w:rPr>
          <w:rStyle w:val="26"/>
          <w:rFonts w:ascii="仿宋" w:eastAsia="仿宋" w:hint="eastAsia"/>
          <w:bCs/>
          <w:color w:val="000000"/>
          <w:sz w:val="32"/>
          <w:szCs w:val="32"/>
          <w:lang w:val="en-US" w:eastAsia="zh-CN"/>
        </w:rPr>
        <w:t>.</w:t>
      </w:r>
      <w:r>
        <w:rPr>
          <w:rStyle w:val="26"/>
          <w:rFonts w:ascii="仿宋" w:hAnsi="仿宋" w:hint="eastAsia"/>
          <w:bCs/>
          <w:color w:val="000000"/>
          <w:sz w:val="32"/>
          <w:szCs w:val="32"/>
          <w:lang w:val="en-US" w:eastAsia="zh-CN"/>
        </w:rPr>
        <w:t>农林水支出</w:t>
      </w:r>
      <w:r>
        <w:rPr>
          <w:rStyle w:val="26"/>
          <w:rFonts w:ascii="仿宋" w:eastAsia="仿宋" w:hint="eastAsia"/>
          <w:bCs/>
          <w:color w:val="000000"/>
          <w:sz w:val="32"/>
          <w:szCs w:val="32"/>
        </w:rPr>
        <w:t>（类）</w:t>
      </w:r>
      <w:r>
        <w:rPr>
          <w:rStyle w:val="26"/>
          <w:rFonts w:ascii="仿宋" w:hAnsi="仿宋" w:hint="eastAsia"/>
          <w:bCs/>
          <w:color w:val="000000"/>
          <w:sz w:val="32"/>
          <w:szCs w:val="32"/>
          <w:lang w:eastAsia="zh-CN"/>
        </w:rPr>
        <w:t>巩固脱贫衔接乡村振兴</w:t>
      </w:r>
      <w:r>
        <w:rPr>
          <w:rStyle w:val="26"/>
          <w:rFonts w:ascii="仿宋" w:eastAsia="仿宋" w:hint="eastAsia"/>
          <w:bCs/>
          <w:color w:val="000000"/>
          <w:sz w:val="32"/>
          <w:szCs w:val="32"/>
        </w:rPr>
        <w:t>（款）</w:t>
      </w:r>
      <w:r>
        <w:rPr>
          <w:rStyle w:val="26"/>
          <w:rFonts w:ascii="仿宋" w:hAnsi="仿宋" w:hint="eastAsia"/>
          <w:bCs/>
          <w:color w:val="000000"/>
          <w:sz w:val="32"/>
          <w:szCs w:val="32"/>
          <w:lang w:eastAsia="zh-CN"/>
        </w:rPr>
        <w:t>生产发展</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hAnsi="仿宋" w:hint="eastAsia"/>
          <w:b w:val="0"/>
          <w:bCs/>
          <w:color w:val="000000"/>
          <w:sz w:val="32"/>
          <w:szCs w:val="32"/>
          <w:lang w:val="en-US" w:eastAsia="zh-CN"/>
        </w:rPr>
        <w:t>493</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r>
        <w:rPr>
          <w:rStyle w:val="26"/>
          <w:rFonts w:ascii="仿宋" w:eastAsia="仿宋" w:hint="eastAsia"/>
          <w:b w:val="0"/>
          <w:bCs/>
          <w:color w:val="000000"/>
          <w:sz w:val="32"/>
          <w:szCs w:val="32"/>
          <w:lang w:eastAsia="zh-CN"/>
        </w:rPr>
        <w:t>。</w:t>
      </w:r>
    </w:p>
    <w:p>
      <w:pPr>
        <w:pStyle w:val="15"/>
        <w:ind w:leftChars="0" w:left="0" w:firstLineChars="200" w:firstLine="640"/>
        <w:rPr>
          <w:rFonts w:hint="eastAsia"/>
          <w:lang w:eastAsia="zh-CN"/>
        </w:rPr>
      </w:pPr>
      <w:r>
        <w:rPr>
          <w:rStyle w:val="26"/>
          <w:rFonts w:ascii="仿宋" w:eastAsia="仿宋" w:hint="eastAsia"/>
          <w:bCs/>
          <w:color w:val="000000"/>
          <w:sz w:val="32"/>
          <w:szCs w:val="32"/>
          <w:lang w:val="en-US" w:eastAsia="zh-CN"/>
        </w:rPr>
        <w:t>1</w:t>
      </w:r>
      <w:r>
        <w:rPr>
          <w:rStyle w:val="26"/>
          <w:rFonts w:ascii="仿宋" w:hAnsi="仿宋" w:hint="eastAsia"/>
          <w:bCs/>
          <w:color w:val="000000"/>
          <w:sz w:val="32"/>
          <w:szCs w:val="32"/>
          <w:lang w:val="en-US" w:eastAsia="zh-CN"/>
        </w:rPr>
        <w:t>4</w:t>
      </w:r>
      <w:r>
        <w:rPr>
          <w:rStyle w:val="26"/>
          <w:rFonts w:ascii="仿宋" w:eastAsia="仿宋" w:hint="eastAsia"/>
          <w:bCs/>
          <w:color w:val="000000"/>
          <w:sz w:val="32"/>
          <w:szCs w:val="32"/>
          <w:lang w:val="en-US" w:eastAsia="zh-CN"/>
        </w:rPr>
        <w:t>.</w:t>
      </w:r>
      <w:r>
        <w:rPr>
          <w:rStyle w:val="26"/>
          <w:rFonts w:ascii="仿宋" w:hAnsi="仿宋" w:hint="eastAsia"/>
          <w:bCs/>
          <w:color w:val="000000"/>
          <w:sz w:val="32"/>
          <w:szCs w:val="32"/>
          <w:lang w:val="en-US" w:eastAsia="zh-CN"/>
        </w:rPr>
        <w:t>农林水支出</w:t>
      </w:r>
      <w:r>
        <w:rPr>
          <w:rStyle w:val="26"/>
          <w:rFonts w:ascii="仿宋" w:eastAsia="仿宋" w:hint="eastAsia"/>
          <w:bCs/>
          <w:color w:val="000000"/>
          <w:sz w:val="32"/>
          <w:szCs w:val="32"/>
        </w:rPr>
        <w:t>（类）</w:t>
      </w:r>
      <w:r>
        <w:rPr>
          <w:rStyle w:val="26"/>
          <w:rFonts w:ascii="仿宋" w:hAnsi="仿宋" w:hint="eastAsia"/>
          <w:bCs/>
          <w:color w:val="000000"/>
          <w:sz w:val="32"/>
          <w:szCs w:val="32"/>
          <w:lang w:eastAsia="zh-CN"/>
        </w:rPr>
        <w:t>巩固脱贫衔接乡村振兴</w:t>
      </w:r>
      <w:r>
        <w:rPr>
          <w:rStyle w:val="26"/>
          <w:rFonts w:ascii="仿宋" w:eastAsia="仿宋" w:hint="eastAsia"/>
          <w:bCs/>
          <w:color w:val="000000"/>
          <w:sz w:val="32"/>
          <w:szCs w:val="32"/>
        </w:rPr>
        <w:t>（款）</w:t>
      </w:r>
      <w:r>
        <w:rPr>
          <w:rStyle w:val="26"/>
          <w:rFonts w:ascii="仿宋" w:hAnsi="仿宋" w:hint="eastAsia"/>
          <w:bCs/>
          <w:color w:val="000000"/>
          <w:sz w:val="32"/>
          <w:szCs w:val="32"/>
          <w:lang w:eastAsia="zh-CN"/>
        </w:rPr>
        <w:t>其他巩固脱贫衔接乡村振兴支出</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hAnsi="仿宋" w:hint="eastAsia"/>
          <w:b w:val="0"/>
          <w:bCs/>
          <w:color w:val="000000"/>
          <w:sz w:val="32"/>
          <w:szCs w:val="32"/>
          <w:lang w:val="en-US" w:eastAsia="zh-CN"/>
        </w:rPr>
        <w:t>266</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r>
        <w:rPr>
          <w:rStyle w:val="26"/>
          <w:rFonts w:ascii="仿宋" w:eastAsia="仿宋" w:hint="eastAsia"/>
          <w:b w:val="0"/>
          <w:bCs/>
          <w:color w:val="000000"/>
          <w:sz w:val="32"/>
          <w:szCs w:val="32"/>
          <w:lang w:eastAsia="zh-CN"/>
        </w:rPr>
        <w:t>。</w:t>
      </w:r>
    </w:p>
    <w:p>
      <w:pPr>
        <w:pStyle w:val="15"/>
        <w:ind w:leftChars="0" w:left="0" w:firstLineChars="200" w:firstLine="640"/>
        <w:rPr>
          <w:rFonts w:hint="eastAsia"/>
          <w:lang w:eastAsia="zh-CN"/>
        </w:rPr>
      </w:pPr>
      <w:r>
        <w:rPr>
          <w:rStyle w:val="26"/>
          <w:rFonts w:ascii="仿宋" w:eastAsia="仿宋" w:hint="eastAsia"/>
          <w:bCs/>
          <w:color w:val="000000"/>
          <w:sz w:val="32"/>
          <w:szCs w:val="32"/>
          <w:lang w:val="en-US" w:eastAsia="zh-CN"/>
        </w:rPr>
        <w:t>15.</w:t>
      </w:r>
      <w:r>
        <w:rPr>
          <w:rStyle w:val="26"/>
          <w:rFonts w:ascii="仿宋" w:hAnsi="仿宋" w:hint="eastAsia"/>
          <w:bCs/>
          <w:color w:val="000000"/>
          <w:sz w:val="32"/>
          <w:szCs w:val="32"/>
          <w:lang w:val="en-US" w:eastAsia="zh-CN"/>
        </w:rPr>
        <w:t>农林水支出</w:t>
      </w:r>
      <w:r>
        <w:rPr>
          <w:rStyle w:val="26"/>
          <w:rFonts w:ascii="仿宋" w:eastAsia="仿宋" w:hint="eastAsia"/>
          <w:bCs/>
          <w:color w:val="000000"/>
          <w:sz w:val="32"/>
          <w:szCs w:val="32"/>
        </w:rPr>
        <w:t>（类）</w:t>
      </w:r>
      <w:r>
        <w:rPr>
          <w:rStyle w:val="26"/>
          <w:rFonts w:ascii="仿宋" w:hAnsi="仿宋" w:hint="eastAsia"/>
          <w:bCs/>
          <w:color w:val="000000"/>
          <w:sz w:val="32"/>
          <w:szCs w:val="32"/>
          <w:lang w:eastAsia="zh-CN"/>
        </w:rPr>
        <w:t>农村综合改革</w:t>
      </w:r>
      <w:r>
        <w:rPr>
          <w:rStyle w:val="26"/>
          <w:rFonts w:ascii="仿宋" w:eastAsia="仿宋" w:hint="eastAsia"/>
          <w:bCs/>
          <w:color w:val="000000"/>
          <w:sz w:val="32"/>
          <w:szCs w:val="32"/>
        </w:rPr>
        <w:t>（款）</w:t>
      </w:r>
      <w:r>
        <w:rPr>
          <w:rStyle w:val="26"/>
          <w:rFonts w:ascii="仿宋" w:hAnsi="仿宋" w:hint="eastAsia"/>
          <w:bCs/>
          <w:color w:val="000000"/>
          <w:sz w:val="32"/>
          <w:szCs w:val="32"/>
          <w:lang w:eastAsia="zh-CN"/>
        </w:rPr>
        <w:t>其他农村综合改革支出</w:t>
      </w:r>
      <w:r>
        <w:rPr>
          <w:rStyle w:val="26"/>
          <w:rFonts w:ascii="仿宋" w:eastAsia="仿宋" w:hint="eastAsia"/>
          <w:bCs/>
          <w:color w:val="000000"/>
          <w:sz w:val="32"/>
          <w:szCs w:val="32"/>
        </w:rPr>
        <w:t>（项）</w:t>
      </w:r>
      <w:r>
        <w:rPr>
          <w:rStyle w:val="26"/>
          <w:rFonts w:ascii="仿宋" w:eastAsia="仿宋" w:hint="eastAsia"/>
          <w:bCs/>
          <w:color w:val="000000"/>
          <w:sz w:val="32"/>
          <w:szCs w:val="32"/>
          <w:lang w:eastAsia="zh-CN"/>
        </w:rPr>
        <w:t>：</w:t>
      </w:r>
      <w:r>
        <w:rPr>
          <w:rStyle w:val="26"/>
          <w:rFonts w:ascii="仿宋" w:eastAsia="仿宋" w:hint="eastAsia"/>
          <w:b w:val="0"/>
          <w:bCs/>
          <w:color w:val="000000"/>
          <w:sz w:val="32"/>
          <w:szCs w:val="32"/>
        </w:rPr>
        <w:t>支出决算为</w:t>
      </w:r>
      <w:r>
        <w:rPr>
          <w:rStyle w:val="26"/>
          <w:rFonts w:ascii="仿宋" w:hAnsi="仿宋" w:hint="eastAsia"/>
          <w:b w:val="0"/>
          <w:bCs/>
          <w:color w:val="000000"/>
          <w:sz w:val="32"/>
          <w:szCs w:val="32"/>
          <w:lang w:val="en-US" w:eastAsia="zh-CN"/>
        </w:rPr>
        <w:t>4</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r>
        <w:rPr>
          <w:rStyle w:val="26"/>
          <w:rFonts w:ascii="仿宋" w:eastAsia="仿宋" w:hint="eastAsia"/>
          <w:b w:val="0"/>
          <w:bCs/>
          <w:color w:val="000000"/>
          <w:sz w:val="32"/>
          <w:szCs w:val="32"/>
          <w:lang w:eastAsia="zh-CN"/>
        </w:rPr>
        <w:t>。</w:t>
      </w:r>
    </w:p>
    <w:p>
      <w:pPr>
        <w:spacing w:line="600" w:lineRule="exact"/>
        <w:ind w:firstLineChars="200" w:firstLine="640"/>
        <w:rPr>
          <w:rStyle w:val="26"/>
          <w:rFonts w:ascii="仿宋" w:eastAsia="仿宋" w:hint="eastAsia"/>
          <w:b w:val="0"/>
          <w:bCs/>
          <w:color w:val="000000"/>
          <w:sz w:val="32"/>
          <w:szCs w:val="32"/>
        </w:rPr>
      </w:pPr>
      <w:r>
        <w:rPr>
          <w:rStyle w:val="26"/>
          <w:rFonts w:ascii="仿宋" w:eastAsia="仿宋" w:hint="eastAsia"/>
          <w:bCs/>
          <w:color w:val="000000"/>
          <w:sz w:val="32"/>
          <w:szCs w:val="32"/>
          <w:lang w:val="en-US" w:eastAsia="zh-CN"/>
        </w:rPr>
        <w:t>16.住房保障支出（类）保障性安居工程支出（款）老旧小区改造（项）：</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749.28</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Style w:val="26"/>
          <w:rFonts w:ascii="仿宋" w:eastAsia="仿宋" w:hint="eastAsia"/>
          <w:b w:val="0"/>
          <w:bCs/>
          <w:color w:val="000000"/>
          <w:sz w:val="32"/>
          <w:szCs w:val="32"/>
          <w:lang w:val="en-US" w:eastAsia="zh-CN"/>
        </w:rPr>
      </w:pPr>
      <w:r>
        <w:rPr>
          <w:rStyle w:val="26"/>
          <w:rFonts w:ascii="仿宋" w:eastAsia="仿宋" w:hint="eastAsia"/>
          <w:bCs/>
          <w:color w:val="000000"/>
          <w:sz w:val="32"/>
          <w:szCs w:val="32"/>
          <w:lang w:val="en-US" w:eastAsia="zh-CN"/>
        </w:rPr>
        <w:t>17.住房保障支出（类）住房改革支出（款）住房公积金（项）：</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27.42</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Chars="200" w:firstLine="640"/>
        <w:rPr>
          <w:rStyle w:val="26"/>
          <w:rFonts w:ascii="仿宋" w:eastAsia="仿宋" w:hint="eastAsia"/>
          <w:b w:val="0"/>
          <w:bCs/>
          <w:color w:val="000000"/>
          <w:sz w:val="32"/>
          <w:szCs w:val="32"/>
          <w:lang w:val="en-US" w:eastAsia="zh-CN"/>
        </w:rPr>
      </w:pPr>
      <w:r>
        <w:rPr>
          <w:rStyle w:val="26"/>
          <w:rFonts w:ascii="仿宋" w:eastAsia="仿宋" w:hint="eastAsia"/>
          <w:bCs/>
          <w:color w:val="000000"/>
          <w:sz w:val="32"/>
          <w:szCs w:val="32"/>
          <w:lang w:val="en-US" w:eastAsia="zh-CN"/>
        </w:rPr>
        <w:t>18.其他支出（类）其他支出（款）其他支出（项）：</w:t>
      </w:r>
      <w:r>
        <w:rPr>
          <w:rStyle w:val="26"/>
          <w:rFonts w:ascii="仿宋" w:eastAsia="仿宋" w:hint="eastAsia"/>
          <w:b w:val="0"/>
          <w:bCs/>
          <w:color w:val="000000"/>
          <w:sz w:val="32"/>
          <w:szCs w:val="32"/>
        </w:rPr>
        <w:t>支出决算为</w:t>
      </w:r>
      <w:r>
        <w:rPr>
          <w:rStyle w:val="26"/>
          <w:rFonts w:ascii="仿宋" w:eastAsia="仿宋" w:hint="eastAsia"/>
          <w:b w:val="0"/>
          <w:bCs/>
          <w:color w:val="000000"/>
          <w:sz w:val="32"/>
          <w:szCs w:val="32"/>
          <w:lang w:val="en-US" w:eastAsia="zh-CN"/>
        </w:rPr>
        <w:t>9929.88</w:t>
      </w:r>
      <w:r>
        <w:rPr>
          <w:rStyle w:val="26"/>
          <w:rFonts w:ascii="仿宋" w:eastAsia="仿宋" w:hint="eastAsia"/>
          <w:b w:val="0"/>
          <w:bCs/>
          <w:color w:val="000000"/>
          <w:sz w:val="32"/>
          <w:szCs w:val="32"/>
        </w:rPr>
        <w:t>万元，完成预算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，决算数等于预算数。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426.72</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409.82</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85.23万元</w:t>
      </w:r>
      <w:r>
        <w:rPr>
          <w:rFonts w:ascii="仿宋" w:eastAsia="仿宋" w:hint="eastAsia"/>
          <w:color w:val="000000"/>
          <w:sz w:val="32"/>
          <w:szCs w:val="32"/>
        </w:rPr>
        <w:t>、津贴补贴</w:t>
      </w:r>
      <w:r>
        <w:rPr>
          <w:rFonts w:ascii="仿宋" w:eastAsia="仿宋" w:hint="eastAsia"/>
          <w:color w:val="000000"/>
          <w:sz w:val="32"/>
          <w:szCs w:val="32"/>
          <w:lang w:val="en-US" w:eastAsia="zh-CN"/>
        </w:rPr>
        <w:t>57.19万元</w:t>
      </w:r>
      <w:r>
        <w:rPr>
          <w:rFonts w:ascii="仿宋" w:eastAsia="仿宋" w:hint="eastAsia"/>
          <w:color w:val="000000"/>
          <w:sz w:val="32"/>
          <w:szCs w:val="32"/>
        </w:rPr>
        <w:t>、奖金</w:t>
      </w:r>
      <w:r>
        <w:rPr>
          <w:rFonts w:ascii="仿宋" w:eastAsia="仿宋" w:hint="eastAsia"/>
          <w:color w:val="000000"/>
          <w:sz w:val="32"/>
          <w:szCs w:val="32"/>
          <w:lang w:val="en-US" w:eastAsia="zh-CN"/>
        </w:rPr>
        <w:t>70.95万元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35.22万元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33.37万元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16.32万元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职工基本医疗保险缴费15.58万元、公务员医疗补助缴费3.67万元、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5.93万元</w:t>
      </w:r>
      <w:r>
        <w:rPr>
          <w:rFonts w:ascii="仿宋" w:eastAsia="仿宋" w:hint="eastAsia"/>
          <w:color w:val="000000"/>
          <w:sz w:val="32"/>
          <w:szCs w:val="32"/>
        </w:rPr>
        <w:t>、住房公积金</w:t>
      </w:r>
      <w:r>
        <w:rPr>
          <w:rFonts w:ascii="仿宋" w:eastAsia="仿宋" w:hint="eastAsia"/>
          <w:color w:val="000000"/>
          <w:sz w:val="32"/>
          <w:szCs w:val="32"/>
          <w:lang w:val="en-US" w:eastAsia="zh-CN"/>
        </w:rPr>
        <w:t>27.42万元；对个人和家庭的补助生活补助15.90万元、奖励金43.05万元</w:t>
      </w:r>
      <w:r>
        <w:rPr>
          <w:rFonts w:ascii="仿宋" w:eastAsia="仿宋" w:hint="eastAsia"/>
          <w:color w:val="000000"/>
          <w:sz w:val="32"/>
          <w:szCs w:val="32"/>
        </w:rPr>
        <w:t>等。</w:t>
      </w:r>
      <w:r>
        <w:rPr>
          <w:rFonts w:ascii="仿宋" w:eastAsia="仿宋"/>
          <w:color w:val="000000"/>
          <w:sz w:val="32"/>
          <w:szCs w:val="32"/>
        </w:rPr>
        <w:br/>
      </w:r>
      <w:r>
        <w:rPr>
          <w:rFonts w:ascii="仿宋" w:eastAsia="仿宋" w:hint="eastAsia"/>
          <w:color w:val="000000"/>
          <w:sz w:val="32"/>
          <w:szCs w:val="32"/>
        </w:rPr>
        <w:t>　　公用经费</w:t>
      </w:r>
      <w:r>
        <w:rPr>
          <w:rFonts w:ascii="仿宋" w:eastAsia="仿宋" w:hint="eastAsia"/>
          <w:color w:val="000000"/>
          <w:sz w:val="32"/>
          <w:szCs w:val="32"/>
          <w:lang w:val="en-US" w:eastAsia="zh-CN"/>
        </w:rPr>
        <w:t>16.89</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4万元</w:t>
      </w:r>
      <w:r>
        <w:rPr>
          <w:rFonts w:ascii="仿宋" w:eastAsia="仿宋" w:hint="eastAsia"/>
          <w:color w:val="000000"/>
          <w:sz w:val="32"/>
          <w:szCs w:val="32"/>
        </w:rPr>
        <w:t>、电费</w:t>
      </w:r>
      <w:r>
        <w:rPr>
          <w:rFonts w:ascii="仿宋" w:eastAsia="仿宋" w:hint="eastAsia"/>
          <w:color w:val="000000"/>
          <w:sz w:val="32"/>
          <w:szCs w:val="32"/>
          <w:lang w:val="en-US" w:eastAsia="zh-CN"/>
        </w:rPr>
        <w:t>1.04万元</w:t>
      </w:r>
      <w:r>
        <w:rPr>
          <w:rFonts w:ascii="仿宋" w:eastAsia="仿宋" w:hint="eastAsia"/>
          <w:color w:val="000000"/>
          <w:sz w:val="32"/>
          <w:szCs w:val="32"/>
        </w:rPr>
        <w:t>、邮电费</w:t>
      </w:r>
      <w:r>
        <w:rPr>
          <w:rFonts w:ascii="仿宋" w:eastAsia="仿宋" w:hint="eastAsia"/>
          <w:color w:val="000000"/>
          <w:sz w:val="32"/>
          <w:szCs w:val="32"/>
          <w:lang w:val="en-US" w:eastAsia="zh-CN"/>
        </w:rPr>
        <w:t>2.8万元</w:t>
      </w:r>
      <w:r>
        <w:rPr>
          <w:rFonts w:ascii="仿宋" w:eastAsia="仿宋" w:hint="eastAsia"/>
          <w:color w:val="000000"/>
          <w:sz w:val="32"/>
          <w:szCs w:val="32"/>
        </w:rPr>
        <w:t>、差旅费</w:t>
      </w:r>
      <w:r>
        <w:rPr>
          <w:rFonts w:ascii="仿宋" w:eastAsia="仿宋" w:hint="eastAsia"/>
          <w:color w:val="000000"/>
          <w:sz w:val="32"/>
          <w:szCs w:val="32"/>
          <w:lang w:val="en-US" w:eastAsia="zh-CN"/>
        </w:rPr>
        <w:t>6.07万元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2.98万元</w:t>
      </w:r>
      <w:r>
        <w:rPr>
          <w:rFonts w:ascii="仿宋" w:eastAsia="仿宋" w:hint="eastAsia"/>
          <w:color w:val="000000"/>
          <w:sz w:val="32"/>
          <w:szCs w:val="32"/>
        </w:rPr>
        <w:t>等。</w:t>
      </w:r>
    </w:p>
    <w:p>
      <w:pPr>
        <w:spacing w:line="600" w:lineRule="exact"/>
        <w:ind w:firstLineChars="200" w:firstLine="640"/>
        <w:outlineLvl w:val="1"/>
        <w:rPr>
          <w:rStyle w:val="2Char"/>
          <w:rFonts w:ascii="黑体" w:eastAsia="黑体"/>
          <w:b w:val="0"/>
        </w:rPr>
      </w:pPr>
      <w:bookmarkStart w:id="42" w:name="_Toc15396609"/>
      <w:bookmarkStart w:id="43" w:name="_Toc15377215"/>
      <w:r>
        <w:rPr>
          <w:rFonts w:ascii="黑体" w:eastAsia="黑体" w:hint="eastAsia"/>
          <w:color w:val="000000"/>
          <w:sz w:val="32"/>
          <w:szCs w:val="32"/>
        </w:rPr>
        <w:t>七、</w:t>
      </w:r>
      <w:r>
        <w:rPr>
          <w:rFonts w:ascii="黑体" w:eastAsia="黑体" w:hint="eastAsia"/>
          <w:color w:val="000000"/>
          <w:sz w:val="32"/>
          <w:szCs w:val="32"/>
          <w:lang w:val="en-US" w:eastAsia="zh-CN"/>
        </w:rPr>
        <w:t>财政拨款</w:t>
      </w:r>
      <w:r>
        <w:rPr>
          <w:rStyle w:val="2Char"/>
          <w:rFonts w:ascii="黑体" w:eastAsia="黑体" w:hint="eastAsia"/>
        </w:rPr>
        <w:t>“</w:t>
      </w:r>
      <w:r>
        <w:rPr>
          <w:rStyle w:val="2Char"/>
          <w:rFonts w:ascii="黑体" w:eastAsia="黑体" w:hint="eastAsia"/>
          <w:b w:val="0"/>
        </w:rPr>
        <w:t>三公”经费支出决算情况说明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2.98</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，决算数</w:t>
      </w:r>
      <w:r>
        <w:rPr>
          <w:rFonts w:ascii="仿宋" w:eastAsia="仿宋" w:hint="eastAsia"/>
          <w:color w:val="000000"/>
          <w:sz w:val="32"/>
          <w:szCs w:val="32"/>
          <w:lang w:val="en-US" w:eastAsia="zh-CN"/>
        </w:rPr>
        <w:t>等于</w:t>
      </w:r>
      <w:r>
        <w:rPr>
          <w:rFonts w:ascii="仿宋" w:eastAsia="仿宋" w:hint="eastAsia"/>
          <w:color w:val="000000"/>
          <w:sz w:val="32"/>
          <w:szCs w:val="32"/>
        </w:rPr>
        <w:t>预算数。</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2.98万元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w:t>
      </w:r>
      <w:r>
        <w:rPr>
          <w:rFonts w:ascii="仿宋" w:eastAsia="仿宋" w:hint="eastAsia"/>
          <w:color w:val="000000"/>
          <w:sz w:val="32"/>
          <w:szCs w:val="32"/>
          <w:lang w:val="en-US" w:eastAsia="zh-CN"/>
        </w:rPr>
        <w:t>0万元；公务用车</w:t>
      </w:r>
      <w:r>
        <w:rPr>
          <w:rFonts w:ascii="仿宋" w:eastAsia="仿宋" w:hint="eastAsia"/>
          <w:color w:val="000000"/>
          <w:sz w:val="32"/>
          <w:szCs w:val="32"/>
        </w:rPr>
        <w:t>运行维护费支出决算</w:t>
      </w:r>
      <w:r>
        <w:rPr>
          <w:rFonts w:ascii="仿宋" w:eastAsia="仿宋" w:hint="eastAsia"/>
          <w:color w:val="000000"/>
          <w:sz w:val="32"/>
          <w:szCs w:val="32"/>
          <w:lang w:val="en-US" w:eastAsia="zh-CN"/>
        </w:rPr>
        <w:t>2.98</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_GB2312" w:eastAsia="仿宋_GB2312"/>
          <w:color w:val="000000"/>
          <w:sz w:val="32"/>
          <w:szCs w:val="32"/>
        </w:rPr>
      </w:pPr>
      <w:r>
        <w:rPr>
          <w:rFonts w:ascii="仿宋" w:eastAsia="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149225</wp:posOffset>
            </wp:positionH>
            <wp:positionV relativeFrom="paragraph">
              <wp:posOffset>118745</wp:posOffset>
            </wp:positionV>
            <wp:extent cx="5079999" cy="3810000"/>
            <wp:effectExtent l="0" t="0" r="0" b="0"/>
            <wp:wrapTight wrapText="bothSides">
              <wp:wrapPolygon>
                <wp:start x="-27" y="-29"/>
                <wp:lineTo x="-27" y="21570"/>
                <wp:lineTo x="21599" y="21570"/>
                <wp:lineTo x="21599" y="-29"/>
                <wp:lineTo x="-27" y="-29"/>
              </wp:wrapPolygon>
            </wp:wrapTight>
            <wp:docPr id="7" name="图表 12"/>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6"/>
          <w:rFonts w:ascii="仿宋" w:eastAsia="仿宋" w:hint="eastAsia"/>
          <w:b w:val="0"/>
          <w:bCs/>
          <w:color w:val="000000"/>
          <w:sz w:val="32"/>
          <w:szCs w:val="32"/>
        </w:rPr>
        <w:t>完成预算</w:t>
      </w:r>
      <w:r>
        <w:rPr>
          <w:rStyle w:val="26"/>
          <w:rFonts w:ascii="仿宋" w:eastAsia="仿宋" w:hint="eastAsia"/>
          <w:b w:val="0"/>
          <w:bCs/>
          <w:color w:val="000000"/>
          <w:sz w:val="32"/>
          <w:szCs w:val="32"/>
          <w:lang w:val="en-US" w:eastAsia="zh-CN"/>
        </w:rPr>
        <w:t>0</w:t>
      </w:r>
      <w:r>
        <w:rPr>
          <w:rStyle w:val="26"/>
          <w:rFonts w:ascii="仿宋" w:eastAsia="仿宋"/>
          <w:b w:val="0"/>
          <w:bCs/>
          <w:color w:val="000000"/>
          <w:sz w:val="32"/>
          <w:szCs w:val="32"/>
        </w:rPr>
        <w:t>%</w:t>
      </w:r>
      <w:r>
        <w:rPr>
          <w:rStyle w:val="26"/>
          <w:rFonts w:ascii="仿宋" w:eastAsia="仿宋" w:hint="eastAsia"/>
          <w:b w:val="0"/>
          <w:bCs/>
          <w:color w:val="000000"/>
          <w:sz w:val="32"/>
          <w:szCs w:val="32"/>
        </w:rPr>
        <w:t>。</w:t>
      </w:r>
      <w:r>
        <w:rPr>
          <w:rFonts w:ascii="仿宋_GB2312" w:eastAsia="仿宋_GB2312" w:hint="eastAsia"/>
          <w:color w:val="auto"/>
          <w:sz w:val="32"/>
          <w:szCs w:val="32"/>
        </w:rPr>
        <w:t>全年安排因公出国（境）团组</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次，出国（境）</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人。因</w:t>
      </w:r>
      <w:r>
        <w:rPr>
          <w:rFonts w:ascii="仿宋_GB2312" w:eastAsia="仿宋_GB2312" w:hint="eastAsia"/>
          <w:color w:val="000000"/>
          <w:sz w:val="32"/>
          <w:szCs w:val="32"/>
        </w:rPr>
        <w:t>公出国（境）支出决算比</w:t>
      </w:r>
      <w:r>
        <w:rPr>
          <w:rFonts w:ascii="仿宋_GB2312" w:eastAsia="仿宋_GB2312" w:hint="eastAsia"/>
          <w:color w:val="000000"/>
          <w:sz w:val="32"/>
          <w:szCs w:val="32"/>
          <w:lang w:eastAsia="zh-CN"/>
        </w:rPr>
        <w:t>上</w:t>
      </w:r>
      <w:r>
        <w:rPr>
          <w:rFonts w:ascii="仿宋_GB2312" w:eastAsia="仿宋_GB2312" w:hint="eastAsia"/>
          <w:color w:val="000000"/>
          <w:sz w:val="32"/>
          <w:szCs w:val="32"/>
        </w:rPr>
        <w:t>年</w:t>
      </w:r>
      <w:r>
        <w:rPr>
          <w:rFonts w:ascii="仿宋_GB2312" w:eastAsia="仿宋_GB2312" w:cs="仿宋" w:hint="eastAsia"/>
          <w:color w:val="000000"/>
          <w:sz w:val="32"/>
          <w:szCs w:val="32"/>
          <w:lang w:val="en-US" w:eastAsia="zh-CN"/>
        </w:rPr>
        <w:t>增加0万元。</w:t>
      </w:r>
    </w:p>
    <w:p>
      <w:pPr>
        <w:spacing w:line="600" w:lineRule="exact"/>
        <w:ind w:firstLine="640"/>
        <w:rPr>
          <w:rFonts w:ascii="仿宋_GB2312" w:eastAsia="仿宋_GB2312"/>
          <w:b/>
          <w:color w:val="auto"/>
          <w:sz w:val="32"/>
          <w:szCs w:val="32"/>
          <w:lang w:val="en-US" w:eastAsia="zh-CN"/>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2.98</w:t>
      </w:r>
      <w:r>
        <w:rPr>
          <w:rFonts w:ascii="仿宋_GB2312" w:eastAsia="仿宋_GB2312" w:hint="eastAsia"/>
          <w:color w:val="000000"/>
          <w:sz w:val="32"/>
          <w:szCs w:val="32"/>
        </w:rPr>
        <w:t>万元,</w:t>
      </w:r>
      <w:r>
        <w:rPr>
          <w:rStyle w:val="26"/>
          <w:rFonts w:ascii="仿宋" w:eastAsia="仿宋" w:hint="eastAsia"/>
          <w:b w:val="0"/>
          <w:bCs/>
          <w:color w:val="000000"/>
          <w:sz w:val="32"/>
          <w:szCs w:val="32"/>
        </w:rPr>
        <w:t>完成预算</w:t>
      </w:r>
      <w:r>
        <w:rPr>
          <w:rStyle w:val="26"/>
          <w:rFonts w:ascii="仿宋" w:eastAsia="仿宋" w:hint="eastAsia"/>
          <w:b w:val="0"/>
          <w:bCs/>
          <w:color w:val="000000"/>
          <w:sz w:val="32"/>
          <w:szCs w:val="32"/>
          <w:lang w:val="en-US" w:eastAsia="zh-CN"/>
        </w:rPr>
        <w:t>100</w:t>
      </w:r>
      <w:r>
        <w:rPr>
          <w:rStyle w:val="26"/>
          <w:rFonts w:ascii="仿宋" w:eastAsia="仿宋"/>
          <w:b w:val="0"/>
          <w:bCs/>
          <w:color w:val="000000"/>
          <w:sz w:val="32"/>
          <w:szCs w:val="32"/>
        </w:rPr>
        <w:t>%</w:t>
      </w:r>
      <w:r>
        <w:rPr>
          <w:rStyle w:val="26"/>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val="en-US" w:eastAsia="zh-CN"/>
        </w:rPr>
        <w:t>比2021</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减少0.66</w:t>
      </w:r>
      <w:r>
        <w:rPr>
          <w:rFonts w:ascii="仿宋_GB2312" w:eastAsia="仿宋_GB2312"/>
          <w:color w:val="auto"/>
          <w:sz w:val="32"/>
          <w:szCs w:val="32"/>
        </w:rPr>
        <w:t>%</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原因是2022年厉行节约，经费减少。</w:t>
      </w:r>
    </w:p>
    <w:p>
      <w:pPr>
        <w:autoSpaceDE w:val="0"/>
        <w:autoSpaceDN w:val="0"/>
        <w:adjustRightInd w:val="0"/>
        <w:spacing w:line="600" w:lineRule="exact"/>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val="0"/>
          <w:bCs/>
          <w:color w:val="000000"/>
          <w:sz w:val="32"/>
          <w:szCs w:val="32"/>
          <w:lang w:val="en-US" w:eastAsia="zh-CN"/>
        </w:rPr>
        <w:t>2.98</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我单位</w:t>
      </w:r>
      <w:r>
        <w:rPr>
          <w:rFonts w:ascii="仿宋_GB2312" w:eastAsia="仿宋_GB2312" w:hint="eastAsia"/>
          <w:color w:val="000000"/>
          <w:sz w:val="32"/>
          <w:szCs w:val="32"/>
        </w:rPr>
        <w:t>所需的公务用车燃料费、维修费、过路过桥费、保险费等支出。</w:t>
      </w:r>
    </w:p>
    <w:p>
      <w:pPr>
        <w:numPr>
          <w:ilvl w:val="0"/>
          <w:numId w:val="3"/>
        </w:numPr>
        <w:spacing w:line="600" w:lineRule="exact"/>
        <w:ind w:left="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rPr>
        <w:t>公务接待费支出</w:t>
      </w:r>
      <w:r>
        <w:rPr>
          <w:rFonts w:ascii="仿宋_GB2312" w:eastAsia="仿宋_GB2312" w:hint="eastAsia"/>
          <w:b w:val="0"/>
          <w:bCs/>
          <w:color w:val="000000"/>
          <w:sz w:val="32"/>
          <w:szCs w:val="32"/>
          <w:lang w:val="en-US" w:eastAsia="zh-CN"/>
        </w:rPr>
        <w:t>0</w:t>
      </w:r>
      <w:r>
        <w:rPr>
          <w:rFonts w:ascii="仿宋_GB2312" w:eastAsia="仿宋_GB2312" w:hint="eastAsia"/>
          <w:color w:val="000000"/>
          <w:sz w:val="32"/>
          <w:szCs w:val="32"/>
        </w:rPr>
        <w:t>万元，</w:t>
      </w:r>
      <w:r>
        <w:rPr>
          <w:rStyle w:val="26"/>
          <w:rFonts w:ascii="仿宋" w:eastAsia="仿宋" w:hint="eastAsia"/>
          <w:b w:val="0"/>
          <w:bCs/>
          <w:color w:val="000000"/>
          <w:sz w:val="32"/>
          <w:szCs w:val="32"/>
        </w:rPr>
        <w:t>完成预算</w:t>
      </w:r>
      <w:r>
        <w:rPr>
          <w:rStyle w:val="26"/>
          <w:rFonts w:ascii="仿宋" w:eastAsia="仿宋" w:hint="eastAsia"/>
          <w:b w:val="0"/>
          <w:bCs/>
          <w:color w:val="000000"/>
          <w:sz w:val="32"/>
          <w:szCs w:val="32"/>
          <w:lang w:val="en-US" w:eastAsia="zh-CN"/>
        </w:rPr>
        <w:t>0</w:t>
      </w:r>
      <w:r>
        <w:rPr>
          <w:rStyle w:val="26"/>
          <w:rFonts w:ascii="仿宋" w:eastAsia="仿宋"/>
          <w:b w:val="0"/>
          <w:bCs/>
          <w:color w:val="000000"/>
          <w:sz w:val="32"/>
          <w:szCs w:val="32"/>
        </w:rPr>
        <w:t>%</w:t>
      </w:r>
      <w:r>
        <w:rPr>
          <w:rStyle w:val="26"/>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公务接待费0万元，较上年减少0.12万元，减少100%，减少原因是严格执行有关规定，</w:t>
      </w:r>
      <w:r>
        <w:rPr>
          <w:rFonts w:ascii="仿宋_GB2312" w:eastAsia="仿宋_GB2312" w:hint="eastAsia"/>
          <w:color w:val="auto"/>
          <w:sz w:val="32"/>
          <w:szCs w:val="32"/>
          <w:lang w:val="en-US" w:eastAsia="zh-CN"/>
        </w:rPr>
        <w:t>2022年厉行节约，经费减少</w:t>
      </w:r>
      <w:r>
        <w:rPr>
          <w:rFonts w:ascii="仿宋_GB2312" w:eastAsia="仿宋_GB2312" w:cs="仿宋" w:hint="eastAsia"/>
          <w:color w:val="000000"/>
          <w:sz w:val="32"/>
          <w:szCs w:val="32"/>
          <w:lang w:val="en-US" w:eastAsia="zh-CN"/>
        </w:rPr>
        <w:t>。</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6" w:name="_Toc15377218"/>
      <w:bookmarkStart w:id="47" w:name="_Toc15396610"/>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4"/>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outlineLvl w:val="1"/>
        <w:rPr>
          <w:rStyle w:val="2Char"/>
          <w:rFonts w:ascii="黑体" w:eastAsia="黑体"/>
        </w:rPr>
      </w:pPr>
      <w:bookmarkStart w:id="50" w:name="_Toc15396612"/>
      <w:bookmarkStart w:id="51"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0"/>
      <w:bookmarkEnd w:id="51"/>
    </w:p>
    <w:p>
      <w:pPr>
        <w:pStyle w:val="32"/>
        <w:spacing w:line="580" w:lineRule="exact"/>
        <w:ind w:left="709"/>
        <w:rPr>
          <w:rStyle w:val="2Char"/>
          <w:rFonts w:ascii="黑体" w:eastAsia="黑体"/>
          <w:b w:val="0"/>
        </w:rPr>
      </w:pPr>
      <w:bookmarkStart w:id="52" w:name="_Toc15377222"/>
      <w:r>
        <w:rPr>
          <w:rStyle w:val="2Char"/>
          <w:rFonts w:ascii="黑体" w:eastAsia="黑体" w:hint="eastAsia"/>
          <w:b w:val="0"/>
          <w:lang w:val="en-US"/>
        </w:rPr>
        <w:t>1、</w:t>
      </w:r>
      <w:r>
        <w:rPr>
          <w:rStyle w:val="2Char"/>
          <w:rFonts w:ascii="黑体" w:eastAsia="黑体" w:hint="eastAsia"/>
          <w:b w:val="0"/>
        </w:rPr>
        <w:t>预算绩效情况说明</w:t>
      </w:r>
    </w:p>
    <w:p>
      <w:pPr>
        <w:numPr>
          <w:ilvl w:val="0"/>
          <w:numId w:val="5"/>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600" w:lineRule="atLeas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按照预算绩效管理要求，本单位对</w:t>
      </w:r>
      <w:r>
        <w:rPr>
          <w:rFonts w:ascii="仿宋_GB2312" w:eastAsia="仿宋_GB2312" w:cs="仿宋_GB2312" w:hint="eastAsia"/>
          <w:sz w:val="32"/>
          <w:szCs w:val="32"/>
          <w:lang w:val="en-US" w:eastAsia="zh-CN"/>
        </w:rPr>
        <w:t>2022</w:t>
      </w:r>
      <w:r>
        <w:rPr>
          <w:rFonts w:ascii="仿宋_GB2312" w:eastAsia="仿宋_GB2312" w:cs="仿宋_GB2312" w:hint="eastAsia"/>
          <w:sz w:val="32"/>
          <w:szCs w:val="32"/>
        </w:rPr>
        <w:t>年一般公共预算项目支出开展了绩效目标管理，编制绩效目标，涉及财政资金</w:t>
      </w:r>
      <w:r>
        <w:rPr>
          <w:rFonts w:ascii="仿宋_GB2312" w:eastAsia="仿宋_GB2312" w:cs="仿宋_GB2312" w:hint="eastAsia"/>
          <w:sz w:val="32"/>
          <w:szCs w:val="32"/>
          <w:lang w:val="en-US" w:eastAsia="zh-CN"/>
        </w:rPr>
        <w:t>15265.30</w:t>
      </w:r>
      <w:r>
        <w:rPr>
          <w:rFonts w:ascii="仿宋_GB2312" w:eastAsia="仿宋_GB2312" w:cs="仿宋_GB2312" w:hint="eastAsia"/>
          <w:sz w:val="32"/>
          <w:szCs w:val="32"/>
        </w:rPr>
        <w:t>万元，覆盖率达到100%。</w:t>
      </w:r>
    </w:p>
    <w:p>
      <w:pPr>
        <w:spacing w:line="600" w:lineRule="atLeast"/>
        <w:ind w:firstLineChars="200" w:firstLine="640"/>
        <w:rPr>
          <w:rFonts w:ascii="仿宋_GB2312" w:eastAsia="仿宋_GB2312" w:cs="仿宋_GB2312" w:hint="eastAsia"/>
          <w:sz w:val="32"/>
          <w:szCs w:val="32"/>
        </w:rPr>
      </w:pPr>
      <w:r>
        <w:rPr>
          <w:rFonts w:ascii="仿宋" w:eastAsia="仿宋" w:cs="楷体_GB2312" w:hint="eastAsia"/>
          <w:b/>
          <w:bCs/>
          <w:sz w:val="32"/>
          <w:szCs w:val="32"/>
          <w:lang w:eastAsia="zh-CN"/>
        </w:rPr>
        <w:t>（二）</w:t>
      </w:r>
      <w:r>
        <w:rPr>
          <w:rFonts w:ascii="仿宋" w:eastAsia="仿宋" w:cs="楷体_GB2312" w:hint="eastAsia"/>
          <w:b/>
          <w:bCs/>
          <w:sz w:val="32"/>
          <w:szCs w:val="32"/>
        </w:rPr>
        <w:t>项目绩效目标完成情况。</w:t>
      </w:r>
      <w:r>
        <w:rPr>
          <w:rFonts w:ascii="楷体_GB2312" w:eastAsia="楷体_GB2312" w:cs="楷体_GB2312" w:hint="eastAsia"/>
          <w:b/>
          <w:bCs/>
          <w:sz w:val="32"/>
          <w:szCs w:val="32"/>
        </w:rPr>
        <w:br/>
      </w:r>
      <w:r>
        <w:rPr>
          <w:rFonts w:ascii="仿宋_GB2312" w:eastAsia="仿宋_GB2312" w:cs="仿宋_GB2312" w:hint="eastAsia"/>
          <w:sz w:val="32"/>
          <w:szCs w:val="32"/>
        </w:rPr>
        <w:t xml:space="preserve">    部门预算执行情况良好，无不良记录及违规违纪行为，预算支出和决算支出基本情况相符。</w:t>
      </w:r>
    </w:p>
    <w:p>
      <w:pPr>
        <w:tabs>
          <w:tab w:val="left" w:pos="0"/>
        </w:tabs>
        <w:spacing w:line="580" w:lineRule="exact"/>
        <w:ind w:leftChars="200" w:left="420" w:firstLineChars="100" w:firstLine="320"/>
        <w:rPr>
          <w:rFonts w:ascii="仿宋" w:eastAsia="仿宋" w:cs="仿宋_GB2312"/>
          <w:sz w:val="32"/>
          <w:szCs w:val="32"/>
        </w:rPr>
      </w:pPr>
      <w:r>
        <w:rPr>
          <w:rFonts w:ascii="仿宋" w:eastAsia="仿宋" w:cs="楷体_GB2312" w:hint="eastAsia"/>
          <w:b/>
          <w:bCs/>
          <w:sz w:val="32"/>
          <w:szCs w:val="32"/>
          <w:lang w:eastAsia="zh-CN"/>
        </w:rPr>
        <w:t>（三）</w:t>
      </w: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rPr>
        <w:t>年部门整体支出绩效评价情况开展自评，</w:t>
      </w:r>
      <w:r>
        <w:rPr>
          <w:rFonts w:ascii="仿宋_GB2312" w:eastAsia="仿宋_GB2312" w:hint="eastAsia"/>
          <w:sz w:val="32"/>
          <w:szCs w:val="32"/>
        </w:rPr>
        <w:t>《</w:t>
      </w:r>
      <w:r>
        <w:rPr>
          <w:rFonts w:ascii="仿宋_GB2312" w:eastAsia="仿宋_GB2312" w:hint="eastAsia"/>
          <w:sz w:val="32"/>
          <w:szCs w:val="32"/>
          <w:lang w:eastAsia="zh-CN"/>
        </w:rPr>
        <w:t>金川县住房和城乡建设局</w:t>
      </w:r>
      <w:r>
        <w:rPr>
          <w:rFonts w:ascii="仿宋_GB2312" w:eastAsia="仿宋_GB2312" w:hint="eastAsia"/>
          <w:sz w:val="32"/>
          <w:szCs w:val="32"/>
          <w:lang w:val="en-US" w:eastAsia="zh-CN"/>
        </w:rPr>
        <w:t>2022</w:t>
      </w:r>
      <w:r>
        <w:rPr>
          <w:rFonts w:ascii="仿宋_GB2312" w:eastAsia="仿宋_GB2312" w:hint="eastAsia"/>
          <w:sz w:val="32"/>
          <w:szCs w:val="32"/>
        </w:rPr>
        <w:t>年部门</w:t>
      </w:r>
      <w:r>
        <w:rPr>
          <w:rFonts w:ascii="仿宋_GB2312" w:eastAsia="仿宋_GB2312" w:hint="eastAsia"/>
          <w:sz w:val="32"/>
          <w:szCs w:val="32"/>
          <w:lang w:eastAsia="zh-CN"/>
        </w:rPr>
        <w:t>预算</w:t>
      </w:r>
      <w:r>
        <w:rPr>
          <w:rFonts w:ascii="仿宋_GB2312" w:eastAsia="仿宋_GB2312" w:hint="eastAsia"/>
          <w:sz w:val="32"/>
          <w:szCs w:val="32"/>
          <w:lang w:val="en-US" w:eastAsia="zh-CN"/>
        </w:rPr>
        <w:t>整体</w:t>
      </w:r>
      <w:r>
        <w:rPr>
          <w:rFonts w:ascii="仿宋_GB2312" w:eastAsia="仿宋_GB2312" w:hint="eastAsia"/>
          <w:sz w:val="32"/>
          <w:szCs w:val="32"/>
        </w:rPr>
        <w:t>支出绩效</w:t>
      </w:r>
      <w:r>
        <w:rPr>
          <w:rFonts w:ascii="仿宋_GB2312" w:eastAsia="仿宋_GB2312" w:hint="eastAsia"/>
          <w:sz w:val="32"/>
          <w:szCs w:val="32"/>
          <w:lang w:val="en-US" w:eastAsia="zh-CN"/>
        </w:rPr>
        <w:t>评价</w:t>
      </w:r>
      <w:r>
        <w:rPr>
          <w:rFonts w:ascii="仿宋_GB2312" w:eastAsia="仿宋_GB2312" w:hint="eastAsia"/>
          <w:sz w:val="32"/>
          <w:szCs w:val="32"/>
        </w:rPr>
        <w:t>报告》</w:t>
      </w:r>
      <w:r>
        <w:rPr>
          <w:rFonts w:ascii="仿宋_GB2312" w:eastAsia="仿宋_GB2312" w:cs="仿宋_GB2312" w:hint="eastAsia"/>
          <w:sz w:val="32"/>
          <w:szCs w:val="32"/>
        </w:rPr>
        <w:t>见附件。</w:t>
      </w:r>
    </w:p>
    <w:p>
      <w:pPr>
        <w:pStyle w:val="32"/>
        <w:spacing w:line="580" w:lineRule="exact"/>
        <w:ind w:left="709"/>
        <w:rPr>
          <w:rFonts w:ascii="仿宋" w:eastAsia="仿宋" w:hint="eastAsia"/>
          <w:b/>
          <w:color w:val="000000"/>
          <w:sz w:val="32"/>
          <w:szCs w:val="32"/>
          <w:lang w:val="en-US" w:eastAsia="zh-CN"/>
        </w:rPr>
      </w:pPr>
      <w:r>
        <w:rPr>
          <w:rFonts w:ascii="仿宋" w:eastAsia="仿宋" w:hint="eastAsia"/>
          <w:b/>
          <w:color w:val="000000"/>
          <w:sz w:val="32"/>
          <w:szCs w:val="32"/>
          <w:lang w:val="en-US" w:eastAsia="zh-CN"/>
        </w:rPr>
        <w:t>2、其他</w:t>
      </w:r>
      <w:r>
        <w:rPr>
          <w:rStyle w:val="2Char"/>
          <w:rFonts w:ascii="黑体" w:eastAsia="黑体" w:hint="eastAsia"/>
          <w:b w:val="0"/>
        </w:rPr>
        <w:t>情况说明</w:t>
      </w:r>
    </w:p>
    <w:p>
      <w:pPr>
        <w:spacing w:line="600" w:lineRule="exact"/>
        <w:ind w:left="0" w:firstLineChars="200" w:firstLine="640"/>
        <w:outlineLvl w:val="2"/>
        <w:rPr>
          <w:rFonts w:ascii="仿宋" w:eastAsia="仿宋"/>
          <w:color w:val="000000"/>
          <w:sz w:val="32"/>
          <w:szCs w:val="32"/>
        </w:rPr>
      </w:pPr>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hint="eastAsia"/>
          <w:sz w:val="32"/>
          <w:szCs w:val="32"/>
          <w:lang w:eastAsia="zh-CN"/>
        </w:rPr>
        <w:t>金川县住房和城乡建设局</w:t>
      </w:r>
      <w:r>
        <w:rPr>
          <w:rFonts w:ascii="仿宋_GB2312" w:eastAsia="仿宋_GB2312" w:hint="eastAsia"/>
          <w:color w:val="000000"/>
          <w:sz w:val="32"/>
          <w:szCs w:val="32"/>
        </w:rPr>
        <w:t>运行经费支出</w:t>
      </w:r>
      <w:r>
        <w:rPr>
          <w:rFonts w:ascii="仿宋_GB2312" w:eastAsia="仿宋_GB2312" w:hint="eastAsia"/>
          <w:color w:val="000000"/>
          <w:sz w:val="32"/>
          <w:szCs w:val="32"/>
          <w:lang w:val="en-US" w:eastAsia="zh-CN"/>
        </w:rPr>
        <w:t>8.14</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7.64</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下降</w:t>
      </w:r>
      <w:r>
        <w:rPr>
          <w:rFonts w:ascii="仿宋_GB2312" w:eastAsia="仿宋_GB2312" w:hint="eastAsia"/>
          <w:color w:val="000000"/>
          <w:sz w:val="32"/>
          <w:szCs w:val="32"/>
          <w:lang w:val="en-US" w:eastAsia="zh-CN"/>
        </w:rPr>
        <w:t>48.42</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auto"/>
          <w:sz w:val="32"/>
          <w:szCs w:val="32"/>
        </w:rPr>
        <w:t>主要原因</w:t>
      </w:r>
      <w:r>
        <w:rPr>
          <w:rFonts w:ascii="仿宋_GB2312" w:eastAsia="仿宋_GB2312" w:hint="eastAsia"/>
          <w:color w:val="auto"/>
          <w:sz w:val="32"/>
          <w:szCs w:val="32"/>
          <w:lang w:val="en-US" w:eastAsia="zh-CN"/>
        </w:rPr>
        <w:t>为本年度按照规定厉行节约，经费减少。</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spacing w:line="600" w:lineRule="exact"/>
        <w:ind w:firstLineChars="200" w:firstLine="640"/>
        <w:rPr>
          <w:rFonts w:ascii="仿宋" w:eastAsia="仿宋"/>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173.31</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52.80</w:t>
      </w:r>
      <w:r>
        <w:rPr>
          <w:rFonts w:ascii="仿宋_GB2312" w:eastAsia="仿宋_GB2312" w:hint="eastAsia"/>
          <w:color w:val="000000"/>
          <w:sz w:val="32"/>
          <w:szCs w:val="32"/>
        </w:rPr>
        <w:t>万元、政府采购</w:t>
      </w:r>
      <w:r>
        <w:rPr>
          <w:rFonts w:ascii="仿宋_GB2312" w:eastAsia="仿宋_GB2312" w:hint="eastAsia"/>
          <w:color w:val="000000"/>
          <w:sz w:val="32"/>
          <w:szCs w:val="32"/>
          <w:lang w:eastAsia="zh-CN"/>
        </w:rPr>
        <w:t>工程</w:t>
      </w:r>
      <w:r>
        <w:rPr>
          <w:rFonts w:ascii="仿宋_GB2312" w:eastAsia="仿宋_GB2312" w:hint="eastAsia"/>
          <w:color w:val="000000"/>
          <w:sz w:val="32"/>
          <w:szCs w:val="32"/>
        </w:rPr>
        <w:t>支出</w:t>
      </w:r>
      <w:r>
        <w:rPr>
          <w:rFonts w:ascii="仿宋_GB2312" w:eastAsia="仿宋_GB2312" w:hint="eastAsia"/>
          <w:color w:val="000000"/>
          <w:sz w:val="32"/>
          <w:szCs w:val="32"/>
          <w:lang w:val="en-US" w:eastAsia="zh-CN"/>
        </w:rPr>
        <w:t>120.51</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、政府采购服务支出0万元</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4"/>
      <w:r>
        <w:rPr>
          <w:rFonts w:ascii="仿宋" w:eastAsia="仿宋" w:hint="eastAsia"/>
          <w:b/>
          <w:color w:val="000000"/>
          <w:sz w:val="32"/>
          <w:szCs w:val="32"/>
        </w:rPr>
        <w:t>（三）国有资产占有使用情况</w:t>
      </w:r>
      <w:bookmarkEnd w:id="54"/>
    </w:p>
    <w:p>
      <w:pPr>
        <w:widowControl/>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b/>
          <w:color w:val="000000"/>
          <w:sz w:val="32"/>
          <w:szCs w:val="32"/>
          <w:lang w:val="en-US" w:eastAsia="zh-CN"/>
        </w:rPr>
        <w:t xml:space="preserve">  </w:t>
      </w:r>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b/>
          <w:color w:val="000000"/>
          <w:sz w:val="32"/>
          <w:szCs w:val="32"/>
          <w:lang w:val="en-US" w:eastAsia="zh-CN"/>
        </w:rPr>
        <w:t xml:space="preserve">  </w:t>
      </w:r>
    </w:p>
    <w:p>
      <w:pPr>
        <w:numPr>
          <w:ilvl w:val="0"/>
          <w:numId w:val="6"/>
        </w:numPr>
        <w:spacing w:line="600" w:lineRule="exact"/>
        <w:ind w:left="0" w:firstLineChars="150" w:firstLine="660"/>
        <w:jc w:val="center"/>
        <w:outlineLvl w:val="0"/>
        <w:rPr>
          <w:rStyle w:val="1Char"/>
          <w:rFonts w:ascii="黑体" w:eastAsia="黑体"/>
          <w:b w:val="0"/>
        </w:rPr>
      </w:pPr>
      <w:bookmarkStart w:id="55" w:name="_Toc15377225"/>
      <w:bookmarkStart w:id="56" w:name="_Toc15396613"/>
      <w:r>
        <w:rPr>
          <w:rFonts w:ascii="黑体" w:eastAsia="黑体" w:hint="eastAsia"/>
          <w:b/>
          <w:color w:val="000000"/>
          <w:sz w:val="44"/>
          <w:szCs w:val="44"/>
        </w:rPr>
        <w:t>名</w:t>
      </w:r>
      <w:r>
        <w:rPr>
          <w:rStyle w:val="1Char"/>
          <w:rFonts w:ascii="黑体" w:eastAsia="黑体" w:hint="eastAsia"/>
          <w:b w:val="0"/>
        </w:rPr>
        <w:t>词解释</w:t>
      </w:r>
      <w:bookmarkEnd w:id="55"/>
      <w:bookmarkEnd w:id="56"/>
    </w:p>
    <w:p>
      <w:pPr>
        <w:pStyle w:val="15"/>
      </w:pPr>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8、社会保障和就业支出（类）行政事业单位养老支出（款） 机关事业单位基本养老保险缴费支出（项）: 指单位为职工缴纳的基本养老保险费。</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9、社会保障和就业支出（类）行政事业单位养老支出（款）  机关事业单位职业年金缴费支出（项）: 指单位为职工实际缴纳的职业年金。</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10、卫生健康支出（类）行政事业单位医疗（款）行政单位医疗（项）:指反映职工缴纳的基本医疗保险费。</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11、卫生健康支出（类）行政事业单位医疗（款）事业单位医疗（项）:事业单位基本医疗保险缴费。</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12、卫生健康支出（类）行政事业单位医疗（款）公务员医疗补助（项）:指按规定可享受公务员医疗补助单位为职工缴纳的公务员医疗补助费。</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13、卫生健康支出（类）行政事业单位医疗（款）其他行政事业单位医疗支出（项）:指其他用于行政事业单位医疗方面的支出。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14、城乡社区支出（类）城乡社区管理事务（款）行政运行（项）：指行政单位的基本支出。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15、城乡社区支出（类）城乡社区管理事务（款）机关服务（项）：反映为行政单位（包括实行公务员管理的事业单位）提供后勤服务的各类后勤服务中心、医务室等附属事业单位的支出。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16、城乡社区支出（类）城乡社区管理事务（款）其他城乡社区管理事务支出（项）：指其他用于城乡社区管理事务方面的支出。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17、城乡社区支出（类）城乡社区公共设施（款）其他城乡社区公共设施支出（项）：指其他用于城乡社区公共设施方面的支出。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18、城乡社区支出（类）城乡社区环境卫生（款）城乡社区环境卫生（项）：反映城乡社区道路清扫、垃圾清运与处理、公厕建设与维护、园林绿化等方面的支出。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19、城乡社区支出（类）其他城乡社区支出（款）其他城乡社区支出（项）：指其他用于城乡社区方面的支出。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20、农林水支出（类）巩固脱贫衔接乡村振兴（款）生产发展（项）：反映用于农村贫困地区发展种植业、养殖业、畜牧业、农副产品加工、林果地建设等生产发展项目以及相关技术推广等方面的项目支出。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21、农林水支出（类）巩固脱贫衔接乡村振兴（款）其他巩固脱贫衔接乡村振兴支出（项）：指其他用于巩固脱贫衔接乡村振兴方面的支出。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22、农林水支出（类）农村综合改革（款）其他农村综合改革支出（项）：指其他用于农村综合改革方面的支出。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23、住房保障支出（类）保障性安居工程支出（款）老旧小区改造（项）：指用于老旧小区改造方面的支出。</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24、住房保障支出（类）住房改革支出（款）住房公积金（项）：指单位按规定为职工缴纳的住房公积金。</w:t>
      </w:r>
    </w:p>
    <w:p>
      <w:pPr>
        <w:pStyle w:val="31"/>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25、其他支出（类）其他支出（款）其他支出（项）：指其他不能划分到具体功能科目中的支出项目。</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26、</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27、</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28、</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Style w:val="1Char"/>
          <w:rFonts w:ascii="仿宋" w:eastAsia="仿宋" w:hint="eastAsia"/>
          <w:b w:val="0"/>
          <w:bCs w:val="0"/>
          <w:sz w:val="32"/>
          <w:szCs w:val="32"/>
        </w:rPr>
      </w:pPr>
      <w:r>
        <w:rPr>
          <w:rFonts w:ascii="仿宋_GB2312" w:eastAsia="仿宋_GB2312" w:hint="eastAsia"/>
          <w:sz w:val="32"/>
          <w:szCs w:val="32"/>
          <w:lang w:val="en-US" w:eastAsia="zh-CN"/>
        </w:rPr>
        <w:t>29、</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96615"/>
      <w:bookmarkStart w:id="58" w:name="_Toc15396614"/>
      <w:bookmarkStart w:id="59" w:name="_Toc15377226"/>
    </w:p>
    <w:p>
      <w:pPr>
        <w:pStyle w:val="2"/>
        <w:rPr>
          <w:rStyle w:val="1Char"/>
          <w:rFonts w:ascii="仿宋" w:eastAsia="仿宋"/>
          <w:b w:val="0"/>
          <w:bCs w:val="0"/>
          <w:sz w:val="32"/>
          <w:szCs w:val="32"/>
        </w:rPr>
      </w:pPr>
      <w:r>
        <w:rPr>
          <w:rStyle w:val="1Char"/>
          <w:rFonts w:ascii="仿宋" w:eastAsia="仿宋" w:hint="eastAsia"/>
          <w:b w:val="0"/>
          <w:bCs w:val="0"/>
          <w:sz w:val="32"/>
          <w:szCs w:val="32"/>
        </w:rPr>
        <w:t>附件1</w:t>
      </w:r>
      <w:bookmarkEnd w:id="57"/>
    </w:p>
    <w:p>
      <w:pPr>
        <w:numPr>
          <w:ilvl w:val="0"/>
          <w:numId w:val="6"/>
        </w:numPr>
        <w:spacing w:line="600" w:lineRule="exact"/>
        <w:ind w:left="0" w:firstLineChars="150" w:firstLine="660"/>
        <w:jc w:val="center"/>
        <w:outlineLvl w:val="0"/>
        <w:rPr>
          <w:rStyle w:val="1Char"/>
          <w:rFonts w:ascii="黑体" w:eastAsia="黑体" w:hint="eastAsia"/>
          <w:b w:val="0"/>
        </w:rPr>
      </w:pPr>
      <w:r>
        <w:rPr>
          <w:rStyle w:val="1Char"/>
          <w:rFonts w:ascii="黑体" w:eastAsia="黑体" w:hint="eastAsia"/>
          <w:b w:val="0"/>
        </w:rPr>
        <w:t>附件</w:t>
      </w:r>
      <w:bookmarkEnd w:id="58"/>
    </w:p>
    <w:p>
      <w:pPr>
        <w:spacing w:line="240" w:lineRule="auto"/>
        <w:jc w:val="both"/>
        <w:outlineLvl w:val="0"/>
        <w:rPr>
          <w:rStyle w:val="1Char"/>
          <w:rFonts w:ascii="黑体" w:eastAsia="黑体" w:hint="eastAsia"/>
          <w:b w:val="0"/>
        </w:rPr>
      </w:pPr>
    </w:p>
    <w:p>
      <w:pPr>
        <w:keepNext w:val="0"/>
        <w:keepLines w:val="0"/>
        <w:widowControl/>
        <w:suppressLineNumbers w:val="0"/>
        <w:spacing w:before="0" w:beforeAutospacing="0" w:after="0" w:afterAutospacing="0" w:line="580" w:lineRule="exact"/>
        <w:ind w:left="0" w:right="0"/>
        <w:contextualSpacing/>
        <w:jc w:val="center"/>
        <w:rPr>
          <w:rFonts w:ascii="宋体" w:eastAsia="宋体" w:cs="Times New Roman" w:hint="eastAsia"/>
          <w:b/>
          <w:bCs w:val="0"/>
          <w:kern w:val="2"/>
          <w:sz w:val="44"/>
          <w:szCs w:val="44"/>
          <w:shd w:val="clear" w:color="auto" w:fill="FFFFFF"/>
        </w:rPr>
      </w:pPr>
      <w:bookmarkEnd w:id="59"/>
      <w:r>
        <w:rPr>
          <w:rFonts w:ascii="宋体" w:eastAsia="宋体" w:cs="宋体" w:hint="eastAsia"/>
          <w:b/>
          <w:bCs w:val="0"/>
          <w:kern w:val="2"/>
          <w:sz w:val="44"/>
          <w:szCs w:val="44"/>
          <w:shd w:val="clear" w:color="auto" w:fill="FFFFFF"/>
          <w:lang w:val="en-US" w:eastAsia="zh-CN"/>
        </w:rPr>
        <w:t>金川县住房和城乡建设局</w:t>
      </w:r>
    </w:p>
    <w:p>
      <w:pPr>
        <w:keepNext w:val="0"/>
        <w:keepLines w:val="0"/>
        <w:widowControl/>
        <w:suppressLineNumbers w:val="0"/>
        <w:spacing w:before="0" w:beforeAutospacing="0" w:after="0" w:afterAutospacing="0" w:line="580" w:lineRule="exact"/>
        <w:ind w:left="0" w:right="0"/>
        <w:contextualSpacing/>
        <w:jc w:val="center"/>
        <w:rPr>
          <w:rFonts w:ascii="宋体" w:eastAsia="宋体" w:cs="Times New Roman" w:hint="eastAsia"/>
          <w:b/>
          <w:bCs w:val="0"/>
          <w:kern w:val="2"/>
          <w:sz w:val="44"/>
          <w:szCs w:val="44"/>
          <w:shd w:val="clear" w:color="auto" w:fill="FFFFFF"/>
        </w:rPr>
      </w:pPr>
      <w:r>
        <w:rPr>
          <w:rFonts w:ascii="宋体" w:eastAsia="宋体" w:cs="宋体" w:hint="eastAsia"/>
          <w:b/>
          <w:bCs w:val="0"/>
          <w:kern w:val="2"/>
          <w:sz w:val="44"/>
          <w:szCs w:val="44"/>
          <w:shd w:val="clear" w:color="auto" w:fill="FFFFFF"/>
          <w:lang w:val="en-US" w:eastAsia="zh-CN"/>
        </w:rPr>
        <w:t>202</w:t>
      </w:r>
      <w:r>
        <w:rPr>
          <w:rFonts w:ascii="宋体" w:cs="宋体" w:hint="eastAsia"/>
          <w:b/>
          <w:bCs w:val="0"/>
          <w:kern w:val="2"/>
          <w:sz w:val="44"/>
          <w:szCs w:val="44"/>
          <w:shd w:val="clear" w:color="auto" w:fill="FFFFFF"/>
          <w:lang w:val="en-US" w:eastAsia="zh-CN"/>
        </w:rPr>
        <w:t>2</w:t>
      </w:r>
      <w:r>
        <w:rPr>
          <w:rFonts w:ascii="宋体" w:eastAsia="宋体" w:cs="宋体" w:hint="eastAsia"/>
          <w:b/>
          <w:bCs w:val="0"/>
          <w:kern w:val="2"/>
          <w:sz w:val="44"/>
          <w:szCs w:val="44"/>
          <w:shd w:val="clear" w:color="auto" w:fill="FFFFFF"/>
          <w:lang w:val="en-US" w:eastAsia="zh-CN"/>
        </w:rPr>
        <w:t>年部门整体支出绩效评价报告</w:t>
      </w:r>
      <w:r>
        <w:rPr>
          <w:rFonts w:ascii="宋体" w:eastAsia="宋体" w:cs="Times New Roman" w:hint="eastAsia"/>
          <w:b/>
          <w:bCs w:val="0"/>
          <w:kern w:val="2"/>
          <w:sz w:val="44"/>
          <w:szCs w:val="44"/>
          <w:shd w:val="clear" w:color="auto" w:fill="FFFFFF"/>
          <w:lang w:val="en-US" w:eastAsia="zh-CN"/>
        </w:rPr>
        <w:t xml:space="preserve"> </w:t>
      </w:r>
    </w:p>
    <w:p>
      <w:pPr>
        <w:keepNext w:val="0"/>
        <w:keepLines w:val="0"/>
        <w:widowControl/>
        <w:suppressLineNumbers w:val="0"/>
        <w:adjustRightInd w:val="0"/>
        <w:snapToGrid w:val="0"/>
        <w:spacing w:before="0" w:beforeAutospacing="0" w:after="0" w:afterAutospacing="0" w:line="580" w:lineRule="exact"/>
        <w:ind w:left="0" w:right="0" w:firstLineChars="200" w:firstLine="480"/>
        <w:contextualSpacing/>
        <w:jc w:val="left"/>
        <w:rPr>
          <w:rFonts w:ascii="黑体" w:eastAsia="黑体" w:cs="宋体" w:hint="eastAsia"/>
          <w:color w:val="000000"/>
          <w:kern w:val="0"/>
          <w:sz w:val="24"/>
          <w:szCs w:val="24"/>
          <w:shd w:val="clear" w:color="auto" w:fill="FFFFFF"/>
        </w:rPr>
      </w:pPr>
      <w:r>
        <w:rPr>
          <w:rFonts w:ascii="黑体" w:eastAsia="黑体" w:cs="宋体" w:hint="eastAsia"/>
          <w:color w:val="000000"/>
          <w:kern w:val="0"/>
          <w:sz w:val="24"/>
          <w:szCs w:val="24"/>
          <w:shd w:val="clear" w:color="auto" w:fill="FFFFFF"/>
          <w:lang w:val="en-US" w:eastAsia="zh-CN"/>
        </w:rPr>
        <w:t xml:space="preserve"> </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为深入贯彻落实党中央国务院和省委省政府关于全面实施预算绩效管理文件精神，结合本部门实际，认真开展部门预算支出绩效自评工作，现将2022年部门预算支出绩效自评工作报告如下：</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一、部门（单位）概况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（一）机构组成。</w:t>
      </w:r>
    </w:p>
    <w:p>
      <w:pPr>
        <w:keepNext w:val="0"/>
        <w:keepLines w:val="0"/>
        <w:widowControl w:val="0"/>
        <w:suppressLineNumbers w:val="0"/>
        <w:spacing w:before="0" w:beforeAutospacing="0" w:after="0" w:afterAutospacing="0"/>
        <w:ind w:left="0" w:right="0" w:firstLineChars="200" w:firstLine="640"/>
        <w:jc w:val="both"/>
      </w:pPr>
      <w:r>
        <w:rPr>
          <w:rFonts w:ascii="仿宋_GB2312" w:eastAsia="仿宋_GB2312" w:cs="仿宋_GB2312" w:hint="eastAsia"/>
          <w:color w:val="000000"/>
          <w:kern w:val="0"/>
          <w:sz w:val="32"/>
          <w:szCs w:val="32"/>
          <w:shd w:val="clear" w:color="auto" w:fill="FFFFFF"/>
          <w:lang w:val="en-US" w:eastAsia="zh-CN"/>
        </w:rPr>
        <w:t>金川县住房和城乡建设局</w:t>
      </w:r>
      <w:r>
        <w:rPr>
          <w:rFonts w:ascii="仿宋" w:eastAsia="仿宋" w:cs="仿宋" w:hint="eastAsia"/>
          <w:color w:val="333333"/>
          <w:kern w:val="0"/>
          <w:sz w:val="32"/>
          <w:szCs w:val="32"/>
          <w:shd w:val="clear" w:color="auto" w:fill="FFFFFF"/>
          <w:lang w:val="en-US" w:eastAsia="zh-CN"/>
        </w:rPr>
        <w:t>是行政单位,独立机构数1个,独立核算机构1个。</w:t>
      </w:r>
      <w:r>
        <w:rPr>
          <w:rFonts w:ascii="仿宋_GB2312" w:eastAsia="仿宋_GB2312" w:cs="仿宋_GB2312" w:hint="eastAsia"/>
          <w:color w:val="000000"/>
          <w:kern w:val="0"/>
          <w:sz w:val="32"/>
          <w:szCs w:val="32"/>
          <w:shd w:val="clear" w:color="auto" w:fill="FFFFFF"/>
          <w:lang w:val="en-US" w:eastAsia="zh-CN"/>
        </w:rPr>
        <w:t>内设行政办公室、建设管理股、住房保障与房地产市场管理股、城乡建设股，金川县建设工程质量安全监督站。</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（二）机构职能。</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1.贯彻执行国家、省、州住房和城乡建设的法律、法规和方针政策。研究拟定住房保障、工程建设、城乡建设、建筑业、房屋装饰装修业、住宅与房地产业、勘察设计咨询业、市政公用事业的有关地方性法规和规章草案，负责本系统、本部门依法行政工作，落实行政执法责任制。</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2.承担推进住房制度改革、保障城镇低收入家庭住房的责任。拟定全县住房及住房保障相关政策并指导实施，指导住房建设和住房制度改革。拟订廉租住房规划及政策，会同有关部门做好国家、省、州有关廉租住房资金安排并监督地方组织实施。编制住房保障发展规划和年度计划并监督实施。</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3.承担建立全县工程建设标准体系的责任。组织实施工程建设实施阶段的国家标准、四川省统一定额和行业标准定额，组织制定工程建设的地方标准，拟订建设项目可行性研究评价方法、经济参数、建设标准和工程造价的管理制度，指导监督各类工程建设标准定额的实施和工程造价计价，组织发布工程造价信息。</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4.承担规范房地产市场秩序、监督管理房地产市场的责任。会同有关部门组织拟订房地产市场监督管理政策并监督执行，指导城镇土地使用权有偿转让和开发利用工作，提出房地产业的行业发展规划和产业政策，制定房地产开发、房屋权属管理、房屋租赁、房屋面积管理、危房鉴定、白蚁防治、房地产估价与经济管理、物业管理、房屋征收拆迁的规章制度并监督执行。</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5.承担监督管理建筑市场、规范市场各方主体行为的责任。指导全县建筑活动，拟订工程建设、建筑业及装饰装修业发展战略、中长期规划、改革方案、产业政策、规章制度并监督执行。配合相关部门开展房屋建筑和市政基础设施工程项目招投标活动的监督。拟订建设工程施工、监理以及规范建筑市场各方主体行为的规章制度并监督执行。负责建筑工程质量安全监督管理工作，拟订建筑工程质量、建筑安全生产和竣工验收备案的政策、规章制度并监督执行，组织或参与工程重大质量、安全事故的调查处理。</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6.承担监督管理勘察设计咨询市场秩序和勘察设计咨询质量的责任。拟订工程勘察设计咨询业的发展战略、中长期规划、改革方案、产业和技术政策、规章制度并指导实施。指导建设工程抗震设防工作，组织编制并实施房屋建筑和市政设施抗震技术地方规范和标准图集，组织开展城镇建筑物抗震性能普查、鉴定加固和改造工作，指导村镇和农村建设抗震工作，指导和组织灾后恢复重建工作。</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7.承担指导城镇建设管理的责任。拟订城镇建设的政策、规划并指导实施，指导城镇供水、节水、排水、燃气、污水等市政公用设施的建设管理；指导城镇防汛排涝工作；指导城镇建设档案管理工作。会同有关部门做好城市维护资金安排并监督组织实施。</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8.承担推进建筑节能、城镇减排的责任。会同有关部门拟订建筑节能政策、规划并监督实施，组织实施重大建筑节能项目，推进城镇减排。组织实施重点科技项目成果转化工作，承担推进墙体材料革新的责任。</w:t>
      </w:r>
    </w:p>
    <w:p>
      <w:pPr>
        <w:pStyle w:val="25"/>
        <w:shd w:val="clear" w:color="auto" w:fill="FFFFFF"/>
        <w:spacing w:beforeAutospacing="0" w:afterAutospacing="0" w:line="375" w:lineRule="atLeast"/>
        <w:ind w:firstLineChars="200" w:firstLine="640"/>
        <w:rPr>
          <w:rFonts w:ascii="仿宋_GB2312" w:eastAsia="仿宋_GB2312" w:cs="仿宋_GB2312"/>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9.制订建设行业人才培养和教育发展规划并组织实施，指导建设行业科技人才队伍建设和执业资格管理工作。负责指导住房和城乡建设系统的信访工作，督查督办重大信访案件。开展住房和城乡建设方面的交流与合作。</w:t>
        <w:br/>
        <w:t xml:space="preserve">    10.承担建设工程消防设计审查验收及房屋建筑工程和市政基础设施工程防雷装置设计审核、竣工验收许可相关职责。</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11.承担县政府公布的有关行政审批事项。</w:t>
      </w:r>
    </w:p>
    <w:p>
      <w:pPr>
        <w:pStyle w:val="25"/>
        <w:shd w:val="clear" w:color="auto" w:fill="FFFFFF"/>
        <w:spacing w:beforeAutospacing="0" w:afterAutospacing="0" w:line="375" w:lineRule="atLeast"/>
        <w:ind w:firstLineChars="200" w:firstLine="640"/>
        <w:rPr>
          <w:rFonts w:ascii="仿宋_GB2312" w:eastAsia="仿宋_GB2312" w:cs="仿宋_GB2312" w:hint="eastAsia"/>
          <w:color w:val="000000"/>
          <w:sz w:val="32"/>
          <w:szCs w:val="32"/>
          <w:shd w:val="clear" w:color="auto" w:fill="FFFFFF"/>
          <w:lang w:val="en-US" w:eastAsia="zh-CN"/>
        </w:rPr>
      </w:pPr>
      <w:r>
        <w:rPr>
          <w:rFonts w:ascii="仿宋_GB2312" w:eastAsia="仿宋_GB2312" w:cs="仿宋_GB2312" w:hint="eastAsia"/>
          <w:color w:val="000000"/>
          <w:sz w:val="32"/>
          <w:szCs w:val="32"/>
          <w:shd w:val="clear" w:color="auto" w:fill="FFFFFF"/>
          <w:lang w:val="en-US" w:eastAsia="zh-CN"/>
        </w:rPr>
        <w:t>12.承办县政府交办的其他事项。</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（三）人员概况。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我单位总编制数为19名，其中行政编制7名，行政工勤编制1名，事业编制11名。现有遗属5名。</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二、部门财政资金收支情况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（一）部门财政资金收入情况。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2022年调整预算收入合计15692.01万元，其中财政拨款收入15692.01万元。</w:t>
      </w:r>
    </w:p>
    <w:p>
      <w:pPr>
        <w:keepNext w:val="0"/>
        <w:keepLines w:val="0"/>
        <w:widowControl/>
        <w:numPr>
          <w:ilvl w:val="0"/>
          <w:numId w:val="7"/>
        </w:numPr>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 w:hint="eastAsia"/>
          <w:kern w:val="2"/>
          <w:sz w:val="32"/>
          <w:szCs w:val="32"/>
        </w:rPr>
      </w:pPr>
      <w:r>
        <w:rPr>
          <w:rFonts w:ascii="仿宋_GB2312" w:eastAsia="仿宋_GB2312" w:cs="仿宋_GB2312" w:hint="eastAsia"/>
          <w:color w:val="000000"/>
          <w:kern w:val="0"/>
          <w:sz w:val="32"/>
          <w:szCs w:val="32"/>
          <w:shd w:val="clear" w:color="auto" w:fill="FFFFFF"/>
          <w:lang w:val="en-US" w:eastAsia="zh-CN"/>
        </w:rPr>
        <w:t>部门财政资金支出情况。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宋体" w:hint="eastAsia"/>
          <w:color w:val="000000"/>
          <w:kern w:val="0"/>
          <w:sz w:val="32"/>
          <w:szCs w:val="32"/>
          <w:shd w:val="clear" w:color="auto" w:fill="FFFFFF"/>
          <w:lang w:val="en-US" w:eastAsia="zh-CN"/>
        </w:rPr>
        <w:t xml:space="preserve"> </w:t>
      </w:r>
      <w:r>
        <w:rPr>
          <w:rFonts w:ascii="仿宋_GB2312" w:eastAsia="仿宋_GB2312" w:cs="仿宋_GB2312" w:hint="eastAsia"/>
          <w:color w:val="000000"/>
          <w:kern w:val="0"/>
          <w:sz w:val="32"/>
          <w:szCs w:val="32"/>
          <w:shd w:val="clear" w:color="auto" w:fill="FFFFFF"/>
          <w:lang w:val="en-US" w:eastAsia="zh-CN"/>
        </w:rPr>
        <w:t>1、2022年支出情况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 w:eastAsia="仿宋" w:hint="eastAsia"/>
          <w:color w:val="000000"/>
          <w:sz w:val="32"/>
          <w:szCs w:val="32"/>
          <w:lang w:val="en-US" w:eastAsia="zh-CN"/>
        </w:rPr>
      </w:pPr>
      <w:r>
        <w:rPr>
          <w:rFonts w:ascii="仿宋_GB2312" w:eastAsia="仿宋_GB2312" w:cs="仿宋_GB2312" w:hint="eastAsia"/>
          <w:color w:val="000000"/>
          <w:kern w:val="0"/>
          <w:sz w:val="32"/>
          <w:szCs w:val="32"/>
          <w:shd w:val="clear" w:color="auto" w:fill="FFFFFF"/>
          <w:lang w:val="en-US" w:eastAsia="zh-CN"/>
        </w:rPr>
        <w:t>2022年一般公共预算财政拨款基本支出426.72万元，其中：工资福利支出350.87万元，主要包括</w:t>
      </w:r>
      <w:r>
        <w:rPr>
          <w:rFonts w:ascii="仿宋" w:eastAsia="仿宋" w:hint="eastAsia"/>
          <w:color w:val="000000"/>
          <w:sz w:val="32"/>
          <w:szCs w:val="32"/>
        </w:rPr>
        <w:t>基本工资</w:t>
      </w:r>
      <w:r>
        <w:rPr>
          <w:rFonts w:ascii="仿宋" w:eastAsia="仿宋" w:hint="eastAsia"/>
          <w:color w:val="000000"/>
          <w:sz w:val="32"/>
          <w:szCs w:val="32"/>
          <w:lang w:val="en-US" w:eastAsia="zh-CN"/>
        </w:rPr>
        <w:t>85.23万元</w:t>
      </w:r>
      <w:r>
        <w:rPr>
          <w:rFonts w:ascii="仿宋" w:eastAsia="仿宋" w:hint="eastAsia"/>
          <w:color w:val="000000"/>
          <w:sz w:val="32"/>
          <w:szCs w:val="32"/>
        </w:rPr>
        <w:t>、津贴补贴</w:t>
      </w:r>
      <w:r>
        <w:rPr>
          <w:rFonts w:ascii="仿宋" w:eastAsia="仿宋" w:hint="eastAsia"/>
          <w:color w:val="000000"/>
          <w:sz w:val="32"/>
          <w:szCs w:val="32"/>
          <w:lang w:val="en-US" w:eastAsia="zh-CN"/>
        </w:rPr>
        <w:t>57.19万元</w:t>
      </w:r>
      <w:r>
        <w:rPr>
          <w:rFonts w:ascii="仿宋" w:eastAsia="仿宋" w:hint="eastAsia"/>
          <w:color w:val="000000"/>
          <w:sz w:val="32"/>
          <w:szCs w:val="32"/>
        </w:rPr>
        <w:t>、奖金</w:t>
      </w:r>
      <w:r>
        <w:rPr>
          <w:rFonts w:ascii="仿宋" w:eastAsia="仿宋" w:hint="eastAsia"/>
          <w:color w:val="000000"/>
          <w:sz w:val="32"/>
          <w:szCs w:val="32"/>
          <w:lang w:val="en-US" w:eastAsia="zh-CN"/>
        </w:rPr>
        <w:t>70.95万元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35.22万元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33.37万元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16.32万元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职工基本医疗保险缴费15.58万元、公务员医疗补助缴费3.67万元、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5.93万元</w:t>
      </w:r>
      <w:r>
        <w:rPr>
          <w:rFonts w:ascii="仿宋" w:eastAsia="仿宋" w:hint="eastAsia"/>
          <w:color w:val="000000"/>
          <w:sz w:val="32"/>
          <w:szCs w:val="32"/>
        </w:rPr>
        <w:t>、住房公积金</w:t>
      </w:r>
      <w:r>
        <w:rPr>
          <w:rFonts w:ascii="仿宋" w:eastAsia="仿宋" w:hint="eastAsia"/>
          <w:color w:val="000000"/>
          <w:sz w:val="32"/>
          <w:szCs w:val="32"/>
          <w:lang w:val="en-US" w:eastAsia="zh-CN"/>
        </w:rPr>
        <w:t>27.42万元。</w:t>
      </w:r>
    </w:p>
    <w:p>
      <w:pPr>
        <w:spacing w:line="600" w:lineRule="exact"/>
        <w:ind w:firstLine="645"/>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商品和服务支出16.89万元,主要包括:</w:t>
      </w:r>
      <w:r>
        <w:rPr>
          <w:rFonts w:ascii="仿宋" w:eastAsia="仿宋" w:hint="eastAsia"/>
          <w:color w:val="000000"/>
          <w:sz w:val="32"/>
          <w:szCs w:val="32"/>
        </w:rPr>
        <w:t>办公费</w:t>
      </w:r>
      <w:r>
        <w:rPr>
          <w:rFonts w:ascii="仿宋" w:eastAsia="仿宋" w:hint="eastAsia"/>
          <w:color w:val="000000"/>
          <w:sz w:val="32"/>
          <w:szCs w:val="32"/>
          <w:lang w:val="en-US" w:eastAsia="zh-CN"/>
        </w:rPr>
        <w:t>4万元</w:t>
      </w:r>
      <w:r>
        <w:rPr>
          <w:rFonts w:ascii="仿宋" w:eastAsia="仿宋" w:hint="eastAsia"/>
          <w:color w:val="000000"/>
          <w:sz w:val="32"/>
          <w:szCs w:val="32"/>
        </w:rPr>
        <w:t>、电费</w:t>
      </w:r>
      <w:r>
        <w:rPr>
          <w:rFonts w:ascii="仿宋" w:eastAsia="仿宋" w:hint="eastAsia"/>
          <w:color w:val="000000"/>
          <w:sz w:val="32"/>
          <w:szCs w:val="32"/>
          <w:lang w:val="en-US" w:eastAsia="zh-CN"/>
        </w:rPr>
        <w:t>1.04万元</w:t>
      </w:r>
      <w:r>
        <w:rPr>
          <w:rFonts w:ascii="仿宋" w:eastAsia="仿宋" w:hint="eastAsia"/>
          <w:color w:val="000000"/>
          <w:sz w:val="32"/>
          <w:szCs w:val="32"/>
        </w:rPr>
        <w:t>、邮电费</w:t>
      </w:r>
      <w:r>
        <w:rPr>
          <w:rFonts w:ascii="仿宋" w:eastAsia="仿宋" w:hint="eastAsia"/>
          <w:color w:val="000000"/>
          <w:sz w:val="32"/>
          <w:szCs w:val="32"/>
          <w:lang w:val="en-US" w:eastAsia="zh-CN"/>
        </w:rPr>
        <w:t>2.8万元</w:t>
      </w:r>
      <w:r>
        <w:rPr>
          <w:rFonts w:ascii="仿宋" w:eastAsia="仿宋" w:hint="eastAsia"/>
          <w:color w:val="000000"/>
          <w:sz w:val="32"/>
          <w:szCs w:val="32"/>
        </w:rPr>
        <w:t>、差旅费</w:t>
      </w:r>
      <w:r>
        <w:rPr>
          <w:rFonts w:ascii="仿宋" w:eastAsia="仿宋" w:hint="eastAsia"/>
          <w:color w:val="000000"/>
          <w:sz w:val="32"/>
          <w:szCs w:val="32"/>
          <w:lang w:val="en-US" w:eastAsia="zh-CN"/>
        </w:rPr>
        <w:t>6.07万元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2.98万元</w:t>
      </w:r>
      <w:r>
        <w:rPr>
          <w:rFonts w:ascii="仿宋" w:eastAsia="仿宋" w:hint="eastAsia"/>
          <w:color w:val="000000"/>
          <w:sz w:val="32"/>
          <w:szCs w:val="32"/>
        </w:rPr>
        <w:t>等。</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对个人和家庭的补助支出58.95万元，其中：</w:t>
      </w:r>
      <w:r>
        <w:rPr>
          <w:rFonts w:ascii="仿宋" w:eastAsia="仿宋" w:hint="eastAsia"/>
          <w:color w:val="000000"/>
          <w:sz w:val="32"/>
          <w:szCs w:val="32"/>
          <w:lang w:val="en-US" w:eastAsia="zh-CN"/>
        </w:rPr>
        <w:t>生活补助15.90万元、奖励金43.05万元</w:t>
      </w:r>
      <w:r>
        <w:rPr>
          <w:rFonts w:ascii="仿宋" w:eastAsia="仿宋" w:hint="eastAsia"/>
          <w:color w:val="000000"/>
          <w:sz w:val="32"/>
          <w:szCs w:val="32"/>
        </w:rPr>
        <w:t>等。</w:t>
      </w:r>
      <w:r>
        <w:rPr>
          <w:rFonts w:ascii="仿宋" w:eastAsia="仿宋"/>
          <w:color w:val="000000"/>
          <w:sz w:val="32"/>
          <w:szCs w:val="32"/>
        </w:rPr>
        <w:br/>
      </w:r>
      <w:r>
        <w:rPr>
          <w:rFonts w:ascii="仿宋" w:eastAsia="仿宋" w:hint="eastAsia"/>
          <w:color w:val="000000"/>
          <w:sz w:val="32"/>
          <w:szCs w:val="32"/>
          <w:lang w:val="en-US" w:eastAsia="zh-CN"/>
        </w:rPr>
        <w:t xml:space="preserve">    </w:t>
      </w:r>
      <w:r>
        <w:rPr>
          <w:rFonts w:ascii="仿宋_GB2312" w:eastAsia="仿宋_GB2312" w:cs="仿宋_GB2312" w:hint="eastAsia"/>
          <w:color w:val="000000"/>
          <w:kern w:val="0"/>
          <w:sz w:val="32"/>
          <w:szCs w:val="32"/>
          <w:shd w:val="clear" w:color="auto" w:fill="FFFFFF"/>
          <w:lang w:val="en-US" w:eastAsia="zh-CN"/>
        </w:rPr>
        <w:t>项目支出15265.30万元，其中：办公费3.20万元，劳务费96.51万元，委托业务费217.55万元，生活补助62.4万元，个人农业生产补贴148.54万元，资本性支出（基本建设）基础设施建设9617.88万元，房屋建筑物构建962万元，资本性支出基础设施建设4104.41万元，专用设备购置52.80万元。</w:t>
      </w:r>
    </w:p>
    <w:p>
      <w:pPr>
        <w:keepNext w:val="0"/>
        <w:keepLines w:val="0"/>
        <w:widowControl/>
        <w:numPr>
          <w:ilvl w:val="0"/>
          <w:numId w:val="8"/>
        </w:numPr>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部门整体预算绩效管理情况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（一）部门预算管理。</w:t>
      </w:r>
    </w:p>
    <w:p>
      <w:pPr>
        <w:pStyle w:val="25"/>
        <w:keepNext w:val="0"/>
        <w:keepLines w:val="0"/>
        <w:widowControl/>
        <w:suppressLineNumbers w:val="0"/>
        <w:shd w:val="clear" w:color="auto" w:fill="auto"/>
        <w:spacing w:before="0" w:beforeAutospacing="0" w:after="0" w:afterAutospacing="0" w:line="375" w:lineRule="atLeast"/>
        <w:ind w:left="0" w:right="0" w:firstLineChars="200" w:firstLine="640"/>
        <w:jc w:val="left"/>
        <w:rPr>
          <w:rFonts w:ascii="仿宋_GB2312" w:eastAsia="仿宋_GB2312" w:cs="Times New Roman" w:hint="eastAsia"/>
          <w:color w:val="000000"/>
          <w:kern w:val="2"/>
          <w:sz w:val="32"/>
          <w:szCs w:val="32"/>
          <w:shd w:val="clear" w:color="auto" w:fill="FFFFFF"/>
        </w:rPr>
      </w:pPr>
      <w:r>
        <w:rPr>
          <w:rFonts w:ascii="仿宋_GB2312" w:eastAsia="仿宋_GB2312" w:cs="仿宋_GB2312" w:hint="eastAsia"/>
          <w:color w:val="000000"/>
          <w:kern w:val="2"/>
          <w:sz w:val="32"/>
          <w:szCs w:val="32"/>
          <w:shd w:val="clear" w:color="auto" w:fill="FFFFFF"/>
          <w:lang w:val="en-US" w:eastAsia="zh-CN"/>
        </w:rPr>
        <w:t>本单位预算编制严格按照《</w:t>
      </w:r>
      <w:r>
        <w:rPr>
          <w:rFonts w:ascii="仿宋_GB2312" w:eastAsia="仿宋_GB2312" w:cs="仿宋_GB2312"/>
          <w:color w:val="000000"/>
          <w:kern w:val="2"/>
          <w:sz w:val="32"/>
          <w:szCs w:val="32"/>
          <w:shd w:val="clear" w:color="auto" w:fill="FFFFFF"/>
          <w:lang w:val="en-US" w:eastAsia="zh-CN"/>
        </w:rPr>
        <w:t>中华人民共和国</w:t>
      </w:r>
      <w:bookmarkStart w:id="60" w:name="_GoBack"/>
      <w:bookmarkEnd w:id="60"/>
      <w:r>
        <w:rPr>
          <w:rFonts w:ascii="仿宋_GB2312" w:eastAsia="仿宋_GB2312" w:cs="仿宋_GB2312" w:hint="eastAsia"/>
          <w:color w:val="000000"/>
          <w:kern w:val="2"/>
          <w:sz w:val="32"/>
          <w:szCs w:val="32"/>
          <w:shd w:val="clear" w:color="auto" w:fill="FFFFFF"/>
          <w:lang w:val="en-US" w:eastAsia="zh-CN"/>
        </w:rPr>
        <w:t>预算法》和财政相关规定执行，确定绩效目标。及时组织财务人员进行预决算的编制，对本年度相应用款进行及时清理和处理，做到账账相符、账实相符、账证相符</w:t>
      </w:r>
      <w:r>
        <w:rPr>
          <w:rFonts w:ascii="仿宋_GB2312" w:eastAsia="仿宋_GB2312" w:cs="Times New Roman" w:hint="eastAsia"/>
          <w:color w:val="000000"/>
          <w:kern w:val="2"/>
          <w:sz w:val="32"/>
          <w:szCs w:val="32"/>
          <w:shd w:val="clear" w:color="auto" w:fill="FFFFFF"/>
          <w:lang w:val="en-US" w:eastAsia="zh-CN"/>
        </w:rPr>
        <w:t>,</w:t>
      </w:r>
      <w:r>
        <w:rPr>
          <w:rFonts w:ascii="仿宋_GB2312" w:eastAsia="仿宋_GB2312" w:cs="仿宋_GB2312" w:hint="eastAsia"/>
          <w:color w:val="000000"/>
          <w:kern w:val="2"/>
          <w:sz w:val="32"/>
          <w:szCs w:val="32"/>
          <w:shd w:val="clear" w:color="auto" w:fill="FFFFFF"/>
          <w:lang w:val="en-US" w:eastAsia="zh-CN"/>
        </w:rPr>
        <w:t>按先有预算再有支出的原则，及时处理相关事务，及时上报相关报表；提前细化，分科目上报，做到收支平衡。</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 w:hint="eastAsia"/>
          <w:kern w:val="2"/>
          <w:sz w:val="32"/>
          <w:szCs w:val="32"/>
        </w:rPr>
      </w:pPr>
      <w:r>
        <w:rPr>
          <w:rFonts w:ascii="仿宋_GB2312" w:eastAsia="仿宋_GB2312" w:cs="仿宋_GB2312" w:hint="eastAsia"/>
          <w:kern w:val="2"/>
          <w:sz w:val="32"/>
          <w:szCs w:val="32"/>
          <w:lang w:val="en-US" w:eastAsia="zh-CN"/>
        </w:rPr>
        <w:t>“三公”经费支出情况：上年公务用车运行维护费为</w:t>
      </w:r>
      <w:r>
        <w:rPr>
          <w:rFonts w:ascii="仿宋_GB2312" w:eastAsia="仿宋_GB2312" w:cs="仿宋" w:hint="eastAsia"/>
          <w:kern w:val="2"/>
          <w:sz w:val="32"/>
          <w:szCs w:val="32"/>
          <w:lang w:val="en-US" w:eastAsia="zh-CN"/>
        </w:rPr>
        <w:t>2.99</w:t>
      </w:r>
      <w:r>
        <w:rPr>
          <w:rFonts w:ascii="仿宋_GB2312" w:eastAsia="仿宋_GB2312" w:cs="仿宋_GB2312" w:hint="eastAsia"/>
          <w:kern w:val="2"/>
          <w:sz w:val="32"/>
          <w:szCs w:val="32"/>
          <w:lang w:val="en-US" w:eastAsia="zh-CN"/>
        </w:rPr>
        <w:t>万元，本年</w:t>
      </w:r>
      <w:r>
        <w:rPr>
          <w:rFonts w:ascii="仿宋_GB2312" w:eastAsia="仿宋_GB2312" w:cs="仿宋" w:hint="eastAsia"/>
          <w:kern w:val="2"/>
          <w:sz w:val="32"/>
          <w:szCs w:val="32"/>
          <w:lang w:val="en-US" w:eastAsia="zh-CN"/>
        </w:rPr>
        <w:t>2.98</w:t>
      </w:r>
      <w:r>
        <w:rPr>
          <w:rFonts w:ascii="仿宋_GB2312" w:eastAsia="仿宋_GB2312" w:cs="仿宋_GB2312" w:hint="eastAsia"/>
          <w:kern w:val="2"/>
          <w:sz w:val="32"/>
          <w:szCs w:val="32"/>
          <w:lang w:val="en-US" w:eastAsia="zh-CN"/>
        </w:rPr>
        <w:t>万元，比上年有所减少，公务接待费上年</w:t>
      </w:r>
      <w:r>
        <w:rPr>
          <w:rFonts w:ascii="仿宋_GB2312" w:eastAsia="仿宋_GB2312" w:cs="仿宋" w:hint="eastAsia"/>
          <w:kern w:val="2"/>
          <w:sz w:val="32"/>
          <w:szCs w:val="32"/>
          <w:lang w:val="en-US" w:eastAsia="zh-CN"/>
        </w:rPr>
        <w:t>0.12万元</w:t>
      </w:r>
      <w:r>
        <w:rPr>
          <w:rFonts w:ascii="仿宋_GB2312" w:eastAsia="仿宋_GB2312" w:cs="仿宋_GB2312" w:hint="eastAsia"/>
          <w:kern w:val="2"/>
          <w:sz w:val="32"/>
          <w:szCs w:val="32"/>
          <w:lang w:val="en-US" w:eastAsia="zh-CN"/>
        </w:rPr>
        <w:t>，本年</w:t>
      </w:r>
      <w:r>
        <w:rPr>
          <w:rFonts w:ascii="仿宋_GB2312" w:eastAsia="仿宋_GB2312" w:cs="仿宋" w:hint="eastAsia"/>
          <w:kern w:val="2"/>
          <w:sz w:val="32"/>
          <w:szCs w:val="32"/>
          <w:lang w:val="en-US" w:eastAsia="zh-CN"/>
        </w:rPr>
        <w:t>0万</w:t>
      </w:r>
      <w:r>
        <w:rPr>
          <w:rFonts w:ascii="仿宋_GB2312" w:eastAsia="仿宋_GB2312" w:cs="仿宋_GB2312" w:hint="eastAsia"/>
          <w:kern w:val="2"/>
          <w:sz w:val="32"/>
          <w:szCs w:val="32"/>
          <w:lang w:val="en-US" w:eastAsia="zh-CN"/>
        </w:rPr>
        <w:t>元，比上年有所减少。</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kern w:val="2"/>
          <w:sz w:val="32"/>
          <w:szCs w:val="32"/>
          <w:lang w:val="en-US" w:eastAsia="zh-CN"/>
        </w:rPr>
      </w:pPr>
      <w:r>
        <w:rPr>
          <w:rFonts w:ascii="仿宋_GB2312" w:eastAsia="仿宋_GB2312" w:cs="仿宋" w:hint="eastAsia"/>
          <w:kern w:val="2"/>
          <w:sz w:val="32"/>
          <w:szCs w:val="32"/>
          <w:lang w:val="en-US" w:eastAsia="zh-CN"/>
        </w:rPr>
        <w:t>2022</w:t>
      </w:r>
      <w:r>
        <w:rPr>
          <w:rFonts w:ascii="仿宋_GB2312" w:eastAsia="仿宋_GB2312" w:cs="仿宋_GB2312" w:hint="eastAsia"/>
          <w:kern w:val="2"/>
          <w:sz w:val="32"/>
          <w:szCs w:val="32"/>
          <w:lang w:val="en-US" w:eastAsia="zh-CN"/>
        </w:rPr>
        <w:t>年资产总额为</w:t>
      </w:r>
      <w:r>
        <w:rPr>
          <w:rFonts w:ascii="仿宋_GB2312" w:eastAsia="仿宋_GB2312" w:cs="仿宋" w:hint="eastAsia"/>
          <w:kern w:val="2"/>
          <w:sz w:val="32"/>
          <w:szCs w:val="32"/>
          <w:lang w:val="en-US" w:eastAsia="zh-CN"/>
        </w:rPr>
        <w:t>192</w:t>
      </w:r>
      <w:r>
        <w:rPr>
          <w:rFonts w:ascii="仿宋_GB2312" w:eastAsia="仿宋_GB2312" w:cs="仿宋_GB2312" w:hint="eastAsia"/>
          <w:kern w:val="2"/>
          <w:sz w:val="32"/>
          <w:szCs w:val="32"/>
          <w:lang w:val="en-US" w:eastAsia="zh-CN"/>
        </w:rPr>
        <w:t>.</w:t>
      </w:r>
      <w:r>
        <w:rPr>
          <w:rFonts w:ascii="仿宋_GB2312" w:eastAsia="仿宋_GB2312" w:cs="仿宋" w:hint="eastAsia"/>
          <w:kern w:val="2"/>
          <w:sz w:val="32"/>
          <w:szCs w:val="32"/>
          <w:lang w:val="en-US" w:eastAsia="zh-CN"/>
        </w:rPr>
        <w:t>373297</w:t>
      </w:r>
      <w:r>
        <w:rPr>
          <w:rFonts w:ascii="仿宋_GB2312" w:eastAsia="仿宋_GB2312" w:cs="仿宋_GB2312" w:hint="eastAsia"/>
          <w:kern w:val="2"/>
          <w:sz w:val="32"/>
          <w:szCs w:val="32"/>
          <w:lang w:val="en-US" w:eastAsia="zh-CN"/>
        </w:rPr>
        <w:t>万元，与上年相比资产不变；财政应返还额度为</w:t>
      </w:r>
      <w:r>
        <w:rPr>
          <w:rFonts w:ascii="仿宋_GB2312" w:eastAsia="仿宋_GB2312" w:cs="仿宋" w:hint="eastAsia"/>
          <w:kern w:val="2"/>
          <w:sz w:val="32"/>
          <w:szCs w:val="32"/>
          <w:lang w:val="en-US" w:eastAsia="zh-CN"/>
        </w:rPr>
        <w:t>0</w:t>
      </w:r>
      <w:r>
        <w:rPr>
          <w:rFonts w:ascii="仿宋_GB2312" w:eastAsia="仿宋_GB2312" w:cs="仿宋_GB2312" w:hint="eastAsia"/>
          <w:kern w:val="2"/>
          <w:sz w:val="32"/>
          <w:szCs w:val="32"/>
          <w:lang w:val="en-US" w:eastAsia="zh-CN"/>
        </w:rPr>
        <w:t>万元，与上年相比无增减。</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Times New Roman" w:hint="eastAsia"/>
          <w:color w:val="000000"/>
          <w:kern w:val="2"/>
          <w:sz w:val="32"/>
          <w:szCs w:val="32"/>
        </w:rPr>
      </w:pPr>
      <w:r>
        <w:rPr>
          <w:rFonts w:ascii="仿宋_GB2312" w:eastAsia="仿宋_GB2312" w:cs="仿宋_GB2312" w:hint="eastAsia"/>
          <w:kern w:val="2"/>
          <w:sz w:val="32"/>
          <w:szCs w:val="32"/>
          <w:lang w:val="en-US" w:eastAsia="zh-CN"/>
        </w:rPr>
        <w:t>车辆情况：本单位车辆保有量1辆。</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（二）结果应用情况。</w:t>
      </w:r>
    </w:p>
    <w:p>
      <w:pPr>
        <w:pStyle w:val="34"/>
        <w:keepNext w:val="0"/>
        <w:keepLines w:val="0"/>
        <w:widowControl/>
        <w:suppressLineNumbers w:val="0"/>
        <w:spacing w:line="560" w:lineRule="exact"/>
        <w:ind w:left="0" w:firstLineChars="200" w:firstLine="640"/>
        <w:rPr>
          <w:rFonts w:ascii="仿宋_GB2312" w:eastAsia="仿宋_GB2312" w:cs="Times New Roman" w:hint="eastAsia"/>
          <w:kern w:val="2"/>
          <w:sz w:val="32"/>
          <w:szCs w:val="32"/>
        </w:rPr>
      </w:pPr>
      <w:r>
        <w:rPr>
          <w:rFonts w:ascii="仿宋_GB2312" w:eastAsia="仿宋_GB2312" w:cs="仿宋_GB2312" w:hint="eastAsia"/>
          <w:kern w:val="2"/>
          <w:sz w:val="32"/>
          <w:szCs w:val="32"/>
        </w:rPr>
        <w:t>预算决算公开按财政局的要求在收到财政批复后</w:t>
      </w:r>
      <w:r>
        <w:rPr>
          <w:rFonts w:ascii="仿宋_GB2312" w:eastAsia="仿宋_GB2312" w:cs="Times New Roman" w:hint="eastAsia"/>
          <w:kern w:val="2"/>
          <w:sz w:val="32"/>
          <w:szCs w:val="32"/>
        </w:rPr>
        <w:t>20个工作日在金川县政府中心的信息网站进行公开。</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四、评价结论及建议</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（一）评价结论。</w:t>
      </w:r>
    </w:p>
    <w:p>
      <w:pPr>
        <w:pStyle w:val="25"/>
        <w:keepNext w:val="0"/>
        <w:keepLines w:val="0"/>
        <w:widowControl/>
        <w:suppressLineNumbers w:val="0"/>
        <w:shd w:val="clear" w:color="auto" w:fill="auto"/>
        <w:spacing w:before="0" w:beforeAutospacing="0" w:after="0" w:afterAutospacing="0" w:line="375" w:lineRule="atLeast"/>
        <w:ind w:right="0" w:firstLineChars="200" w:firstLine="640"/>
        <w:jc w:val="left"/>
        <w:rPr>
          <w:rFonts w:ascii="仿宋_GB2312" w:eastAsia="仿宋_GB2312" w:cs="宋体" w:hint="eastAsia"/>
          <w:color w:val="000000"/>
          <w:kern w:val="0"/>
          <w:sz w:val="24"/>
          <w:szCs w:val="24"/>
          <w:shd w:val="clear" w:color="auto" w:fill="FFFFFF"/>
        </w:rPr>
      </w:pPr>
      <w:r>
        <w:rPr>
          <w:rFonts w:ascii="仿宋" w:eastAsia="仿宋" w:cs="仿宋" w:hint="eastAsia"/>
          <w:color w:val="333333"/>
          <w:kern w:val="0"/>
          <w:sz w:val="32"/>
          <w:szCs w:val="32"/>
          <w:shd w:val="clear" w:color="auto" w:fill="FFFFFF"/>
          <w:lang w:val="en-US" w:eastAsia="zh-CN"/>
        </w:rPr>
        <w:t>自评合格。</w:t>
      </w:r>
    </w:p>
    <w:p>
      <w:pPr>
        <w:keepNext w:val="0"/>
        <w:keepLines w:val="0"/>
        <w:widowControl/>
        <w:suppressLineNumbers w:val="0"/>
        <w:adjustRightInd w:val="0"/>
        <w:snapToGrid w:val="0"/>
        <w:spacing w:before="0" w:beforeAutospacing="0" w:after="0" w:afterAutospacing="0" w:line="580" w:lineRule="exact"/>
        <w:ind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（二）存在问题。</w:t>
      </w:r>
    </w:p>
    <w:p>
      <w:pPr>
        <w:keepNext w:val="0"/>
        <w:keepLines w:val="0"/>
        <w:widowControl/>
        <w:suppressLineNumbers w:val="0"/>
        <w:adjustRightInd w:val="0"/>
        <w:snapToGrid w:val="0"/>
        <w:spacing w:before="0" w:beforeAutospacing="0" w:after="0" w:afterAutospacing="0" w:line="580" w:lineRule="exact"/>
        <w:ind w:leftChars="200" w:left="420" w:right="0"/>
        <w:contextualSpacing/>
        <w:jc w:val="left"/>
        <w:rPr>
          <w:rFonts w:ascii="仿宋_GB2312" w:eastAsia="仿宋_GB2312" w:cs="宋体" w:hint="eastAsia"/>
          <w:color w:val="000000"/>
          <w:kern w:val="0"/>
          <w:sz w:val="32"/>
          <w:szCs w:val="32"/>
          <w:shd w:val="clear" w:color="auto" w:fill="FFFFFF"/>
        </w:rPr>
      </w:pPr>
      <w:r>
        <w:rPr>
          <w:rFonts w:ascii="仿宋_GB2312" w:eastAsia="仿宋_GB2312" w:cs="宋体" w:hint="eastAsia"/>
          <w:color w:val="000000"/>
          <w:kern w:val="0"/>
          <w:sz w:val="32"/>
          <w:szCs w:val="32"/>
          <w:shd w:val="clear" w:color="auto" w:fill="FFFFFF"/>
          <w:lang w:val="en-US" w:eastAsia="zh-CN"/>
        </w:rPr>
        <w:t xml:space="preserve">  </w:t>
      </w:r>
      <w:r>
        <w:rPr>
          <w:rFonts w:ascii="仿宋_GB2312" w:eastAsia="仿宋_GB2312" w:cs="仿宋_GB2312" w:hint="eastAsia"/>
          <w:kern w:val="2"/>
          <w:sz w:val="32"/>
          <w:szCs w:val="32"/>
          <w:lang w:val="en-US" w:eastAsia="zh-CN"/>
        </w:rPr>
        <w:t>新形势下的城乡建设工作任务越来越重，工作经费困难。</w:t>
      </w:r>
    </w:p>
    <w:p>
      <w:pPr>
        <w:keepNext w:val="0"/>
        <w:keepLines w:val="0"/>
        <w:widowControl/>
        <w:numPr>
          <w:ilvl w:val="0"/>
          <w:numId w:val="7"/>
        </w:numPr>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改进建议。</w:t>
      </w:r>
    </w:p>
    <w:p>
      <w:pPr>
        <w:keepNext w:val="0"/>
        <w:keepLines w:val="0"/>
        <w:widowControl w:val="0"/>
        <w:suppressLineNumbers w:val="0"/>
        <w:spacing w:before="0" w:beforeAutospacing="0" w:after="0" w:afterAutospacing="0"/>
        <w:ind w:left="0" w:right="0" w:firstLineChars="200" w:firstLine="640"/>
        <w:jc w:val="both"/>
      </w:pPr>
      <w:r>
        <w:rPr>
          <w:rFonts w:ascii="仿宋_GB2312" w:eastAsia="仿宋_GB2312" w:cs="仿宋_GB2312" w:hint="eastAsia"/>
          <w:color w:val="000000"/>
          <w:kern w:val="0"/>
          <w:sz w:val="32"/>
          <w:szCs w:val="32"/>
          <w:shd w:val="clear" w:color="auto" w:fill="FFFFFF"/>
          <w:lang w:val="en-US" w:eastAsia="zh-CN"/>
        </w:rPr>
        <w:t>在今后的工作中，我局要继续合理计划利用财政资金，</w:t>
      </w:r>
      <w:r>
        <w:rPr>
          <w:rFonts w:ascii="仿宋_GB2312" w:eastAsia="仿宋_GB2312" w:cs="仿宋_GB2312" w:hint="eastAsia"/>
          <w:kern w:val="2"/>
          <w:sz w:val="32"/>
          <w:szCs w:val="32"/>
          <w:lang w:val="en-US" w:eastAsia="zh-CN"/>
        </w:rPr>
        <w:t>根据资金管理办法进行管理，做好经费保障等工作，明确分工，落实责任。</w:t>
      </w:r>
    </w:p>
    <w:p>
      <w:pPr>
        <w:spacing w:line="600" w:lineRule="exact"/>
        <w:jc w:val="center"/>
        <w:outlineLvl w:val="0"/>
        <w:rPr>
          <w:rFonts w:ascii="仿宋" w:eastAsia="仿宋"/>
          <w:b/>
          <w:color w:val="000000"/>
          <w:sz w:val="44"/>
          <w:szCs w:val="44"/>
        </w:rPr>
      </w:pPr>
    </w:p>
    <w:p>
      <w:pPr>
        <w:pStyle w:val="15"/>
        <w:rPr>
          <w:rFonts w:ascii="仿宋" w:eastAsia="仿宋"/>
          <w:b/>
          <w:color w:val="000000"/>
          <w:sz w:val="44"/>
          <w:szCs w:val="44"/>
        </w:rPr>
      </w:pPr>
    </w:p>
    <w:p>
      <w:pPr>
        <w:rPr>
          <w:rFonts w:ascii="仿宋" w:eastAsia="仿宋"/>
          <w:b/>
          <w:color w:val="000000"/>
          <w:sz w:val="44"/>
          <w:szCs w:val="44"/>
        </w:rPr>
      </w:pPr>
    </w:p>
    <w:p>
      <w:pPr>
        <w:pStyle w:val="15"/>
        <w:rPr>
          <w:rFonts w:ascii="仿宋" w:eastAsia="仿宋"/>
          <w:b/>
          <w:color w:val="000000"/>
          <w:sz w:val="44"/>
          <w:szCs w:val="44"/>
        </w:rPr>
      </w:pPr>
    </w:p>
    <w:p>
      <w:pPr>
        <w:rPr>
          <w:rFonts w:ascii="仿宋" w:eastAsia="仿宋"/>
          <w:b/>
          <w:color w:val="000000"/>
          <w:sz w:val="44"/>
          <w:szCs w:val="44"/>
        </w:rPr>
      </w:pPr>
    </w:p>
    <w:p>
      <w:pPr>
        <w:pStyle w:val="15"/>
      </w:pPr>
    </w:p>
    <w:p>
      <w:pPr>
        <w:pStyle w:val="15"/>
        <w:ind w:leftChars="0" w:left="0" w:firstLineChars="0" w:firstLine="0"/>
        <w:rPr>
          <w:rFonts w:hint="eastAsia"/>
        </w:rPr>
      </w:pPr>
      <w:bookmarkStart w:id="61" w:name="_Toc15396618"/>
      <w:bookmarkStart w:id="62" w:name="_Toc15396619"/>
    </w:p>
    <w:p>
      <w:pPr>
        <w:rPr>
          <w:rFonts w:hint="eastAsia"/>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61"/>
    </w:p>
    <w:p>
      <w:pPr>
        <w:pStyle w:val="2"/>
        <w:rPr>
          <w:rStyle w:val="2Char"/>
          <w:rFonts w:ascii="仿宋" w:eastAsia="仿宋" w:hint="eastAsia"/>
          <w:b w:val="0"/>
          <w:bCs w:val="0"/>
        </w:rPr>
      </w:pPr>
      <w:bookmarkEnd w:id="62"/>
      <w:r>
        <w:rPr>
          <w:rFonts w:ascii="仿宋" w:eastAsia="仿宋" w:hint="eastAsia"/>
          <w:b w:val="0"/>
          <w:color w:val="000000"/>
        </w:rPr>
        <w:t>一、收</w:t>
      </w:r>
      <w:r>
        <w:rPr>
          <w:rStyle w:val="2Char"/>
          <w:rFonts w:ascii="仿宋" w:eastAsia="仿宋" w:hint="eastAsia"/>
          <w:b w:val="0"/>
          <w:bCs w:val="0"/>
        </w:rPr>
        <w:t>入支出决算总表</w:t>
      </w:r>
    </w:p>
    <w:p>
      <w:pPr>
        <w:pStyle w:val="15"/>
        <w:ind w:leftChars="0" w:left="0" w:firstLineChars="0" w:firstLine="0"/>
        <w:rPr>
          <w:rStyle w:val="2Char"/>
          <w:rFonts w:ascii="仿宋" w:eastAsia="仿宋" w:hint="eastAsia"/>
          <w:b w:val="0"/>
          <w:bCs w:val="0"/>
        </w:rPr>
      </w:pPr>
      <w:r>
        <w:rPr>
          <w:rStyle w:val="2Char"/>
          <w:rFonts w:ascii="仿宋" w:eastAsia="仿宋" w:hint="eastAsia"/>
          <w:b w:val="0"/>
          <w:bCs w:val="0"/>
        </w:rPr>
        <w:t>二、收入决算表</w:t>
      </w:r>
      <w:bookmarkStart w:id="63" w:name="_Toc15396620"/>
    </w:p>
    <w:p>
      <w:pPr>
        <w:pStyle w:val="2"/>
        <w:rPr>
          <w:rFonts w:ascii="仿宋" w:eastAsia="仿宋" w:hint="eastAsia"/>
          <w:b w:val="0"/>
          <w:color w:val="000000"/>
        </w:rPr>
      </w:pPr>
      <w:r>
        <w:rPr>
          <w:rFonts w:ascii="仿宋" w:eastAsia="仿宋" w:hint="eastAsia"/>
          <w:b w:val="0"/>
          <w:color w:val="000000"/>
          <w:lang w:eastAsia="zh-CN"/>
        </w:rPr>
        <w:t>三、</w:t>
      </w:r>
      <w:r>
        <w:rPr>
          <w:rFonts w:ascii="仿宋" w:eastAsia="仿宋" w:hint="eastAsia"/>
          <w:b w:val="0"/>
          <w:color w:val="000000"/>
          <w:lang w:val="en-US" w:eastAsia="zh-CN"/>
        </w:rPr>
        <w:t>支出</w:t>
      </w:r>
      <w:r>
        <w:rPr>
          <w:rFonts w:ascii="仿宋" w:eastAsia="仿宋" w:hint="eastAsia"/>
          <w:b w:val="0"/>
          <w:color w:val="000000"/>
          <w:lang w:eastAsia="zh-CN"/>
        </w:rPr>
        <w:t>决算</w:t>
      </w:r>
      <w:r>
        <w:rPr>
          <w:rFonts w:ascii="仿宋" w:eastAsia="仿宋" w:hint="eastAsia"/>
          <w:b w:val="0"/>
          <w:color w:val="000000"/>
        </w:rPr>
        <w:t>表</w:t>
      </w:r>
      <w:bookmarkStart w:id="64" w:name="_Toc15396621"/>
      <w:bookmarkEnd w:id="63"/>
    </w:p>
    <w:p>
      <w:pPr>
        <w:pStyle w:val="2"/>
        <w:rPr>
          <w:rFonts w:ascii="仿宋" w:eastAsia="仿宋"/>
          <w:b w:val="0"/>
          <w:color w:val="000000"/>
          <w:lang w:val="en-US" w:eastAsia="zh-CN"/>
        </w:rPr>
      </w:pPr>
      <w:r>
        <w:rPr>
          <w:rFonts w:ascii="仿宋" w:eastAsia="仿宋" w:hint="eastAsia"/>
          <w:b w:val="0"/>
          <w:color w:val="000000"/>
          <w:lang w:eastAsia="zh-CN"/>
        </w:rPr>
        <w:t>四、</w:t>
      </w:r>
      <w:bookmarkEnd w:id="64"/>
      <w:r>
        <w:rPr>
          <w:rFonts w:ascii="仿宋" w:eastAsia="仿宋" w:hint="eastAsia"/>
          <w:b w:val="0"/>
          <w:color w:val="000000"/>
          <w:lang w:val="en-US" w:eastAsia="zh-CN"/>
        </w:rPr>
        <w:t>财政拨款收入支出决算总表</w:t>
      </w:r>
    </w:p>
    <w:p>
      <w:pPr>
        <w:pStyle w:val="2"/>
        <w:rPr>
          <w:rFonts w:ascii="仿宋" w:eastAsia="仿宋" w:cs="Times New Roman"/>
          <w:b w:val="0"/>
          <w:color w:val="000000"/>
          <w:lang w:val="en-US" w:eastAsia="zh-CN"/>
        </w:rPr>
      </w:pPr>
      <w:r>
        <w:rPr>
          <w:rFonts w:ascii="仿宋" w:eastAsia="仿宋" w:cs="Times New Roman" w:hint="eastAsia"/>
          <w:b w:val="0"/>
          <w:color w:val="000000"/>
        </w:rPr>
        <w:t>五、</w:t>
      </w:r>
      <w:r>
        <w:rPr>
          <w:rFonts w:ascii="仿宋" w:eastAsia="仿宋" w:cs="Times New Roman" w:hint="eastAsia"/>
          <w:b w:val="0"/>
          <w:color w:val="000000"/>
          <w:lang w:val="en-US" w:eastAsia="zh-CN"/>
        </w:rPr>
        <w:t>财政拨款支出决算明细表</w:t>
      </w:r>
    </w:p>
    <w:p>
      <w:pPr>
        <w:pStyle w:val="25"/>
        <w:keepNext w:val="0"/>
        <w:keepLines w:val="0"/>
        <w:widowControl/>
        <w:suppressLineNumbers w:val="0"/>
        <w:spacing w:before="0" w:beforeAutospacing="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六、一般公共预算财政拨款支出决算表</w:t>
      </w:r>
    </w:p>
    <w:p>
      <w:pPr>
        <w:pStyle w:val="25"/>
        <w:keepNext w:val="0"/>
        <w:keepLines w:val="0"/>
        <w:widowControl/>
        <w:suppressLineNumbers w:val="0"/>
        <w:spacing w:before="0" w:beforeAutospacing="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七、一般公共预算财政拨款支出决算明细表</w:t>
      </w:r>
    </w:p>
    <w:p>
      <w:pPr>
        <w:pStyle w:val="2"/>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八、一般公共预算财政拨款基本支出决算表</w:t>
      </w:r>
    </w:p>
    <w:p>
      <w:pPr>
        <w:pStyle w:val="2"/>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九、一般公共预算财政拨款项目支出决算表</w:t>
      </w:r>
    </w:p>
    <w:p>
      <w:pPr>
        <w:pStyle w:val="25"/>
        <w:keepNext w:val="0"/>
        <w:keepLines w:val="0"/>
        <w:widowControl/>
        <w:suppressLineNumbers w:val="0"/>
        <w:spacing w:before="0" w:beforeAutospacing="0"/>
        <w:jc w:val="left"/>
      </w:pPr>
      <w:r>
        <w:rPr>
          <w:rFonts w:ascii="仿宋" w:eastAsia="仿宋" w:cs="Times New Roman" w:hint="eastAsia"/>
          <w:b w:val="0"/>
          <w:bCs/>
          <w:color w:val="000000"/>
          <w:kern w:val="2"/>
          <w:sz w:val="32"/>
          <w:szCs w:val="32"/>
          <w:lang w:val="en-US" w:eastAsia="zh-CN" w:bidi="ar-SA"/>
        </w:rPr>
        <w:t>十、政府性基金预算财政拨款收入支出决算表</w:t>
      </w:r>
    </w:p>
    <w:p>
      <w:pPr>
        <w:pStyle w:val="2"/>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color w:val="000000"/>
        </w:rPr>
        <w:t>十</w:t>
      </w:r>
      <w:r>
        <w:rPr>
          <w:rFonts w:ascii="仿宋" w:eastAsia="仿宋" w:cs="Times New Roman" w:hint="eastAsia"/>
          <w:b w:val="0"/>
          <w:bCs/>
          <w:color w:val="000000"/>
          <w:kern w:val="2"/>
          <w:sz w:val="32"/>
          <w:szCs w:val="32"/>
          <w:lang w:val="en-US" w:eastAsia="zh-CN" w:bidi="ar-SA"/>
        </w:rPr>
        <w:t>一、国有资本经营预算财政拨款收入支出决算表</w:t>
      </w:r>
    </w:p>
    <w:p>
      <w:pPr>
        <w:pStyle w:val="25"/>
        <w:keepNext w:val="0"/>
        <w:keepLines w:val="0"/>
        <w:widowControl/>
        <w:suppressLineNumbers w:val="0"/>
        <w:spacing w:before="0" w:beforeAutospacing="0"/>
        <w:jc w:val="left"/>
        <w:rPr>
          <w:rFonts w:ascii="仿宋" w:eastAsia="仿宋" w:cs="Times New Roman"/>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十二、国有资本经营预算财政拨款支出决算表</w:t>
      </w:r>
    </w:p>
    <w:p>
      <w:pPr>
        <w:pStyle w:val="25"/>
        <w:keepNext w:val="0"/>
        <w:keepLines w:val="0"/>
        <w:widowControl/>
        <w:suppressLineNumbers w:val="0"/>
        <w:spacing w:before="0" w:beforeAutospacing="0"/>
        <w:jc w:val="left"/>
        <w:rPr>
          <w:rFonts w:ascii="仿宋" w:eastAsia="仿宋" w:cs="Times New Roman" w:hint="eastAsia"/>
          <w:b w:val="0"/>
          <w:bCs/>
          <w:color w:val="000000"/>
          <w:kern w:val="2"/>
          <w:sz w:val="32"/>
          <w:szCs w:val="32"/>
          <w:lang w:val="en-US" w:eastAsia="zh-CN" w:bidi="ar-SA"/>
        </w:rPr>
      </w:pPr>
      <w:r>
        <w:rPr>
          <w:rFonts w:ascii="仿宋" w:eastAsia="仿宋" w:cs="Times New Roman" w:hint="eastAsia"/>
          <w:b w:val="0"/>
          <w:bCs/>
          <w:color w:val="000000"/>
          <w:kern w:val="2"/>
          <w:sz w:val="32"/>
          <w:szCs w:val="32"/>
          <w:lang w:val="en-US" w:eastAsia="zh-CN" w:bidi="ar-SA"/>
        </w:rPr>
        <w:t>十三、财政拨款“三公”经费支出决算表</w:t>
      </w:r>
    </w:p>
    <w:p>
      <w:pPr>
        <w:rPr>
          <w:rFonts w:eastAsia="宋体"/>
          <w:lang w:val="en-US" w:eastAsia="zh-CN"/>
        </w:rPr>
      </w:pPr>
    </w:p>
    <w:p>
      <w:pPr>
        <w:pStyle w:val="2"/>
        <w:rPr>
          <w:rFonts w:ascii="仿宋" w:eastAsia="仿宋"/>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Arial">
    <w:panose1 w:val="020B0604020202020204"/>
    <w:charset w:val="01"/>
    <w:family w:val="swiss"/>
    <w:pitch w:val="variable"/>
    <w:sig w:usb0="E0002EFF" w:usb1="C000785B" w:usb2="00000009" w:usb3="00000000" w:csb0="400001FF" w:csb1="FFFF0000"/>
  </w:font>
  <w:font w:name="楷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944107789"/>
      <w:docPartList>
        <w:docPartGallery w:val="autotext"/>
      </w:docPartList>
    </w:sdtPr>
    <w:sdtContent>
      <w:p>
        <w:pPr>
          <w:pStyle w:val="21"/>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35330D2"/>
    <w:multiLevelType w:val="singleLevel"/>
    <w:tmpl w:val="B35330D2"/>
    <w:lvl w:ilvl="0">
      <w:start w:val="2"/>
      <w:numFmt w:val="chineseCounting"/>
      <w:lvlRestart w:val="0"/>
      <w:suff w:val="space"/>
      <w:lvlText w:val="第%1部分"/>
      <w:lvlJc w:val="left"/>
      <w:pPr>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78D72DD4"/>
    <w:multiLevelType w:val="singleLevel"/>
    <w:tmpl w:val="78D72DD4"/>
    <w:lvl w:ilvl="0">
      <w:start w:val="3"/>
      <w:numFmt w:val="decimal"/>
      <w:lvlRestart w:val="0"/>
      <w:lvlText w:val="%1."/>
      <w:lvlJc w:val="left"/>
      <w:pPr>
        <w:ind w:left="0" w:hanging="0"/>
      </w:pPr>
    </w:lvl>
  </w:abstractNum>
  <w:abstractNum w:abstractNumId="3">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4">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6">
    <w:nsid w:val="55486721"/>
    <w:multiLevelType w:val="multilevel"/>
    <w:tmpl w:val="55486721"/>
    <w:lvl w:ilvl="0">
      <w:start w:val="2"/>
      <w:numFmt w:val="chineseCounting"/>
      <w:lvlRestart w:val="0"/>
      <w:suff w:val="nothing"/>
      <w:lvlText w:val="（%1）"/>
      <w:lvlJc w:val="left"/>
      <w:pPr>
        <w:ind w:left="0" w:hanging="0"/>
      </w:pPr>
      <w:rPr>
        <w:rFonts w:ascii="宋体" w:hAnsi="宋体" w:eastAsia="宋体" w:cs="宋体" w:hint="eastAsia"/>
      </w:rPr>
    </w:lvl>
    <w:lvl w:ilvl="1">
      <w:start w:val="1"/>
      <w:numFmt w:val="decimal"/>
      <w:lvlText w:val="%2."/>
      <w:lvlJc w:val="left"/>
      <w:pPr>
        <w:ind w:left="1440" w:firstLine="65176"/>
      </w:pPr>
    </w:lvl>
    <w:lvl w:ilvl="2">
      <w:start w:val="1"/>
      <w:numFmt w:val="decimal"/>
      <w:lvlText w:val="%3."/>
      <w:lvlJc w:val="left"/>
      <w:pPr>
        <w:ind w:left="2160" w:firstLine="65176"/>
      </w:pPr>
    </w:lvl>
    <w:lvl w:ilvl="3">
      <w:start w:val="1"/>
      <w:numFmt w:val="decimal"/>
      <w:lvlText w:val="%4."/>
      <w:lvlJc w:val="left"/>
      <w:pPr>
        <w:ind w:left="2880" w:firstLine="65176"/>
      </w:pPr>
    </w:lvl>
    <w:lvl w:ilvl="4">
      <w:start w:val="1"/>
      <w:numFmt w:val="decimal"/>
      <w:lvlText w:val="%5."/>
      <w:lvlJc w:val="left"/>
      <w:pPr>
        <w:ind w:left="3600" w:firstLine="65176"/>
      </w:pPr>
    </w:lvl>
    <w:lvl w:ilvl="5">
      <w:start w:val="1"/>
      <w:numFmt w:val="decimal"/>
      <w:lvlText w:val="%6."/>
      <w:lvlJc w:val="left"/>
      <w:pPr>
        <w:ind w:left="4320" w:firstLine="65176"/>
      </w:pPr>
    </w:lvl>
    <w:lvl w:ilvl="6">
      <w:start w:val="1"/>
      <w:numFmt w:val="decimal"/>
      <w:lvlText w:val="%7."/>
      <w:lvlJc w:val="left"/>
      <w:pPr>
        <w:ind w:left="5040" w:firstLine="65176"/>
      </w:pPr>
    </w:lvl>
    <w:lvl w:ilvl="7">
      <w:start w:val="1"/>
      <w:numFmt w:val="decimal"/>
      <w:lvlText w:val="%8."/>
      <w:lvlJc w:val="left"/>
      <w:pPr>
        <w:ind w:left="5760" w:firstLine="65176"/>
      </w:pPr>
    </w:lvl>
    <w:lvl w:ilvl="8">
      <w:start w:val="1"/>
      <w:numFmt w:val="decimal"/>
      <w:lvlText w:val="%9."/>
      <w:lvlJc w:val="left"/>
      <w:pPr>
        <w:ind w:left="6480" w:firstLine="65176"/>
      </w:pPr>
    </w:lvl>
  </w:abstractNum>
  <w:abstractNum w:abstractNumId="7">
    <w:nsid w:val="A6E9B2D1"/>
    <w:multiLevelType w:val="multilevel"/>
    <w:tmpl w:val="A6E9B2D1"/>
    <w:lvl w:ilvl="0">
      <w:start w:val="3"/>
      <w:numFmt w:val="chineseCounting"/>
      <w:lvlRestart w:val="0"/>
      <w:suff w:val="nothing"/>
      <w:lvlText w:val="%1、"/>
      <w:lvlJc w:val="left"/>
      <w:pPr>
        <w:ind w:left="0" w:hanging="0"/>
      </w:pPr>
      <w:rPr>
        <w:rFonts w:ascii="宋体" w:hAnsi="宋体" w:eastAsia="宋体" w:cs="宋体" w:hint="eastAsia"/>
      </w:rPr>
    </w:lvl>
    <w:lvl w:ilvl="1">
      <w:start w:val="1"/>
      <w:numFmt w:val="decimal"/>
      <w:lvlText w:val="%2."/>
      <w:lvlJc w:val="left"/>
      <w:pPr>
        <w:ind w:left="1440" w:firstLine="65176"/>
      </w:pPr>
    </w:lvl>
    <w:lvl w:ilvl="2">
      <w:start w:val="1"/>
      <w:numFmt w:val="decimal"/>
      <w:lvlText w:val="%3."/>
      <w:lvlJc w:val="left"/>
      <w:pPr>
        <w:ind w:left="2160" w:firstLine="65176"/>
      </w:pPr>
    </w:lvl>
    <w:lvl w:ilvl="3">
      <w:start w:val="1"/>
      <w:numFmt w:val="decimal"/>
      <w:lvlText w:val="%4."/>
      <w:lvlJc w:val="left"/>
      <w:pPr>
        <w:ind w:left="2880" w:firstLine="65176"/>
      </w:pPr>
    </w:lvl>
    <w:lvl w:ilvl="4">
      <w:start w:val="1"/>
      <w:numFmt w:val="decimal"/>
      <w:lvlText w:val="%5."/>
      <w:lvlJc w:val="left"/>
      <w:pPr>
        <w:ind w:left="3600" w:firstLine="65176"/>
      </w:pPr>
    </w:lvl>
    <w:lvl w:ilvl="5">
      <w:start w:val="1"/>
      <w:numFmt w:val="decimal"/>
      <w:lvlText w:val="%6."/>
      <w:lvlJc w:val="left"/>
      <w:pPr>
        <w:ind w:left="4320" w:firstLine="65176"/>
      </w:pPr>
    </w:lvl>
    <w:lvl w:ilvl="6">
      <w:start w:val="1"/>
      <w:numFmt w:val="decimal"/>
      <w:lvlText w:val="%7."/>
      <w:lvlJc w:val="left"/>
      <w:pPr>
        <w:ind w:left="5040" w:firstLine="65176"/>
      </w:pPr>
    </w:lvl>
    <w:lvl w:ilvl="7">
      <w:start w:val="1"/>
      <w:numFmt w:val="decimal"/>
      <w:lvlText w:val="%8."/>
      <w:lvlJc w:val="left"/>
      <w:pPr>
        <w:ind w:left="5760" w:firstLine="65176"/>
      </w:pPr>
    </w:lvl>
    <w:lvl w:ilvl="8">
      <w:start w:val="1"/>
      <w:numFmt w:val="decimal"/>
      <w:lvlText w:val="%9."/>
      <w:lvlJc w:val="left"/>
      <w:pPr>
        <w:ind w:left="6480" w:firstLine="65176"/>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OTdjM2NiZjJhNjU1YTBhYzIzM2RhYjI4OWNiZTM2Zj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rPr>
      <w:rFonts w:eastAsia="仿宋"/>
      <w:sz w:val="32"/>
    </w:r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Plain Text"/>
    <w:basedOn w:val="0"/>
    <w:rPr>
      <w:rFonts w:ascii="宋体"/>
    </w:rPr>
  </w:style>
  <w:style w:type="paragraph" w:styleId="19">
    <w:name w:val="Body Text Indent 2"/>
    <w:basedOn w:val="0"/>
    <w:pPr>
      <w:spacing w:after="120" w:line="480" w:lineRule="auto"/>
      <w:ind w:leftChars="200" w:left="2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paragraph" w:styleId="25">
    <w:name w:val="Normal (Web)"/>
    <w:basedOn w:val="0"/>
    <w:pPr>
      <w:widowControl/>
      <w:spacing w:before="0" w:beforeAutospacing="1" w:after="0" w:afterAutospacing="1"/>
      <w:ind w:left="0" w:right="0"/>
      <w:jc w:val="left"/>
    </w:pPr>
    <w:rPr>
      <w:rFonts w:ascii="宋体" w:eastAsia="宋体" w:cs="宋体"/>
      <w:kern w:val="0"/>
      <w:sz w:val="24"/>
      <w:szCs w:val="24"/>
      <w:lang w:val="en-US" w:eastAsia="zh-CN"/>
    </w:rPr>
  </w:style>
  <w:style w:type="character" w:styleId="26">
    <w:name w:val="Strong"/>
    <w:basedOn w:val="10"/>
    <w:rPr>
      <w:b/>
    </w:rPr>
  </w:style>
  <w:style w:type="character" w:styleId="27">
    <w:name w:val="Hyperlink"/>
    <w:basedOn w:val="10"/>
    <w:rPr>
      <w:color w:val="0000FF"/>
      <w:u w:val="single"/>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正文1"/>
    <w:basedOn w:val="0"/>
    <w:pPr>
      <w:keepNext w:val="0"/>
      <w:keepLines w:val="0"/>
      <w:widowControl w:val="0"/>
      <w:suppressLineNumbers w:val="0"/>
      <w:spacing w:before="0" w:beforeAutospacing="0" w:after="0" w:afterAutospacing="0"/>
      <w:ind w:left="0" w:right="0"/>
      <w:jc w:val="both"/>
    </w:pPr>
    <w:rPr>
      <w:rFonts w:ascii="Calibri" w:eastAsia="宋体" w:cs="Times New Roman" w:hAnsi="Calibri"/>
      <w:kern w:val="2"/>
      <w:sz w:val="21"/>
      <w:szCs w:val="21"/>
      <w:lang w:val="en-US" w:eastAsia="zh-CN"/>
    </w:rPr>
  </w:style>
  <w:style w:type="character" w:customStyle="1" w:styleId="35">
    <w:name w:val="NormalCharacter"/>
    <w:rPr>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收入支出决算</a:t>
            </a:r>
          </a:p>
        </c:rich>
      </c:tx>
      <c:layout/>
      <c:overlay val="0"/>
      <c:spPr>
        <a:noFill/>
        <a:ln>
          <a:noFill/>
        </a:ln>
      </c:spPr>
    </c:title>
    <c:autoTitleDeleted val="1"/>
    <c:plotArea>
      <c:layout>
        <c:manualLayout>
          <c:layoutTarget val="inner"/>
          <c:xMode val="edge"/>
          <c:yMode val="edge"/>
          <c:x val="0.11104878"/>
          <c:y val="0.13037656"/>
          <c:w val="0.8852927"/>
          <c:h val="0.71571547"/>
        </c:manualLayout>
      </c:layout>
      <c:barChart>
        <c:barDir val="col"/>
        <c:grouping val="clustered"/>
        <c:varyColors val="0"/>
        <c:ser>
          <c:idx val="0"/>
          <c:order val="0"/>
          <c:tx>
            <c:v>总收入</c:v>
          </c:tx>
          <c:spPr>
            <a:solidFill>
              <a:srgbClr val="FFC000"/>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2021年</c:v>
              </c:pt>
              <c:pt idx="1">
                <c:v>2022年</c:v>
              </c:pt>
            </c:strLit>
          </c:cat>
          <c:val>
            <c:numRef>
              <c:f/>
              <c:numCache>
                <c:formatCode>General</c:formatCode>
                <c:ptCount val="2"/>
                <c:pt idx="0">
                  <c:v>8421.24</c:v>
                </c:pt>
                <c:pt idx="1">
                  <c:v>15692.01</c:v>
                </c:pt>
              </c:numCache>
            </c:numRef>
          </c:val>
        </c:ser>
        <c:ser>
          <c:idx val="1"/>
          <c:order val="1"/>
          <c:tx>
            <c:v>总支出</c:v>
          </c:tx>
          <c:spPr>
            <a:gradFill rotWithShape="1">
              <a:gsLst>
                <a:gs pos="0">
                  <a:srgbClr val="9EE256">
                    <a:alpha val="100000"/>
                  </a:srgbClr>
                </a:gs>
                <a:gs pos="100000">
                  <a:srgbClr val="52762D">
                    <a:alpha val="100000"/>
                  </a:srgbClr>
                </a:gs>
              </a:gsLst>
              <a:lin scaled="1"/>
            </a:gra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2021年</c:v>
              </c:pt>
              <c:pt idx="1">
                <c:v>2022年</c:v>
              </c:pt>
            </c:strLit>
          </c:cat>
          <c:val>
            <c:numRef>
              <c:f/>
              <c:numCache>
                <c:formatCode>General</c:formatCode>
                <c:ptCount val="2"/>
                <c:pt idx="0">
                  <c:v>8421.24</c:v>
                </c:pt>
                <c:pt idx="1">
                  <c:v>15692.01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收入决算结构图</a:t>
            </a:r>
          </a:p>
        </c:rich>
      </c:tx>
      <c:layout/>
      <c:overlay val="0"/>
      <c:spPr>
        <a:noFill/>
        <a:ln>
          <a:noFill/>
        </a:ln>
      </c:spPr>
    </c:title>
    <c:autoTitleDeleted val="0"/>
    <c:plotArea>
      <c:layout/>
      <c:pieChart>
        <c:varyColors val="1"/>
        <c:ser>
          <c:idx val="0"/>
          <c:order val="0"/>
          <c:tx>
            <c:v>收入决算结构图</c:v>
          </c:tx>
          <c:spPr>
            <a:solidFill>
              <a:srgbClr val="D99694"/>
            </a:solidFill>
            <a:ln>
              <a:noFill/>
            </a:ln>
          </c:spPr>
          <c:dPt>
            <c:idx val="0"/>
            <c:bubble3D val="0"/>
            <c:spPr>
              <a:solidFill>
                <a:srgbClr val="D9969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0"/>
            <c:dLbl>
              <c:idx val="0"/>
              <c:layout>
                <c:manualLayout>
                  <c:x val="-0.002297754"/>
                  <c:y val="-0.1266069"/>
                </c:manualLayout>
              </c:layout>
              <c:numFmt formatCode="General" sourceLinked="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1"/>
              <c:pt idx="0">
                <c:v>一般公共预算财政拨款收入</c:v>
              </c:pt>
            </c:strLit>
          </c:cat>
          <c:val>
            <c:numRef>
              <c:f/>
              <c:numCache>
                <c:formatCode>General</c:formatCode>
                <c:ptCount val="1"/>
                <c:pt idx="0">
                  <c:v>15692.01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支出决算表</a:t>
            </a:r>
          </a:p>
        </c:rich>
      </c:tx>
      <c:layout/>
      <c:overlay val="0"/>
      <c:spPr>
        <a:noFill/>
        <a:ln>
          <a:noFill/>
        </a:ln>
      </c:spPr>
    </c:title>
    <c:autoTitleDeleted val="0"/>
    <c:plotArea>
      <c:layout/>
      <c:pieChart>
        <c:varyColors val="1"/>
        <c:ser>
          <c:idx val="0"/>
          <c:order val="0"/>
          <c:tx>
            <c:strRef>
              <c:f>'Sheet1'!$B$1</c:f>
              <c:strCache>
                <c:ptCount val="1"/>
                <c:pt idx="0">
                  <c:v>支出决算表</c:v>
                </c:pt>
              </c:strCache>
            </c:strRef>
          </c:tx>
          <c:spPr>
            <a:ln>
              <a:noFill/>
            </a:ln>
          </c:spPr>
          <c:dPt>
            <c:idx val="0"/>
            <c:bubble3D val="0"/>
            <c:spPr>
              <a:gradFill rotWithShape="1">
                <a:gsLst>
                  <a:gs pos="0">
                    <a:srgbClr val="7B32B2">
                      <a:alpha val="100000"/>
                    </a:srgbClr>
                  </a:gs>
                  <a:gs pos="100000">
                    <a:srgbClr val="401A5D">
                      <a:alpha val="100000"/>
                    </a:srgbClr>
                  </a:gs>
                </a:gsLst>
                <a:lin scaled="1"/>
              </a:gradFill>
              <a:ln w="19050">
                <a:solidFill>
                  <a:srgbClr val="FFFFFF"/>
                </a:solidFill>
                <a:prstDash val="solid"/>
              </a:ln>
            </c:spPr>
          </c:dPt>
          <c:dPt>
            <c:idx val="1"/>
            <c:bubble3D val="0"/>
            <c:spPr>
              <a:gradFill rotWithShape="1">
                <a:gsLst>
                  <a:gs pos="0">
                    <a:srgbClr val="9EE256">
                      <a:alpha val="100000"/>
                    </a:srgbClr>
                  </a:gs>
                  <a:gs pos="100000">
                    <a:srgbClr val="52762D">
                      <a:alpha val="100000"/>
                    </a:srgbClr>
                  </a:gs>
                </a:gsLst>
                <a:lin scaled="1"/>
              </a:gra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'Sheet1'!$A$2:$A$3</c:f>
              <c:strCache>
                <c:ptCount val="2"/>
                <c:pt idx="0">
                  <c:v>基本支出</c:v>
                </c:pt>
                <c:pt idx="1">
                  <c:v>项目支出</c:v>
                </c:pt>
              </c:strCache>
            </c:strRef>
          </c:cat>
          <c:val>
            <c:numRef>
              <c:f>'Sheet1'!$B$2:$B$3</c:f>
              <c:numCache>
                <c:formatCode>General</c:formatCode>
                <c:ptCount val="2"/>
                <c:pt idx="0">
                  <c:v>426.72</c:v>
                </c:pt>
                <c:pt idx="1">
                  <c:v>15265.3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gradFill rotWithShape="1">
      <a:gsLst>
        <a:gs pos="0">
          <a:srgbClr val="FECF40">
            <a:alpha val="100000"/>
          </a:srgbClr>
        </a:gs>
        <a:gs pos="100000">
          <a:srgbClr val="846C21">
            <a:alpha val="100000"/>
          </a:srgbClr>
        </a:gs>
      </a:gsLst>
      <a:lin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(2)'!$B$1</c:f>
              <c:strCache>
                <c:ptCount val="1"/>
                <c:pt idx="0">
                  <c:v>2021</c:v>
                </c:pt>
              </c:strCache>
            </c:strRef>
          </c:tx>
          <c:spPr>
            <a:gradFill rotWithShape="1">
              <a:gsLst>
                <a:gs pos="0">
                  <a:srgbClr val="14CD68">
                    <a:alpha val="100000"/>
                  </a:srgbClr>
                </a:gs>
                <a:gs pos="100000">
                  <a:srgbClr val="0B6E38">
                    <a:alpha val="100000"/>
                  </a:srgbClr>
                </a:gs>
              </a:gsLst>
              <a:lin scaled="1"/>
            </a:gra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(2)'!$A$2:$A$3</c:f>
              <c:strCache>
                <c:ptCount val="2"/>
                <c:pt idx="0">
                  <c:v>一般公共预算财政拨款收入</c:v>
                </c:pt>
                <c:pt idx="1">
                  <c:v>一般公共预算财政拨款支出</c:v>
                </c:pt>
              </c:strCache>
            </c:strRef>
          </c:cat>
          <c:val>
            <c:numRef>
              <c:f>'Sheet1 (2)'!$B$2:$B$3</c:f>
              <c:numCache>
                <c:formatCode>General</c:formatCode>
                <c:ptCount val="2"/>
                <c:pt idx="0">
                  <c:v>8421.24</c:v>
                </c:pt>
                <c:pt idx="1">
                  <c:v>8421.24</c:v>
                </c:pt>
              </c:numCache>
            </c:numRef>
          </c:val>
        </c:ser>
        <c:ser>
          <c:idx val="1"/>
          <c:order val="1"/>
          <c:tx>
            <c:strRef>
              <c:f>'Sheet1 (2)'!$C$1</c:f>
              <c:strCache>
                <c:ptCount val="1"/>
                <c:pt idx="0">
                  <c:v>2022</c:v>
                </c:pt>
              </c:strCache>
            </c:strRef>
          </c:tx>
          <c:spPr>
            <a:gradFill rotWithShape="1">
              <a:gsLst>
                <a:gs pos="0">
                  <a:srgbClr val="FBFB11">
                    <a:alpha val="100000"/>
                  </a:srgbClr>
                </a:gs>
                <a:gs pos="100000">
                  <a:srgbClr val="838309">
                    <a:alpha val="100000"/>
                  </a:srgbClr>
                </a:gs>
              </a:gsLst>
              <a:lin scaled="1"/>
            </a:gra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(2)'!$A$2:$A$3</c:f>
              <c:strCache>
                <c:ptCount val="2"/>
                <c:pt idx="0">
                  <c:v>一般公共预算财政拨款收入</c:v>
                </c:pt>
                <c:pt idx="1">
                  <c:v>一般公共预算财政拨款支出</c:v>
                </c:pt>
              </c:strCache>
            </c:strRef>
          </c:cat>
          <c:val>
            <c:numRef>
              <c:f>'Sheet1 (2)'!$C$2:$C$3</c:f>
              <c:numCache>
                <c:formatCode>General</c:formatCode>
                <c:ptCount val="2"/>
                <c:pt idx="0">
                  <c:v>15692.01</c:v>
                </c:pt>
                <c:pt idx="1">
                  <c:v>15692.01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manualLayout>
          <c:xMode val="edge"/>
          <c:yMode val="edge"/>
          <c:x val="0.373125"/>
          <c:y val="0.93916667"/>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DCE6F2"/>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一般公共预算财政拨款支出决算变动情况</a:t>
            </a:r>
          </a:p>
        </c:rich>
      </c:tx>
      <c:layout/>
      <c:overlay val="0"/>
      <c:spPr>
        <a:noFill/>
        <a:ln>
          <a:noFill/>
        </a:ln>
      </c:spPr>
    </c:title>
    <c:autoTitleDeleted val="1"/>
    <c:plotArea>
      <c:layout/>
      <c:barChart>
        <c:barDir val="col"/>
        <c:grouping val="clustered"/>
        <c:varyColors val="0"/>
        <c:ser>
          <c:idx val="0"/>
          <c:order val="0"/>
          <c:tx>
            <c:strRef>
              <c:f>'Sheet1 (3)'!$B$1</c:f>
              <c:strCache>
                <c:ptCount val="1"/>
                <c:pt idx="0">
                  <c:v>2021年</c:v>
                </c:pt>
              </c:strCache>
            </c:strRef>
          </c:tx>
          <c:spPr>
            <a:gradFill rotWithShape="1">
              <a:gsLst>
                <a:gs pos="0">
                  <a:srgbClr val="FECF40">
                    <a:alpha val="100000"/>
                  </a:srgbClr>
                </a:gs>
                <a:gs pos="100000">
                  <a:srgbClr val="846C21">
                    <a:alpha val="100000"/>
                  </a:srgbClr>
                </a:gs>
              </a:gsLst>
              <a:lin scaled="1"/>
            </a:gradFill>
            <a:ln w="6350">
              <a:solidFill>
                <a:srgbClr val="FFC000"/>
              </a:solidFill>
              <a:prstDash val="solid"/>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(3)'!$A$2</c:f>
              <c:strCache>
                <c:ptCount val="1"/>
                <c:pt idx="0">
                  <c:v>一般公共预算财政拨款支出决算变动情况</c:v>
                </c:pt>
              </c:strCache>
            </c:strRef>
          </c:cat>
          <c:val>
            <c:numRef>
              <c:f>Sheet1 (3)!$B$2</c:f>
              <c:numCache>
                <c:formatCode>General</c:formatCode>
                <c:ptCount val="1"/>
                <c:pt idx="0">
                  <c:v>8421.24</c:v>
                </c:pt>
              </c:numCache>
            </c:numRef>
          </c:val>
        </c:ser>
        <c:ser>
          <c:idx val="1"/>
          <c:order val="1"/>
          <c:tx>
            <c:strRef>
              <c:f>'Sheet1 (3)'!$C$1</c:f>
              <c:strCache>
                <c:ptCount val="1"/>
                <c:pt idx="0">
                  <c:v>2022年</c:v>
                </c:pt>
              </c:strCache>
            </c:strRef>
          </c:tx>
          <c:spPr>
            <a:gradFill rotWithShape="1">
              <a:gsLst>
                <a:gs pos="0">
                  <a:srgbClr val="FE4444">
                    <a:alpha val="100000"/>
                  </a:srgbClr>
                </a:gs>
                <a:gs pos="100000">
                  <a:srgbClr val="832B2B">
                    <a:alpha val="100000"/>
                  </a:srgbClr>
                </a:gs>
              </a:gsLst>
              <a:lin scaled="1"/>
            </a:gradFill>
            <a:ln>
              <a:noFill/>
            </a:ln>
          </c:spPr>
          <c:invertIfNegative val="0"/>
          <c:dPt>
            <c:idx val="0"/>
            <c:invertIfNegative val="0"/>
            <c:bubble3D val="0"/>
            <c:spPr>
              <a:gradFill rotWithShape="1">
                <a:gsLst>
                  <a:gs pos="0">
                    <a:srgbClr val="FE4444">
                      <a:alpha val="100000"/>
                    </a:srgbClr>
                  </a:gs>
                  <a:gs pos="100000">
                    <a:srgbClr val="832B2B">
                      <a:alpha val="100000"/>
                    </a:srgbClr>
                  </a:gs>
                </a:gsLst>
                <a:lin scaled="1"/>
              </a:gradFill>
              <a:ln>
                <a:noFill/>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(3)'!$A$2</c:f>
              <c:strCache>
                <c:ptCount val="1"/>
                <c:pt idx="0">
                  <c:v>一般公共预算财政拨款支出决算变动情况</c:v>
                </c:pt>
              </c:strCache>
            </c:strRef>
          </c:cat>
          <c:val>
            <c:numRef>
              <c:f>Sheet1 (3)!$C$2</c:f>
              <c:numCache>
                <c:formatCode>General</c:formatCode>
                <c:ptCount val="1"/>
                <c:pt idx="0">
                  <c:v>15692.01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EEECE1"/>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一般公共预算财政拨款支出决算结构（万元）</a:t>
            </a:r>
          </a:p>
        </c:rich>
      </c:tx>
      <c:layout/>
      <c:overlay val="0"/>
      <c:spPr>
        <a:noFill/>
        <a:ln>
          <a:noFill/>
        </a:ln>
      </c:spPr>
    </c:title>
    <c:autoTitleDeleted val="0"/>
    <c:plotArea>
      <c:layout>
        <c:manualLayout>
          <c:layoutTarget val="inner"/>
          <c:xMode val="edge"/>
          <c:yMode val="edge"/>
          <c:x val="0.2773"/>
          <c:y val="0.16715"/>
          <c:w val="0.44165"/>
          <c:h val="0.58886665"/>
        </c:manualLayout>
      </c:layout>
      <c:pieChart>
        <c:varyColors val="1"/>
        <c:ser>
          <c:idx val="0"/>
          <c:order val="0"/>
          <c:tx>
            <c:strRef>
              <c:f>'Sheet1 (4)'!$B$1</c:f>
              <c:strCache>
                <c:ptCount val="1"/>
                <c:pt idx="0">
                  <c:v>一般公共预算财政拨款支出决算结构（万元）</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gradFill rotWithShape="1">
                <a:gsLst>
                  <a:gs pos="0">
                    <a:srgbClr val="9EE256">
                      <a:alpha val="100000"/>
                    </a:srgbClr>
                  </a:gs>
                  <a:gs pos="100000">
                    <a:srgbClr val="52762D">
                      <a:alpha val="100000"/>
                    </a:srgbClr>
                  </a:gs>
                </a:gsLst>
                <a:lin scaled="1"/>
              </a:gra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gradFill rotWithShape="1">
                <a:gsLst>
                  <a:gs pos="0">
                    <a:srgbClr val="FE4444">
                      <a:alpha val="100000"/>
                    </a:srgbClr>
                  </a:gs>
                  <a:gs pos="100000">
                    <a:srgbClr val="832B2B">
                      <a:alpha val="100000"/>
                    </a:srgbClr>
                  </a:gs>
                </a:gsLst>
                <a:lin scaled="1"/>
              </a:gradFill>
              <a:ln w="19050">
                <a:solidFill>
                  <a:srgbClr val="FFFFFF"/>
                </a:solidFill>
                <a:prstDash val="solid"/>
              </a:ln>
            </c:spPr>
          </c:dPt>
          <c:dPt>
            <c:idx val="5"/>
            <c:bubble3D val="0"/>
            <c:spPr>
              <a:gradFill rotWithShape="1">
                <a:gsLst>
                  <a:gs pos="0">
                    <a:srgbClr val="7B32B2">
                      <a:alpha val="100000"/>
                    </a:srgbClr>
                  </a:gs>
                  <a:gs pos="100000">
                    <a:srgbClr val="401A5D">
                      <a:alpha val="100000"/>
                    </a:srgbClr>
                  </a:gs>
                </a:gsLst>
                <a:lin scaled="1"/>
              </a:gra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
              <c:idx val="0"/>
              <c:layout>
                <c:manualLayout>
                  <c:x val="-0.08380886"/>
                  <c:y val="-0.011438325"/>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dLbl>
              <c:idx val="1"/>
              <c:layout>
                <c:manualLayout>
                  <c:x val="0.09646349"/>
                  <c:y val="0.02220485"/>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dLbl>
              <c:idx val="3"/>
              <c:layout>
                <c:manualLayout>
                  <c:x val="0.07769824"/>
                  <c:y val="-0.009253366"/>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dLbl>
              <c:idx val="4"/>
              <c:layout>
                <c:manualLayout>
                  <c:x val="0.08258572"/>
                  <c:y val="-0.042978905"/>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dLbl>
              <c:idx val="5"/>
              <c:layout>
                <c:manualLayout>
                  <c:x val="-0.003175097"/>
                  <c:y val="0.025122259"/>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(4)'!$A$2:$A$7</c:f>
              <c:strCache>
                <c:ptCount val="6"/>
                <c:pt idx="0">
                  <c:v>社会保障和就业支出</c:v>
                </c:pt>
                <c:pt idx="1">
                  <c:v>卫生健康支出</c:v>
                </c:pt>
                <c:pt idx="2">
                  <c:v>城乡社区支出</c:v>
                </c:pt>
                <c:pt idx="3">
                  <c:v>农林水支出</c:v>
                </c:pt>
                <c:pt idx="4">
                  <c:v>住房保障支出</c:v>
                </c:pt>
                <c:pt idx="5">
                  <c:v>其他支出</c:v>
                </c:pt>
              </c:strCache>
            </c:strRef>
          </c:cat>
          <c:val>
            <c:numRef>
              <c:f>'Sheet1 (4)'!$B$2:$B$7</c:f>
              <c:numCache>
                <c:formatCode>General</c:formatCode>
                <c:ptCount val="6"/>
                <c:pt idx="0">
                  <c:v>49.69</c:v>
                </c:pt>
                <c:pt idx="1">
                  <c:v>21.27</c:v>
                </c:pt>
                <c:pt idx="2">
                  <c:v>4151.47</c:v>
                </c:pt>
                <c:pt idx="3">
                  <c:v>763.0</c:v>
                </c:pt>
                <c:pt idx="4">
                  <c:v>776.7</c:v>
                </c:pt>
                <c:pt idx="5">
                  <c:v>9929.88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“三公”经费财政拨款支出结构（万元）</a:t>
            </a:r>
          </a:p>
        </c:rich>
      </c:tx>
      <c:layout/>
      <c:overlay val="0"/>
      <c:spPr>
        <a:noFill/>
        <a:ln>
          <a:noFill/>
        </a:ln>
      </c:spPr>
    </c:title>
    <c:autoTitleDeleted val="0"/>
    <c:plotArea>
      <c:layout/>
      <c:pieChart>
        <c:varyColors val="1"/>
        <c:ser>
          <c:idx val="0"/>
          <c:order val="0"/>
          <c:tx>
            <c:strRef>
              <c:f>'Sheet1 (5)'!$B$1</c:f>
              <c:strCache>
                <c:ptCount val="1"/>
                <c:pt idx="0">
                  <c:v>“三公”经费财政拨款支出结构（万元）</c:v>
                </c:pt>
              </c:strCache>
            </c:strRef>
          </c:tx>
          <c:spPr>
            <a:solidFill>
              <a:srgbClr val="FFFF00"/>
            </a:solidFill>
            <a:ln>
              <a:noFill/>
            </a:ln>
          </c:spPr>
          <c:dPt>
            <c:idx val="0"/>
            <c:bubble3D val="0"/>
            <c:spPr>
              <a:solidFill>
                <a:srgbClr val="FFFF00"/>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2D05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
              <c:idx val="1"/>
              <c:layout>
                <c:manualLayout>
                  <c:x val="0.15534762"/>
                  <c:y val="-0.05874292"/>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dLbl>
              <c:idx val="2"/>
              <c:layout>
                <c:manualLayout>
                  <c:x val="-0.14462478"/>
                  <c:y val="0.033643067"/>
                </c:manualLayout>
              </c:layout>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(5)'!$A$2:$A$4</c:f>
              <c:strCache>
                <c:ptCount val="3"/>
                <c:pt idx="0">
                  <c:v>因公出国（境）经费</c:v>
                </c:pt>
                <c:pt idx="1">
                  <c:v>公务用车购置及运行维护费</c:v>
                </c:pt>
                <c:pt idx="2">
                  <c:v>公务接待费</c:v>
                </c:pt>
              </c:strCache>
            </c:strRef>
          </c:cat>
          <c:val>
            <c:numRef>
              <c:f>'Sheet1 (5)'!$B$2:$B$4</c:f>
              <c:numCache>
                <c:formatCode>General</c:formatCode>
                <c:ptCount val="3"/>
                <c:pt idx="0">
                  <c:v>0.0</c:v>
                </c:pt>
                <c:pt idx="1">
                  <c:v>2.98</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20</TotalTime>
  <Application>Yozo_Office27021597764231179</Application>
  <Pages>32</Pages>
  <Words>11620</Words>
  <Characters>12893</Characters>
  <Lines>616</Lines>
  <Paragraphs>206</Paragraphs>
  <CharactersWithSpaces>12996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1</cp:revision>
  <cp:lastPrinted>2023-08-28T09:02:12Z</cp:lastPrinted>
  <dcterms:created xsi:type="dcterms:W3CDTF">2019-08-01T17:14:00Z</dcterms:created>
  <dcterms:modified xsi:type="dcterms:W3CDTF">2023-08-30T08:34:32Z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ICV">
    <vt:lpwstr>9D46876369E94747A5AA019A9F5741B6</vt:lpwstr>
  </property>
</Properties>
</file>