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8441"/>
      <w:bookmarkStart w:id="3" w:name="_Toc15396597"/>
      <w:bookmarkStart w:id="4" w:name="_Toc15377193"/>
      <w:bookmarkStart w:id="5" w:name="_Toc15396475"/>
      <w:r>
        <w:rPr>
          <w:rFonts w:ascii="黑体" w:eastAsia="黑体"/>
          <w:color w:val="000000"/>
          <w:sz w:val="72"/>
          <w:szCs w:val="72"/>
        </w:rPr>
        <w:t>20</w:t>
      </w:r>
      <w:r>
        <w:rPr>
          <w:rFonts w:ascii="黑体" w:eastAsia="黑体" w:hint="eastAsia"/>
          <w:color w:val="000000"/>
          <w:sz w:val="72"/>
          <w:szCs w:val="72"/>
        </w:rPr>
        <w:t>21</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8442"/>
      <w:bookmarkStart w:id="8" w:name="_Toc15396598"/>
      <w:bookmarkStart w:id="9" w:name="_Toc15377194"/>
      <w:bookmarkStart w:id="10" w:name="_Toc15377426"/>
      <w:r>
        <w:rPr>
          <w:rFonts w:ascii="方正小标宋简体" w:eastAsia="方正小标宋简体" w:hint="eastAsia"/>
          <w:color w:val="000000"/>
          <w:sz w:val="72"/>
          <w:szCs w:val="72"/>
        </w:rPr>
        <w:t>四川省</w:t>
      </w:r>
      <w:bookmarkStart w:id="11" w:name="_Toc15306268"/>
      <w:bookmarkEnd w:id="0"/>
      <w:r>
        <w:rPr>
          <w:rFonts w:ascii="方正小标宋简体" w:eastAsia="方正小标宋简体" w:hint="eastAsia"/>
          <w:color w:val="000000"/>
          <w:sz w:val="72"/>
          <w:szCs w:val="72"/>
        </w:rPr>
        <w:t>金川县住房和城乡建设局部门决算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pPr>
      <w:r>
        <w:rPr>
          <w:rFonts w:ascii="方正小标宋简体" w:eastAsia="方正小标宋简体"/>
          <w:color w:val="000000"/>
          <w:sz w:val="36"/>
          <w:szCs w:val="36"/>
        </w:rPr>
        <w:br w:type="page"/>
      </w:r>
      <w:r>
        <w:rPr>
          <w:rFonts w:ascii="黑体" w:eastAsia="黑体" w:hint="eastAsia"/>
          <w:color w:val="000000"/>
          <w:sz w:val="48"/>
          <w:szCs w:val="48"/>
        </w:rPr>
        <w:t>目录</w:t>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2"/>
        <w:tabs>
          <w:tab w:val="right" w:leader="dot" w:pos="8296"/>
        </w:tabs>
        <w:rPr>
          <w:rFonts w:cs="Arial"/>
        </w:rPr>
      </w:pPr>
      <w:r>
        <w:fldChar w:fldCharType="begin"/>
      </w:r>
      <w:r>
        <w:instrText xml:space="preserve"> HYPERLINK \l "_Toc15396599" </w:instrText>
      </w:r>
      <w:r>
        <w:fldChar w:fldCharType="separate"/>
      </w:r>
      <w:r>
        <w:rPr>
          <w:rFonts w:hint="eastAsia"/>
        </w:rPr>
        <w:t>第一部分部门概况</w:t>
      </w:r>
      <w:r>
        <w:tab/>
      </w:r>
      <w:r>
        <w:rPr>
          <w:rFonts w:hint="eastAsia"/>
        </w:rPr>
        <w:t>4</w:t>
      </w:r>
      <w:r>
        <w:rPr>
          <w:rFonts w:hint="eastAsia"/>
        </w:rPr>
        <w:fldChar w:fldCharType="end"/>
      </w:r>
    </w:p>
    <w:p>
      <w:pPr>
        <w:pStyle w:val="23"/>
        <w:tabs>
          <w:tab w:val="right" w:leader="dot" w:pos="8296"/>
        </w:tabs>
        <w:rPr>
          <w:rFonts w:ascii="仿宋" w:eastAsia="仿宋" w:hint="eastAsia"/>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ind w:firstLineChars="300" w:firstLine="840"/>
        <w:rPr>
          <w:rFonts w:ascii="仿宋" w:eastAsia="仿宋" w:hint="eastAsia"/>
          <w:sz w:val="28"/>
          <w:szCs w:val="28"/>
        </w:rPr>
      </w:pPr>
      <w:r>
        <w:rPr>
          <w:rFonts w:ascii="仿宋" w:eastAsia="仿宋" w:hint="eastAsia"/>
          <w:sz w:val="28"/>
          <w:szCs w:val="28"/>
          <w:lang w:eastAsia="zh-CN"/>
        </w:rPr>
        <w:t>（</w:t>
      </w:r>
      <w:r>
        <w:rPr>
          <w:rFonts w:ascii="仿宋" w:eastAsia="仿宋" w:hint="eastAsia"/>
          <w:sz w:val="28"/>
          <w:szCs w:val="28"/>
          <w:lang w:val="en-US" w:eastAsia="zh-CN"/>
        </w:rPr>
        <w:t>一</w:t>
      </w:r>
      <w:r>
        <w:rPr>
          <w:rFonts w:ascii="仿宋" w:eastAsia="仿宋" w:hint="eastAsia"/>
          <w:sz w:val="28"/>
          <w:szCs w:val="28"/>
          <w:lang w:eastAsia="zh-CN"/>
        </w:rPr>
        <w:t>）</w:t>
      </w:r>
      <w:r>
        <w:rPr>
          <w:rFonts w:ascii="仿宋" w:eastAsia="仿宋" w:hint="eastAsia"/>
          <w:sz w:val="28"/>
          <w:szCs w:val="28"/>
          <w:lang w:val="en-US" w:eastAsia="zh-CN"/>
        </w:rPr>
        <w:t>主要职能</w:t>
      </w:r>
      <w:r>
        <w:rPr>
          <w:rFonts w:ascii="Arial" w:eastAsia="仿宋" w:cs="Arial" w:hAnsi="Arial"/>
          <w:sz w:val="28"/>
          <w:szCs w:val="28"/>
          <w:lang w:val="en-US" w:eastAsia="zh-CN"/>
        </w:rPr>
        <w:t>…………………………………………………</w:t>
      </w:r>
      <w:r>
        <w:rPr>
          <w:rFonts w:ascii="Arial" w:eastAsia="仿宋" w:cs="Arial" w:hAnsi="Arial" w:hint="eastAsia"/>
          <w:sz w:val="28"/>
          <w:szCs w:val="28"/>
          <w:lang w:val="en-US" w:eastAsia="zh-CN"/>
        </w:rPr>
        <w:t>.</w:t>
      </w:r>
      <w:r>
        <w:rPr>
          <w:rFonts w:ascii="仿宋" w:eastAsia="仿宋" w:hint="eastAsia"/>
          <w:sz w:val="28"/>
          <w:szCs w:val="28"/>
        </w:rPr>
        <w:t>4</w:t>
      </w:r>
    </w:p>
    <w:p>
      <w:pPr>
        <w:pStyle w:val="15"/>
        <w:ind w:leftChars="0" w:left="0" w:firstLineChars="300" w:firstLine="840"/>
        <w:rPr>
          <w:rFonts w:ascii="仿宋" w:eastAsia="仿宋" w:cs="仿宋"/>
          <w:lang w:val="en-US" w:eastAsia="zh-CN"/>
        </w:rPr>
      </w:pPr>
      <w:r>
        <w:rPr>
          <w:rFonts w:ascii="仿宋" w:eastAsia="仿宋" w:hint="eastAsia"/>
          <w:sz w:val="28"/>
          <w:szCs w:val="28"/>
          <w:lang w:eastAsia="zh-CN"/>
        </w:rPr>
        <w:t>（</w:t>
      </w:r>
      <w:r>
        <w:rPr>
          <w:rFonts w:ascii="仿宋" w:hint="eastAsia"/>
          <w:sz w:val="28"/>
          <w:szCs w:val="28"/>
          <w:lang w:val="en-US" w:eastAsia="zh-CN"/>
        </w:rPr>
        <w:t>二</w:t>
      </w:r>
      <w:r>
        <w:rPr>
          <w:rFonts w:ascii="仿宋" w:eastAsia="仿宋" w:hint="eastAsia"/>
          <w:sz w:val="28"/>
          <w:szCs w:val="28"/>
          <w:lang w:eastAsia="zh-CN"/>
        </w:rPr>
        <w:t>）</w:t>
      </w:r>
      <w:r>
        <w:rPr>
          <w:rFonts w:ascii="仿宋" w:eastAsia="仿宋" w:cs="Times New Roman" w:hint="eastAsia"/>
          <w:kern w:val="2"/>
          <w:sz w:val="28"/>
          <w:szCs w:val="28"/>
          <w:lang w:val="en-US" w:eastAsia="zh-CN" w:bidi="ar-SA"/>
        </w:rPr>
        <w:t>2021</w:t>
      </w:r>
      <w:r>
        <w:rPr>
          <w:rFonts w:ascii="仿宋" w:hint="eastAsia"/>
          <w:sz w:val="28"/>
          <w:szCs w:val="28"/>
          <w:lang w:val="en-US" w:eastAsia="zh-CN"/>
        </w:rPr>
        <w:t>年重点工作完成情况</w:t>
      </w:r>
      <w:r>
        <w:rPr>
          <w:rFonts w:ascii="Arial" w:eastAsia="仿宋" w:cs="Arial" w:hAnsi="Arial"/>
          <w:sz w:val="28"/>
          <w:szCs w:val="28"/>
          <w:lang w:val="en-US" w:eastAsia="zh-CN"/>
        </w:rPr>
        <w:t>…………………………</w:t>
      </w:r>
      <w:r>
        <w:rPr>
          <w:rFonts w:ascii="Arial" w:cs="Arial" w:hAnsi="Arial" w:hint="eastAsia"/>
          <w:sz w:val="28"/>
          <w:szCs w:val="28"/>
          <w:lang w:val="en-US" w:eastAsia="zh-CN"/>
        </w:rPr>
        <w:t>....</w:t>
      </w:r>
      <w:r>
        <w:rPr>
          <w:rFonts w:ascii="Arial" w:eastAsia="仿宋" w:cs="Arial" w:hAnsi="Arial"/>
          <w:sz w:val="28"/>
          <w:szCs w:val="28"/>
          <w:lang w:val="en-US" w:eastAsia="zh-CN"/>
        </w:rPr>
        <w:t>…</w:t>
      </w:r>
      <w:r>
        <w:rPr>
          <w:rFonts w:ascii="仿宋" w:cs="仿宋" w:hint="eastAsia"/>
          <w:sz w:val="28"/>
          <w:szCs w:val="28"/>
          <w:lang w:val="en-US" w:eastAsia="zh-CN"/>
        </w:rPr>
        <w:t>5</w:t>
      </w:r>
    </w:p>
    <w:p>
      <w:pPr>
        <w:pStyle w:val="23"/>
        <w:tabs>
          <w:tab w:val="right" w:leader="dot" w:pos="8296"/>
        </w:tabs>
        <w:ind w:leftChars="0" w:left="0" w:firstLineChars="200" w:firstLine="420"/>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pPr>
      <w:r>
        <w:fldChar w:fldCharType="begin"/>
      </w:r>
      <w:r>
        <w:instrText xml:space="preserve"> HYPERLINK \l "_Toc15396602" </w:instrText>
      </w:r>
      <w:r>
        <w:fldChar w:fldCharType="separate"/>
      </w:r>
      <w:r>
        <w:rPr>
          <w:rFonts w:hint="eastAsia"/>
        </w:rPr>
        <w:t>第二部分部门决算情况说明</w:t>
      </w:r>
      <w:r>
        <w:tab/>
      </w:r>
      <w:r>
        <w:fldChar w:fldCharType="end"/>
      </w:r>
      <w:r>
        <w:rPr>
          <w:rFonts w:hint="eastAsia"/>
        </w:rPr>
        <w:t>7</w:t>
      </w:r>
    </w:p>
    <w:p>
      <w:pPr>
        <w:pStyle w:val="23"/>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0</w:t>
      </w:r>
    </w:p>
    <w:p>
      <w:pPr>
        <w:pStyle w:val="23"/>
        <w:tabs>
          <w:tab w:val="right" w:leader="dot" w:pos="8296"/>
        </w:tabs>
        <w:rPr>
          <w:rFonts w:ascii="仿宋" w:eastAsia="仿宋" w:hint="eastAsia"/>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1</w:t>
      </w:r>
    </w:p>
    <w:p>
      <w:pPr>
        <w:spacing w:line="600" w:lineRule="exact"/>
        <w:ind w:firstLineChars="200" w:firstLine="560"/>
        <w:outlineLvl w:val="2"/>
        <w:rPr>
          <w:rFonts w:ascii="仿宋" w:eastAsia="仿宋" w:hint="eastAsia"/>
          <w:sz w:val="28"/>
          <w:szCs w:val="28"/>
        </w:rPr>
      </w:pPr>
      <w:r>
        <w:rPr>
          <w:rFonts w:ascii="仿宋" w:eastAsia="仿宋" w:cs="Times New Roman" w:hint="eastAsia"/>
          <w:kern w:val="2"/>
          <w:sz w:val="28"/>
          <w:szCs w:val="28"/>
          <w:lang w:val="en-US" w:eastAsia="zh-CN" w:bidi="ar-SA"/>
        </w:rPr>
        <w:t>（一）一般公共预算财政拨款支出决算总体情况</w:t>
      </w:r>
      <w:r>
        <w:rPr>
          <w:rFonts w:ascii="Arial" w:eastAsia="仿宋" w:cs="Arial" w:hAnsi="Arial"/>
          <w:sz w:val="28"/>
          <w:szCs w:val="28"/>
          <w:lang w:val="en-US" w:eastAsia="zh-CN"/>
        </w:rPr>
        <w:t>……………</w:t>
      </w:r>
      <w:r>
        <w:rPr>
          <w:rFonts w:ascii="Arial" w:eastAsia="仿宋" w:cs="Arial" w:hAnsi="Arial" w:hint="eastAsia"/>
          <w:sz w:val="28"/>
          <w:szCs w:val="28"/>
          <w:lang w:val="en-US" w:eastAsia="zh-CN"/>
        </w:rPr>
        <w:t>..</w:t>
      </w:r>
      <w:r>
        <w:rPr>
          <w:rFonts w:ascii="仿宋" w:eastAsia="仿宋" w:hint="eastAsia"/>
          <w:sz w:val="28"/>
          <w:szCs w:val="28"/>
        </w:rPr>
        <w:t>11</w:t>
      </w:r>
    </w:p>
    <w:p>
      <w:pPr>
        <w:spacing w:line="600" w:lineRule="exact"/>
        <w:ind w:firstLineChars="200" w:firstLine="560"/>
        <w:outlineLvl w:val="2"/>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（二）一般公共预算财政拨款支出决算结构情况</w:t>
      </w:r>
      <w:r>
        <w:rPr>
          <w:rFonts w:ascii="Arial" w:eastAsia="仿宋" w:cs="Arial" w:hAnsi="Arial"/>
          <w:sz w:val="28"/>
          <w:szCs w:val="28"/>
          <w:lang w:val="en-US" w:eastAsia="zh-CN"/>
        </w:rPr>
        <w:t>……………</w:t>
      </w:r>
      <w:r>
        <w:rPr>
          <w:rFonts w:ascii="Arial" w:eastAsia="仿宋" w:cs="Arial" w:hAnsi="Arial" w:hint="eastAsia"/>
          <w:sz w:val="28"/>
          <w:szCs w:val="28"/>
          <w:lang w:val="en-US" w:eastAsia="zh-CN"/>
        </w:rPr>
        <w:t>..</w:t>
      </w:r>
      <w:r>
        <w:rPr>
          <w:rFonts w:ascii="仿宋" w:eastAsia="仿宋" w:hint="eastAsia"/>
          <w:sz w:val="28"/>
          <w:szCs w:val="28"/>
        </w:rPr>
        <w:t>11</w:t>
      </w:r>
    </w:p>
    <w:p>
      <w:pPr>
        <w:spacing w:line="600" w:lineRule="exact"/>
        <w:ind w:firstLineChars="200" w:firstLine="560"/>
        <w:outlineLvl w:val="2"/>
        <w:rPr>
          <w:rFonts w:eastAsia="仿宋" w:hint="eastAsia"/>
          <w:lang w:val="en-US" w:eastAsia="zh-CN"/>
        </w:rPr>
      </w:pPr>
      <w:r>
        <w:rPr>
          <w:rFonts w:ascii="仿宋" w:eastAsia="仿宋" w:cs="Times New Roman" w:hint="eastAsia"/>
          <w:kern w:val="2"/>
          <w:sz w:val="28"/>
          <w:szCs w:val="28"/>
          <w:lang w:val="en-US" w:eastAsia="zh-CN" w:bidi="ar-SA"/>
        </w:rPr>
        <w:t>（三）一般公共预算财政拨款支出决算具体情况</w:t>
      </w:r>
      <w:r>
        <w:rPr>
          <w:rFonts w:ascii="Arial" w:eastAsia="仿宋" w:cs="Arial" w:hAnsi="Arial"/>
          <w:sz w:val="28"/>
          <w:szCs w:val="28"/>
          <w:lang w:val="en-US" w:eastAsia="zh-CN"/>
        </w:rPr>
        <w:t>……………</w:t>
      </w:r>
      <w:r>
        <w:rPr>
          <w:rFonts w:ascii="Arial" w:eastAsia="仿宋" w:cs="Arial" w:hAnsi="Arial" w:hint="eastAsia"/>
          <w:sz w:val="28"/>
          <w:szCs w:val="28"/>
          <w:lang w:val="en-US" w:eastAsia="zh-CN"/>
        </w:rPr>
        <w:t>..</w:t>
      </w:r>
      <w:r>
        <w:rPr>
          <w:rFonts w:ascii="仿宋" w:eastAsia="仿宋" w:hint="eastAsia"/>
          <w:sz w:val="28"/>
          <w:szCs w:val="28"/>
        </w:rPr>
        <w:t>11</w:t>
      </w:r>
    </w:p>
    <w:p>
      <w:pPr>
        <w:pStyle w:val="23"/>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6</w:t>
      </w:r>
    </w:p>
    <w:p>
      <w:pPr>
        <w:pStyle w:val="23"/>
        <w:tabs>
          <w:tab w:val="right" w:leader="dot" w:pos="8296"/>
        </w:tabs>
        <w:rPr>
          <w:rFonts w:ascii="仿宋" w:eastAsia="仿宋" w:hint="eastAsia"/>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6</w:t>
      </w:r>
    </w:p>
    <w:p>
      <w:pPr>
        <w:spacing w:line="600" w:lineRule="exact"/>
        <w:ind w:firstLineChars="200" w:firstLine="560"/>
        <w:outlineLvl w:val="2"/>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（一）“三公”经费财政拨款支出决算总体情况说明</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16</w:t>
      </w:r>
    </w:p>
    <w:p>
      <w:pPr>
        <w:spacing w:line="600" w:lineRule="exact"/>
        <w:ind w:firstLineChars="200" w:firstLine="560"/>
        <w:outlineLvl w:val="2"/>
      </w:pPr>
      <w:r>
        <w:rPr>
          <w:rFonts w:ascii="仿宋" w:eastAsia="仿宋" w:cs="Times New Roman" w:hint="eastAsia"/>
          <w:kern w:val="2"/>
          <w:sz w:val="28"/>
          <w:szCs w:val="28"/>
          <w:lang w:val="en-US" w:eastAsia="zh-CN" w:bidi="ar-SA"/>
        </w:rPr>
        <w:t>（二）“三公”经费财政拨款支出决算具体情况说明</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16</w:t>
      </w:r>
    </w:p>
    <w:p>
      <w:pPr>
        <w:pStyle w:val="23"/>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8</w:t>
      </w:r>
    </w:p>
    <w:p>
      <w:pPr>
        <w:pStyle w:val="23"/>
        <w:tabs>
          <w:tab w:val="right" w:leader="dot" w:pos="8296"/>
        </w:tabs>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8</w:t>
      </w:r>
    </w:p>
    <w:p>
      <w:pPr>
        <w:ind w:firstLineChars="200" w:firstLine="560"/>
        <w:rPr>
          <w:rFonts w:ascii="仿宋" w:eastAsia="仿宋"/>
          <w:bCs/>
          <w:sz w:val="28"/>
          <w:szCs w:val="28"/>
          <w:lang w:val="en-US"/>
        </w:rPr>
      </w:pPr>
      <w:r>
        <w:rPr>
          <w:rFonts w:ascii="仿宋" w:eastAsia="仿宋" w:hint="eastAsia"/>
          <w:sz w:val="28"/>
          <w:szCs w:val="28"/>
        </w:rPr>
        <w:t>十</w:t>
      </w:r>
      <w:r>
        <w:rPr>
          <w:rFonts w:ascii="仿宋" w:eastAsia="仿宋" w:hint="eastAsia"/>
          <w:bCs/>
          <w:sz w:val="28"/>
          <w:szCs w:val="28"/>
        </w:rPr>
        <w:t>、其他重要事项的情况说明</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18</w:t>
      </w:r>
    </w:p>
    <w:p>
      <w:pPr>
        <w:ind w:firstLineChars="200" w:firstLine="560"/>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（一）机关运行经费支出情况</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18</w:t>
      </w:r>
    </w:p>
    <w:p>
      <w:pPr>
        <w:autoSpaceDE w:val="0"/>
        <w:autoSpaceDN w:val="0"/>
        <w:adjustRightInd w:val="0"/>
        <w:spacing w:line="600" w:lineRule="exact"/>
        <w:ind w:firstLineChars="200" w:firstLine="560"/>
        <w:jc w:val="left"/>
        <w:outlineLvl w:val="2"/>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（二）政府采购支出情况</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18</w:t>
      </w:r>
    </w:p>
    <w:p>
      <w:pPr>
        <w:autoSpaceDE w:val="0"/>
        <w:autoSpaceDN w:val="0"/>
        <w:adjustRightInd w:val="0"/>
        <w:spacing w:line="600" w:lineRule="exact"/>
        <w:ind w:firstLineChars="200" w:firstLine="560"/>
        <w:jc w:val="left"/>
        <w:outlineLvl w:val="2"/>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（三）国有资产占有使用情况</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19</w:t>
      </w:r>
    </w:p>
    <w:p>
      <w:pPr>
        <w:pStyle w:val="31"/>
        <w:spacing w:line="580" w:lineRule="exact"/>
        <w:ind w:left="0" w:firstLineChars="200" w:firstLine="560"/>
        <w:rPr>
          <w:lang w:val="en-US"/>
        </w:rPr>
      </w:pPr>
      <w:r>
        <w:rPr>
          <w:rFonts w:ascii="仿宋" w:eastAsia="仿宋" w:cs="Times New Roman" w:hint="eastAsia"/>
          <w:kern w:val="2"/>
          <w:sz w:val="28"/>
          <w:szCs w:val="28"/>
          <w:lang w:val="en-US" w:eastAsia="zh-CN" w:bidi="ar-SA"/>
        </w:rPr>
        <w:t>（四）预算绩效管理情况</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19</w:t>
      </w:r>
    </w:p>
    <w:p>
      <w:pPr>
        <w:pStyle w:val="22"/>
        <w:tabs>
          <w:tab w:val="right" w:leader="dot" w:pos="8296"/>
        </w:tabs>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rPr>
        <w:t>21</w:t>
      </w:r>
    </w:p>
    <w:p>
      <w:pPr>
        <w:pStyle w:val="22"/>
        <w:tabs>
          <w:tab w:val="right" w:leader="dot" w:pos="8296"/>
        </w:tabs>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四部分附件</w:t>
      </w:r>
      <w:r>
        <w:tab/>
      </w:r>
      <w:r>
        <w:fldChar w:fldCharType="end"/>
      </w:r>
      <w:r>
        <w:rPr>
          <w:rFonts w:hint="eastAsia"/>
        </w:rPr>
        <w:t>23</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"_Toc15396615" </w:instrText>
      </w:r>
      <w:r>
        <w:fldChar w:fldCharType="separate"/>
      </w:r>
      <w:r>
        <w:rPr>
          <w:rFonts w:ascii="仿宋" w:eastAsia="仿宋" w:hint="eastAsia"/>
          <w:kern w:val="44"/>
          <w:sz w:val="28"/>
          <w:szCs w:val="28"/>
        </w:rPr>
        <w:t>附件</w:t>
      </w:r>
      <w:r>
        <w:rPr>
          <w:rFonts w:ascii="仿宋" w:eastAsia="仿宋"/>
          <w:kern w:val="44"/>
          <w:sz w:val="28"/>
          <w:szCs w:val="28"/>
        </w:rPr>
        <w:t>1</w:t>
      </w:r>
      <w:r>
        <w:rPr>
          <w:rFonts w:ascii="仿宋" w:eastAsia="仿宋" w:hint="eastAsia"/>
          <w:kern w:val="44"/>
          <w:sz w:val="28"/>
          <w:szCs w:val="28"/>
          <w:lang w:val="en-US" w:eastAsia="zh-CN"/>
        </w:rPr>
        <w:t>金川县住房和城乡建设局2021年部门整体支出绩效评价报告</w:t>
      </w:r>
      <w:r>
        <w:rPr>
          <w:rFonts w:ascii="仿宋" w:eastAsia="仿宋"/>
          <w:sz w:val="28"/>
          <w:szCs w:val="28"/>
        </w:rPr>
        <w:tab/>
      </w:r>
      <w:r>
        <w:rPr>
          <w:rFonts w:ascii="仿宋" w:eastAsia="仿宋"/>
          <w:sz w:val="28"/>
          <w:szCs w:val="28"/>
        </w:rPr>
        <w:fldChar w:fldCharType="end"/>
      </w:r>
      <w:r>
        <w:rPr>
          <w:rFonts w:ascii="仿宋" w:eastAsia="仿宋" w:hint="eastAsia"/>
          <w:sz w:val="28"/>
          <w:szCs w:val="28"/>
        </w:rPr>
        <w:t>2</w:t>
      </w:r>
      <w:r>
        <w:rPr>
          <w:rFonts w:ascii="仿宋" w:eastAsia="仿宋" w:hint="eastAsia"/>
          <w:sz w:val="28"/>
          <w:szCs w:val="28"/>
          <w:lang w:val="en-US" w:eastAsia="zh-CN"/>
        </w:rPr>
        <w:t>4</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fldChar w:fldCharType="begin"/>
      </w:r>
      <w:r>
        <w:rPr>
          <w:rFonts w:ascii="仿宋" w:eastAsia="仿宋" w:cs="Times New Roman" w:hint="eastAsia"/>
          <w:kern w:val="2"/>
          <w:sz w:val="28"/>
          <w:szCs w:val="28"/>
          <w:lang w:val="en-US" w:eastAsia="zh-CN" w:bidi="ar-SA"/>
        </w:rPr>
        <w:instrText xml:space="preserve"> HYPERLINK \l "_Toc15396618" </w:instrText>
      </w:r>
      <w:r>
        <w:rPr>
          <w:rFonts w:ascii="仿宋" w:eastAsia="仿宋" w:cs="Times New Roman" w:hint="eastAsia"/>
          <w:kern w:val="2"/>
          <w:sz w:val="28"/>
          <w:szCs w:val="28"/>
          <w:lang w:val="en-US" w:eastAsia="zh-CN" w:bidi="ar-SA"/>
        </w:rPr>
        <w:fldChar w:fldCharType="separate"/>
      </w:r>
      <w:r>
        <w:rPr>
          <w:rFonts w:ascii="仿宋" w:eastAsia="仿宋" w:cs="Times New Roman" w:hint="eastAsia"/>
          <w:kern w:val="2"/>
          <w:sz w:val="28"/>
          <w:szCs w:val="28"/>
          <w:lang w:val="en-US" w:eastAsia="zh-CN" w:bidi="ar-SA"/>
        </w:rPr>
        <w:t>第五部分附表</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w:t>
      </w:r>
      <w:r>
        <w:rPr>
          <w:rFonts w:ascii="仿宋" w:eastAsia="仿宋" w:cs="Times New Roman" w:hint="eastAsia"/>
          <w:kern w:val="2"/>
          <w:sz w:val="28"/>
          <w:szCs w:val="28"/>
          <w:lang w:val="en-US" w:eastAsia="zh-CN" w:bidi="ar-SA"/>
        </w:rPr>
        <w:t>2</w:t>
      </w:r>
      <w:r>
        <w:rPr>
          <w:rFonts w:ascii="仿宋" w:eastAsia="仿宋" w:cs="Times New Roman" w:hint="eastAsia"/>
          <w:kern w:val="2"/>
          <w:sz w:val="28"/>
          <w:szCs w:val="28"/>
          <w:lang w:val="en-US" w:eastAsia="zh-CN" w:bidi="ar-SA"/>
        </w:rPr>
        <w:fldChar w:fldCharType="end"/>
      </w:r>
      <w:r>
        <w:rPr>
          <w:rFonts w:ascii="仿宋" w:eastAsia="仿宋" w:cs="Times New Roman" w:hint="eastAsia"/>
          <w:kern w:val="2"/>
          <w:sz w:val="28"/>
          <w:szCs w:val="28"/>
          <w:lang w:val="en-US" w:eastAsia="zh-CN" w:bidi="ar-SA"/>
        </w:rPr>
        <w:t>9</w:t>
      </w:r>
    </w:p>
    <w:p>
      <w:pPr>
        <w:pStyle w:val="31"/>
        <w:spacing w:line="580" w:lineRule="exact"/>
        <w:ind w:left="0" w:firstLineChars="200" w:firstLine="560"/>
        <w:rPr>
          <w:rFonts w:ascii="仿宋" w:eastAsia="仿宋" w:cs="仿宋"/>
          <w:kern w:val="2"/>
          <w:sz w:val="28"/>
          <w:szCs w:val="28"/>
          <w:lang w:val="en-US" w:eastAsia="zh-CN" w:bidi="ar-SA"/>
        </w:rPr>
      </w:pPr>
      <w:r>
        <w:rPr>
          <w:rFonts w:ascii="仿宋" w:eastAsia="仿宋" w:cs="Times New Roman" w:hint="eastAsia"/>
          <w:kern w:val="2"/>
          <w:sz w:val="28"/>
          <w:szCs w:val="28"/>
          <w:lang w:val="en-US" w:eastAsia="zh-CN" w:bidi="ar-SA"/>
        </w:rPr>
        <w:t>一、收入支出决算总表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kern w:val="2"/>
          <w:sz w:val="28"/>
          <w:szCs w:val="28"/>
          <w:lang w:val="en-US" w:eastAsia="zh-CN" w:bidi="ar-SA"/>
        </w:rPr>
      </w:pPr>
      <w:r>
        <w:rPr>
          <w:rFonts w:ascii="仿宋" w:eastAsia="仿宋" w:cs="Times New Roman" w:hint="eastAsia"/>
          <w:kern w:val="2"/>
          <w:sz w:val="28"/>
          <w:szCs w:val="28"/>
          <w:lang w:val="en-US" w:eastAsia="zh-CN" w:bidi="ar-SA"/>
        </w:rPr>
        <w:t>二、收入总表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三、支出总表</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四、财政拨款收入支出决算总表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五、财政拨款支出决算明细表（政府经济分类科目）</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六、一般公共预算财政拨款支出决算表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七、一般公共预算财政拨款支出决算明细表</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八、一般公共预算财政拨款基本支出决算表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九、一般公共预算财政拨款项目支出决算表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十、一般公共预算财政拨款“三公”经费支出决算表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十一、政府性基金预算财政拨款收入支出决算表</w:t>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十二、政府性基金预算财政拨款“三公”经费支出决算表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s="Times New Roman" w:hint="eastAsia"/>
          <w:kern w:val="2"/>
          <w:sz w:val="28"/>
          <w:szCs w:val="28"/>
          <w:lang w:val="en-US" w:eastAsia="zh-CN" w:bidi="ar-SA"/>
        </w:rPr>
      </w:pPr>
      <w:r>
        <w:rPr>
          <w:rFonts w:ascii="仿宋" w:eastAsia="仿宋" w:cs="Times New Roman" w:hint="eastAsia"/>
          <w:kern w:val="2"/>
          <w:sz w:val="28"/>
          <w:szCs w:val="28"/>
          <w:lang w:val="en-US" w:eastAsia="zh-CN" w:bidi="ar-SA"/>
        </w:rPr>
        <w:t>十三、国有资本经营预算财政拨款收入支出决算表</w:t>
      </w:r>
      <w:r>
        <w:rPr>
          <w:rFonts w:ascii="Arial" w:eastAsia="仿宋" w:cs="Arial" w:hAnsi="Arial"/>
          <w:kern w:val="2"/>
          <w:sz w:val="28"/>
          <w:szCs w:val="28"/>
          <w:lang w:val="en-US" w:eastAsia="zh-CN" w:bidi="ar-SA"/>
        </w:rPr>
        <w:t>……………</w:t>
      </w:r>
      <w:r>
        <w:rPr>
          <w:rFonts w:ascii="仿宋" w:eastAsia="仿宋" w:cs="仿宋" w:hint="eastAsia"/>
          <w:kern w:val="2"/>
          <w:sz w:val="28"/>
          <w:szCs w:val="28"/>
          <w:lang w:val="en-US" w:eastAsia="zh-CN" w:bidi="ar-SA"/>
        </w:rPr>
        <w:t>29</w:t>
      </w:r>
    </w:p>
    <w:p>
      <w:pPr>
        <w:pStyle w:val="31"/>
        <w:spacing w:line="580" w:lineRule="exact"/>
        <w:ind w:left="0" w:firstLineChars="200" w:firstLine="560"/>
        <w:rPr>
          <w:rFonts w:ascii="仿宋" w:eastAsia="仿宋"/>
          <w:color w:val="000000"/>
          <w:sz w:val="24"/>
        </w:rPr>
      </w:pPr>
      <w:r>
        <w:rPr>
          <w:rFonts w:ascii="仿宋" w:eastAsia="仿宋" w:cs="Times New Roman" w:hint="eastAsia"/>
          <w:kern w:val="2"/>
          <w:sz w:val="28"/>
          <w:szCs w:val="28"/>
          <w:lang w:val="en-US" w:eastAsia="zh-CN" w:bidi="ar-SA"/>
        </w:rPr>
        <w:t>十四、国有资本经营预算财政拨款支出决算表</w:t>
      </w:r>
      <w:r>
        <w:rPr>
          <w:rFonts w:ascii="仿宋" w:eastAsia="仿宋"/>
          <w:color w:val="000000"/>
          <w:sz w:val="24"/>
        </w:rPr>
        <w:fldChar w:fldCharType="end"/>
      </w:r>
      <w:r>
        <w:rPr>
          <w:rFonts w:ascii="Arial" w:eastAsia="仿宋" w:cs="Arial" w:hAnsi="Arial"/>
          <w:kern w:val="2"/>
          <w:sz w:val="28"/>
          <w:szCs w:val="28"/>
          <w:lang w:val="en-US" w:eastAsia="zh-CN" w:bidi="ar-SA"/>
        </w:rPr>
        <w:t>………………</w:t>
      </w:r>
      <w:r>
        <w:rPr>
          <w:rFonts w:ascii="Arial" w:eastAsia="仿宋" w:cs="Arial" w:hAnsi="Arial" w:hint="eastAsia"/>
          <w:kern w:val="2"/>
          <w:sz w:val="28"/>
          <w:szCs w:val="28"/>
          <w:lang w:val="en-US" w:eastAsia="zh-CN" w:bidi="ar-SA"/>
        </w:rPr>
        <w:t>...</w:t>
      </w:r>
      <w:r>
        <w:rPr>
          <w:rFonts w:ascii="仿宋" w:eastAsia="仿宋" w:cs="仿宋" w:hint="eastAsia"/>
          <w:kern w:val="2"/>
          <w:sz w:val="28"/>
          <w:szCs w:val="28"/>
          <w:lang w:val="en-US" w:eastAsia="zh-CN" w:bidi="ar-SA"/>
        </w:rPr>
        <w:t>29</w:t>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bookmarkStart w:id="18" w:name="_Toc15378446"/>
      <w:bookmarkStart w:id="19" w:name="_Toc15377199"/>
      <w:bookmarkEnd w:id="16"/>
      <w:bookmarkEnd w:id="17"/>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1、承担全面依法治县重大问题的政策研究，协调有关方面提出全面依法治县规划建议，负责有关行政决策部署督察工作。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5、指导管理社区矫正工作。指导刑满释放人员安置帮教安置工作能力。</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7、负责本系统服装和警车管理工作。指导监督本系统财务、装备、设施、场所等保障工作。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8、协调、指导法治人才队伍建设相关工作，指导监督本系统队伍建设。负责本系统警务管理和警务督察工作。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9、负责并指导本系统行政审批工作。负责全县外来企业投诉处理和民营企业法律服务工作。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10、承担司法所建设和管理工作。负责县司法派出机构司法所基础设施建设及队伍建设，管理指导司法所开展各项职能工作。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11、完成县委、县政府交办的其他任务。</w:t>
      </w:r>
    </w:p>
    <w:p>
      <w:pPr>
        <w:snapToGrid w:val="0"/>
        <w:spacing w:line="360" w:lineRule="auto"/>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12、负责对本地区建设工程质量进行监督管理。受理建设项目质量监督注册，巡查施工现场工程建设各方主体的质量行为及工程实体质量，核查参建人员的资格，监督工程竣工验收。</w:t>
        <w:br/>
        <w:t xml:space="preserve">    13、负责辖区建设工程施工现场的安全监督检查；负责建设工程施工现场安全生产专项检查的组织协调工作；参与建设工程施工安全事故的调查及应急突发事件的处理。</w:t>
      </w:r>
    </w:p>
    <w:p>
      <w:pPr>
        <w:pStyle w:val="2"/>
        <w:spacing w:before="0" w:after="0" w:line="240" w:lineRule="auto"/>
        <w:ind w:firstLineChars="100" w:firstLine="320"/>
        <w:rPr>
          <w:rFonts w:ascii="楷体" w:eastAsia="楷体" w:cs="楷体"/>
          <w:color w:val="000000"/>
        </w:rPr>
      </w:pPr>
      <w:r>
        <w:rPr>
          <w:rFonts w:ascii="楷体" w:eastAsia="楷体" w:cs="楷体" w:hint="eastAsia"/>
          <w:color w:val="000000"/>
        </w:rPr>
        <w:t>（二）2021年重点工作完成情况</w:t>
      </w:r>
      <w:bookmarkEnd w:id="18"/>
      <w:bookmarkEnd w:id="19"/>
    </w:p>
    <w:p>
      <w:pPr>
        <w:ind w:firstLineChars="200" w:firstLine="640"/>
        <w:jc w:val="left"/>
        <w:rPr>
          <w:rFonts w:ascii="仿宋_GB2312" w:eastAsia="仿宋_GB2312" w:cs="仿宋_GB2312"/>
          <w:sz w:val="32"/>
          <w:szCs w:val="32"/>
        </w:rPr>
      </w:pPr>
      <w:bookmarkStart w:id="20" w:name="_Toc15377200"/>
      <w:bookmarkStart w:id="21" w:name="_Toc15396601"/>
      <w:r>
        <w:rPr>
          <w:rFonts w:ascii="仿宋_GB2312" w:eastAsia="仿宋_GB2312" w:cs="仿宋_GB2312" w:hint="eastAsia"/>
          <w:b/>
          <w:bCs/>
          <w:sz w:val="32"/>
          <w:szCs w:val="32"/>
        </w:rPr>
        <w:t>1.双柏树市政基础设施建设项目</w:t>
      </w:r>
      <w:r>
        <w:rPr>
          <w:rFonts w:ascii="仿宋_GB2312" w:eastAsia="仿宋_GB2312" w:cs="仿宋_GB2312" w:hint="eastAsia"/>
          <w:sz w:val="32"/>
          <w:szCs w:val="32"/>
        </w:rPr>
        <w:t>。该项目于2015年10月开工建设，目前已完成文化路二段：回填土方完成，雨水井污水井管道安装完成；新月横街：完成95%土方回填 ；东女路：完成部分第一次铺油、人行道及路沿石安装，雨水、污水、电力、给水、通信井管道部分完成；新月大道：完成第一次铺油、人行道及路沿石安装，雨水、污水、电力、给水、通信井管道完成；第一广场：广场垫层梯步路沿石、水池完成，第一广场的工程已基本完成，正在推进协调相关部门推进未建部分的协调工作。</w:t>
      </w:r>
    </w:p>
    <w:p>
      <w:pPr>
        <w:wordWrap w:val="0"/>
        <w:spacing w:line="560" w:lineRule="exact"/>
        <w:ind w:firstLineChars="200" w:firstLine="640"/>
        <w:rPr>
          <w:rFonts w:ascii="仿宋_GB2312" w:eastAsia="仿宋_GB2312" w:cs="仿宋_GB2312"/>
          <w:sz w:val="32"/>
          <w:szCs w:val="32"/>
        </w:rPr>
      </w:pPr>
      <w:r>
        <w:rPr>
          <w:rFonts w:ascii="仿宋_GB2312" w:eastAsia="仿宋_GB2312" w:cs="仿宋_GB2312" w:hint="eastAsia"/>
          <w:b/>
          <w:bCs/>
          <w:sz w:val="32"/>
          <w:szCs w:val="32"/>
        </w:rPr>
        <w:t>2.观音桥“百镇建设行动”试点镇及“中心镇”申报工作</w:t>
      </w:r>
      <w:r>
        <w:rPr>
          <w:rFonts w:ascii="仿宋_GB2312" w:eastAsia="仿宋_GB2312" w:cs="仿宋_GB2312" w:hint="eastAsia"/>
          <w:sz w:val="32"/>
          <w:szCs w:val="32"/>
        </w:rPr>
        <w:t>：目前正在实施观音桥镇中心镇区环境综合整治项目及观音桥镇旅游基础设施综合整治提升项目。截至目前以上两个项目均已完工；“中心镇”已完成申报资料编制工作，并已成功进入备选库，已通过州级部门初验，正在编制“中心镇”专项规划。</w:t>
      </w:r>
    </w:p>
    <w:p>
      <w:pPr>
        <w:pStyle w:val="16"/>
        <w:spacing w:beforeLines="0" w:before="93"/>
        <w:ind w:firstLineChars="200" w:firstLine="640"/>
        <w:rPr>
          <w:rFonts w:eastAsia="仿宋"/>
          <w:sz w:val="32"/>
          <w:szCs w:val="32"/>
        </w:rPr>
      </w:pPr>
      <w:r>
        <w:rPr>
          <w:rFonts w:cs="仿宋_GB2312" w:hint="eastAsia"/>
          <w:b/>
          <w:bCs/>
          <w:sz w:val="32"/>
          <w:szCs w:val="32"/>
        </w:rPr>
        <w:t>3.安宁现代化农业小镇建设：</w:t>
      </w:r>
      <w:r>
        <w:rPr>
          <w:rFonts w:cs="仿宋_GB2312" w:hint="eastAsia"/>
          <w:sz w:val="32"/>
          <w:szCs w:val="32"/>
        </w:rPr>
        <w:t>目前已完成安宁乡滨河路建设项目可研编制，正在设计阶段，预计年底进场施工。</w:t>
      </w:r>
    </w:p>
    <w:p>
      <w:pPr>
        <w:pStyle w:val="16"/>
        <w:spacing w:beforeLines="0" w:before="93"/>
        <w:ind w:firstLineChars="200" w:firstLine="640"/>
        <w:rPr>
          <w:rFonts w:cs="仿宋_GB2312"/>
          <w:kern w:val="2"/>
          <w:sz w:val="32"/>
          <w:szCs w:val="32"/>
        </w:rPr>
      </w:pPr>
      <w:r>
        <w:rPr>
          <w:rFonts w:cs="仿宋_GB2312" w:hint="eastAsia"/>
          <w:b/>
          <w:bCs/>
          <w:kern w:val="2"/>
          <w:sz w:val="32"/>
          <w:szCs w:val="32"/>
        </w:rPr>
        <w:t>4.观音桥市政基础：</w:t>
      </w:r>
      <w:r>
        <w:rPr>
          <w:rFonts w:cs="仿宋_GB2312" w:hint="eastAsia"/>
          <w:kern w:val="2"/>
          <w:sz w:val="32"/>
          <w:szCs w:val="32"/>
        </w:rPr>
        <w:t>目前已动工建设观音桥镇道路基础设施建设项目，目前已完成总工程量的90%。观音桥镇生活污水处理厂项目，已完成可研编制，正在前期设计阶段，待用地相关手续批准下来后，赓即实施。</w:t>
      </w:r>
    </w:p>
    <w:p>
      <w:pPr>
        <w:pStyle w:val="16"/>
        <w:spacing w:beforeLines="0" w:before="93"/>
        <w:ind w:firstLineChars="200" w:firstLine="640"/>
      </w:pPr>
      <w:r>
        <w:rPr>
          <w:rFonts w:cs="仿宋_GB2312" w:hint="eastAsia"/>
          <w:b/>
          <w:bCs/>
          <w:kern w:val="2"/>
          <w:sz w:val="32"/>
          <w:szCs w:val="32"/>
        </w:rPr>
        <w:t>5.垃圾处理站：</w:t>
      </w:r>
      <w:r>
        <w:rPr>
          <w:rFonts w:cs="仿宋_GB2312" w:hint="eastAsia"/>
          <w:kern w:val="2"/>
          <w:sz w:val="32"/>
          <w:szCs w:val="32"/>
        </w:rPr>
        <w:t>已完成可研编制、独立选址论证、社会风险评估工作，待规委会通过后赓即实施，力争今年年底进场施工。</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ind w:firstLineChars="200" w:firstLine="640"/>
        <w:rPr>
          <w:rFonts w:eastAsia="仿宋_GB2312"/>
          <w:lang w:val="en-US" w:eastAsia="zh-CN"/>
        </w:rPr>
      </w:pPr>
      <w:bookmarkStart w:id="22" w:name="_Toc15396602"/>
      <w:bookmarkStart w:id="23" w:name="_Toc15377204"/>
      <w:r>
        <w:rPr>
          <w:rFonts w:ascii="仿宋_GB2312" w:eastAsia="仿宋_GB2312" w:cs="仿宋_GB2312" w:hint="eastAsia"/>
          <w:color w:val="000000"/>
          <w:kern w:val="0"/>
          <w:sz w:val="32"/>
          <w:szCs w:val="32"/>
          <w:shd w:val="clear" w:color="auto" w:fill="FFFFFF"/>
        </w:rPr>
        <w:t>金川县住房和城乡建设局</w:t>
      </w:r>
      <w:r>
        <w:rPr>
          <w:rFonts w:ascii="仿宋" w:eastAsia="仿宋" w:cs="仿宋" w:hint="eastAsia"/>
          <w:color w:val="333333"/>
          <w:kern w:val="0"/>
          <w:sz w:val="32"/>
          <w:szCs w:val="32"/>
          <w:shd w:val="clear" w:color="auto" w:fill="FFFFFF"/>
        </w:rPr>
        <w:t>是行政单位,独立机构数1个,独立核算机构1个。</w:t>
      </w:r>
      <w:r>
        <w:rPr>
          <w:rFonts w:ascii="仿宋_GB2312" w:eastAsia="仿宋_GB2312" w:cs="仿宋_GB2312" w:hint="eastAsia"/>
          <w:color w:val="000000"/>
          <w:kern w:val="0"/>
          <w:sz w:val="32"/>
          <w:szCs w:val="32"/>
          <w:shd w:val="clear" w:color="auto" w:fill="FFFFFF"/>
        </w:rPr>
        <w:t>内设行政办公室、建设管理股、住房保障与房地产市场管理股、城乡建设股，金川县建设工程质量安全监督站。</w:t>
      </w:r>
      <w:r>
        <w:rPr>
          <w:rFonts w:ascii="仿宋_GB2312" w:eastAsia="仿宋_GB2312" w:cs="仿宋_GB2312" w:hint="eastAsia"/>
          <w:color w:val="000000"/>
          <w:kern w:val="0"/>
          <w:sz w:val="32"/>
          <w:szCs w:val="32"/>
          <w:shd w:val="clear" w:color="auto" w:fill="FFFFFF"/>
          <w:lang w:val="en-US" w:eastAsia="zh-CN"/>
        </w:rPr>
        <w:t>单位编制数19个，其中：公务员编制7个，机关工勤编制1个，事业编制11个。2021年末单位实有人数19人，在职19人（其中：公务员7人，机关工勤1人，事业人员11人）。</w:t>
      </w:r>
    </w:p>
    <w:p>
      <w:pPr>
        <w:pStyle w:val="1"/>
        <w:numPr>
          <w:ilvl w:val="0"/>
          <w:numId w:val="1"/>
        </w:numPr>
        <w:ind w:right="440"/>
        <w:jc w:val="right"/>
      </w:pPr>
      <w:r>
        <w:rPr>
          <w:rStyle w:val="1Char"/>
          <w:rFonts w:ascii="黑体" w:eastAsia="黑体" w:hint="eastAsia"/>
          <w:b w:val="0"/>
          <w:bCs w:val="0"/>
        </w:rPr>
        <w:t>202</w:t>
      </w:r>
      <w:r>
        <w:rPr>
          <w:rStyle w:val="1Char"/>
          <w:rFonts w:ascii="黑体" w:eastAsia="黑体" w:hint="eastAsia"/>
          <w:b w:val="0"/>
          <w:bCs w:val="0"/>
          <w:lang w:val="en-US"/>
        </w:rPr>
        <w:t>1</w:t>
      </w:r>
      <w:r>
        <w:rPr>
          <w:rStyle w:val="1Char"/>
          <w:rFonts w:ascii="黑体" w:eastAsia="黑体" w:hint="eastAsia"/>
          <w:b w:val="0"/>
          <w:bCs w:val="0"/>
        </w:rPr>
        <w:t>年度部门决算情况说明</w:t>
      </w:r>
      <w:bookmarkEnd w:id="22"/>
      <w:bookmarkEnd w:id="23"/>
    </w:p>
    <w:p>
      <w:pPr>
        <w:pStyle w:val="31"/>
        <w:numPr>
          <w:ilvl w:val="0"/>
          <w:numId w:val="2"/>
        </w:numPr>
        <w:ind w:left="0" w:firstLineChars="0" w:firstLine="0"/>
        <w:outlineLvl w:val="1"/>
        <w:rPr>
          <w:rStyle w:val="2Char"/>
          <w:rFonts w:ascii="黑体" w:eastAsia="黑体"/>
          <w:b w:val="0"/>
        </w:rPr>
      </w:pPr>
      <w:bookmarkStart w:id="24" w:name="_Toc15396603"/>
      <w:bookmarkStart w:id="25"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rPr>
        <w:t>2021年度总收入8421.24万元，较上年收入减少1774.16万元，减少17.4%。减少的主要原因是2021年项目资金减少。</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rPr>
        <w:t>2021年总支出8421.24万元，869.19万元，较上年支出增加7552.05万元，增加868.86%。主要原因是当年部门预算安排项目支出较上年有所增加。</w:t>
      </w:r>
    </w:p>
    <w:p>
      <w:pPr>
        <w:spacing w:line="600" w:lineRule="exact"/>
        <w:ind w:firstLineChars="200" w:firstLine="420"/>
        <w:rPr>
          <w:rFonts w:ascii="黑体" w:eastAsia="黑体"/>
          <w:color w:val="000000"/>
          <w:sz w:val="32"/>
          <w:szCs w:val="32"/>
        </w:rPr>
      </w:pPr>
      <w:r>
        <w:drawing>
          <wp:anchor distT="0" distB="0" distL="114300" distR="114300" simplePos="0" relativeHeight="20" behindDoc="0" locked="0" layoutInCell="1" hidden="0" allowOverlap="1">
            <wp:simplePos x="0" y="0"/>
            <wp:positionH relativeFrom="column">
              <wp:posOffset>80645</wp:posOffset>
            </wp:positionH>
            <wp:positionV relativeFrom="paragraph">
              <wp:posOffset>213994</wp:posOffset>
            </wp:positionV>
            <wp:extent cx="5079999" cy="3810000"/>
            <wp:effectExtent l="0" t="0" r="0" b="0"/>
            <wp:wrapTight wrapText="bothSides">
              <wp:wrapPolygon>
                <wp:start x="-18" y="-29"/>
                <wp:lineTo x="-18" y="21570"/>
                <wp:lineTo x="21567" y="21570"/>
                <wp:lineTo x="21567" y="-29"/>
                <wp:lineTo x="-18" y="-29"/>
              </wp:wrapPolygon>
            </wp:wrapTight>
            <wp:docPr id="1" name="图表 3"/>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bookmarkStart w:id="26" w:name="_Toc15377206"/>
      <w:bookmarkStart w:id="27" w:name="_Toc15396604"/>
    </w:p>
    <w:p>
      <w:pPr>
        <w:spacing w:line="600" w:lineRule="exact"/>
        <w:ind w:firstLineChars="200" w:firstLine="640"/>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21年总收入8421.24万元，其中：一般公共预算财政拨款收入8421.24万元，占100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p>
    <w:p>
      <w:pPr>
        <w:spacing w:line="600" w:lineRule="exact"/>
        <w:ind w:firstLineChars="200" w:firstLine="640"/>
        <w:outlineLvl w:val="1"/>
        <w:rPr>
          <w:rFonts w:ascii="黑体" w:eastAsia="黑体"/>
          <w:color w:val="000000"/>
          <w:sz w:val="32"/>
          <w:szCs w:val="32"/>
        </w:rPr>
      </w:pPr>
      <w:bookmarkStart w:id="28" w:name="_Toc15377207"/>
      <w:bookmarkStart w:id="29" w:name="_Toc15396605"/>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420"/>
        <w:outlineLvl w:val="1"/>
        <w:rPr>
          <w:rFonts w:ascii="黑体" w:eastAsia="黑体"/>
          <w:color w:val="000000"/>
          <w:sz w:val="32"/>
          <w:szCs w:val="32"/>
        </w:rPr>
      </w:pPr>
      <w:r>
        <w:drawing>
          <wp:anchor distT="0" distB="0" distL="114300" distR="114300" simplePos="0" relativeHeight="18" behindDoc="0" locked="0" layoutInCell="1" hidden="0" allowOverlap="1">
            <wp:simplePos x="0" y="0"/>
            <wp:positionH relativeFrom="column">
              <wp:posOffset>9525</wp:posOffset>
            </wp:positionH>
            <wp:positionV relativeFrom="paragraph">
              <wp:posOffset>173355</wp:posOffset>
            </wp:positionV>
            <wp:extent cx="5356225" cy="3183255"/>
            <wp:effectExtent l="0" t="0" r="0" b="0"/>
            <wp:wrapNone/>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ascii="仿宋" w:eastAsia="仿宋" w:hint="eastAsia"/>
          <w:color w:val="000000"/>
          <w:sz w:val="32"/>
          <w:szCs w:val="32"/>
        </w:rPr>
        <w:t>2021年本年总支出8421.24万元，其中：基本支出377.46万元，占4.48%；项目支出8043.78万元，占95.52%；上缴上级支出0万元，占0%；经营支出0万元，占0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20320</wp:posOffset>
            </wp:positionH>
            <wp:positionV relativeFrom="paragraph">
              <wp:posOffset>147320</wp:posOffset>
            </wp:positionV>
            <wp:extent cx="5079999" cy="3810000"/>
            <wp:effectExtent l="0" t="0" r="0" b="0"/>
            <wp:wrapTight wrapText="bothSides">
              <wp:wrapPolygon>
                <wp:start x="-5" y="-29"/>
                <wp:lineTo x="-5" y="21570"/>
                <wp:lineTo x="21580" y="21570"/>
                <wp:lineTo x="21580" y="-29"/>
                <wp:lineTo x="-5" y="-29"/>
              </wp:wrapPolygon>
            </wp:wrapTight>
            <wp:docPr id="3" name="图表 4"/>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Chars="200" w:firstLine="640"/>
        <w:outlineLvl w:val="1"/>
        <w:rPr>
          <w:rFonts w:ascii="黑体" w:eastAsia="黑体"/>
          <w:color w:val="000000"/>
          <w:sz w:val="32"/>
          <w:szCs w:val="32"/>
        </w:rPr>
      </w:pPr>
      <w:bookmarkStart w:id="30" w:name="_Toc15377208"/>
      <w:bookmarkStart w:id="31" w:name="_Toc15396606"/>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napToGrid w:val="0"/>
        <w:spacing w:line="520" w:lineRule="exact"/>
        <w:ind w:firstLineChars="200" w:firstLine="640"/>
        <w:rPr>
          <w:rFonts w:ascii="仿宋" w:eastAsia="仿宋"/>
          <w:color w:val="FF0000"/>
          <w:sz w:val="32"/>
          <w:szCs w:val="32"/>
        </w:rPr>
      </w:pPr>
      <w:r>
        <w:rPr>
          <w:rFonts w:ascii="仿宋" w:eastAsia="仿宋" w:hint="eastAsia"/>
          <w:color w:val="000000"/>
          <w:sz w:val="32"/>
          <w:szCs w:val="32"/>
        </w:rPr>
        <w:t>2021年财政拨款收入8421.24万元。与2020年相比，一般公共预算财政拨款收入较上年减少1774.16万元，减少</w:t>
      </w:r>
      <w:r>
        <w:rPr>
          <w:rFonts w:ascii="仿宋_GB2312" w:eastAsia="仿宋_GB2312" w:hint="eastAsia"/>
          <w:color w:val="000000"/>
          <w:spacing w:val="-2"/>
          <w:sz w:val="32"/>
          <w:szCs w:val="32"/>
        </w:rPr>
        <w:t>17.4</w:t>
      </w:r>
      <w:r>
        <w:rPr>
          <w:rFonts w:ascii="仿宋" w:eastAsia="仿宋" w:hint="eastAsia"/>
          <w:color w:val="000000"/>
          <w:sz w:val="32"/>
          <w:szCs w:val="32"/>
        </w:rPr>
        <w:t>%。减少的主要原因是2021年项目专项资金拨款收入减少。2021年财政拨款支出8421.24万元，</w:t>
      </w:r>
      <w:r>
        <w:rPr>
          <w:rFonts w:ascii="仿宋" w:eastAsia="仿宋" w:hint="eastAsia"/>
          <w:sz w:val="32"/>
          <w:szCs w:val="32"/>
        </w:rPr>
        <w:t>较上年支出增加7552.05万元，增加868.86%</w:t>
      </w:r>
      <w:r>
        <w:rPr>
          <w:rFonts w:ascii="仿宋_GB2312" w:eastAsia="仿宋_GB2312" w:hint="eastAsia"/>
          <w:spacing w:val="-2"/>
          <w:sz w:val="32"/>
          <w:szCs w:val="32"/>
        </w:rPr>
        <w:t>。</w:t>
      </w:r>
    </w:p>
    <w:p>
      <w:pPr>
        <w:spacing w:line="600" w:lineRule="exact"/>
        <w:ind w:firstLineChars="200" w:firstLine="640"/>
        <w:rPr>
          <w:rFonts w:ascii="黑体" w:eastAsia="黑体"/>
          <w:color w:val="000000"/>
          <w:sz w:val="32"/>
          <w:szCs w:val="32"/>
        </w:rPr>
      </w:pPr>
      <w:bookmarkStart w:id="32" w:name="_Toc15377209"/>
      <w:bookmarkStart w:id="33" w:name="_Toc15396607"/>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20320</wp:posOffset>
            </wp:positionH>
            <wp:positionV relativeFrom="paragraph">
              <wp:posOffset>71120</wp:posOffset>
            </wp:positionV>
            <wp:extent cx="5079999" cy="3810000"/>
            <wp:effectExtent l="0" t="0" r="0" b="0"/>
            <wp:wrapTight wrapText="bothSides">
              <wp:wrapPolygon>
                <wp:start x="-5" y="-29"/>
                <wp:lineTo x="-5" y="21570"/>
                <wp:lineTo x="21580" y="21570"/>
                <wp:lineTo x="21580" y="-29"/>
                <wp:lineTo x="-5" y="-29"/>
              </wp:wrapPolygon>
            </wp:wrapTight>
            <wp:docPr id="4" name="图表 6"/>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21年</w:t>
      </w:r>
      <w:r>
        <w:rPr>
          <w:rFonts w:ascii="仿宋_GB2312" w:eastAsia="仿宋_GB2312" w:hint="eastAsia"/>
          <w:spacing w:val="-2"/>
          <w:sz w:val="32"/>
          <w:szCs w:val="32"/>
        </w:rPr>
        <w:t>一般公共预算财政拨款支出8421.24万元，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w:t>
      </w:r>
      <w:r>
        <w:rPr>
          <w:rFonts w:ascii="仿宋" w:eastAsia="仿宋" w:hint="eastAsia"/>
          <w:color w:val="000000"/>
          <w:sz w:val="32"/>
          <w:szCs w:val="32"/>
        </w:rPr>
        <w:t>20年相比，一般公共预算财政拨款</w:t>
      </w:r>
      <w:r>
        <w:rPr>
          <w:rFonts w:ascii="仿宋_GB2312" w:eastAsia="仿宋_GB2312" w:hint="eastAsia"/>
          <w:spacing w:val="-2"/>
          <w:sz w:val="32"/>
          <w:szCs w:val="32"/>
        </w:rPr>
        <w:t>支出增加7552.05万元，增加868.86%。主要原因2021年财政拨款支出包含了上年结转项目。</w:t>
      </w:r>
    </w:p>
    <w:p>
      <w:pPr>
        <w:snapToGrid w:val="0"/>
        <w:spacing w:line="520" w:lineRule="exact"/>
        <w:ind w:firstLineChars="200" w:firstLine="640"/>
        <w:rPr>
          <w:rFonts w:ascii="仿宋" w:eastAsia="仿宋"/>
          <w:b/>
          <w:color w:val="000000"/>
          <w:sz w:val="32"/>
          <w:szCs w:val="32"/>
        </w:rPr>
      </w:pPr>
      <w:bookmarkStart w:id="35" w:name="_Toc15377211"/>
      <w:r>
        <w:rPr>
          <w:rFonts w:ascii="仿宋" w:eastAsia="仿宋" w:hint="eastAsia"/>
          <w:b/>
          <w:color w:val="000000"/>
          <w:sz w:val="32"/>
          <w:szCs w:val="32"/>
        </w:rPr>
        <w:drawing>
          <wp:anchor distT="0" distB="0" distL="114300" distR="114300" simplePos="0" relativeHeight="26" behindDoc="0" locked="0" layoutInCell="1" hidden="0" allowOverlap="1">
            <wp:simplePos x="0" y="0"/>
            <wp:positionH relativeFrom="column">
              <wp:posOffset>191770</wp:posOffset>
            </wp:positionH>
            <wp:positionV relativeFrom="paragraph">
              <wp:posOffset>193675</wp:posOffset>
            </wp:positionV>
            <wp:extent cx="5079999" cy="3810000"/>
            <wp:effectExtent l="0" t="0" r="0" b="0"/>
            <wp:wrapTight wrapText="bothSides">
              <wp:wrapPolygon>
                <wp:start x="-5" y="-29"/>
                <wp:lineTo x="-5" y="21570"/>
                <wp:lineTo x="21580" y="21570"/>
                <wp:lineTo x="21580" y="-29"/>
                <wp:lineTo x="-5" y="-29"/>
              </wp:wrapPolygon>
            </wp:wrapTight>
            <wp:docPr id="5" name="图表 9"/>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21年一般公共预算财政拨款支出</w:t>
      </w:r>
      <w:r>
        <w:rPr>
          <w:rFonts w:ascii="仿宋_GB2312" w:eastAsia="仿宋_GB2312" w:hint="eastAsia"/>
          <w:spacing w:val="-2"/>
          <w:sz w:val="32"/>
          <w:szCs w:val="32"/>
        </w:rPr>
        <w:t>8421.24</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社会保障和就业支出（类）</w:t>
      </w:r>
      <w:r>
        <w:rPr>
          <w:rFonts w:ascii="仿宋" w:eastAsia="仿宋" w:hint="eastAsia"/>
          <w:color w:val="000000"/>
          <w:sz w:val="32"/>
          <w:szCs w:val="32"/>
        </w:rPr>
        <w:t>39.69万元，占0.47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卫生健康支出（类）</w:t>
      </w:r>
      <w:r>
        <w:rPr>
          <w:rFonts w:ascii="仿宋" w:eastAsia="仿宋" w:hint="eastAsia"/>
          <w:color w:val="000000"/>
          <w:sz w:val="32"/>
          <w:szCs w:val="32"/>
        </w:rPr>
        <w:t>17.43万元，占0.2</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节能环保支出（类）</w:t>
      </w:r>
      <w:r>
        <w:rPr>
          <w:rFonts w:ascii="仿宋" w:eastAsia="仿宋" w:hint="eastAsia"/>
          <w:color w:val="000000"/>
          <w:sz w:val="32"/>
          <w:szCs w:val="32"/>
        </w:rPr>
        <w:t>969.42万元，占11.51%；</w:t>
      </w:r>
      <w:r>
        <w:rPr>
          <w:rFonts w:ascii="仿宋" w:eastAsia="仿宋" w:hint="eastAsia"/>
          <w:b/>
          <w:bCs/>
          <w:color w:val="000000"/>
          <w:sz w:val="32"/>
          <w:szCs w:val="32"/>
        </w:rPr>
        <w:t>城乡社区支出</w:t>
      </w:r>
      <w:r>
        <w:rPr>
          <w:rFonts w:ascii="仿宋" w:eastAsia="仿宋" w:hint="eastAsia"/>
          <w:b/>
          <w:color w:val="000000"/>
          <w:sz w:val="32"/>
          <w:szCs w:val="32"/>
        </w:rPr>
        <w:t>（类）</w:t>
      </w:r>
      <w:r>
        <w:rPr>
          <w:rFonts w:ascii="仿宋" w:eastAsia="仿宋" w:hint="eastAsia"/>
          <w:color w:val="000000"/>
          <w:sz w:val="32"/>
          <w:szCs w:val="32"/>
        </w:rPr>
        <w:t>637.37万元，占7.57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农林水支出</w:t>
      </w:r>
      <w:r>
        <w:rPr>
          <w:rFonts w:ascii="仿宋" w:eastAsia="仿宋" w:hint="eastAsia"/>
          <w:b/>
          <w:color w:val="000000"/>
          <w:sz w:val="32"/>
          <w:szCs w:val="32"/>
        </w:rPr>
        <w:t>（类）</w:t>
      </w:r>
      <w:r>
        <w:rPr>
          <w:rFonts w:ascii="仿宋" w:eastAsia="仿宋" w:hint="eastAsia"/>
          <w:color w:val="000000"/>
          <w:sz w:val="32"/>
          <w:szCs w:val="32"/>
        </w:rPr>
        <w:t>3001.88万元，占35.65%；</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rPr>
        <w:t>385.74万元，占4.58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灾害防治及应急管理支出（类）</w:t>
      </w:r>
      <w:r>
        <w:rPr>
          <w:rFonts w:ascii="仿宋" w:eastAsia="仿宋" w:hint="eastAsia"/>
          <w:color w:val="000000"/>
          <w:sz w:val="32"/>
          <w:szCs w:val="32"/>
        </w:rPr>
        <w:t>9.7万元，占0.12%；</w:t>
      </w:r>
      <w:r>
        <w:rPr>
          <w:rFonts w:ascii="仿宋" w:eastAsia="仿宋" w:hint="eastAsia"/>
          <w:b/>
          <w:bCs/>
          <w:color w:val="000000"/>
          <w:sz w:val="32"/>
          <w:szCs w:val="32"/>
        </w:rPr>
        <w:t>其他支出</w:t>
      </w:r>
      <w:r>
        <w:rPr>
          <w:rFonts w:ascii="仿宋" w:eastAsia="仿宋" w:hint="eastAsia"/>
          <w:color w:val="000000"/>
          <w:sz w:val="32"/>
          <w:szCs w:val="32"/>
        </w:rPr>
        <w:t>（类）3360万元，占39.9%。</w:t>
      </w:r>
    </w:p>
    <w:p>
      <w:pPr>
        <w:spacing w:line="600" w:lineRule="exact"/>
        <w:ind w:firstLineChars="2600" w:firstLine="8320"/>
        <w:outlineLvl w:val="2"/>
        <w:rPr>
          <w:rFonts w:ascii="仿宋" w:eastAsia="仿宋"/>
          <w:b/>
          <w:color w:val="000000"/>
          <w:sz w:val="32"/>
          <w:szCs w:val="32"/>
        </w:rPr>
      </w:pPr>
      <w:bookmarkStart w:id="36" w:name="_Toc15378460"/>
      <w:bookmarkStart w:id="37" w:name="_Toc15377213"/>
      <w:bookmarkStart w:id="38" w:name="_Toc15377444"/>
    </w:p>
    <w:p>
      <w:pPr>
        <w:spacing w:line="600" w:lineRule="exact"/>
        <w:ind w:firstLineChars="2600" w:firstLine="8320"/>
        <w:outlineLvl w:val="2"/>
        <w:rPr>
          <w:rFonts w:ascii="仿宋" w:eastAsia="仿宋"/>
          <w:b/>
          <w:color w:val="000000"/>
          <w:sz w:val="32"/>
          <w:szCs w:val="32"/>
        </w:rPr>
      </w:pPr>
      <w:r>
        <w:rPr>
          <w:rFonts w:ascii="仿宋" w:eastAsia="仿宋" w:hint="eastAsia"/>
          <w:b/>
          <w:color w:val="000000"/>
          <w:sz w:val="32"/>
          <w:szCs w:val="32"/>
        </w:rPr>
        <w:drawing>
          <wp:anchor distT="0" distB="0" distL="114300" distR="114300" simplePos="0" relativeHeight="28" behindDoc="0" locked="0" layoutInCell="1" hidden="0" allowOverlap="1">
            <wp:simplePos x="0" y="0"/>
            <wp:positionH relativeFrom="column">
              <wp:posOffset>363220</wp:posOffset>
            </wp:positionH>
            <wp:positionV relativeFrom="paragraph">
              <wp:posOffset>4445</wp:posOffset>
            </wp:positionV>
            <wp:extent cx="5079999" cy="3810000"/>
            <wp:effectExtent l="0" t="0" r="0" b="0"/>
            <wp:wrapTight wrapText="bothSides">
              <wp:wrapPolygon>
                <wp:start x="-5" y="-29"/>
                <wp:lineTo x="-5" y="21570"/>
                <wp:lineTo x="21580" y="21570"/>
                <wp:lineTo x="21580" y="-29"/>
                <wp:lineTo x="-5" y="-29"/>
              </wp:wrapPolygon>
            </wp:wrapTight>
            <wp:docPr id="6" name="图表 1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00" w:firstLine="640"/>
        <w:outlineLvl w:val="2"/>
        <w:rPr>
          <w:rFonts w:ascii="仿宋" w:eastAsia="仿宋"/>
          <w:b/>
          <w:color w:val="000000"/>
          <w:sz w:val="32"/>
          <w:szCs w:val="32"/>
        </w:rPr>
      </w:pPr>
      <w:bookmarkStart w:id="39" w:name="_Toc15377212"/>
    </w:p>
    <w:p>
      <w:pPr>
        <w:spacing w:line="600" w:lineRule="exact"/>
        <w:ind w:firstLineChars="200" w:firstLine="640"/>
        <w:outlineLvl w:val="2"/>
        <w:rPr>
          <w:rFonts w:ascii="仿宋" w:eastAsia="仿宋"/>
          <w:b/>
          <w:color w:val="000000"/>
          <w:sz w:val="32"/>
          <w:szCs w:val="32"/>
        </w:rPr>
      </w:pPr>
    </w:p>
    <w:p>
      <w:pPr>
        <w:spacing w:line="600" w:lineRule="exact"/>
        <w:ind w:firstLineChars="100" w:firstLine="32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ascii="仿宋" w:eastAsia="仿宋" w:hint="eastAsia"/>
          <w:bCs/>
          <w:color w:val="000000"/>
          <w:sz w:val="32"/>
          <w:szCs w:val="32"/>
        </w:rPr>
        <w:t>2021年一般公共预算财政拨款收入调整预算数为8421.24万元，支出决算数为8421.24万元，完</w:t>
      </w:r>
      <w:r>
        <w:rPr>
          <w:rStyle w:val="25"/>
          <w:rFonts w:ascii="仿宋" w:eastAsia="仿宋" w:hint="eastAsia"/>
          <w:b w:val="0"/>
          <w:bCs/>
          <w:color w:val="000000"/>
          <w:sz w:val="32"/>
          <w:szCs w:val="32"/>
        </w:rPr>
        <w:t>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。2021年结转下年0万元。其中：</w:t>
      </w:r>
      <w:bookmarkEnd w:id="36"/>
      <w:bookmarkEnd w:id="37"/>
      <w:bookmarkEnd w:id="38"/>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1.社会保障和就业支出（类）行政事业单位养老支出（款） 机关事业单位基本养老保险缴费支出（项）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支出决算为26.69万元，完成预算100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社会保障和就业支出（类）行政事业单位养老支出（款）  机关事业单位职业年金缴费支出（项）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支出决算为13万元，完成预算100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3</w:t>
      </w:r>
      <w:r>
        <w:rPr>
          <w:rStyle w:val="25"/>
          <w:rFonts w:ascii="仿宋" w:eastAsia="仿宋"/>
          <w:bCs/>
          <w:color w:val="000000"/>
          <w:sz w:val="32"/>
          <w:szCs w:val="32"/>
        </w:rPr>
        <w:t>.</w:t>
      </w:r>
      <w:r>
        <w:rPr>
          <w:rStyle w:val="25"/>
          <w:rFonts w:ascii="仿宋" w:eastAsia="仿宋" w:hint="eastAsia"/>
          <w:bCs/>
          <w:color w:val="000000"/>
          <w:sz w:val="32"/>
          <w:szCs w:val="32"/>
        </w:rPr>
        <w:t>卫生健康支出（类）行政事业单位医疗（款） 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支出决算为5.5万元，完成预算100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4.卫生健康支出（类）行政事业单位医疗（款）  事业单位医疗（项）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支出决算为6.5万元，完成预算100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5.卫生健康支出（类）行政事业单位医疗（款）公务员医疗补助（项）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支出决算为2.43万元，完成预算100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bookmarkStart w:id="40" w:name="_Toc15377214"/>
      <w:bookmarkStart w:id="41" w:name="_Toc15396608"/>
      <w:r>
        <w:rPr>
          <w:rStyle w:val="25"/>
          <w:rFonts w:ascii="仿宋" w:eastAsia="仿宋" w:hint="eastAsia"/>
          <w:bCs/>
          <w:color w:val="000000"/>
          <w:sz w:val="32"/>
          <w:szCs w:val="32"/>
        </w:rPr>
        <w:t>6.卫生健康支出（类）行政事业单位医疗（款）其他行政事业单位医疗支出（项）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支出决算为3万元，完成预算100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7.节能环保支出（类）自然生态保护（款）生态保护（项）：</w:t>
      </w:r>
      <w:r>
        <w:rPr>
          <w:rStyle w:val="25"/>
          <w:rFonts w:ascii="仿宋" w:eastAsia="仿宋" w:hint="eastAsia"/>
          <w:b w:val="0"/>
          <w:bCs/>
          <w:color w:val="000000"/>
          <w:sz w:val="32"/>
          <w:szCs w:val="32"/>
        </w:rPr>
        <w:t>支出决算为968.82万元，完成预算100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8.节能环保支出（类）自然生态保护（款）农村环境保护（项）：</w:t>
      </w:r>
      <w:r>
        <w:rPr>
          <w:rStyle w:val="25"/>
          <w:rFonts w:ascii="仿宋" w:eastAsia="仿宋" w:hint="eastAsia"/>
          <w:b w:val="0"/>
          <w:bCs/>
          <w:color w:val="000000"/>
          <w:sz w:val="32"/>
          <w:szCs w:val="32"/>
        </w:rPr>
        <w:t>支出决算为0.6万元，完成预算100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9.城乡社区支出（类）城乡社区管理事务（款）行政运行（项）：</w:t>
      </w:r>
      <w:r>
        <w:rPr>
          <w:rStyle w:val="25"/>
          <w:rFonts w:ascii="仿宋" w:eastAsia="仿宋" w:hint="eastAsia"/>
          <w:b w:val="0"/>
          <w:bCs/>
          <w:color w:val="000000"/>
          <w:sz w:val="32"/>
          <w:szCs w:val="32"/>
        </w:rPr>
        <w:t>支出决算为86.09万元，完成预算100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10.城乡社区支出（类）城乡社区管理事务（款）机关服务（项）：</w:t>
      </w:r>
      <w:r>
        <w:rPr>
          <w:rStyle w:val="25"/>
          <w:rFonts w:ascii="仿宋" w:eastAsia="仿宋" w:hint="eastAsia"/>
          <w:b w:val="0"/>
          <w:bCs/>
          <w:color w:val="000000"/>
          <w:sz w:val="32"/>
          <w:szCs w:val="32"/>
        </w:rPr>
        <w:t>支出决算为208.56万元，完成预算100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11.城乡社区支出（类）城乡社区管理事务（款）其他城乡社区管理事务支出（项）：</w:t>
      </w:r>
      <w:r>
        <w:rPr>
          <w:rStyle w:val="25"/>
          <w:rFonts w:ascii="仿宋" w:eastAsia="仿宋" w:hint="eastAsia"/>
          <w:b w:val="0"/>
          <w:bCs/>
          <w:color w:val="000000"/>
          <w:sz w:val="32"/>
          <w:szCs w:val="32"/>
        </w:rPr>
        <w:t>支出决算为42.73万元，完成预算100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12.城乡社区支出（类）其他城乡社区支出（款）其他城乡社区支出（项）：</w:t>
      </w:r>
      <w:r>
        <w:rPr>
          <w:rStyle w:val="25"/>
          <w:rFonts w:ascii="仿宋" w:eastAsia="仿宋" w:hint="eastAsia"/>
          <w:b w:val="0"/>
          <w:bCs/>
          <w:color w:val="000000"/>
          <w:sz w:val="32"/>
          <w:szCs w:val="32"/>
        </w:rPr>
        <w:t>支出决算为300万元，完成预算100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13.农林水支出（类）农业农村（款）农其他农业农村支出（项）：</w:t>
      </w:r>
      <w:r>
        <w:rPr>
          <w:rStyle w:val="25"/>
          <w:rFonts w:ascii="仿宋" w:eastAsia="仿宋" w:hint="eastAsia"/>
          <w:b w:val="0"/>
          <w:bCs/>
          <w:color w:val="000000"/>
          <w:sz w:val="32"/>
          <w:szCs w:val="32"/>
        </w:rPr>
        <w:t>支出决算为89.88万元，完成预算100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14.农林水支出（类）扶贫（款）其他扶贫支出（项）：</w:t>
      </w:r>
      <w:r>
        <w:rPr>
          <w:rStyle w:val="25"/>
          <w:rFonts w:ascii="仿宋" w:eastAsia="仿宋" w:hint="eastAsia"/>
          <w:b w:val="0"/>
          <w:bCs/>
          <w:color w:val="000000"/>
          <w:sz w:val="32"/>
          <w:szCs w:val="32"/>
        </w:rPr>
        <w:t>支出决算为912万元，完成预算100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Cs/>
          <w:color w:val="000000"/>
          <w:sz w:val="32"/>
          <w:szCs w:val="32"/>
        </w:rPr>
      </w:pPr>
      <w:r>
        <w:rPr>
          <w:rStyle w:val="25"/>
          <w:rFonts w:ascii="仿宋" w:eastAsia="仿宋" w:hint="eastAsia"/>
          <w:bCs/>
          <w:color w:val="000000"/>
          <w:sz w:val="32"/>
          <w:szCs w:val="32"/>
        </w:rPr>
        <w:t>15.农林水支出（类）其他农林水支出（款）其他农林水支出（项）：</w:t>
      </w:r>
      <w:r>
        <w:rPr>
          <w:rStyle w:val="25"/>
          <w:rFonts w:ascii="仿宋" w:eastAsia="仿宋" w:hint="eastAsia"/>
          <w:b w:val="0"/>
          <w:bCs/>
          <w:color w:val="000000"/>
          <w:sz w:val="32"/>
          <w:szCs w:val="32"/>
        </w:rPr>
        <w:t>支出决算为2000万元，完成预算100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16.住房保障（类）保障性安居工程支出（款）农村危房改造（项）：</w:t>
      </w:r>
      <w:r>
        <w:rPr>
          <w:rStyle w:val="25"/>
          <w:rFonts w:ascii="仿宋" w:eastAsia="仿宋" w:hint="eastAsia"/>
          <w:b w:val="0"/>
          <w:bCs/>
          <w:color w:val="000000"/>
          <w:sz w:val="32"/>
          <w:szCs w:val="32"/>
        </w:rPr>
        <w:t>支出决算为309万元，完成预算100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17.住房保障（类）保障性安居工程支出（款）老旧小区改造（项）：</w:t>
      </w:r>
      <w:r>
        <w:rPr>
          <w:rStyle w:val="25"/>
          <w:rFonts w:ascii="仿宋" w:eastAsia="仿宋" w:hint="eastAsia"/>
          <w:b w:val="0"/>
          <w:bCs/>
          <w:color w:val="000000"/>
          <w:sz w:val="32"/>
          <w:szCs w:val="32"/>
        </w:rPr>
        <w:t>支出决算为51.05万元，完成预算100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18.住房保障（类）住房改革支出（款）住房公积金（项）：</w:t>
      </w:r>
      <w:r>
        <w:rPr>
          <w:rStyle w:val="25"/>
          <w:rFonts w:ascii="仿宋" w:eastAsia="仿宋" w:hint="eastAsia"/>
          <w:b w:val="0"/>
          <w:bCs/>
          <w:color w:val="000000"/>
          <w:sz w:val="32"/>
          <w:szCs w:val="32"/>
        </w:rPr>
        <w:t>支出决算为25.69万元，完成预算100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19.灾害防治及应急管理支出（类）自然灾害防治（款）地质灾害防治（项）：</w:t>
      </w:r>
      <w:r>
        <w:rPr>
          <w:rStyle w:val="25"/>
          <w:rFonts w:ascii="仿宋" w:eastAsia="仿宋" w:hint="eastAsia"/>
          <w:b w:val="0"/>
          <w:bCs/>
          <w:color w:val="000000"/>
          <w:sz w:val="32"/>
          <w:szCs w:val="32"/>
        </w:rPr>
        <w:t>支出决算为9.7万元，完成预算100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20.其他支出（类）其他支出（款）其他支出（项）：</w:t>
      </w:r>
      <w:r>
        <w:rPr>
          <w:rStyle w:val="25"/>
          <w:rFonts w:ascii="仿宋" w:eastAsia="仿宋" w:hint="eastAsia"/>
          <w:b w:val="0"/>
          <w:bCs/>
          <w:color w:val="000000"/>
          <w:sz w:val="32"/>
          <w:szCs w:val="32"/>
        </w:rPr>
        <w:t>支出决算为3360万元，完成预算100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0"/>
      <w:bookmarkEnd w:id="41"/>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21年一般公共预算财政拨款基本支出377.46万元，其中：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353.34万元，主要包括：基本工资72.95万元、津贴补贴97.45万元、奖金0.41万元、绩效工资36.63万元、机关事业单位基本养老保险缴费26.69万元、职业年金缴费13万元、职工基本医疗保险缴费12万元、公务员医疗补助缴费2.43万元、其他社会保障缴费5.81万元、住房公积金25.69万元；对个人和家庭的补助生活补助6.18万元、奖励金54.1万元等。</w:t>
      </w:r>
      <w:r>
        <w:rPr>
          <w:rFonts w:ascii="仿宋" w:eastAsia="仿宋"/>
          <w:color w:val="000000"/>
          <w:sz w:val="32"/>
          <w:szCs w:val="32"/>
        </w:rPr>
        <w:br/>
      </w:r>
      <w:r>
        <w:rPr>
          <w:rFonts w:ascii="仿宋" w:eastAsia="仿宋" w:hint="eastAsia"/>
          <w:color w:val="000000"/>
          <w:sz w:val="32"/>
          <w:szCs w:val="32"/>
        </w:rPr>
        <w:t>　　公用经费24.13万元，主要包括：办公费3.53万元、电费2万元、邮电费2.5万元、差旅费12.98万元、公务接待费0.12万元、公务用车运行维护费3万元等。</w:t>
      </w:r>
    </w:p>
    <w:p>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rPr>
        <w:t>21年“三公”经费财政拨款支出决算为3.12万元，</w:t>
      </w:r>
      <w:r>
        <w:rPr>
          <w:rFonts w:ascii="仿宋" w:eastAsia="仿宋" w:hint="eastAsia"/>
          <w:color w:val="000000"/>
          <w:sz w:val="32"/>
          <w:szCs w:val="32"/>
          <w:lang w:eastAsia="zh-CN"/>
        </w:rPr>
        <w:t>年初预算数为</w:t>
      </w:r>
      <w:r>
        <w:rPr>
          <w:rFonts w:ascii="仿宋" w:eastAsia="仿宋" w:hint="eastAsia"/>
          <w:color w:val="000000"/>
          <w:sz w:val="32"/>
          <w:szCs w:val="32"/>
          <w:lang w:val="en-US" w:eastAsia="zh-CN"/>
        </w:rPr>
        <w:t>3.2万元，</w:t>
      </w:r>
      <w:r>
        <w:rPr>
          <w:rFonts w:ascii="仿宋" w:eastAsia="仿宋" w:hint="eastAsia"/>
          <w:color w:val="000000"/>
          <w:sz w:val="32"/>
          <w:szCs w:val="32"/>
        </w:rPr>
        <w:t>完成预算</w:t>
      </w:r>
      <w:r>
        <w:rPr>
          <w:rFonts w:ascii="仿宋" w:eastAsia="仿宋" w:hint="eastAsia"/>
          <w:color w:val="000000"/>
          <w:sz w:val="32"/>
          <w:szCs w:val="32"/>
          <w:lang w:val="en-US" w:eastAsia="zh-CN"/>
        </w:rPr>
        <w:t>97.5</w:t>
      </w:r>
      <w:r>
        <w:rPr>
          <w:rFonts w:ascii="仿宋" w:eastAsia="仿宋"/>
          <w:color w:val="000000"/>
          <w:sz w:val="32"/>
          <w:szCs w:val="32"/>
        </w:rPr>
        <w:t>%</w:t>
      </w:r>
      <w:r>
        <w:rPr>
          <w:rFonts w:ascii="仿宋" w:eastAsia="仿宋" w:hint="eastAsia"/>
          <w:color w:val="000000"/>
          <w:sz w:val="32"/>
          <w:szCs w:val="32"/>
        </w:rPr>
        <w:t>，决算数</w:t>
      </w:r>
      <w:r>
        <w:rPr>
          <w:rFonts w:ascii="仿宋" w:eastAsia="仿宋" w:hint="eastAsia"/>
          <w:color w:val="000000"/>
          <w:sz w:val="32"/>
          <w:szCs w:val="32"/>
          <w:lang w:eastAsia="zh-CN"/>
        </w:rPr>
        <w:t>小于</w:t>
      </w:r>
      <w:r>
        <w:rPr>
          <w:rFonts w:ascii="仿宋" w:eastAsia="仿宋" w:hint="eastAsia"/>
          <w:color w:val="000000"/>
          <w:sz w:val="32"/>
          <w:szCs w:val="32"/>
        </w:rPr>
        <w:t>预算数。</w:t>
      </w:r>
      <w:r>
        <w:rPr>
          <w:rFonts w:ascii="仿宋" w:eastAsia="仿宋" w:hint="eastAsia"/>
          <w:color w:val="000000"/>
          <w:sz w:val="32"/>
          <w:szCs w:val="32"/>
          <w:lang w:eastAsia="zh-CN"/>
        </w:rPr>
        <w:t>主要是因为厉行节约，公务接待费未全部支付。</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21年“三公”经费财政拨款支出</w:t>
      </w:r>
      <w:r>
        <w:rPr>
          <w:rFonts w:ascii="仿宋" w:eastAsia="仿宋" w:hint="eastAsia"/>
          <w:sz w:val="32"/>
          <w:szCs w:val="32"/>
        </w:rPr>
        <w:t>决算3.12万元</w:t>
      </w:r>
      <w:r>
        <w:rPr>
          <w:rFonts w:ascii="仿宋" w:eastAsia="仿宋" w:hint="eastAsia"/>
          <w:color w:val="000000"/>
          <w:sz w:val="32"/>
          <w:szCs w:val="32"/>
        </w:rPr>
        <w:t>，其中：因公出国（境）费支出决算0万元，占0</w:t>
      </w:r>
      <w:r>
        <w:rPr>
          <w:rFonts w:ascii="仿宋" w:eastAsia="仿宋"/>
          <w:color w:val="000000"/>
          <w:sz w:val="32"/>
          <w:szCs w:val="32"/>
        </w:rPr>
        <w:t>%</w:t>
      </w:r>
      <w:r>
        <w:rPr>
          <w:rFonts w:ascii="仿宋" w:eastAsia="仿宋" w:hint="eastAsia"/>
          <w:color w:val="000000"/>
          <w:sz w:val="32"/>
          <w:szCs w:val="32"/>
        </w:rPr>
        <w:t>；公务用车购置0万元；公务用车运行维护费支出决算3万元，占96.15</w:t>
      </w:r>
      <w:r>
        <w:rPr>
          <w:rFonts w:ascii="仿宋" w:eastAsia="仿宋"/>
          <w:color w:val="000000"/>
          <w:sz w:val="32"/>
          <w:szCs w:val="32"/>
        </w:rPr>
        <w:t>%</w:t>
      </w:r>
      <w:r>
        <w:rPr>
          <w:rFonts w:ascii="仿宋" w:eastAsia="仿宋" w:hint="eastAsia"/>
          <w:color w:val="000000"/>
          <w:sz w:val="32"/>
          <w:szCs w:val="32"/>
        </w:rPr>
        <w:t>；公务接待费支出决算0.12万元，占3.85</w:t>
      </w:r>
      <w:r>
        <w:rPr>
          <w:rFonts w:ascii="仿宋" w:eastAsia="仿宋"/>
          <w:color w:val="000000"/>
          <w:sz w:val="32"/>
          <w:szCs w:val="32"/>
        </w:rPr>
        <w:t>%</w:t>
      </w:r>
      <w:r>
        <w:rPr>
          <w:rFonts w:ascii="仿宋" w:eastAsia="仿宋" w:hint="eastAsia"/>
          <w:color w:val="000000"/>
          <w:sz w:val="32"/>
          <w:szCs w:val="32"/>
        </w:rPr>
        <w:t>。具体情况如下：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134620</wp:posOffset>
            </wp:positionH>
            <wp:positionV relativeFrom="paragraph">
              <wp:posOffset>271145</wp:posOffset>
            </wp:positionV>
            <wp:extent cx="5079999" cy="3810000"/>
            <wp:effectExtent l="0" t="0" r="0" b="0"/>
            <wp:wrapTight wrapText="bothSides">
              <wp:wrapPolygon>
                <wp:start x="-5" y="-25"/>
                <wp:lineTo x="-5" y="21574"/>
                <wp:lineTo x="21580" y="21574"/>
                <wp:lineTo x="21580" y="-25"/>
                <wp:lineTo x="-5" y="-25"/>
              </wp:wrapPolygon>
            </wp:wrapTight>
            <wp:docPr id="7" name="图表 1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sz w:val="32"/>
          <w:szCs w:val="32"/>
        </w:rPr>
        <w:t>全年安排因公出国（境）团组0次，出国（境）0人。因</w:t>
      </w:r>
      <w:r>
        <w:rPr>
          <w:rFonts w:ascii="仿宋_GB2312" w:eastAsia="仿宋_GB2312" w:hint="eastAsia"/>
          <w:color w:val="000000"/>
          <w:sz w:val="32"/>
          <w:szCs w:val="32"/>
        </w:rPr>
        <w:t>公出国（境）支出决算比上年</w:t>
      </w:r>
      <w:r>
        <w:rPr>
          <w:rFonts w:ascii="仿宋_GB2312" w:eastAsia="仿宋_GB2312" w:cs="仿宋" w:hint="eastAsia"/>
          <w:color w:val="000000"/>
          <w:sz w:val="32"/>
          <w:szCs w:val="32"/>
        </w:rPr>
        <w:t>增加0万元。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hint="eastAsia"/>
          <w:color w:val="000000"/>
          <w:sz w:val="32"/>
          <w:szCs w:val="32"/>
        </w:rPr>
        <w:t>3万元,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公务用车购置及运行维护费支出决算比2020年增加87.49</w:t>
      </w:r>
      <w:r>
        <w:rPr>
          <w:rFonts w:ascii="仿宋_GB2312" w:eastAsia="仿宋_GB2312"/>
          <w:sz w:val="32"/>
          <w:szCs w:val="32"/>
        </w:rPr>
        <w:t>%</w:t>
      </w:r>
      <w:r>
        <w:rPr>
          <w:rFonts w:ascii="仿宋_GB2312" w:eastAsia="仿宋_GB2312" w:hint="eastAsia"/>
          <w:sz w:val="32"/>
          <w:szCs w:val="32"/>
        </w:rPr>
        <w:t>，原因是2021年项目增加、下乡用车次数增加。</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日，共有车辆1辆，其中：部级领导干部用车0辆、主要领导干部用车0辆、机要通信用车0辆、应急保障用车1辆、执法执勤用车0辆、特种专业技术用车0辆、离退休干部用车0辆、其他用车0辆；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3万元。</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hint="eastAsia"/>
          <w:b/>
          <w:color w:val="000000"/>
          <w:sz w:val="32"/>
          <w:szCs w:val="32"/>
        </w:rPr>
        <w:t>公务接待费支出</w:t>
      </w:r>
      <w:r>
        <w:rPr>
          <w:rFonts w:ascii="仿宋_GB2312" w:eastAsia="仿宋_GB2312" w:hint="eastAsia"/>
          <w:bCs/>
          <w:color w:val="000000"/>
          <w:sz w:val="32"/>
          <w:szCs w:val="32"/>
        </w:rPr>
        <w:t>0.12</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完成预算60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cs="仿宋" w:hint="eastAsia"/>
          <w:color w:val="000000"/>
          <w:sz w:val="32"/>
          <w:szCs w:val="32"/>
        </w:rPr>
        <w:t>公务接待费0.12万元，较上年增加0.12万元，增加100%，增加原因是严格执行有关规定，实行“先审批，后接待”制度，严格控制接待标准和陪餐人数，降低接待费用。</w:t>
      </w:r>
      <w:r>
        <w:rPr>
          <w:rFonts w:ascii="仿宋_GB2312" w:eastAsia="仿宋_GB2312" w:hint="eastAsia"/>
          <w:color w:val="000000"/>
          <w:sz w:val="32"/>
          <w:szCs w:val="32"/>
        </w:rPr>
        <w:t>国内公务接待</w:t>
      </w:r>
      <w:r>
        <w:rPr>
          <w:rFonts w:ascii="仿宋_GB2312" w:eastAsia="仿宋_GB2312"/>
          <w:color w:val="000000"/>
          <w:sz w:val="32"/>
          <w:szCs w:val="32"/>
        </w:rPr>
        <w:t>6</w:t>
      </w:r>
      <w:r>
        <w:rPr>
          <w:rFonts w:ascii="仿宋_GB2312" w:eastAsia="仿宋_GB2312" w:hint="eastAsia"/>
          <w:color w:val="000000"/>
          <w:sz w:val="32"/>
          <w:szCs w:val="32"/>
        </w:rPr>
        <w:t>批次，</w:t>
      </w:r>
      <w:r>
        <w:rPr>
          <w:rFonts w:ascii="仿宋_GB2312" w:eastAsia="仿宋_GB2312"/>
          <w:color w:val="000000"/>
          <w:sz w:val="32"/>
          <w:szCs w:val="32"/>
        </w:rPr>
        <w:t>20</w:t>
      </w:r>
      <w:r>
        <w:rPr>
          <w:rFonts w:ascii="仿宋_GB2312" w:eastAsia="仿宋_GB2312" w:hint="eastAsia"/>
          <w:color w:val="000000"/>
          <w:sz w:val="32"/>
          <w:szCs w:val="32"/>
        </w:rPr>
        <w:t>人次，共计支出</w:t>
      </w:r>
      <w:r>
        <w:rPr>
          <w:rFonts w:ascii="仿宋_GB2312" w:eastAsia="仿宋_GB2312" w:hint="eastAsia"/>
          <w:color w:val="000000"/>
          <w:sz w:val="32"/>
          <w:szCs w:val="32"/>
        </w:rPr>
        <w:t>0</w:t>
      </w:r>
      <w:r>
        <w:rPr>
          <w:rFonts w:ascii="仿宋_GB2312" w:eastAsia="仿宋_GB2312"/>
          <w:color w:val="000000"/>
          <w:sz w:val="32"/>
          <w:szCs w:val="32"/>
        </w:rPr>
        <w:t>.12</w:t>
      </w:r>
      <w:r>
        <w:rPr>
          <w:rFonts w:ascii="仿宋_GB2312" w:eastAsia="仿宋_GB2312" w:hint="eastAsia"/>
          <w:color w:val="000000"/>
          <w:sz w:val="32"/>
          <w:szCs w:val="32"/>
        </w:rPr>
        <w:t>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numPr>
          <w:ilvl w:val="0"/>
          <w:numId w:val="3"/>
        </w:numPr>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600" w:lineRule="exact"/>
        <w:ind w:firstLineChars="200" w:firstLine="640"/>
        <w:outlineLvl w:val="1"/>
        <w:rPr>
          <w:rStyle w:val="2Char"/>
          <w:rFonts w:ascii="黑体" w:eastAsia="黑体"/>
        </w:rPr>
      </w:pPr>
      <w:bookmarkStart w:id="50" w:name="_Toc15396612"/>
      <w:bookmarkStart w:id="51"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50"/>
      <w:bookmarkEnd w:id="51"/>
    </w:p>
    <w:p>
      <w:pPr>
        <w:spacing w:line="600" w:lineRule="exact"/>
        <w:ind w:firstLineChars="200" w:firstLine="640"/>
        <w:outlineLvl w:val="2"/>
        <w:rPr>
          <w:rFonts w:ascii="仿宋" w:eastAsia="仿宋"/>
          <w:color w:val="000000"/>
          <w:sz w:val="32"/>
          <w:szCs w:val="32"/>
        </w:rPr>
      </w:pPr>
      <w:bookmarkStart w:id="52" w:name="_Toc15377222"/>
      <w:r>
        <w:rPr>
          <w:rFonts w:ascii="仿宋" w:eastAsia="仿宋" w:hint="eastAsia"/>
          <w:b/>
          <w:color w:val="000000"/>
          <w:sz w:val="32"/>
          <w:szCs w:val="32"/>
        </w:rPr>
        <w:t>（一）机关运行经费支出情况</w:t>
      </w:r>
      <w:bookmarkEnd w:id="52"/>
    </w:p>
    <w:p>
      <w:pPr>
        <w:spacing w:line="600" w:lineRule="exact"/>
        <w:ind w:firstLineChars="200" w:firstLine="640"/>
        <w:rPr>
          <w:rFonts w:ascii="仿宋_GB2312" w:eastAsia="仿宋_GB2312"/>
          <w:sz w:val="32"/>
          <w:szCs w:val="32"/>
        </w:rPr>
      </w:pP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hint="eastAsia"/>
          <w:sz w:val="32"/>
          <w:szCs w:val="32"/>
        </w:rPr>
        <w:t>金川县住房和城乡建设局</w:t>
      </w:r>
      <w:r>
        <w:rPr>
          <w:rFonts w:ascii="仿宋_GB2312" w:eastAsia="仿宋_GB2312" w:hint="eastAsia"/>
          <w:color w:val="000000"/>
          <w:sz w:val="32"/>
          <w:szCs w:val="32"/>
        </w:rPr>
        <w:t>运行经费支出15.78万元，比</w:t>
      </w:r>
      <w:r>
        <w:rPr>
          <w:rFonts w:ascii="仿宋_GB2312" w:eastAsia="仿宋_GB2312"/>
          <w:color w:val="000000"/>
          <w:sz w:val="32"/>
          <w:szCs w:val="32"/>
        </w:rPr>
        <w:t>20</w:t>
      </w:r>
      <w:r>
        <w:rPr>
          <w:rFonts w:ascii="仿宋_GB2312" w:eastAsia="仿宋_GB2312" w:hint="eastAsia"/>
          <w:color w:val="000000"/>
          <w:sz w:val="32"/>
          <w:szCs w:val="32"/>
        </w:rPr>
        <w:t>20年增加5.77万元，上升36.57</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主要原因为机构改革后工作量增加办公费、差旅费等有所增长。</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3" w:name="_Toc15377223"/>
      <w:r>
        <w:rPr>
          <w:rFonts w:ascii="仿宋" w:eastAsia="仿宋" w:hint="eastAsia"/>
          <w:b/>
          <w:color w:val="000000"/>
          <w:sz w:val="32"/>
          <w:szCs w:val="32"/>
        </w:rPr>
        <w:t>（二）政府采购支出情况</w:t>
      </w:r>
      <w:bookmarkEnd w:id="53"/>
    </w:p>
    <w:p>
      <w:pPr>
        <w:pStyle w:val="24"/>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_GB2312" w:eastAsia="仿宋_GB2312"/>
          <w:color w:val="000000"/>
          <w:sz w:val="32"/>
          <w:szCs w:val="32"/>
        </w:rPr>
        <w:t>20</w:t>
      </w:r>
      <w:r>
        <w:rPr>
          <w:rFonts w:ascii="仿宋_GB2312" w:eastAsia="仿宋_GB2312" w:hint="eastAsia"/>
          <w:color w:val="000000"/>
          <w:sz w:val="32"/>
          <w:szCs w:val="32"/>
        </w:rPr>
        <w:t>21年，</w:t>
      </w:r>
      <w:r>
        <w:rPr>
          <w:rFonts w:ascii="仿宋" w:eastAsia="仿宋" w:cs="仿宋" w:hint="eastAsia"/>
          <w:sz w:val="32"/>
          <w:szCs w:val="32"/>
          <w:shd w:val="clear" w:color="auto" w:fill="FFFFFF"/>
          <w:lang w:bidi="ar-SA"/>
        </w:rPr>
        <w:t>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bookmarkStart w:id="54" w:name="_GoBack"/>
      <w:bookmarkEnd w:id="54"/>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4"/>
      <w:r>
        <w:rPr>
          <w:rFonts w:ascii="仿宋" w:eastAsia="仿宋" w:hint="eastAsia"/>
          <w:b/>
          <w:color w:val="000000"/>
          <w:sz w:val="32"/>
          <w:szCs w:val="32"/>
        </w:rPr>
        <w:t>（三）国有资产占有使用情况</w:t>
      </w:r>
      <w:bookmarkEnd w:id="55"/>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日，共有车辆1辆，为日常工作及应急保障用车。</w:t>
      </w:r>
    </w:p>
    <w:p>
      <w:pPr>
        <w:pStyle w:val="31"/>
        <w:spacing w:line="580" w:lineRule="exact"/>
        <w:ind w:left="709"/>
        <w:rPr>
          <w:rStyle w:val="2Char"/>
          <w:rFonts w:ascii="黑体" w:eastAsia="黑体"/>
          <w:b w:val="0"/>
          <w:lang w:val="en-US"/>
        </w:rPr>
      </w:pPr>
      <w:r>
        <w:rPr>
          <w:rStyle w:val="2Char"/>
          <w:rFonts w:ascii="黑体" w:eastAsia="黑体" w:hint="eastAsia"/>
          <w:b w:val="0"/>
        </w:rPr>
        <w:t>（</w:t>
      </w:r>
      <w:r>
        <w:rPr>
          <w:rStyle w:val="2Char"/>
          <w:rFonts w:ascii="黑体" w:eastAsia="黑体" w:hint="eastAsia"/>
          <w:b w:val="0"/>
          <w:lang w:val="en-US"/>
        </w:rPr>
        <w:t>四</w:t>
      </w:r>
      <w:r>
        <w:rPr>
          <w:rStyle w:val="2Char"/>
          <w:rFonts w:ascii="黑体" w:eastAsia="黑体" w:hint="eastAsia"/>
          <w:b w:val="0"/>
        </w:rPr>
        <w:t>）预算绩效</w:t>
      </w:r>
      <w:r>
        <w:rPr>
          <w:rStyle w:val="2Char"/>
          <w:rFonts w:ascii="黑体" w:eastAsia="黑体" w:hint="eastAsia"/>
          <w:b w:val="0"/>
          <w:lang w:val="en-US"/>
        </w:rPr>
        <w:t>管理情况</w:t>
      </w:r>
    </w:p>
    <w:p>
      <w:pPr>
        <w:tabs>
          <w:tab w:val="left" w:pos="0"/>
        </w:tabs>
        <w:spacing w:line="580" w:lineRule="exact"/>
        <w:ind w:leftChars="200" w:left="420"/>
        <w:rPr>
          <w:rFonts w:ascii="仿宋" w:eastAsia="仿宋" w:cs="楷体_GB2312"/>
          <w:b/>
          <w:bCs/>
          <w:sz w:val="32"/>
          <w:szCs w:val="32"/>
        </w:rPr>
      </w:pPr>
      <w:r>
        <w:rPr>
          <w:rFonts w:ascii="仿宋" w:eastAsia="仿宋" w:cs="楷体_GB2312" w:hint="eastAsia"/>
          <w:b/>
          <w:bCs/>
          <w:sz w:val="32"/>
          <w:szCs w:val="32"/>
          <w:lang w:eastAsia="zh-CN"/>
        </w:rPr>
        <w:t>（</w:t>
      </w:r>
      <w:r>
        <w:rPr>
          <w:rFonts w:ascii="仿宋" w:eastAsia="仿宋" w:cs="楷体_GB2312" w:hint="eastAsia"/>
          <w:b/>
          <w:bCs/>
          <w:sz w:val="32"/>
          <w:szCs w:val="32"/>
          <w:lang w:val="en-US" w:eastAsia="zh-CN"/>
        </w:rPr>
        <w:t>1</w:t>
      </w:r>
      <w:r>
        <w:rPr>
          <w:rFonts w:ascii="仿宋" w:eastAsia="仿宋" w:cs="楷体_GB2312" w:hint="eastAsia"/>
          <w:b/>
          <w:bCs/>
          <w:sz w:val="32"/>
          <w:szCs w:val="32"/>
          <w:lang w:eastAsia="zh-CN"/>
        </w:rPr>
        <w:t>）</w:t>
      </w: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1个项目编制了绩效目标，预算执行过程中，选取1个项目开展绩效监控，年终执行完毕后，对1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本部门按要求对2021年部门整体支出开展绩效自评，</w:t>
      </w:r>
      <w:r>
        <w:rPr>
          <w:rFonts w:ascii="仿宋_GB2312" w:eastAsia="仿宋_GB2312" w:hint="eastAsia"/>
          <w:sz w:val="32"/>
          <w:szCs w:val="32"/>
        </w:rPr>
        <w:t>经全面综合评价，我单位预算支出绩效自评得分90</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。本单位还自行组织了1个项目绩效评价，从评价情况来看我单位年初预算项目基本按照绩效目标完成支付，项目资金按工程进度拨款。</w:t>
      </w:r>
    </w:p>
    <w:p>
      <w:pPr>
        <w:numPr>
          <w:ilvl w:val="0"/>
          <w:numId w:val="4"/>
        </w:numPr>
        <w:tabs>
          <w:tab w:val="left" w:pos="0"/>
        </w:tabs>
        <w:spacing w:line="580" w:lineRule="exact"/>
        <w:ind w:leftChars="200" w:left="420"/>
        <w:jc w:val="left"/>
        <w:rPr>
          <w:rFonts w:ascii="仿宋" w:eastAsia="仿宋" w:cs="楷体_GB2312" w:hint="eastAsia"/>
          <w:b/>
          <w:bCs/>
          <w:sz w:val="32"/>
          <w:szCs w:val="32"/>
        </w:rPr>
      </w:pPr>
      <w:r>
        <w:rPr>
          <w:rFonts w:ascii="仿宋" w:eastAsia="仿宋" w:cs="楷体_GB2312" w:hint="eastAsia"/>
          <w:b/>
          <w:bCs/>
          <w:sz w:val="32"/>
          <w:szCs w:val="32"/>
        </w:rPr>
        <w:t>项目绩效目标完成情况。</w:t>
      </w:r>
    </w:p>
    <w:p>
      <w:pPr>
        <w:tabs>
          <w:tab w:val="left" w:pos="0"/>
        </w:tabs>
        <w:spacing w:line="580" w:lineRule="exact"/>
        <w:ind w:left="0" w:firstLineChars="200" w:firstLine="640"/>
        <w:jc w:val="left"/>
        <w:rPr>
          <w:rFonts w:ascii="仿宋_GB2312" w:eastAsia="仿宋_GB2312" w:cs="仿宋_GB2312"/>
          <w:sz w:val="32"/>
          <w:szCs w:val="32"/>
        </w:rPr>
      </w:pPr>
      <w:r>
        <w:rPr>
          <w:rFonts w:ascii="仿宋_GB2312" w:eastAsia="仿宋_GB2312" w:cs="仿宋_GB2312" w:hint="eastAsia"/>
          <w:sz w:val="32"/>
          <w:szCs w:val="32"/>
        </w:rPr>
        <w:t>本部门在2021年度部门决算中反映农村住房困难户危旧房改造项目等1个项目绩效目标实际完成情况。</w:t>
      </w:r>
    </w:p>
    <w:p>
      <w:pPr>
        <w:pStyle w:val="18"/>
        <w:ind w:firstLineChars="200" w:firstLine="640"/>
        <w:rPr>
          <w:rFonts w:ascii="仿宋_GB2312" w:eastAsia="仿宋_GB2312" w:cs="仿宋_GB2312"/>
          <w:sz w:val="32"/>
          <w:szCs w:val="32"/>
        </w:rPr>
      </w:pPr>
      <w:r>
        <w:rPr>
          <w:rFonts w:ascii="仿宋_GB2312" w:eastAsia="仿宋_GB2312" w:cs="仿宋_GB2312" w:hint="eastAsia"/>
          <w:sz w:val="32"/>
          <w:szCs w:val="32"/>
        </w:rPr>
        <w:t>1.农村危旧房改造项目绩效目标完成情况综述。项目全年预算数604.5万元，执行数为309万元，完成预算的51.11%，该项目存在部分农户未实施房屋危旧房改造，故未对未实施农户发放补助。我县各乡镇无住房、房屋危旧、住房狭小或住房功能性差的住房困难户的房屋进行改造，坚持因地制宜、分类实施原则，灵活采用新建、改建、维修、房屋功能性提升改造等方式进行实施，资金来源以农户自筹为主、政府补助为辅，政府补助标准为每户3万元、1.5万元。</w:t>
      </w:r>
    </w:p>
    <w:p>
      <w:pPr>
        <w:spacing w:line="580" w:lineRule="exact"/>
        <w:rPr>
          <w:rFonts w:ascii="仿宋_GB2312" w:eastAsia="仿宋_GB2312" w:cs="仿宋_GB2312"/>
          <w:sz w:val="32"/>
          <w:szCs w:val="32"/>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农村住房困难户危旧房改造项目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金川县住房和城乡建设局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604.5万元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309万元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604.5万元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309万元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农村住房困难户危旧房改造项目实施完成后改善农户的居住环境，提高生活质量，解决了住房的安全隐患。</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农村住房困难户危旧房改造</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2021年12月31日前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每户补助3万元、1.5万元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3万元、1.5万元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rPr>
          <w:rFonts w:ascii="Calibri" w:hAnsi="Calibri"/>
        </w:rPr>
      </w:pPr>
    </w:p>
    <w:p>
      <w:pPr>
        <w:tabs>
          <w:tab w:val="left" w:pos="0"/>
        </w:tabs>
        <w:spacing w:line="580" w:lineRule="exact"/>
        <w:ind w:leftChars="200" w:left="420"/>
        <w:rPr>
          <w:rFonts w:ascii="仿宋" w:eastAsia="仿宋" w:cs="仿宋_GB2312"/>
          <w:sz w:val="32"/>
          <w:szCs w:val="32"/>
        </w:rPr>
      </w:pPr>
      <w:r>
        <w:rPr>
          <w:rFonts w:ascii="仿宋" w:eastAsia="仿宋" w:cs="楷体_GB2312" w:hint="eastAsia"/>
          <w:b/>
          <w:bCs/>
          <w:sz w:val="32"/>
          <w:szCs w:val="32"/>
          <w:lang w:eastAsia="zh-CN"/>
        </w:rPr>
        <w:t>（</w:t>
      </w:r>
      <w:r>
        <w:rPr>
          <w:rFonts w:ascii="仿宋" w:eastAsia="仿宋" w:cs="楷体_GB2312" w:hint="eastAsia"/>
          <w:b/>
          <w:bCs/>
          <w:sz w:val="32"/>
          <w:szCs w:val="32"/>
          <w:lang w:val="en-US" w:eastAsia="zh-CN"/>
        </w:rPr>
        <w:t>3</w:t>
      </w:r>
      <w:r>
        <w:rPr>
          <w:rFonts w:ascii="仿宋" w:eastAsia="仿宋" w:cs="楷体_GB2312" w:hint="eastAsia"/>
          <w:b/>
          <w:bCs/>
          <w:sz w:val="32"/>
          <w:szCs w:val="32"/>
          <w:lang w:eastAsia="zh-CN"/>
        </w:rPr>
        <w:t>）</w:t>
      </w:r>
      <w:r>
        <w:rPr>
          <w:rFonts w:ascii="仿宋" w:eastAsia="仿宋" w:cs="楷体_GB2312" w:hint="eastAsia"/>
          <w:b/>
          <w:bCs/>
          <w:sz w:val="32"/>
          <w:szCs w:val="32"/>
        </w:rPr>
        <w:t>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本部门按要求对2021年部门整体支出绩效评价情况开展自评，</w:t>
      </w:r>
      <w:r>
        <w:rPr>
          <w:rFonts w:ascii="仿宋_GB2312" w:eastAsia="仿宋_GB2312" w:hint="eastAsia"/>
          <w:sz w:val="32"/>
          <w:szCs w:val="32"/>
        </w:rPr>
        <w:t>《金川县住房和城乡建设局2021年部门预算整体支出绩效评价报告》</w:t>
      </w:r>
      <w:r>
        <w:rPr>
          <w:rFonts w:ascii="仿宋_GB2312" w:eastAsia="仿宋_GB2312" w:cs="仿宋_GB2312" w:hint="eastAsia"/>
          <w:sz w:val="32"/>
          <w:szCs w:val="32"/>
        </w:rPr>
        <w:t>见附件。</w:t>
      </w:r>
    </w:p>
    <w:p>
      <w:pPr>
        <w:numPr>
          <w:ilvl w:val="0"/>
          <w:numId w:val="5"/>
        </w:numPr>
        <w:spacing w:line="600" w:lineRule="exact"/>
        <w:ind w:left="0" w:firstLineChars="150" w:firstLine="660"/>
        <w:jc w:val="center"/>
        <w:outlineLvl w:val="0"/>
        <w:rPr>
          <w:rStyle w:val="1Char"/>
          <w:rFonts w:ascii="黑体" w:eastAsia="黑体"/>
          <w:b w:val="0"/>
        </w:rPr>
      </w:pPr>
      <w:bookmarkStart w:id="56" w:name="_Toc15377225"/>
      <w:bookmarkStart w:id="57" w:name="_Toc15396613"/>
      <w:r>
        <w:rPr>
          <w:rFonts w:ascii="黑体" w:eastAsia="黑体" w:hint="eastAsia"/>
          <w:b/>
          <w:color w:val="000000"/>
          <w:sz w:val="44"/>
          <w:szCs w:val="44"/>
        </w:rPr>
        <w:t>名</w:t>
      </w:r>
      <w:r>
        <w:rPr>
          <w:rStyle w:val="1Char"/>
          <w:rFonts w:ascii="黑体" w:eastAsia="黑体" w:hint="eastAsia"/>
          <w:b w:val="0"/>
        </w:rPr>
        <w:t>词解释</w:t>
      </w:r>
      <w:bookmarkEnd w:id="56"/>
      <w:bookmarkEnd w:id="57"/>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rPr>
          <w:rStyle w:val="1Char"/>
          <w:rFonts w:ascii="仿宋" w:eastAsia="仿宋"/>
          <w:b w:val="0"/>
          <w:bCs w:val="0"/>
          <w:sz w:val="32"/>
          <w:szCs w:val="32"/>
        </w:rPr>
      </w:pPr>
      <w:bookmarkStart w:id="58" w:name="_Toc15396615"/>
      <w:bookmarkStart w:id="59" w:name="_Toc15396614"/>
      <w:bookmarkStart w:id="60" w:name="_Toc15377226"/>
      <w:r>
        <w:rPr>
          <w:rStyle w:val="1Char"/>
          <w:rFonts w:ascii="仿宋" w:eastAsia="仿宋" w:hint="eastAsia"/>
          <w:b w:val="0"/>
          <w:bCs w:val="0"/>
          <w:sz w:val="32"/>
          <w:szCs w:val="32"/>
        </w:rPr>
        <w:t>附件1</w:t>
      </w:r>
      <w:bookmarkEnd w:id="58"/>
    </w:p>
    <w:p>
      <w:pPr>
        <w:numPr>
          <w:ilvl w:val="0"/>
          <w:numId w:val="5"/>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bookmarkEnd w:id="59"/>
    </w:p>
    <w:p>
      <w:pPr>
        <w:outlineLvl w:val="0"/>
        <w:rPr>
          <w:rStyle w:val="1Char"/>
          <w:rFonts w:ascii="黑体" w:eastAsia="黑体"/>
          <w:b w:val="0"/>
        </w:rPr>
      </w:pPr>
    </w:p>
    <w:p>
      <w:pPr>
        <w:widowControl/>
        <w:spacing w:line="580" w:lineRule="exact"/>
        <w:contextualSpacing/>
        <w:jc w:val="center"/>
        <w:rPr>
          <w:rFonts w:ascii="宋体"/>
          <w:b/>
          <w:sz w:val="44"/>
          <w:szCs w:val="44"/>
          <w:shd w:val="clear" w:color="auto" w:fill="FFFFFF"/>
        </w:rPr>
      </w:pPr>
      <w:bookmarkEnd w:id="60"/>
      <w:r>
        <w:rPr>
          <w:rFonts w:ascii="宋体" w:cs="宋体" w:hint="eastAsia"/>
          <w:b/>
          <w:sz w:val="44"/>
          <w:szCs w:val="44"/>
          <w:shd w:val="clear" w:color="auto" w:fill="FFFFFF"/>
        </w:rPr>
        <w:t>金川县住房和城乡建设局</w:t>
      </w:r>
    </w:p>
    <w:p>
      <w:pPr>
        <w:widowControl/>
        <w:spacing w:line="580" w:lineRule="exact"/>
        <w:contextualSpacing/>
        <w:jc w:val="center"/>
        <w:rPr>
          <w:rFonts w:ascii="宋体"/>
          <w:b/>
          <w:sz w:val="44"/>
          <w:szCs w:val="44"/>
          <w:shd w:val="clear" w:color="auto" w:fill="FFFFFF"/>
        </w:rPr>
      </w:pPr>
      <w:r>
        <w:rPr>
          <w:rFonts w:ascii="宋体" w:cs="宋体" w:hint="eastAsia"/>
          <w:b/>
          <w:sz w:val="44"/>
          <w:szCs w:val="44"/>
          <w:shd w:val="clear" w:color="auto" w:fill="FFFFFF"/>
        </w:rPr>
        <w:t>2021年部门整体支出绩效评价报告</w:t>
      </w:r>
    </w:p>
    <w:p>
      <w:pPr>
        <w:widowControl/>
        <w:adjustRightInd w:val="0"/>
        <w:snapToGrid w:val="0"/>
        <w:spacing w:line="580" w:lineRule="exact"/>
        <w:ind w:firstLineChars="200" w:firstLine="480"/>
        <w:contextualSpacing/>
        <w:jc w:val="left"/>
        <w:rPr>
          <w:rFonts w:ascii="黑体" w:eastAsia="黑体" w:cs="宋体"/>
          <w:color w:val="000000"/>
          <w:kern w:val="0"/>
          <w:sz w:val="24"/>
          <w:shd w:val="clear" w:color="auto" w:fill="FFFFFF"/>
        </w:rPr>
      </w:pP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根据《金川县财政局关于开展2021年部门、政策和项目支出绩效评价工作的通知》（金财监绩〔2021〕26号）文件要求，为深入贯彻落实党中央国务院和省委省政府关于全面实施预算绩效管理文件精神，结合本部门实际，认真开展部门预算支出绩效自评工作，现将2021年部门预算支出绩效自评工作报告如下：</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黑体" w:hint="eastAsia"/>
          <w:color w:val="000000"/>
          <w:kern w:val="0"/>
          <w:sz w:val="32"/>
          <w:szCs w:val="32"/>
          <w:shd w:val="clear" w:color="auto" w:fill="FFFFFF"/>
        </w:rPr>
        <w:t>一、部门（单位）概况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（一）机构组成。</w:t>
      </w:r>
    </w:p>
    <w:p>
      <w:pPr>
        <w:pStyle w:val="24"/>
        <w:shd w:val="clear" w:color="auto" w:fill="FFFFFF"/>
        <w:spacing w:beforeAutospacing="0" w:afterAutospacing="0" w:line="375" w:lineRule="atLeast"/>
        <w:ind w:firstLineChars="200" w:firstLine="640"/>
        <w:rPr>
          <w:rFonts w:ascii="仿宋_GB2312" w:eastAsia="仿宋_GB2312" w:cs="宋体"/>
          <w:color w:val="000000"/>
          <w:shd w:val="clear" w:color="auto" w:fill="FFFFFF"/>
        </w:rPr>
      </w:pPr>
      <w:r>
        <w:rPr>
          <w:rFonts w:ascii="仿宋_GB2312" w:eastAsia="仿宋_GB2312" w:cs="仿宋_GB2312" w:hint="eastAsia"/>
          <w:color w:val="000000"/>
          <w:sz w:val="32"/>
          <w:szCs w:val="32"/>
          <w:shd w:val="clear" w:color="auto" w:fill="FFFFFF"/>
        </w:rPr>
        <w:t>金川县住房和城乡建设局</w:t>
      </w:r>
      <w:r>
        <w:rPr>
          <w:rFonts w:ascii="仿宋" w:eastAsia="仿宋" w:cs="仿宋" w:hint="eastAsia"/>
          <w:color w:val="333333"/>
          <w:sz w:val="32"/>
          <w:szCs w:val="32"/>
          <w:shd w:val="clear" w:color="auto" w:fill="FFFFFF"/>
        </w:rPr>
        <w:t>是行政单位</w:t>
      </w:r>
      <w:r>
        <w:rPr>
          <w:rFonts w:ascii="仿宋" w:eastAsia="仿宋" w:cs="宋体" w:hint="eastAsia"/>
          <w:color w:val="333333"/>
          <w:sz w:val="32"/>
          <w:szCs w:val="32"/>
          <w:shd w:val="clear" w:color="auto" w:fill="FFFFFF"/>
        </w:rPr>
        <w:t>,</w:t>
      </w:r>
      <w:r>
        <w:rPr>
          <w:rFonts w:ascii="仿宋" w:eastAsia="仿宋" w:cs="仿宋" w:hint="eastAsia"/>
          <w:color w:val="333333"/>
          <w:sz w:val="32"/>
          <w:szCs w:val="32"/>
          <w:shd w:val="clear" w:color="auto" w:fill="FFFFFF"/>
        </w:rPr>
        <w:t>独立机构数</w:t>
      </w:r>
      <w:r>
        <w:rPr>
          <w:rFonts w:ascii="仿宋" w:eastAsia="仿宋" w:cs="宋体" w:hint="eastAsia"/>
          <w:color w:val="333333"/>
          <w:sz w:val="32"/>
          <w:szCs w:val="32"/>
          <w:shd w:val="clear" w:color="auto" w:fill="FFFFFF"/>
        </w:rPr>
        <w:t>1</w:t>
      </w:r>
      <w:r>
        <w:rPr>
          <w:rFonts w:ascii="仿宋" w:eastAsia="仿宋" w:cs="仿宋" w:hint="eastAsia"/>
          <w:color w:val="333333"/>
          <w:sz w:val="32"/>
          <w:szCs w:val="32"/>
          <w:shd w:val="clear" w:color="auto" w:fill="FFFFFF"/>
        </w:rPr>
        <w:t>个</w:t>
      </w:r>
      <w:r>
        <w:rPr>
          <w:rFonts w:ascii="仿宋" w:eastAsia="仿宋" w:cs="宋体" w:hint="eastAsia"/>
          <w:color w:val="333333"/>
          <w:sz w:val="32"/>
          <w:szCs w:val="32"/>
          <w:shd w:val="clear" w:color="auto" w:fill="FFFFFF"/>
        </w:rPr>
        <w:t>,</w:t>
      </w:r>
      <w:r>
        <w:rPr>
          <w:rFonts w:ascii="仿宋" w:eastAsia="仿宋" w:cs="仿宋" w:hint="eastAsia"/>
          <w:color w:val="333333"/>
          <w:sz w:val="32"/>
          <w:szCs w:val="32"/>
          <w:shd w:val="clear" w:color="auto" w:fill="FFFFFF"/>
        </w:rPr>
        <w:t>独立核算机构</w:t>
      </w:r>
      <w:r>
        <w:rPr>
          <w:rFonts w:ascii="仿宋" w:eastAsia="仿宋" w:cs="宋体" w:hint="eastAsia"/>
          <w:color w:val="333333"/>
          <w:sz w:val="32"/>
          <w:szCs w:val="32"/>
          <w:shd w:val="clear" w:color="auto" w:fill="FFFFFF"/>
        </w:rPr>
        <w:t>1</w:t>
      </w:r>
      <w:r>
        <w:rPr>
          <w:rFonts w:ascii="仿宋" w:eastAsia="仿宋" w:cs="仿宋" w:hint="eastAsia"/>
          <w:color w:val="333333"/>
          <w:sz w:val="32"/>
          <w:szCs w:val="32"/>
          <w:shd w:val="clear" w:color="auto" w:fill="FFFFFF"/>
        </w:rPr>
        <w:t>个。</w:t>
      </w:r>
      <w:r>
        <w:rPr>
          <w:rFonts w:ascii="仿宋_GB2312" w:eastAsia="仿宋_GB2312" w:cs="仿宋_GB2312" w:hint="eastAsia"/>
          <w:color w:val="000000"/>
          <w:sz w:val="32"/>
          <w:szCs w:val="32"/>
          <w:shd w:val="clear" w:color="auto" w:fill="FFFFFF"/>
        </w:rPr>
        <w:t>内设行政办公室、建设管理股、住房保障与房地产市场管理股、城乡建设股，金川县建设工程质量安全监督站。</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（二）机构职能。</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1.承担全面依法治县重大问题的政策研究，协调有关方面提出全面依法治县规划建议，负责有关行政决策部署督察工作。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5.指导管理社区矫正工作。指导刑满释放人员安置帮教安置工作能力。</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7.负责本系统服装和警车管理工作。指导监督本系统财务、装备、设施、场所等保障工作。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8、、协调、指导法治人才队伍建设相关工作，指导监督本系统队伍建设。负责本系统警务管理和警务督察工作。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9.负责并指导本系统行政审批工作。负责全县外来企业投诉处理和民营企业法律服务工作。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10.承担司法所建设和管理工作。负责县司法派出机构司法所基础设施建设及队伍建设，管理指导司法所开展各项职能工作。</w:t>
      </w:r>
    </w:p>
    <w:p>
      <w:pPr>
        <w:snapToGrid w:val="0"/>
        <w:spacing w:line="360" w:lineRule="auto"/>
        <w:ind w:firstLineChars="200" w:firstLine="640"/>
        <w:rPr>
          <w:rFonts w:ascii="仿宋_GB2312" w:eastAsia="仿宋_GB2312" w:cs="仿宋_GB2312"/>
          <w:sz w:val="32"/>
          <w:szCs w:val="32"/>
        </w:rPr>
      </w:pPr>
      <w:r>
        <w:rPr>
          <w:rFonts w:ascii="仿宋_GB2312" w:eastAsia="仿宋_GB2312" w:cs="仿宋_GB2312" w:hint="eastAsia"/>
          <w:sz w:val="32"/>
          <w:szCs w:val="32"/>
        </w:rPr>
        <w:t>11.完成县委、县政府交办的其他任务。</w:t>
      </w:r>
    </w:p>
    <w:p>
      <w:pPr>
        <w:snapToGrid w:val="0"/>
        <w:spacing w:line="360" w:lineRule="auto"/>
        <w:ind w:firstLineChars="200" w:firstLine="640"/>
        <w:rPr>
          <w:rFonts w:ascii="仿宋_GB2312" w:eastAsia="仿宋_GB2312" w:cs="宋体"/>
          <w:color w:val="000000"/>
          <w:kern w:val="0"/>
          <w:sz w:val="32"/>
          <w:szCs w:val="32"/>
          <w:shd w:val="clear" w:color="auto" w:fill="FFFFFF"/>
        </w:rPr>
      </w:pPr>
      <w:r>
        <w:rPr>
          <w:rFonts w:ascii="仿宋_GB2312" w:eastAsia="仿宋_GB2312" w:cs="仿宋_GB2312" w:hint="eastAsia"/>
          <w:color w:val="000000"/>
          <w:sz w:val="32"/>
          <w:szCs w:val="32"/>
        </w:rPr>
        <w:t>12.负责对本地区建设工程质量进行监督管理。受理建设项目质量监督注册，巡查施工现场工程建设各方主体的质量行为及工程实体质量，核查参建人员的资格，监督工程竣工验收。</w:t>
        <w:br/>
        <w:t xml:space="preserve">    13.负责辖区建设工程施工现场的安全监督检查；负责建设工程施工现场安全生产专项检查的组织协调工作；参与建设工程施工安全事故的调查及应急突发事件的处理。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（三）人员概况。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我单位财政供养人员编制为19名，其中行政编制7名，行政工勤编制1名，事业编制11名。现有遗属5名。</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黑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（一）部门财政资金收入情况。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2021年调整预算收入合计8421.24万元，其中财政拨款收入8421.24万元。</w:t>
      </w:r>
    </w:p>
    <w:p>
      <w:pPr>
        <w:widowControl/>
        <w:numPr>
          <w:ilvl w:val="0"/>
          <w:numId w:val="6"/>
        </w:numPr>
        <w:adjustRightInd w:val="0"/>
        <w:snapToGrid w:val="0"/>
        <w:spacing w:line="580" w:lineRule="exact"/>
        <w:ind w:left="0" w:firstLineChars="200" w:firstLine="640"/>
        <w:contextualSpacing/>
        <w:jc w:val="left"/>
        <w:rPr>
          <w:rFonts w:ascii="仿宋_GB2312" w:eastAsia="仿宋_GB2312" w:cs="仿宋"/>
          <w:sz w:val="32"/>
          <w:szCs w:val="32"/>
        </w:rPr>
      </w:pPr>
      <w:r>
        <w:rPr>
          <w:rFonts w:ascii="仿宋_GB2312" w:eastAsia="仿宋_GB2312" w:cs="仿宋_GB2312" w:hint="eastAsia"/>
          <w:color w:val="000000"/>
          <w:kern w:val="0"/>
          <w:sz w:val="32"/>
          <w:szCs w:val="32"/>
          <w:shd w:val="clear" w:color="auto" w:fill="FFFFFF"/>
        </w:rPr>
        <w:t>部门财政资金支出情况。</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1、2021年支出情况</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2021年一般公共预算财政拨款基本支出377.46万元，其中：工资福利支出293.06万元，主要包括基本工资72.95万元，津贴补贴97.45万元，奖金0.41万元，绩效工资36.63</w:t>
      </w:r>
      <w:r>
        <w:rPr>
          <w:rFonts w:ascii="仿宋_GB2312" w:eastAsia="仿宋_GB2312" w:cs="仿宋_GB2312" w:hint="eastAsia"/>
          <w:sz w:val="32"/>
          <w:szCs w:val="32"/>
        </w:rPr>
        <w:t>万元，职工基本医疗保险缴费</w:t>
      </w:r>
      <w:r>
        <w:rPr>
          <w:rFonts w:ascii="仿宋_GB2312" w:eastAsia="仿宋_GB2312" w:cs="仿宋" w:hint="eastAsia"/>
          <w:sz w:val="32"/>
          <w:szCs w:val="32"/>
        </w:rPr>
        <w:t>12</w:t>
      </w:r>
      <w:r>
        <w:rPr>
          <w:rFonts w:ascii="仿宋_GB2312" w:eastAsia="仿宋_GB2312" w:cs="仿宋_GB2312" w:hint="eastAsia"/>
          <w:sz w:val="32"/>
          <w:szCs w:val="32"/>
        </w:rPr>
        <w:t>万元，公务员医疗补助缴费</w:t>
      </w:r>
      <w:r>
        <w:rPr>
          <w:rFonts w:ascii="仿宋_GB2312" w:eastAsia="仿宋_GB2312" w:cs="仿宋" w:hint="eastAsia"/>
          <w:sz w:val="32"/>
          <w:szCs w:val="32"/>
        </w:rPr>
        <w:t>2.43</w:t>
      </w:r>
      <w:r>
        <w:rPr>
          <w:rFonts w:ascii="仿宋_GB2312" w:eastAsia="仿宋_GB2312" w:cs="仿宋_GB2312" w:hint="eastAsia"/>
          <w:sz w:val="32"/>
          <w:szCs w:val="32"/>
        </w:rPr>
        <w:t>万元，其他社会保障缴费</w:t>
      </w:r>
      <w:r>
        <w:rPr>
          <w:rFonts w:ascii="仿宋_GB2312" w:eastAsia="仿宋_GB2312" w:cs="仿宋" w:hint="eastAsia"/>
          <w:sz w:val="32"/>
          <w:szCs w:val="32"/>
        </w:rPr>
        <w:t>5.81</w:t>
      </w:r>
      <w:r>
        <w:rPr>
          <w:rFonts w:ascii="仿宋_GB2312" w:eastAsia="仿宋_GB2312" w:cs="仿宋_GB2312" w:hint="eastAsia"/>
          <w:sz w:val="32"/>
          <w:szCs w:val="32"/>
        </w:rPr>
        <w:t>万元；住房公积金</w:t>
      </w:r>
      <w:r>
        <w:rPr>
          <w:rFonts w:ascii="仿宋_GB2312" w:eastAsia="仿宋_GB2312" w:cs="仿宋" w:hint="eastAsia"/>
          <w:sz w:val="32"/>
          <w:szCs w:val="32"/>
        </w:rPr>
        <w:t>25.69</w:t>
      </w:r>
      <w:r>
        <w:rPr>
          <w:rFonts w:ascii="仿宋_GB2312" w:eastAsia="仿宋_GB2312" w:cs="仿宋_GB2312" w:hint="eastAsia"/>
          <w:sz w:val="32"/>
          <w:szCs w:val="32"/>
        </w:rPr>
        <w:t>万元，机关事业单位基本养老保险缴费</w:t>
      </w:r>
      <w:r>
        <w:rPr>
          <w:rFonts w:ascii="仿宋_GB2312" w:eastAsia="仿宋_GB2312" w:cs="Arial" w:hint="eastAsia"/>
          <w:bCs/>
          <w:sz w:val="32"/>
          <w:szCs w:val="32"/>
        </w:rPr>
        <w:t>26.69</w:t>
      </w:r>
      <w:r>
        <w:rPr>
          <w:rFonts w:ascii="仿宋_GB2312" w:eastAsia="仿宋_GB2312" w:cs="仿宋_GB2312" w:hint="eastAsia"/>
          <w:bCs/>
          <w:sz w:val="32"/>
          <w:szCs w:val="32"/>
        </w:rPr>
        <w:t>万</w:t>
      </w:r>
      <w:r>
        <w:rPr>
          <w:rFonts w:ascii="仿宋_GB2312" w:eastAsia="仿宋_GB2312" w:cs="仿宋_GB2312" w:hint="eastAsia"/>
          <w:sz w:val="32"/>
          <w:szCs w:val="32"/>
        </w:rPr>
        <w:t>元；职</w:t>
      </w:r>
      <w:r>
        <w:rPr>
          <w:rFonts w:ascii="仿宋_GB2312" w:eastAsia="仿宋_GB2312" w:cs="仿宋_GB2312" w:hint="eastAsia"/>
          <w:color w:val="000000"/>
          <w:kern w:val="0"/>
          <w:sz w:val="32"/>
          <w:szCs w:val="32"/>
          <w:shd w:val="clear" w:color="auto" w:fill="FFFFFF"/>
        </w:rPr>
        <w:t>业年金缴费13万元。</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商品和服务支出24.13万元,主要包括:办公费3.53万元，电费2万元，邮电费2.5万元，差旅费12.98万元，公务接待费0.12万元，公务用车运行维护费3万元。</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对个人和家庭的补助支出60.27万元，其中：生活补助6.18万元，奖励金54.09万元。</w:t>
      </w:r>
    </w:p>
    <w:p>
      <w:pPr>
        <w:widowControl/>
        <w:adjustRightInd w:val="0"/>
        <w:snapToGrid w:val="0"/>
        <w:spacing w:line="580" w:lineRule="exact"/>
        <w:ind w:firstLineChars="200" w:firstLine="640"/>
        <w:contextualSpacing/>
        <w:jc w:val="left"/>
        <w:rPr>
          <w:rFonts w:ascii="仿宋_GB2312" w:eastAsia="仿宋_GB2312" w:cs="仿宋_GB2312"/>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项目支出8043.78万元，其中：办公费4.73万元，印刷费8.24万元，差旅费2.26万元，委托业务费47.9万元，资本性支出基础设施建设5360万元，房屋建筑物构建912万元，基础设施建设1708.65万元。</w:t>
      </w:r>
    </w:p>
    <w:p>
      <w:pPr>
        <w:widowControl/>
        <w:numPr>
          <w:ilvl w:val="0"/>
          <w:numId w:val="7"/>
        </w:numPr>
        <w:adjustRightInd w:val="0"/>
        <w:snapToGrid w:val="0"/>
        <w:spacing w:line="580" w:lineRule="exact"/>
        <w:ind w:left="0" w:firstLineChars="200" w:firstLine="640"/>
        <w:contextualSpacing/>
        <w:jc w:val="left"/>
        <w:rPr>
          <w:rFonts w:ascii="黑体" w:eastAsia="黑体" w:cs="宋体"/>
          <w:color w:val="000000"/>
          <w:kern w:val="0"/>
          <w:sz w:val="32"/>
          <w:szCs w:val="32"/>
          <w:shd w:val="clear" w:color="auto" w:fill="FFFFFF"/>
        </w:rPr>
      </w:pPr>
      <w:r>
        <w:rPr>
          <w:rFonts w:ascii="黑体" w:eastAsia="黑体" w:cs="黑体" w:hint="eastAsia"/>
          <w:color w:val="000000"/>
          <w:kern w:val="0"/>
          <w:sz w:val="32"/>
          <w:szCs w:val="32"/>
          <w:shd w:val="clear" w:color="auto" w:fill="FFFFFF"/>
        </w:rPr>
        <w:t>部门整体预算绩效管理情况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（一）部门预算管理。</w:t>
      </w:r>
    </w:p>
    <w:p>
      <w:pPr>
        <w:pStyle w:val="24"/>
        <w:shd w:val="clear" w:color="auto" w:fill="FFFFFF"/>
        <w:spacing w:beforeAutospacing="0" w:afterAutospacing="0" w:line="375" w:lineRule="atLeast"/>
        <w:ind w:firstLineChars="200" w:firstLine="640"/>
        <w:rPr>
          <w:rFonts w:ascii="仿宋_GB2312" w:eastAsia="仿宋_GB2312"/>
          <w:color w:val="000000"/>
          <w:kern w:val="2"/>
          <w:sz w:val="32"/>
          <w:szCs w:val="32"/>
          <w:shd w:val="clear" w:color="auto" w:fill="FFFFFF"/>
        </w:rPr>
      </w:pPr>
      <w:r>
        <w:rPr>
          <w:rFonts w:ascii="仿宋_GB2312" w:eastAsia="仿宋_GB2312" w:cs="仿宋_GB2312" w:hint="eastAsia"/>
          <w:color w:val="000000"/>
          <w:kern w:val="2"/>
          <w:sz w:val="32"/>
          <w:szCs w:val="32"/>
          <w:shd w:val="clear" w:color="auto" w:fill="FFFFFF"/>
        </w:rPr>
        <w:t>本单位预算编制严格按照《预算法》和财政相关规定执行，确定绩效目标。及时组织财务人员进行预决算的编制，对本年度相应用款进行及时清理和处理，做到账账相符、账实相符、账证相符</w:t>
      </w:r>
      <w:r>
        <w:rPr>
          <w:rFonts w:ascii="仿宋_GB2312" w:eastAsia="仿宋_GB2312" w:hint="eastAsia"/>
          <w:color w:val="000000"/>
          <w:kern w:val="2"/>
          <w:sz w:val="32"/>
          <w:szCs w:val="32"/>
          <w:shd w:val="clear" w:color="auto" w:fill="FFFFFF"/>
        </w:rPr>
        <w:t>,</w:t>
      </w:r>
      <w:r>
        <w:rPr>
          <w:rFonts w:ascii="仿宋_GB2312" w:eastAsia="仿宋_GB2312" w:cs="仿宋_GB2312" w:hint="eastAsia"/>
          <w:color w:val="000000"/>
          <w:kern w:val="2"/>
          <w:sz w:val="32"/>
          <w:szCs w:val="32"/>
          <w:shd w:val="clear" w:color="auto" w:fill="FFFFFF"/>
        </w:rPr>
        <w:t>按先有预算再有支出的原则，及时处理相关事务，及时上报相关报表；提前细化，分科目上报，做到收支平衡。</w:t>
      </w:r>
    </w:p>
    <w:p>
      <w:pPr>
        <w:ind w:firstLineChars="200" w:firstLine="640"/>
        <w:rPr>
          <w:rFonts w:ascii="仿宋_GB2312" w:eastAsia="仿宋_GB2312" w:cs="仿宋"/>
          <w:sz w:val="32"/>
          <w:szCs w:val="32"/>
        </w:rPr>
      </w:pPr>
      <w:r>
        <w:rPr>
          <w:rFonts w:ascii="仿宋_GB2312" w:eastAsia="仿宋_GB2312" w:cs="仿宋_GB2312" w:hint="eastAsia"/>
          <w:sz w:val="32"/>
          <w:szCs w:val="32"/>
        </w:rPr>
        <w:t>“三公”经费支出情况：上年公务用车运行维护费为</w:t>
      </w:r>
      <w:r>
        <w:rPr>
          <w:rFonts w:ascii="仿宋_GB2312" w:eastAsia="仿宋_GB2312" w:cs="仿宋" w:hint="eastAsia"/>
          <w:sz w:val="32"/>
          <w:szCs w:val="32"/>
        </w:rPr>
        <w:t>1</w:t>
      </w:r>
      <w:r>
        <w:rPr>
          <w:rFonts w:ascii="仿宋_GB2312" w:eastAsia="仿宋_GB2312" w:cs="仿宋_GB2312" w:hint="eastAsia"/>
          <w:sz w:val="32"/>
          <w:szCs w:val="32"/>
        </w:rPr>
        <w:t>.</w:t>
      </w:r>
      <w:r>
        <w:rPr>
          <w:rFonts w:ascii="仿宋_GB2312" w:eastAsia="仿宋_GB2312" w:cs="仿宋" w:hint="eastAsia"/>
          <w:sz w:val="32"/>
          <w:szCs w:val="32"/>
        </w:rPr>
        <w:t>6</w:t>
      </w:r>
      <w:r>
        <w:rPr>
          <w:rFonts w:ascii="仿宋_GB2312" w:eastAsia="仿宋_GB2312" w:cs="仿宋_GB2312" w:hint="eastAsia"/>
          <w:sz w:val="32"/>
          <w:szCs w:val="32"/>
        </w:rPr>
        <w:t>万元，本年</w:t>
      </w:r>
      <w:r>
        <w:rPr>
          <w:rFonts w:ascii="仿宋_GB2312" w:eastAsia="仿宋_GB2312" w:cs="仿宋" w:hint="eastAsia"/>
          <w:sz w:val="32"/>
          <w:szCs w:val="32"/>
        </w:rPr>
        <w:t>3</w:t>
      </w:r>
      <w:r>
        <w:rPr>
          <w:rFonts w:ascii="仿宋_GB2312" w:eastAsia="仿宋_GB2312" w:cs="仿宋_GB2312" w:hint="eastAsia"/>
          <w:sz w:val="32"/>
          <w:szCs w:val="32"/>
        </w:rPr>
        <w:t>万元，比上年有所增加，公务接待费上年</w:t>
      </w:r>
      <w:r>
        <w:rPr>
          <w:rFonts w:ascii="仿宋_GB2312" w:eastAsia="仿宋_GB2312" w:cs="仿宋" w:hint="eastAsia"/>
          <w:sz w:val="32"/>
          <w:szCs w:val="32"/>
        </w:rPr>
        <w:t>0万元</w:t>
      </w:r>
      <w:r>
        <w:rPr>
          <w:rFonts w:ascii="仿宋_GB2312" w:eastAsia="仿宋_GB2312" w:cs="仿宋_GB2312" w:hint="eastAsia"/>
          <w:sz w:val="32"/>
          <w:szCs w:val="32"/>
        </w:rPr>
        <w:t>，本年</w:t>
      </w:r>
      <w:r>
        <w:rPr>
          <w:rFonts w:ascii="仿宋_GB2312" w:eastAsia="仿宋_GB2312" w:cs="仿宋" w:hint="eastAsia"/>
          <w:sz w:val="32"/>
          <w:szCs w:val="32"/>
        </w:rPr>
        <w:t>0.12万</w:t>
      </w:r>
      <w:r>
        <w:rPr>
          <w:rFonts w:ascii="仿宋_GB2312" w:eastAsia="仿宋_GB2312" w:cs="仿宋_GB2312" w:hint="eastAsia"/>
          <w:sz w:val="32"/>
          <w:szCs w:val="32"/>
        </w:rPr>
        <w:t>元，比上年增加。</w:t>
      </w:r>
    </w:p>
    <w:p>
      <w:pPr>
        <w:ind w:firstLineChars="200" w:firstLine="640"/>
        <w:rPr>
          <w:rFonts w:ascii="仿宋_GB2312" w:eastAsia="仿宋_GB2312" w:cs="仿宋"/>
          <w:sz w:val="32"/>
          <w:szCs w:val="32"/>
        </w:rPr>
      </w:pPr>
      <w:r>
        <w:rPr>
          <w:rFonts w:ascii="仿宋_GB2312" w:eastAsia="仿宋_GB2312" w:cs="仿宋" w:hint="eastAsia"/>
          <w:sz w:val="32"/>
          <w:szCs w:val="32"/>
        </w:rPr>
        <w:t>2021</w:t>
      </w:r>
      <w:r>
        <w:rPr>
          <w:rFonts w:ascii="仿宋_GB2312" w:eastAsia="仿宋_GB2312" w:cs="仿宋_GB2312" w:hint="eastAsia"/>
          <w:sz w:val="32"/>
          <w:szCs w:val="32"/>
        </w:rPr>
        <w:t>年资产总额为</w:t>
      </w:r>
      <w:r>
        <w:rPr>
          <w:rFonts w:ascii="仿宋_GB2312" w:eastAsia="仿宋_GB2312" w:cs="仿宋" w:hint="eastAsia"/>
          <w:sz w:val="32"/>
          <w:szCs w:val="32"/>
        </w:rPr>
        <w:t>192</w:t>
      </w:r>
      <w:r>
        <w:rPr>
          <w:rFonts w:ascii="仿宋_GB2312" w:eastAsia="仿宋_GB2312" w:cs="仿宋_GB2312" w:hint="eastAsia"/>
          <w:sz w:val="32"/>
          <w:szCs w:val="32"/>
        </w:rPr>
        <w:t>.</w:t>
      </w:r>
      <w:r>
        <w:rPr>
          <w:rFonts w:ascii="仿宋_GB2312" w:eastAsia="仿宋_GB2312" w:cs="仿宋" w:hint="eastAsia"/>
          <w:sz w:val="32"/>
          <w:szCs w:val="32"/>
        </w:rPr>
        <w:t>373297</w:t>
      </w:r>
      <w:r>
        <w:rPr>
          <w:rFonts w:ascii="仿宋_GB2312" w:eastAsia="仿宋_GB2312" w:cs="仿宋_GB2312" w:hint="eastAsia"/>
          <w:sz w:val="32"/>
          <w:szCs w:val="32"/>
        </w:rPr>
        <w:t>万元，与上年相比资产不变；财政应返还额度为</w:t>
      </w:r>
      <w:r>
        <w:rPr>
          <w:rFonts w:ascii="仿宋_GB2312" w:eastAsia="仿宋_GB2312" w:cs="仿宋" w:hint="eastAsia"/>
          <w:sz w:val="32"/>
          <w:szCs w:val="32"/>
        </w:rPr>
        <w:t>0</w:t>
      </w:r>
      <w:r>
        <w:rPr>
          <w:rFonts w:ascii="仿宋_GB2312" w:eastAsia="仿宋_GB2312" w:cs="仿宋_GB2312" w:hint="eastAsia"/>
          <w:sz w:val="32"/>
          <w:szCs w:val="32"/>
        </w:rPr>
        <w:t>万元，与上年相比有所减少，原因为本年财返财政归集上缴。</w:t>
      </w:r>
    </w:p>
    <w:p>
      <w:pPr>
        <w:ind w:firstLineChars="200" w:firstLine="640"/>
        <w:rPr>
          <w:rFonts w:ascii="仿宋_GB2312" w:eastAsia="仿宋_GB2312"/>
          <w:color w:val="000000"/>
          <w:sz w:val="32"/>
          <w:szCs w:val="32"/>
        </w:rPr>
      </w:pPr>
      <w:r>
        <w:rPr>
          <w:rFonts w:ascii="仿宋_GB2312" w:eastAsia="仿宋_GB2312" w:cs="仿宋_GB2312" w:hint="eastAsia"/>
          <w:sz w:val="32"/>
          <w:szCs w:val="32"/>
        </w:rPr>
        <w:t>车辆情况：本单位车辆保有量1辆。</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（二）结果应用情况。</w:t>
      </w:r>
    </w:p>
    <w:p>
      <w:pPr>
        <w:pStyle w:val="33"/>
        <w:widowControl/>
        <w:spacing w:line="560" w:lineRule="exact"/>
        <w:ind w:firstLineChars="200" w:firstLine="640"/>
        <w:rPr>
          <w:rFonts w:ascii="仿宋_GB2312" w:eastAsia="仿宋_GB2312"/>
          <w:sz w:val="32"/>
          <w:szCs w:val="32"/>
        </w:rPr>
      </w:pPr>
      <w:r>
        <w:rPr>
          <w:rFonts w:ascii="仿宋_GB2312" w:eastAsia="仿宋_GB2312" w:cs="仿宋_GB2312" w:hint="eastAsia"/>
          <w:sz w:val="32"/>
          <w:szCs w:val="32"/>
        </w:rPr>
        <w:t>预算决算公开按财政局的要求在收到财政批复后</w:t>
      </w:r>
      <w:r>
        <w:rPr>
          <w:rFonts w:ascii="仿宋_GB2312" w:eastAsia="仿宋_GB2312" w:hint="eastAsia"/>
          <w:sz w:val="32"/>
          <w:szCs w:val="32"/>
        </w:rPr>
        <w:t>20个工作日在金川县政府中心的信息网站进行公开。</w:t>
      </w:r>
    </w:p>
    <w:p>
      <w:pPr>
        <w:pStyle w:val="33"/>
        <w:widowControl/>
        <w:spacing w:line="560" w:lineRule="exact"/>
        <w:ind w:firstLine="640"/>
        <w:rPr>
          <w:rFonts w:ascii="??_GB2312" w:hAnsi="??_GB2312" w:hint="eastAsia"/>
          <w:sz w:val="32"/>
          <w:szCs w:val="32"/>
        </w:rPr>
      </w:pPr>
      <w:r>
        <w:rPr>
          <w:rFonts w:ascii="仿宋_GB2312" w:eastAsia="仿宋_GB2312" w:cs="仿宋_GB2312" w:hint="eastAsia"/>
          <w:sz w:val="32"/>
          <w:szCs w:val="32"/>
        </w:rPr>
        <w:t>绩效评价及财政监督情况</w:t>
      </w:r>
      <w:r>
        <w:rPr>
          <w:rFonts w:ascii="仿宋_GB2312" w:eastAsia="仿宋_GB2312" w:hint="eastAsia"/>
          <w:sz w:val="32"/>
          <w:szCs w:val="32"/>
        </w:rPr>
        <w:t>:按</w:t>
      </w:r>
      <w:r>
        <w:rPr>
          <w:rFonts w:ascii="仿宋_GB2312" w:eastAsia="仿宋_GB2312" w:cs="仿宋_GB2312" w:hint="eastAsia"/>
          <w:sz w:val="32"/>
          <w:szCs w:val="32"/>
        </w:rPr>
        <w:t>金财监绩〔2021〕26号</w:t>
      </w:r>
      <w:r>
        <w:rPr>
          <w:rFonts w:ascii="仿宋_GB2312" w:eastAsia="仿宋_GB2312" w:cs="仿宋_GB2312" w:hint="eastAsia"/>
          <w:bCs/>
          <w:sz w:val="32"/>
          <w:szCs w:val="32"/>
        </w:rPr>
        <w:t>文件的附件1-3</w:t>
      </w:r>
      <w:r>
        <w:rPr>
          <w:rFonts w:ascii="仿宋_GB2312" w:eastAsia="仿宋_GB2312" w:cs="仿宋_GB2312" w:hint="eastAsia"/>
          <w:sz w:val="32"/>
          <w:szCs w:val="32"/>
        </w:rPr>
        <w:t>部门整体支出绩效评价指标体系进行单位自评，按财政要求收支并接受财政的监督管理。</w:t>
      </w:r>
    </w:p>
    <w:p>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黑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（一）评价结论。</w:t>
      </w:r>
    </w:p>
    <w:p>
      <w:pPr>
        <w:pStyle w:val="24"/>
        <w:shd w:val="clear" w:color="auto" w:fill="FFFFFF"/>
        <w:spacing w:beforeAutospacing="0" w:afterAutospacing="0" w:line="375" w:lineRule="atLeast"/>
        <w:ind w:firstLineChars="400" w:firstLine="1280"/>
        <w:rPr>
          <w:rFonts w:ascii="仿宋_GB2312" w:eastAsia="仿宋_GB2312" w:cs="宋体"/>
          <w:color w:val="000000"/>
          <w:shd w:val="clear" w:color="auto" w:fill="FFFFFF"/>
        </w:rPr>
      </w:pPr>
      <w:r>
        <w:rPr>
          <w:rFonts w:ascii="仿宋" w:eastAsia="仿宋" w:cs="仿宋" w:hint="eastAsia"/>
          <w:color w:val="333333"/>
          <w:sz w:val="32"/>
          <w:szCs w:val="32"/>
          <w:shd w:val="clear" w:color="auto" w:fill="FFFFFF"/>
        </w:rPr>
        <w:t>自评合格。</w:t>
      </w:r>
    </w:p>
    <w:p>
      <w:pPr>
        <w:widowControl/>
        <w:adjustRightInd w:val="0"/>
        <w:snapToGrid w:val="0"/>
        <w:spacing w:line="580" w:lineRule="exact"/>
        <w:ind w:leftChars="200" w:left="42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（二）存在问题。</w:t>
      </w:r>
    </w:p>
    <w:p>
      <w:pPr>
        <w:widowControl/>
        <w:adjustRightInd w:val="0"/>
        <w:snapToGrid w:val="0"/>
        <w:spacing w:line="580" w:lineRule="exact"/>
        <w:ind w:leftChars="200" w:left="42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sz w:val="32"/>
          <w:szCs w:val="32"/>
        </w:rPr>
        <w:t>新形势下的城乡建设工作任务越来越重，工作经费困难。</w:t>
      </w:r>
    </w:p>
    <w:p>
      <w:pPr>
        <w:widowControl/>
        <w:numPr>
          <w:ilvl w:val="0"/>
          <w:numId w:val="6"/>
        </w:numPr>
        <w:adjustRightInd w:val="0"/>
        <w:snapToGrid w:val="0"/>
        <w:spacing w:line="580" w:lineRule="exact"/>
        <w:ind w:left="0"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仿宋_GB2312" w:hint="eastAsia"/>
          <w:color w:val="000000"/>
          <w:kern w:val="0"/>
          <w:sz w:val="32"/>
          <w:szCs w:val="32"/>
          <w:shd w:val="clear" w:color="auto" w:fill="FFFFFF"/>
        </w:rPr>
        <w:t>改进建议。</w:t>
      </w:r>
    </w:p>
    <w:p>
      <w:pPr>
        <w:ind w:firstLineChars="200" w:firstLine="640"/>
        <w:rPr>
          <w:rFonts w:ascii="黑体" w:eastAsia="黑体"/>
          <w:color w:val="000000"/>
          <w:sz w:val="44"/>
          <w:szCs w:val="44"/>
        </w:rPr>
      </w:pPr>
      <w:r>
        <w:rPr>
          <w:rFonts w:ascii="仿宋_GB2312" w:eastAsia="仿宋_GB2312" w:cs="仿宋_GB2312" w:hint="eastAsia"/>
          <w:color w:val="000000"/>
          <w:kern w:val="0"/>
          <w:sz w:val="32"/>
          <w:szCs w:val="32"/>
          <w:shd w:val="clear" w:color="auto" w:fill="FFFFFF"/>
        </w:rPr>
        <w:t>在今后的工作中，我局要继续合理计划利用财政资金，</w:t>
      </w:r>
      <w:r>
        <w:rPr>
          <w:rFonts w:ascii="仿宋_GB2312" w:eastAsia="仿宋_GB2312" w:cs="仿宋_GB2312" w:hint="eastAsia"/>
          <w:sz w:val="32"/>
          <w:szCs w:val="32"/>
        </w:rPr>
        <w:t>根据资金管理办法进行管理，做好经费保障等工作，明确分工，落实责任。</w:t>
      </w:r>
      <w:bookmarkStart w:id="61" w:name="_Toc15396618"/>
      <w:bookmarkStart w:id="62" w:name="_Toc15396619"/>
    </w:p>
    <w:p>
      <w:pPr>
        <w:numPr>
          <w:ilvl w:val="0"/>
          <w:numId w:val="5"/>
        </w:numPr>
        <w:spacing w:line="600" w:lineRule="exact"/>
        <w:ind w:left="0" w:firstLineChars="150" w:firstLine="660"/>
        <w:jc w:val="center"/>
        <w:outlineLvl w:val="0"/>
        <w:rPr>
          <w:rStyle w:val="1Char"/>
          <w:rFonts w:ascii="黑体" w:eastAsia="黑体" w:hint="eastAsia"/>
          <w:b w:val="0"/>
        </w:rPr>
      </w:pPr>
      <w:r>
        <w:rPr>
          <w:rStyle w:val="1Char"/>
          <w:rFonts w:ascii="黑体" w:eastAsia="黑体" w:hint="eastAsia"/>
          <w:b w:val="0"/>
        </w:rPr>
        <w:t>附表</w:t>
      </w:r>
      <w:bookmarkEnd w:id="61"/>
    </w:p>
    <w:p>
      <w:pPr>
        <w:pStyle w:val="2"/>
        <w:rPr>
          <w:rFonts w:ascii="仿宋" w:eastAsia="仿宋" w:hint="eastAsia"/>
          <w:b w:val="0"/>
          <w:color w:val="000000"/>
        </w:rPr>
      </w:pPr>
      <w:r>
        <w:rPr>
          <w:rFonts w:ascii="仿宋" w:eastAsia="仿宋" w:hint="eastAsia"/>
          <w:b w:val="0"/>
          <w:color w:val="000000"/>
        </w:rPr>
        <w:t>一、收入支出决算总表</w:t>
      </w:r>
      <w:bookmarkEnd w:id="62"/>
    </w:p>
    <w:p>
      <w:pPr>
        <w:pStyle w:val="2"/>
        <w:rPr>
          <w:rFonts w:ascii="仿宋" w:eastAsia="仿宋"/>
          <w:color w:val="000000"/>
        </w:rPr>
      </w:pPr>
      <w:bookmarkStart w:id="63" w:name="_Toc15396620"/>
      <w:r>
        <w:rPr>
          <w:rFonts w:ascii="仿宋" w:eastAsia="仿宋" w:hint="eastAsia"/>
          <w:b w:val="0"/>
          <w:color w:val="000000"/>
        </w:rPr>
        <w:t>二、收</w:t>
      </w:r>
      <w:r>
        <w:rPr>
          <w:rStyle w:val="2Char"/>
          <w:rFonts w:ascii="仿宋" w:eastAsia="仿宋" w:hint="eastAsia"/>
          <w:b w:val="0"/>
          <w:bCs w:val="0"/>
        </w:rPr>
        <w:t>入总表</w:t>
      </w:r>
      <w:bookmarkEnd w:id="63"/>
    </w:p>
    <w:p>
      <w:pPr>
        <w:pStyle w:val="2"/>
        <w:rPr>
          <w:rFonts w:ascii="仿宋" w:eastAsia="仿宋"/>
          <w:color w:val="000000"/>
        </w:rPr>
      </w:pPr>
      <w:bookmarkStart w:id="64"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64"/>
    </w:p>
    <w:p>
      <w:pPr>
        <w:pStyle w:val="2"/>
        <w:rPr>
          <w:rFonts w:ascii="仿宋" w:eastAsia="仿宋"/>
          <w:b w:val="0"/>
          <w:color w:val="000000"/>
        </w:rPr>
      </w:pPr>
      <w:bookmarkStart w:id="65"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5"/>
    </w:p>
    <w:p>
      <w:pPr>
        <w:pStyle w:val="2"/>
        <w:rPr>
          <w:rFonts w:ascii="仿宋" w:eastAsia="仿宋"/>
          <w:color w:val="000000"/>
        </w:rPr>
      </w:pPr>
      <w:bookmarkStart w:id="66"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6"/>
    </w:p>
    <w:p>
      <w:pPr>
        <w:pStyle w:val="2"/>
        <w:rPr>
          <w:rFonts w:ascii="仿宋" w:eastAsia="仿宋"/>
          <w:color w:val="000000"/>
        </w:rPr>
      </w:pPr>
      <w:bookmarkStart w:id="67"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67"/>
    </w:p>
    <w:p>
      <w:pPr>
        <w:pStyle w:val="2"/>
        <w:rPr>
          <w:rFonts w:ascii="仿宋" w:eastAsia="仿宋"/>
          <w:color w:val="000000"/>
        </w:rPr>
      </w:pPr>
      <w:bookmarkStart w:id="68"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68"/>
    </w:p>
    <w:p>
      <w:pPr>
        <w:pStyle w:val="2"/>
        <w:rPr>
          <w:rFonts w:ascii="仿宋" w:eastAsia="仿宋"/>
          <w:color w:val="000000"/>
        </w:rPr>
      </w:pPr>
      <w:bookmarkStart w:id="69"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69"/>
    </w:p>
    <w:p>
      <w:pPr>
        <w:pStyle w:val="2"/>
        <w:rPr>
          <w:rFonts w:ascii="仿宋" w:eastAsia="仿宋"/>
          <w:color w:val="000000"/>
        </w:rPr>
      </w:pPr>
      <w:bookmarkStart w:id="70"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0"/>
    </w:p>
    <w:p>
      <w:pPr>
        <w:pStyle w:val="2"/>
        <w:rPr>
          <w:rFonts w:ascii="仿宋" w:eastAsia="仿宋"/>
          <w:color w:val="000000"/>
        </w:rPr>
      </w:pPr>
      <w:bookmarkStart w:id="71"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71"/>
    </w:p>
    <w:p>
      <w:pPr>
        <w:pStyle w:val="2"/>
        <w:rPr>
          <w:rFonts w:ascii="仿宋" w:eastAsia="仿宋"/>
          <w:color w:val="000000"/>
        </w:rPr>
      </w:pPr>
      <w:bookmarkStart w:id="72"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72"/>
    </w:p>
    <w:p>
      <w:pPr>
        <w:pStyle w:val="2"/>
        <w:rPr>
          <w:rFonts w:ascii="仿宋" w:eastAsia="仿宋"/>
          <w:color w:val="000000"/>
        </w:rPr>
      </w:pPr>
      <w:bookmarkStart w:id="73"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73"/>
    </w:p>
    <w:p>
      <w:pPr>
        <w:pStyle w:val="2"/>
        <w:rPr>
          <w:rStyle w:val="2Char"/>
          <w:rFonts w:ascii="仿宋" w:eastAsia="仿宋"/>
          <w:b w:val="0"/>
          <w:bCs w:val="0"/>
        </w:rPr>
      </w:pPr>
      <w:bookmarkStart w:id="74"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有资本经营预算财政拨款收入支出决算表</w:t>
      </w:r>
    </w:p>
    <w:p>
      <w:pPr>
        <w:pStyle w:val="2"/>
        <w:rPr>
          <w:rFonts w:ascii="仿宋" w:eastAsia="仿宋"/>
          <w:color w:val="000000"/>
        </w:rPr>
      </w:pPr>
      <w:r>
        <w:rPr>
          <w:rStyle w:val="2Char"/>
          <w:rFonts w:ascii="仿宋" w:eastAsia="仿宋" w:hint="eastAsia"/>
          <w:b w:val="0"/>
          <w:bCs w:val="0"/>
        </w:rPr>
        <w:t>十四、</w:t>
      </w:r>
      <w:r>
        <w:rPr>
          <w:rFonts w:ascii="仿宋" w:eastAsia="仿宋" w:hint="eastAsia"/>
          <w:b w:val="0"/>
          <w:color w:val="000000"/>
        </w:rPr>
        <w:t>国</w:t>
      </w:r>
      <w:r>
        <w:rPr>
          <w:rStyle w:val="2Char"/>
          <w:rFonts w:ascii="仿宋" w:eastAsia="仿宋" w:hint="eastAsia"/>
          <w:b w:val="0"/>
          <w:bCs w:val="0"/>
        </w:rPr>
        <w:t>有资本经营预算财政拨款支出决算表</w:t>
      </w:r>
      <w:bookmarkEnd w:id="74"/>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20007A87" w:usb1="80000000" w:usb2="00000008" w:usb3="00000000" w:csb0="000001FF"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_GB2312">
    <w:altName w:val="AR PL UKai CN"/>
    <w:panose1 w:val="00000000000000000000"/>
    <w:charset w:val="86"/>
    <w:family w:val="roman"/>
    <w:pitch w:val="variable"/>
    <w:sig w:usb0="00000000" w:usb1="00000000" w:usb2="00000000" w:usb3="00000000" w:csb0="00000000"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127256276"/>
      <w:docPartList>
        <w:docPartGallery w:val="Quick Parts"/>
      </w:docPartList>
    </w:sdtPr>
    <w:sdtContent>
      <w:p>
        <w:pPr>
          <w:pStyle w:val="20"/>
          <w:tabs>
            <w:tab w:val="center" w:pos="4153"/>
            <w:tab w:val="right" w:pos="8306"/>
          </w:tabs>
          <w:jc w:val="center"/>
        </w:pPr>
        <w:r>
          <w:fldChar w:fldCharType="begin"/>
        </w:r>
        <w:r>
          <w:instrText>PAGE   \* MERGEFORMAT</w:instrText>
        </w:r>
        <w:r>
          <w:fldChar w:fldCharType="separate"/>
        </w:r>
        <w:r>
          <w:rPr>
            <w:lang w:val="zh-CN"/>
          </w:rPr>
          <w:t>29</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35330D2"/>
    <w:multiLevelType w:val="singleLevel"/>
    <w:tmpl w:val="B35330D2"/>
    <w:lvl w:ilvl="0">
      <w:start w:val="2"/>
      <w:numFmt w:val="chineseCounting"/>
      <w:lvlRestart w:val="0"/>
      <w:suff w:val="space"/>
      <w:lvlText w:val="第%1部分"/>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51920B2E"/>
    <w:multiLevelType w:val="singleLevel"/>
    <w:tmpl w:val="51920B2E"/>
    <w:lvl w:ilvl="0">
      <w:start w:val="2"/>
      <w:numFmt w:val="decimal"/>
      <w:lvlRestart w:val="0"/>
      <w:suff w:val="nothing"/>
      <w:lvlText w:val="（%1）"/>
      <w:lvlJc w:val="left"/>
      <w:pPr>
        <w:tabs>
          <w:tab w:val="num" w:pos="0"/>
        </w:tabs>
        <w:ind w:left="0" w:hanging="0"/>
      </w:p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55486721"/>
    <w:multiLevelType w:val="multilevel"/>
    <w:tmpl w:val="55486721"/>
    <w:lvl w:ilvl="0">
      <w:start w:val="2"/>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nsid w:val="A6E9B2D1"/>
    <w:multiLevelType w:val="multilevel"/>
    <w:tmpl w:val="A6E9B2D1"/>
    <w:lvl w:ilvl="0">
      <w:start w:val="3"/>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pPr>
      <w:ind w:leftChars="200" w:left="400" w:hangingChars="200" w:hanging="200"/>
    </w:pPr>
    <w:rPr>
      <w:rFonts w:eastAsia="仿宋"/>
      <w:sz w:val="32"/>
    </w:r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Plain Text"/>
    <w:basedOn w:val="0"/>
    <w:rPr>
      <w:rFonts w:ascii="宋体"/>
    </w:r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b/>
    </w:rPr>
  </w:style>
  <w:style w:type="character" w:styleId="26">
    <w:name w:val="Hyperlink"/>
    <w:basedOn w:val="10"/>
    <w:rPr>
      <w:color w:val="0000FF"/>
      <w:u w:val="single"/>
    </w:r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正文1"/>
    <w:basedOn w:val="0"/>
    <w:rPr>
      <w:rFonts w:ascii="Calibri" w:hAnsi="Calibri"/>
      <w:szCs w:val="21"/>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strRef>
              <c:f>'Sheet1'!$B$1</c:f>
              <c:strCache>
                <c:ptCount val="1"/>
                <c:pt idx="0">
                  <c:v>总收入</c:v>
                </c:pt>
              </c:strCache>
            </c:strRef>
          </c:tx>
          <c:spPr>
            <a:gradFill rotWithShape="1">
              <a:gsLst>
                <a:gs pos="0">
                  <a:srgbClr val="FE4444">
                    <a:alpha val="100000"/>
                  </a:srgbClr>
                </a:gs>
                <a:gs pos="100000">
                  <a:srgbClr val="832B2B">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2020年</c:v>
                </c:pt>
                <c:pt idx="1">
                  <c:v>2021年</c:v>
                </c:pt>
              </c:strCache>
            </c:strRef>
          </c:cat>
          <c:val>
            <c:numRef>
              <c:f>'Sheet1'!$B$2:$B$3</c:f>
              <c:numCache>
                <c:formatCode>General</c:formatCode>
                <c:ptCount val="2"/>
                <c:pt idx="0">
                  <c:v>10195.4</c:v>
                </c:pt>
                <c:pt idx="1">
                  <c:v>8421.24</c:v>
                </c:pt>
              </c:numCache>
            </c:numRef>
          </c:val>
        </c:ser>
        <c:ser>
          <c:idx val="1"/>
          <c:order val="1"/>
          <c:tx>
            <c:strRef>
              <c:f>'Sheet1'!$C$1</c:f>
              <c:strCache>
                <c:ptCount val="1"/>
                <c:pt idx="0">
                  <c:v>总支出</c:v>
                </c:pt>
              </c:strCache>
            </c:strRef>
          </c:tx>
          <c:spPr>
            <a:solidFill>
              <a:srgbClr val="FFC000"/>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'Sheet1'!$A$2:$A$3</c:f>
              <c:strCache>
                <c:ptCount val="2"/>
                <c:pt idx="0">
                  <c:v>2020年</c:v>
                </c:pt>
                <c:pt idx="1">
                  <c:v>2021年</c:v>
                </c:pt>
              </c:strCache>
            </c:strRef>
          </c:cat>
          <c:val>
            <c:numRef>
              <c:f>'Sheet1'!$C$2:$C$3</c:f>
              <c:numCache>
                <c:formatCode>General</c:formatCode>
                <c:ptCount val="2"/>
                <c:pt idx="0">
                  <c:v>869.19</c:v>
                </c:pt>
                <c:pt idx="1">
                  <c:v>8421.24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343125"/>
          <c:y val="0.93916667"/>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0"/>
    <c:plotArea>
      <c:layout/>
      <c:pieChart>
        <c:varyColors val="1"/>
        <c:ser>
          <c:idx val="0"/>
          <c:order val="0"/>
          <c:tx>
            <c:v>收入决算结构图</c:v>
          </c:tx>
          <c:spPr>
            <a:solidFill>
              <a:srgbClr val="FFFF00"/>
            </a:solidFill>
            <a:ln>
              <a:noFill/>
            </a:ln>
          </c:spPr>
          <c:dPt>
            <c:idx val="0"/>
            <c:bubble3D val="0"/>
            <c:spPr>
              <a:solidFill>
                <a:srgbClr val="FFFF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8421.24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1"/>
              <c:pt idx="0">
                <c:v>一般公共预算财政拨款收入</c:v>
              </c:pt>
            </c:strLit>
          </c:cat>
          <c:val>
            <c:numRef>
              <c:f/>
              <c:numCache>
                <c:formatCode>General</c:formatCode>
                <c:ptCount val="1"/>
                <c:pt idx="0">
                  <c:v>10195.4</c:v>
                </c:pt>
              </c:numCache>
            </c:numRef>
          </c:val>
        </c:ser>
        <c:ser>
          <c:idx val="1"/>
          <c:order val="1"/>
          <c:spPr>
            <a:ln>
              <a:noFill/>
            </a:ln>
          </c:spPr>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1"/>
          </c:dLbls>
          <c:cat>
            <c:strLit>
              <c:ptCount val="1"/>
              <c:pt idx="0">
                <c:v>一般公共预算财政拨款收入</c:v>
              </c:pt>
            </c:strLit>
          </c:cat>
          <c:val>
            <c:numRef>
              <c:f/>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E6B9B8"/>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支出决算表</a:t>
            </a:r>
          </a:p>
        </c:rich>
      </c:tx>
      <c:layout/>
      <c:overlay val="0"/>
      <c:spPr>
        <a:noFill/>
        <a:ln>
          <a:noFill/>
        </a:ln>
      </c:spPr>
    </c:title>
    <c:autoTitleDeleted val="0"/>
    <c:plotArea>
      <c:layout/>
      <c:pieChart>
        <c:varyColors val="1"/>
        <c:ser>
          <c:idx val="0"/>
          <c:order val="0"/>
          <c:tx>
            <c:strRef>
              <c:f>'Sheet1 (2)'!$B$1</c:f>
              <c:strCache>
                <c:ptCount val="1"/>
                <c:pt idx="0">
                  <c:v>支出决算表</c:v>
                </c:pt>
              </c:strCache>
            </c:strRef>
          </c:tx>
          <c:spPr>
            <a:ln>
              <a:noFill/>
            </a:ln>
          </c:spPr>
          <c:dPt>
            <c:idx val="0"/>
            <c:bubble3D val="0"/>
            <c:spPr>
              <a:gradFill rotWithShape="1">
                <a:gsLst>
                  <a:gs pos="0">
                    <a:srgbClr val="7B32B2">
                      <a:alpha val="100000"/>
                    </a:srgbClr>
                  </a:gs>
                  <a:gs pos="100000">
                    <a:srgbClr val="401A5D">
                      <a:alpha val="100000"/>
                    </a:srgbClr>
                  </a:gs>
                </a:gsLst>
                <a:lin scaled="1"/>
              </a:gradFill>
              <a:ln w="19050">
                <a:solidFill>
                  <a:srgbClr val="FFFFFF"/>
                </a:solidFill>
                <a:prstDash val="solid"/>
              </a:ln>
            </c:spPr>
          </c:dPt>
          <c:dPt>
            <c:idx val="1"/>
            <c:bubble3D val="0"/>
            <c:spPr>
              <a:gradFill rotWithShape="1">
                <a:gsLst>
                  <a:gs pos="0">
                    <a:srgbClr val="9EE256">
                      <a:alpha val="100000"/>
                    </a:srgbClr>
                  </a:gs>
                  <a:gs pos="100000">
                    <a:srgbClr val="52762D">
                      <a:alpha val="100000"/>
                    </a:srgbClr>
                  </a:gs>
                </a:gsLst>
                <a:lin scaled="1"/>
              </a:gra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377.46</c:v>
                </c:pt>
                <c:pt idx="1">
                  <c:v>8043.78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gradFill rotWithShape="1">
      <a:gsLst>
        <a:gs pos="0">
          <a:srgbClr val="FECF40">
            <a:alpha val="100000"/>
          </a:srgbClr>
        </a:gs>
        <a:gs pos="100000">
          <a:srgbClr val="846C21">
            <a:alpha val="100000"/>
          </a:srgbClr>
        </a:gs>
      </a:gsLst>
      <a:lin scaled="1"/>
    </a:gra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(3)'!$B$1</c:f>
              <c:strCache>
                <c:ptCount val="1"/>
                <c:pt idx="0">
                  <c:v>2020</c:v>
                </c:pt>
              </c:strCache>
            </c:strRef>
          </c:tx>
          <c:spPr>
            <a:gradFill rotWithShape="1">
              <a:gsLst>
                <a:gs pos="0">
                  <a:srgbClr val="14CD68">
                    <a:alpha val="100000"/>
                  </a:srgbClr>
                </a:gs>
                <a:gs pos="100000">
                  <a:srgbClr val="0B6E38">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(3)'!$A$2:$A$3</c:f>
              <c:strCache>
                <c:ptCount val="2"/>
                <c:pt idx="0">
                  <c:v>一般公共预算财政拨款收入</c:v>
                </c:pt>
                <c:pt idx="1">
                  <c:v>一般公共预算财政拨款支出</c:v>
                </c:pt>
              </c:strCache>
            </c:strRef>
          </c:cat>
          <c:val>
            <c:numRef>
              <c:f>'Sheet1 (3)'!$B$2:$B$3</c:f>
              <c:numCache>
                <c:formatCode>General</c:formatCode>
                <c:ptCount val="2"/>
                <c:pt idx="0">
                  <c:v>10195.4</c:v>
                </c:pt>
                <c:pt idx="1">
                  <c:v>869.19</c:v>
                </c:pt>
              </c:numCache>
            </c:numRef>
          </c:val>
        </c:ser>
        <c:ser>
          <c:idx val="1"/>
          <c:order val="1"/>
          <c:tx>
            <c:strRef>
              <c:f>'Sheet1 (3)'!$C$1</c:f>
              <c:strCache>
                <c:ptCount val="1"/>
                <c:pt idx="0">
                  <c:v>2021</c:v>
                </c:pt>
              </c:strCache>
            </c:strRef>
          </c:tx>
          <c:spPr>
            <a:gradFill rotWithShape="1">
              <a:gsLst>
                <a:gs pos="0">
                  <a:srgbClr val="FBFB11">
                    <a:alpha val="100000"/>
                  </a:srgbClr>
                </a:gs>
                <a:gs pos="100000">
                  <a:srgbClr val="838309">
                    <a:alpha val="100000"/>
                  </a:srgbClr>
                </a:gs>
              </a:gsLst>
              <a:lin scaled="1"/>
            </a:gra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(3)'!$A$2:$A$3</c:f>
              <c:strCache>
                <c:ptCount val="2"/>
                <c:pt idx="0">
                  <c:v>一般公共预算财政拨款收入</c:v>
                </c:pt>
                <c:pt idx="1">
                  <c:v>一般公共预算财政拨款支出</c:v>
                </c:pt>
              </c:strCache>
            </c:strRef>
          </c:cat>
          <c:val>
            <c:numRef>
              <c:f>'Sheet1 (3)'!$C$2:$C$3</c:f>
              <c:numCache>
                <c:formatCode>General</c:formatCode>
                <c:ptCount val="2"/>
                <c:pt idx="0">
                  <c:v>8421.24</c:v>
                </c:pt>
                <c:pt idx="1">
                  <c:v>8421.24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373125"/>
          <c:y val="0.93916667"/>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DCE6F2"/>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2020年</c:v>
                </c:pt>
              </c:strCache>
            </c:strRef>
          </c:tx>
          <c:spPr>
            <a:gradFill rotWithShape="1">
              <a:gsLst>
                <a:gs pos="0">
                  <a:srgbClr val="FECF40">
                    <a:alpha val="100000"/>
                  </a:srgbClr>
                </a:gs>
                <a:gs pos="100000">
                  <a:srgbClr val="846C21">
                    <a:alpha val="100000"/>
                  </a:srgbClr>
                </a:gs>
              </a:gsLst>
              <a:lin scaled="1"/>
            </a:gradFill>
            <a:ln w="6350">
              <a:solidFill>
                <a:srgbClr val="FFC000"/>
              </a:solidFill>
              <a:prstDash val="solid"/>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c:f>
              <c:strCache>
                <c:ptCount val="1"/>
                <c:pt idx="0">
                  <c:v>一般公共预算财政拨款支出决算变动情况</c:v>
                </c:pt>
              </c:strCache>
            </c:strRef>
          </c:cat>
          <c:val>
            <c:numRef>
              <c:f>Sheet1 (4)!$B$2</c:f>
              <c:numCache>
                <c:formatCode>General</c:formatCode>
                <c:ptCount val="1"/>
                <c:pt idx="0">
                  <c:v>869.19</c:v>
                </c:pt>
              </c:numCache>
            </c:numRef>
          </c:val>
        </c:ser>
        <c:ser>
          <c:idx val="1"/>
          <c:order val="1"/>
          <c:tx>
            <c:strRef>
              <c:f>'Sheet1 (4)'!$C$1</c:f>
              <c:strCache>
                <c:ptCount val="1"/>
                <c:pt idx="0">
                  <c:v>2021年</c:v>
                </c:pt>
              </c:strCache>
            </c:strRef>
          </c:tx>
          <c:spPr>
            <a:gradFill rotWithShape="1">
              <a:gsLst>
                <a:gs pos="0">
                  <a:srgbClr val="FE4444">
                    <a:alpha val="100000"/>
                  </a:srgbClr>
                </a:gs>
                <a:gs pos="100000">
                  <a:srgbClr val="832B2B">
                    <a:alpha val="100000"/>
                  </a:srgbClr>
                </a:gs>
              </a:gsLst>
              <a:lin scaled="1"/>
            </a:gra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c:f>
              <c:strCache>
                <c:ptCount val="1"/>
                <c:pt idx="0">
                  <c:v>一般公共预算财政拨款支出决算变动情况</c:v>
                </c:pt>
              </c:strCache>
            </c:strRef>
          </c:cat>
          <c:val>
            <c:numRef>
              <c:f>Sheet1 (4)!$C$2</c:f>
              <c:numCache>
                <c:formatCode>General</c:formatCode>
                <c:ptCount val="1"/>
                <c:pt idx="0">
                  <c:v>8421.24</c:v>
                </c:pt>
              </c:numCache>
            </c:numRef>
          </c:val>
        </c:ser>
        <c:ser>
          <c:idx val="2"/>
          <c:order val="2"/>
          <c:tx>
            <c:strRef>
              <c:f>'Sheet1 (4)'!$D$1</c:f>
              <c:strCache>
                <c:ptCount val="1"/>
                <c:pt idx="0">
                  <c:v/>
                </c:pt>
              </c:strCache>
            </c:strRef>
          </c:tx>
          <c:spPr>
            <a:solidFill>
              <a:srgbClr val="9BBB59"/>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c:f>
              <c:strCache>
                <c:ptCount val="1"/>
                <c:pt idx="0">
                  <c:v>一般公共预算财政拨款支出决算变动情况</c:v>
                </c:pt>
              </c:strCache>
            </c:strRef>
          </c:cat>
          <c:val>
            <c:numRef>
              <c:f>Sheet1 (4)!$D$2</c:f>
              <c:numCache>
                <c:formatCode>General</c:formatCode>
                <c:ptCount val="1"/>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EEECE1"/>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一般公共预算财政拨款支出决算结构（万元）</a:t>
            </a:r>
          </a:p>
        </c:rich>
      </c:tx>
      <c:layout/>
      <c:overlay val="0"/>
      <c:spPr>
        <a:noFill/>
        <a:ln>
          <a:noFill/>
        </a:ln>
      </c:spPr>
    </c:title>
    <c:autoTitleDeleted val="0"/>
    <c:plotArea>
      <c:layout>
        <c:manualLayout>
          <c:layoutTarget val="inner"/>
          <c:xMode val="edge"/>
          <c:yMode val="edge"/>
          <c:x val="0.2773"/>
          <c:y val="0.16715"/>
          <c:w val="0.44165"/>
          <c:h val="0.58886665"/>
        </c:manualLayout>
      </c:layout>
      <c:pieChart>
        <c:varyColors val="1"/>
        <c:ser>
          <c:idx val="0"/>
          <c:order val="0"/>
          <c:tx>
            <c:strRef>
              <c:f>'Sheet1 (5)'!$B$1</c:f>
              <c:strCache>
                <c:ptCount val="1"/>
                <c:pt idx="0">
                  <c:v>一般公共预算财政拨款支出决算结构（万元）</c:v>
                </c:pt>
              </c:strCache>
            </c:strRef>
          </c:tx>
          <c:spPr>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gradFill rotWithShape="1">
                <a:gsLst>
                  <a:gs pos="0">
                    <a:srgbClr val="9EE256">
                      <a:alpha val="100000"/>
                    </a:srgbClr>
                  </a:gs>
                  <a:gs pos="100000">
                    <a:srgbClr val="52762D">
                      <a:alpha val="100000"/>
                    </a:srgbClr>
                  </a:gs>
                </a:gsLst>
                <a:lin scaled="1"/>
              </a:gra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gradFill rotWithShape="1">
                <a:gsLst>
                  <a:gs pos="0">
                    <a:srgbClr val="FE4444">
                      <a:alpha val="100000"/>
                    </a:srgbClr>
                  </a:gs>
                  <a:gs pos="100000">
                    <a:srgbClr val="832B2B">
                      <a:alpha val="100000"/>
                    </a:srgbClr>
                  </a:gs>
                </a:gsLst>
                <a:lin scaled="1"/>
              </a:gradFill>
              <a:ln w="19050">
                <a:solidFill>
                  <a:srgbClr val="FFFFFF"/>
                </a:solidFill>
                <a:prstDash val="solid"/>
              </a:ln>
            </c:spPr>
          </c:dPt>
          <c:dPt>
            <c:idx val="5"/>
            <c:bubble3D val="0"/>
            <c:spPr>
              <a:gradFill rotWithShape="1">
                <a:gsLst>
                  <a:gs pos="0">
                    <a:srgbClr val="7B32B2">
                      <a:alpha val="100000"/>
                    </a:srgbClr>
                  </a:gs>
                  <a:gs pos="100000">
                    <a:srgbClr val="401A5D">
                      <a:alpha val="100000"/>
                    </a:srgbClr>
                  </a:gs>
                </a:gsLst>
                <a:lin scaled="1"/>
              </a:gradFill>
              <a:ln w="19050">
                <a:solidFill>
                  <a:srgbClr val="FFFFFF"/>
                </a:solidFill>
                <a:prstDash val="solid"/>
              </a:ln>
            </c:spPr>
          </c:dPt>
          <c:dPt>
            <c:idx val="6"/>
            <c:bubble3D val="0"/>
            <c:spPr>
              <a:solidFill>
                <a:srgbClr val="2C4D75"/>
              </a:solidFill>
              <a:ln w="19050">
                <a:solidFill>
                  <a:srgbClr val="FFFFFF"/>
                </a:solidFill>
                <a:prstDash val="solid"/>
              </a:ln>
            </c:spPr>
          </c:dPt>
          <c:dPt>
            <c:idx val="7"/>
            <c:bubble3D val="0"/>
            <c:spPr>
              <a:solidFill>
                <a:srgbClr val="0070C0"/>
              </a:solidFill>
              <a:ln w="19050">
                <a:solidFill>
                  <a:srgbClr val="FFFFFF"/>
                </a:solidFill>
                <a:prstDash val="solid"/>
              </a:ln>
            </c:spPr>
          </c:dPt>
          <c:dPt>
            <c:idx val="8"/>
            <c:bubble3D val="0"/>
            <c:spPr>
              <a:solidFill>
                <a:srgbClr val="5F753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8380886"/>
                  <c:y val="-0.011438325"/>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1"/>
              <c:layout>
                <c:manualLayout>
                  <c:x val="0.09646349"/>
                  <c:y val="0.02220485"/>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7769824"/>
                  <c:y val="-0.009253366"/>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4"/>
              <c:layout>
                <c:manualLayout>
                  <c:x val="0.08258572"/>
                  <c:y val="-0.042978905"/>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5"/>
              <c:layout>
                <c:manualLayout>
                  <c:x val="-0.003175097"/>
                  <c:y val="0.025122259"/>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6"/>
              <c:layout>
                <c:manualLayout>
                  <c:x val="-0.0545798"/>
                  <c:y val="-0.019904867"/>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7"/>
              <c:layout>
                <c:manualLayout>
                  <c:x val="-0.0386167"/>
                  <c:y val="-0.07486980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(5)'!$A$2:$A$10</c:f>
              <c:strCache>
                <c:ptCount val="9"/>
                <c:pt idx="0">
                  <c:v>社会保障和就业支出</c:v>
                </c:pt>
                <c:pt idx="1">
                  <c:v>卫生健康支出</c:v>
                </c:pt>
                <c:pt idx="2">
                  <c:v>节能环保支出</c:v>
                </c:pt>
                <c:pt idx="3">
                  <c:v>城乡社区支出</c:v>
                </c:pt>
                <c:pt idx="4">
                  <c:v>农林水支出</c:v>
                </c:pt>
                <c:pt idx="5">
                  <c:v>住房保障支出</c:v>
                </c:pt>
                <c:pt idx="6">
                  <c:v>灾害防治及应急管理支出</c:v>
                </c:pt>
                <c:pt idx="7">
                  <c:v>其他支出</c:v>
                </c:pt>
              </c:strCache>
            </c:strRef>
          </c:cat>
          <c:val>
            <c:numRef>
              <c:f>'Sheet1 (5)'!$B$2:$B$10</c:f>
              <c:numCache>
                <c:formatCode>General</c:formatCode>
                <c:ptCount val="9"/>
                <c:pt idx="0">
                  <c:v>39.69</c:v>
                </c:pt>
                <c:pt idx="1">
                  <c:v>17.43</c:v>
                </c:pt>
                <c:pt idx="2">
                  <c:v>969.42</c:v>
                </c:pt>
                <c:pt idx="3">
                  <c:v>637.37</c:v>
                </c:pt>
                <c:pt idx="4">
                  <c:v>3001.88</c:v>
                </c:pt>
                <c:pt idx="5">
                  <c:v>385.74</c:v>
                </c:pt>
                <c:pt idx="6">
                  <c:v>9.7</c:v>
                </c:pt>
                <c:pt idx="7">
                  <c:v>3360.0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“三公”经费财政拨款支出结构（万元）</a:t>
            </a:r>
          </a:p>
        </c:rich>
      </c:tx>
      <c:layout/>
      <c:overlay val="0"/>
      <c:spPr>
        <a:noFill/>
        <a:ln>
          <a:noFill/>
        </a:ln>
      </c:spPr>
    </c:title>
    <c:autoTitleDeleted val="0"/>
    <c:plotArea>
      <c:layout/>
      <c:pieChart>
        <c:varyColors val="1"/>
        <c:ser>
          <c:idx val="0"/>
          <c:order val="0"/>
          <c:tx>
            <c:strRef>
              <c:f>'Sheet1 (6)'!$B$1</c:f>
              <c:strCache>
                <c:ptCount val="1"/>
                <c:pt idx="0">
                  <c:v>“三公”经费财政拨款支出结构（万元）</c:v>
                </c:pt>
              </c:strCache>
            </c:strRef>
          </c:tx>
          <c:spPr>
            <a:solidFill>
              <a:srgbClr val="FFFF00"/>
            </a:solidFill>
            <a:ln>
              <a:noFill/>
            </a:ln>
          </c:spPr>
          <c:dPt>
            <c:idx val="0"/>
            <c:bubble3D val="0"/>
            <c:spPr>
              <a:solidFill>
                <a:srgbClr val="FFFF00"/>
              </a:solidFill>
              <a:ln w="19050">
                <a:solidFill>
                  <a:srgbClr val="FFFFFF"/>
                </a:solidFill>
                <a:prstDash val="solid"/>
              </a:ln>
            </c:spPr>
          </c:dPt>
          <c:dPt>
            <c:idx val="1"/>
            <c:bubble3D val="0"/>
            <c:spPr>
              <a:solidFill>
                <a:srgbClr val="FFFF00"/>
              </a:solidFill>
              <a:ln w="19050">
                <a:solidFill>
                  <a:srgbClr val="FFFFFF"/>
                </a:solidFill>
                <a:prstDash val="solid"/>
              </a:ln>
            </c:spPr>
          </c:dPt>
          <c:dPt>
            <c:idx val="2"/>
            <c:bubble3D val="0"/>
            <c:spPr>
              <a:solidFill>
                <a:srgbClr val="92D05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15534762"/>
                  <c:y val="-0.05874292"/>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14462478"/>
                  <c:y val="0.033643067"/>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(6)'!$A$2:$A$4</c:f>
              <c:strCache>
                <c:ptCount val="3"/>
                <c:pt idx="0">
                  <c:v>因公出国（境）经费</c:v>
                </c:pt>
                <c:pt idx="1">
                  <c:v>公务用车购置及运行维护费</c:v>
                </c:pt>
                <c:pt idx="2">
                  <c:v>公务接待费</c:v>
                </c:pt>
              </c:strCache>
            </c:strRef>
          </c:cat>
          <c:val>
            <c:numRef>
              <c:f>'Sheet1 (6)'!$B$2:$B$4</c:f>
              <c:numCache>
                <c:formatCode>General</c:formatCode>
                <c:ptCount val="3"/>
                <c:pt idx="0">
                  <c:v>0.0</c:v>
                </c:pt>
                <c:pt idx="1">
                  <c:v>3.0</c:v>
                </c:pt>
                <c:pt idx="2">
                  <c:v>0.12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25</TotalTime>
  <Application>Yozo_Office27021597764231179</Application>
  <Pages>31</Pages>
  <Words>10072</Words>
  <Characters>11325</Characters>
  <Lines>635</Lines>
  <Paragraphs>270</Paragraphs>
  <CharactersWithSpaces>11372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2022-08-30T07:41:46Z</cp:lastPrinted>
  <dcterms:created xsi:type="dcterms:W3CDTF">2022-08-24T09:05:00Z</dcterms:created>
  <dcterms:modified xsi:type="dcterms:W3CDTF">2023-09-21T08:35:00Z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y fmtid="{D5CDD505-2E9C-101B-9397-08002B2CF9AE}" pid="3" name="ICV">
    <vt:lpwstr>9D46876369E94747A5AA019A9F5741B6</vt:lpwstr>
  </property>
</Properties>
</file>