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</w:t>
      </w:r>
      <w:r>
        <w:rPr>
          <w:rFonts w:ascii="方正小标宋_GBK" w:eastAsia="方正小标宋_GBK" w:cs="方正小标宋_GBK" w:hint="eastAsia"/>
          <w:b/>
          <w:bCs/>
          <w:sz w:val="44"/>
          <w:szCs w:val="44"/>
          <w:lang w:val="en-US" w:eastAsia="zh-CN"/>
        </w:rPr>
        <w:t>马奈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镇人民政府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2024年，我单位部门预算954.69万元 ，均严格按绩效管理要求实现项目绩效目标管理，其中重点项目预算5个，现将情况说明如下：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完成了2024年本级部门预算整体绩效目标申报和5个项目预算绩效目标申报，并编报5个项目预算事前绩效评估报告。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在县委、县政府和镇党委的坚强领导下，镇人民政府坚持以习近平新时代中国特色社会主义思想为指导，认真贯彻落实中央大政方针和省委、州委、县委重大决策部署，坚持科学发展、高质量发展理念，积极应对脱贫攻坚、新冠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感染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、抢险救灾等复杂严峻的发展形势，统筹推进经济建设、政治建设、文化建设、社会建设和生态文明建设，全面压实主体责任、转变干部作风、细化工作措施，全镇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三是坚定贯彻总体国家安全观，旗帜鲜明开展反分维稳斗争，扫黑除恶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专项斗争强力推进，“天网”“雪亮”工程拓展延伸，平安防线牢不可破，“两项”改革调整优化4个村。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重点项目1：马奈镇人民政府办公室日常公用经费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镇5个村（合并前）的公务运行维护费7万元/年/村，共计35万元；党建费2万元/年/村，共计10万元；办公费2万元/年/村，共计10万元。以上合计55万元（大写：伍拾伍万元整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重点项目3：马奈镇党委办公室日常公用经费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重点项目4：马奈镇人大办公室日常公用经费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重点项目5：马奈镇综合服务中心日常公用经费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jVhNGJiMWVmZTg4ZjFhYWZhYWFiMzBkODkwYWRkZm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Yozo_Office27021597764231179</Application>
  <Pages>3</Pages>
  <Words>1288</Words>
  <Characters>1307</Characters>
  <Lines>63</Lines>
  <Paragraphs>26</Paragraphs>
  <CharactersWithSpaces>1309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2024-03-13T09:10:07Z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2052-12.1.0.16399</vt:lpwstr>
  </property>
  <property fmtid="{D5CDD505-2E9C-101B-9397-08002B2CF9AE}" pid="3" name="ICV">
    <vt:lpwstr>FE6EA3AC241D4C19BD339AE652FC943C_13</vt:lpwstr>
  </property>
</Properties>
</file>