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9"/>
        <w:rPr>
          <w:rFonts w:ascii="方正小标宋简体" w:eastAsia="方正小标宋简体"/>
          <w:color w:val="000000"/>
          <w:sz w:val="72"/>
          <w:szCs w:val="72"/>
        </w:rPr>
      </w:pPr>
      <w:bookmarkStart w:id="0" w:name="_Toc15306267"/>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adjustRightInd w:val="0"/>
        <w:snapToGrid w:val="0"/>
        <w:spacing w:line="360" w:lineRule="auto"/>
        <w:jc w:val="center"/>
        <w:outlineLvl w:val="0"/>
        <w:rPr>
          <w:rFonts w:ascii="黑体" w:eastAsia="黑体" w:cs="Times New Roman"/>
          <w:color w:val="000000"/>
          <w:sz w:val="72"/>
          <w:szCs w:val="72"/>
        </w:rPr>
      </w:pPr>
      <w:bookmarkStart w:id="1" w:name="_Toc15396597"/>
      <w:bookmarkStart w:id="2" w:name="_Toc15378441"/>
      <w:bookmarkStart w:id="3" w:name="_Toc15377425"/>
      <w:bookmarkStart w:id="4" w:name="_Toc15396475"/>
      <w:bookmarkStart w:id="5" w:name="_Toc12796"/>
      <w:bookmarkStart w:id="6" w:name="_Toc15377193"/>
      <w:bookmarkStart w:id="7" w:name="_Toc31493"/>
      <w:r>
        <w:rPr>
          <w:rFonts w:ascii="黑体" w:eastAsia="黑体" w:cs="Times New Roman" w:hint="eastAsia"/>
          <w:color w:val="000000"/>
          <w:sz w:val="72"/>
          <w:szCs w:val="72"/>
          <w:lang w:eastAsia="zh-CN"/>
        </w:rPr>
        <w:t>2022年</w:t>
      </w:r>
      <w:r>
        <w:rPr>
          <w:rFonts w:ascii="黑体" w:eastAsia="黑体" w:cs="Times New Roman" w:hint="eastAsia"/>
          <w:color w:val="000000"/>
          <w:sz w:val="72"/>
          <w:szCs w:val="72"/>
        </w:rPr>
        <w:t>度</w:t>
      </w:r>
      <w:bookmarkEnd w:id="1"/>
      <w:bookmarkEnd w:id="2"/>
      <w:bookmarkEnd w:id="3"/>
      <w:bookmarkEnd w:id="4"/>
      <w:bookmarkEnd w:id="5"/>
      <w:bookmarkEnd w:id="6"/>
      <w:bookmarkEnd w:id="7"/>
    </w:p>
    <w:p>
      <w:pPr>
        <w:adjustRightInd w:val="0"/>
        <w:snapToGrid w:val="0"/>
        <w:spacing w:line="360" w:lineRule="auto"/>
        <w:jc w:val="center"/>
        <w:outlineLvl w:val="0"/>
        <w:rPr>
          <w:rFonts w:ascii="黑体" w:eastAsia="黑体" w:cs="Times New Roman"/>
          <w:color w:val="000000"/>
          <w:sz w:val="72"/>
          <w:szCs w:val="72"/>
        </w:rPr>
      </w:pPr>
      <w:bookmarkStart w:id="8" w:name="_Toc15396476"/>
      <w:bookmarkStart w:id="9" w:name="_Toc15377426"/>
      <w:bookmarkStart w:id="10" w:name="_Toc15377194"/>
      <w:bookmarkStart w:id="11" w:name="_Toc6811"/>
      <w:bookmarkStart w:id="12" w:name="_Toc15378442"/>
      <w:bookmarkStart w:id="13" w:name="_Toc15396598"/>
      <w:bookmarkStart w:id="14" w:name="_Toc16902"/>
      <w:r>
        <w:rPr>
          <w:rFonts w:ascii="黑体" w:eastAsia="黑体" w:cs="Times New Roman" w:hint="eastAsia"/>
          <w:color w:val="000000"/>
          <w:sz w:val="72"/>
          <w:szCs w:val="72"/>
        </w:rPr>
        <w:t>四川省</w:t>
      </w:r>
      <w:bookmarkStart w:id="15" w:name="_Toc15306268"/>
      <w:bookmarkEnd w:id="0"/>
      <w:r>
        <w:rPr>
          <w:rFonts w:ascii="黑体" w:eastAsia="黑体" w:cs="Times New Roman" w:hint="eastAsia"/>
          <w:color w:val="000000"/>
          <w:sz w:val="72"/>
          <w:szCs w:val="72"/>
        </w:rPr>
        <w:t>金川县</w:t>
      </w:r>
      <w:r>
        <w:rPr>
          <w:rFonts w:ascii="黑体" w:eastAsia="黑体" w:cs="Times New Roman" w:hint="eastAsia"/>
          <w:color w:val="000000"/>
          <w:sz w:val="72"/>
          <w:szCs w:val="72"/>
          <w:lang w:eastAsia="zh-CN"/>
        </w:rPr>
        <w:t>马奈镇</w:t>
      </w:r>
      <w:r>
        <w:rPr>
          <w:rFonts w:ascii="黑体" w:eastAsia="黑体" w:cs="Times New Roman" w:hint="eastAsia"/>
          <w:color w:val="000000"/>
          <w:sz w:val="72"/>
          <w:szCs w:val="72"/>
        </w:rPr>
        <w:t>人民政府部门决算</w:t>
      </w:r>
      <w:bookmarkEnd w:id="8"/>
      <w:bookmarkEnd w:id="9"/>
      <w:bookmarkEnd w:id="10"/>
      <w:bookmarkEnd w:id="11"/>
      <w:bookmarkEnd w:id="12"/>
      <w:bookmarkEnd w:id="13"/>
      <w:bookmarkEnd w:id="14"/>
      <w:bookmarkEnd w:id="15"/>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hint="eastAsia"/>
          <w:color w:val="000000"/>
          <w:sz w:val="48"/>
          <w:szCs w:val="48"/>
        </w:rPr>
        <w:sectPr>
          <w:headerReference w:type="default" r:id="rId2"/>
          <w:footerReference w:type="default" r:id="rId3"/>
          <w:pgSz w:w="11906" w:h="16838"/>
          <w:pgMar w:top="1440" w:right="1800" w:bottom="1440" w:left="1800" w:header="851" w:footer="992" w:gutter="0"/>
          <w:pgNumType w:start="1"/>
          <w:titlePg/>
          <w:docGrid w:type="lines" w:linePitch="312" w:charSpace="0"/>
        </w:sectPr>
      </w:pPr>
    </w:p>
    <w:p>
      <w:pPr>
        <w:widowControl/>
        <w:jc w:val="center"/>
        <w:rPr>
          <w:rFonts w:ascii="黑体" w:eastAsia="黑体" w:hint="eastAsia"/>
          <w:color w:val="000000"/>
          <w:sz w:val="48"/>
          <w:szCs w:val="48"/>
        </w:rPr>
      </w:pPr>
      <w:r>
        <w:rPr>
          <w:rFonts w:ascii="黑体" w:eastAsia="黑体" w:hint="eastAsia"/>
          <w:color w:val="000000"/>
          <w:sz w:val="48"/>
          <w:szCs w:val="48"/>
        </w:rPr>
        <w:t>目录</w:t>
      </w:r>
    </w:p>
    <w:p>
      <w:pPr>
        <w:pStyle w:val="21"/>
        <w:tabs>
          <w:tab w:val="right" w:leader="dot" w:pos="8296"/>
        </w:tabs>
      </w:pPr>
      <w:r>
        <w:rPr>
          <w:rFonts w:ascii="Times New Roman" w:cs="Times New Roman" w:hAnsi="Times New Roman" w:hint="eastAsia"/>
          <w:lang w:val="en-US" w:eastAsia="zh-CN"/>
        </w:rPr>
        <w:t>公开时间：2023.08.24</w:t>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1"/>
        <w:tabs>
          <w:tab w:val="right" w:leader="dot" w:pos="8296"/>
        </w:tabs>
        <w:jc w:val="both"/>
        <w:rPr>
          <w:color w:val="000000"/>
        </w:rPr>
      </w:pPr>
      <w:r>
        <w:rPr>
          <w:color w:val="000000"/>
        </w:rPr>
        <w:fldChar w:fldCharType="end"/>
      </w:r>
    </w:p>
    <w:sdt>
      <w:sdtPr>
        <w:rPr>
          <w:rFonts w:ascii="宋体" w:eastAsia="宋体" w:cs="Times New Roman"/>
          <w:kern w:val="2"/>
          <w:sz w:val="21"/>
          <w:szCs w:val="24"/>
          <w:lang w:val="en-US" w:eastAsia="zh-CN" w:bidi="ar-SA"/>
        </w:rPr>
        <w:id w:val="1917679651"/>
        <w15:color w:val="DBDBDB"/>
        <w:docPartObj>
          <w:docPartGallery w:val="Table of Contents"/>
          <w:docPartUnique/>
        </w:docPartObj>
      </w:sdtPr>
      <w:sdtEndPr>
        <w:rPr>
          <w:rFonts w:ascii="黑体" w:eastAsia="黑体" w:hint="eastAsia"/>
          <w:b/>
          <w:bCs/>
          <w:kern w:val="44"/>
          <w:sz w:val="44"/>
          <w:szCs w:val="44"/>
        </w:rPr>
      </w:sdtEndPr>
      <w:sdtContent>
        <w:bookmarkStart w:id="16" w:name="_Toc27352" w:displacedByCustomXml="prev"/>
        <w:p>
          <w:pPr>
            <w:spacing w:before="0" w:after="0" w:line="240" w:lineRule="auto"/>
            <w:ind w:left="0" w:right="0" w:firstLine="0"/>
            <w:jc w:val="center"/>
            <w:rPr>
              <w:b/>
            </w:rPr>
          </w:pPr>
          <w:r>
            <w:rPr>
              <w:rFonts w:ascii="黑体" w:eastAsia="黑体" w:hint="eastAsia"/>
              <w:b w:val="0"/>
            </w:rPr>
            <w:fldChar w:fldCharType="begin"/>
          </w:r>
          <w:r>
            <w:rPr>
              <w:rFonts w:ascii="黑体" w:eastAsia="黑体" w:hint="eastAsia"/>
              <w:b w:val="0"/>
            </w:rPr>
            <w:instrText xml:space="preserve">TOC \o "1-2" \h \u </w:instrText>
          </w:r>
          <w:r>
            <w:rPr>
              <w:rFonts w:ascii="黑体" w:eastAsia="黑体" w:hint="eastAsia"/>
              <w:b w:val="0"/>
            </w:rPr>
            <w:fldChar w:fldCharType="separate"/>
          </w:r>
        </w:p>
        <w:p>
          <w:pPr>
            <w:pStyle w:val="21"/>
            <w:tabs>
              <w:tab w:val="right" w:leader="dot" w:pos="8296"/>
            </w:tabs>
            <w:bidi w:val="0"/>
            <w:jc w:val="both"/>
          </w:pPr>
          <w:r>
            <w:rPr>
              <w:rFonts w:hint="eastAsia"/>
            </w:rPr>
            <w:fldChar w:fldCharType="begin"/>
          </w:r>
          <w:r>
            <w:rPr>
              <w:rFonts w:hint="eastAsia"/>
            </w:rPr>
            <w:instrText xml:space="preserve"> HYPERLINK \l _Toc32036 </w:instrText>
          </w:r>
          <w:r>
            <w:rPr>
              <w:rFonts w:hint="eastAsia"/>
            </w:rPr>
            <w:fldChar w:fldCharType="separate"/>
          </w:r>
          <w:r>
            <w:rPr>
              <w:rFonts w:hint="eastAsia"/>
            </w:rPr>
            <w:t>第一部分 部门概况</w:t>
          </w:r>
          <w:r>
            <w:tab/>
          </w:r>
          <w:r>
            <w:fldChar w:fldCharType="begin"/>
          </w:r>
          <w:r>
            <w:instrText xml:space="preserve"> PAGEREF _Toc32036 \h </w:instrText>
          </w:r>
          <w:r>
            <w:fldChar w:fldCharType="separate"/>
          </w:r>
          <w:r>
            <w:t>1</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_Toc20436 </w:instrText>
          </w:r>
          <w:r>
            <w:rPr>
              <w:rFonts w:hint="eastAsia"/>
            </w:rPr>
            <w:fldChar w:fldCharType="separate"/>
          </w:r>
          <w:r>
            <w:rPr>
              <w:rFonts w:hint="eastAsia"/>
            </w:rPr>
            <w:t>一、基本职能及主要工作</w:t>
          </w:r>
          <w:r>
            <w:tab/>
          </w:r>
          <w:r>
            <w:fldChar w:fldCharType="begin"/>
          </w:r>
          <w:r>
            <w:instrText xml:space="preserve"> PAGEREF _Toc20436 \h </w:instrText>
          </w:r>
          <w:r>
            <w:fldChar w:fldCharType="separate"/>
          </w:r>
          <w:r>
            <w:t>1</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_Toc28250 </w:instrText>
          </w:r>
          <w:r>
            <w:rPr>
              <w:rFonts w:hint="eastAsia"/>
            </w:rPr>
            <w:fldChar w:fldCharType="separate"/>
          </w:r>
          <w:r>
            <w:rPr>
              <w:rFonts w:hint="eastAsia"/>
            </w:rPr>
            <w:t>（一）主要职能</w:t>
          </w:r>
          <w:r>
            <w:tab/>
          </w:r>
          <w:r>
            <w:fldChar w:fldCharType="begin"/>
          </w:r>
          <w:r>
            <w:instrText xml:space="preserve"> PAGEREF _Toc28250 \h </w:instrText>
          </w:r>
          <w:r>
            <w:fldChar w:fldCharType="separate"/>
          </w:r>
          <w:r>
            <w:t>1</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_Toc9977 </w:instrText>
          </w:r>
          <w:r>
            <w:rPr>
              <w:rFonts w:hint="eastAsia"/>
            </w:rPr>
            <w:fldChar w:fldCharType="separate"/>
          </w:r>
          <w:r>
            <w:rPr>
              <w:rFonts w:hint="eastAsia"/>
            </w:rPr>
            <w:t>（二）</w:t>
          </w:r>
          <w:r>
            <w:rPr>
              <w:rFonts w:hint="eastAsia"/>
              <w:lang w:eastAsia="zh-CN"/>
            </w:rPr>
            <w:t>2022年</w:t>
          </w:r>
          <w:r>
            <w:rPr>
              <w:rFonts w:hint="eastAsia"/>
            </w:rPr>
            <w:t>重点工作完成情况</w:t>
          </w:r>
          <w:r>
            <w:tab/>
          </w:r>
          <w:r>
            <w:fldChar w:fldCharType="begin"/>
          </w:r>
          <w:r>
            <w:instrText xml:space="preserve"> PAGEREF _Toc9977 \h </w:instrText>
          </w:r>
          <w:r>
            <w:fldChar w:fldCharType="separate"/>
          </w:r>
          <w:r>
            <w:t>1</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_Toc30907 </w:instrText>
          </w:r>
          <w:r>
            <w:rPr>
              <w:rFonts w:hint="eastAsia"/>
            </w:rPr>
            <w:fldChar w:fldCharType="separate"/>
          </w:r>
          <w:r>
            <w:rPr>
              <w:rFonts w:hint="eastAsia"/>
            </w:rPr>
            <w:t>二、机构设置</w:t>
          </w:r>
          <w:r>
            <w:tab/>
          </w:r>
          <w:r>
            <w:fldChar w:fldCharType="begin"/>
          </w:r>
          <w:r>
            <w:instrText xml:space="preserve"> PAGEREF _Toc30907 \h </w:instrText>
          </w:r>
          <w:r>
            <w:fldChar w:fldCharType="separate"/>
          </w:r>
          <w:r>
            <w:t>2</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_Toc10246 </w:instrText>
          </w:r>
          <w:r>
            <w:rPr>
              <w:rFonts w:hint="eastAsia"/>
            </w:rPr>
            <w:fldChar w:fldCharType="separate"/>
          </w:r>
          <w:r>
            <w:rPr>
              <w:rFonts w:hint="eastAsia"/>
            </w:rPr>
            <w:t>第二部分 2022年度部门决算情况说明</w:t>
          </w:r>
          <w:r>
            <w:tab/>
          </w:r>
          <w:r>
            <w:fldChar w:fldCharType="begin"/>
          </w:r>
          <w:r>
            <w:instrText xml:space="preserve"> PAGEREF _Toc10246 \h </w:instrText>
          </w:r>
          <w:r>
            <w:fldChar w:fldCharType="separate"/>
          </w:r>
          <w:r>
            <w:t>3</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_Toc9759 </w:instrText>
          </w:r>
          <w:r>
            <w:rPr>
              <w:rFonts w:hint="eastAsia"/>
            </w:rPr>
            <w:fldChar w:fldCharType="separate"/>
          </w:r>
          <w:r>
            <w:t xml:space="preserve">一、 </w:t>
          </w:r>
          <w:r>
            <w:rPr>
              <w:rFonts w:hint="eastAsia"/>
            </w:rPr>
            <w:t>收入支出决算总体情况说明</w:t>
          </w:r>
          <w:r>
            <w:tab/>
          </w:r>
          <w:r>
            <w:fldChar w:fldCharType="begin"/>
          </w:r>
          <w:r>
            <w:instrText xml:space="preserve"> PAGEREF _Toc9759 \h </w:instrText>
          </w:r>
          <w:r>
            <w:fldChar w:fldCharType="separate"/>
          </w:r>
          <w:r>
            <w:t>3</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_Toc23259 </w:instrText>
          </w:r>
          <w:r>
            <w:rPr>
              <w:rFonts w:hint="eastAsia"/>
            </w:rPr>
            <w:fldChar w:fldCharType="separate"/>
          </w:r>
          <w:r>
            <w:rPr>
              <w:rFonts w:hint="eastAsia"/>
            </w:rPr>
            <w:t>二、收入决算情况说明</w:t>
          </w:r>
          <w:r>
            <w:tab/>
          </w:r>
          <w:r>
            <w:fldChar w:fldCharType="begin"/>
          </w:r>
          <w:r>
            <w:instrText xml:space="preserve"> PAGEREF _Toc23259 \h </w:instrText>
          </w:r>
          <w:r>
            <w:fldChar w:fldCharType="separate"/>
          </w:r>
          <w:r>
            <w:t>3</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_Toc30398 </w:instrText>
          </w:r>
          <w:r>
            <w:rPr>
              <w:rFonts w:hint="eastAsia"/>
            </w:rPr>
            <w:fldChar w:fldCharType="separate"/>
          </w:r>
          <w:r>
            <w:rPr>
              <w:rFonts w:hint="eastAsia"/>
            </w:rPr>
            <w:t>三、支出决算情况说明</w:t>
          </w:r>
          <w:r>
            <w:tab/>
          </w:r>
          <w:r>
            <w:fldChar w:fldCharType="begin"/>
          </w:r>
          <w:r>
            <w:instrText xml:space="preserve"> PAGEREF _Toc30398 \h </w:instrText>
          </w:r>
          <w:r>
            <w:fldChar w:fldCharType="separate"/>
          </w:r>
          <w:r>
            <w:t>4</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_Toc24383 </w:instrText>
          </w:r>
          <w:r>
            <w:rPr>
              <w:rFonts w:hint="eastAsia"/>
            </w:rPr>
            <w:fldChar w:fldCharType="separate"/>
          </w:r>
          <w:r>
            <w:rPr>
              <w:rFonts w:hint="eastAsia"/>
            </w:rPr>
            <w:t>四、财政拨款收入支出决算总体情况说明</w:t>
          </w:r>
          <w:r>
            <w:tab/>
          </w:r>
          <w:r>
            <w:fldChar w:fldCharType="begin"/>
          </w:r>
          <w:r>
            <w:instrText xml:space="preserve"> PAGEREF _Toc24383 \h </w:instrText>
          </w:r>
          <w:r>
            <w:fldChar w:fldCharType="separate"/>
          </w:r>
          <w:r>
            <w:t>4</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_Toc29169 </w:instrText>
          </w:r>
          <w:r>
            <w:rPr>
              <w:rFonts w:hint="eastAsia"/>
            </w:rPr>
            <w:fldChar w:fldCharType="separate"/>
          </w:r>
          <w:r>
            <w:rPr>
              <w:rFonts w:hint="eastAsia"/>
            </w:rPr>
            <w:t>五、一般公共预算财政拨款支出决算情况说明</w:t>
          </w:r>
          <w:r>
            <w:tab/>
          </w:r>
          <w:r>
            <w:fldChar w:fldCharType="begin"/>
          </w:r>
          <w:r>
            <w:instrText xml:space="preserve"> PAGEREF _Toc29169 \h </w:instrText>
          </w:r>
          <w:r>
            <w:fldChar w:fldCharType="separate"/>
          </w:r>
          <w:r>
            <w:t>5</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_Toc4904 </w:instrText>
          </w:r>
          <w:r>
            <w:rPr>
              <w:rFonts w:hint="eastAsia"/>
            </w:rPr>
            <w:fldChar w:fldCharType="separate"/>
          </w:r>
          <w:r>
            <w:rPr>
              <w:rFonts w:hint="eastAsia"/>
            </w:rPr>
            <w:t>六、一般公共预算财政拨款基本支出决算情况说明</w:t>
          </w:r>
          <w:r>
            <w:tab/>
          </w:r>
          <w:r>
            <w:fldChar w:fldCharType="begin"/>
          </w:r>
          <w:r>
            <w:instrText xml:space="preserve"> PAGEREF _Toc4904 \h </w:instrText>
          </w:r>
          <w:r>
            <w:fldChar w:fldCharType="separate"/>
          </w:r>
          <w:r>
            <w:t>8</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_Toc10702 </w:instrText>
          </w:r>
          <w:r>
            <w:rPr>
              <w:rFonts w:hint="eastAsia"/>
            </w:rPr>
            <w:fldChar w:fldCharType="separate"/>
          </w:r>
          <w:r>
            <w:rPr>
              <w:rFonts w:hint="eastAsia"/>
            </w:rPr>
            <w:t>七、“三公”经费财政拨款支出决算情况说明</w:t>
          </w:r>
          <w:r>
            <w:tab/>
          </w:r>
          <w:r>
            <w:fldChar w:fldCharType="begin"/>
          </w:r>
          <w:r>
            <w:instrText xml:space="preserve"> PAGEREF _Toc10702 \h </w:instrText>
          </w:r>
          <w:r>
            <w:fldChar w:fldCharType="separate"/>
          </w:r>
          <w:r>
            <w:t>9</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_Toc9319 </w:instrText>
          </w:r>
          <w:r>
            <w:rPr>
              <w:rFonts w:hint="eastAsia"/>
            </w:rPr>
            <w:fldChar w:fldCharType="separate"/>
          </w:r>
          <w:r>
            <w:rPr>
              <w:rFonts w:hint="eastAsia"/>
            </w:rPr>
            <w:t>八、政府性基金预算支出决算情况说明</w:t>
          </w:r>
          <w:r>
            <w:tab/>
          </w:r>
          <w:r>
            <w:fldChar w:fldCharType="begin"/>
          </w:r>
          <w:r>
            <w:instrText xml:space="preserve"> PAGEREF _Toc9319 \h </w:instrText>
          </w:r>
          <w:r>
            <w:fldChar w:fldCharType="separate"/>
          </w:r>
          <w:r>
            <w:t>10</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_Toc12463 </w:instrText>
          </w:r>
          <w:r>
            <w:rPr>
              <w:rFonts w:hint="eastAsia"/>
            </w:rPr>
            <w:fldChar w:fldCharType="separate"/>
          </w:r>
          <w:r>
            <w:rPr>
              <w:rFonts w:hint="eastAsia"/>
            </w:rPr>
            <w:t>九、 国有资本经营预算支出决算情况说明</w:t>
          </w:r>
          <w:r>
            <w:tab/>
          </w:r>
          <w:r>
            <w:fldChar w:fldCharType="begin"/>
          </w:r>
          <w:r>
            <w:instrText xml:space="preserve"> PAGEREF _Toc12463 \h </w:instrText>
          </w:r>
          <w:r>
            <w:fldChar w:fldCharType="separate"/>
          </w:r>
          <w:r>
            <w:t>10</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_Toc12434 </w:instrText>
          </w:r>
          <w:r>
            <w:rPr>
              <w:rFonts w:hint="eastAsia"/>
            </w:rPr>
            <w:fldChar w:fldCharType="separate"/>
          </w:r>
          <w:r>
            <w:rPr>
              <w:rFonts w:hint="eastAsia"/>
            </w:rPr>
            <w:t>十、 预算绩效情况说明</w:t>
          </w:r>
          <w:r>
            <w:tab/>
          </w:r>
          <w:r>
            <w:fldChar w:fldCharType="begin"/>
          </w:r>
          <w:r>
            <w:instrText xml:space="preserve"> PAGEREF _Toc12434 \h </w:instrText>
          </w:r>
          <w:r>
            <w:fldChar w:fldCharType="separate"/>
          </w:r>
          <w:r>
            <w:t>10</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_Toc14309 </w:instrText>
          </w:r>
          <w:r>
            <w:rPr>
              <w:rFonts w:hint="eastAsia"/>
            </w:rPr>
            <w:fldChar w:fldCharType="separate"/>
          </w:r>
          <w:r>
            <w:rPr>
              <w:rFonts w:hint="eastAsia"/>
            </w:rPr>
            <w:t>十一、其他重要事项的情况说明</w:t>
          </w:r>
          <w:r>
            <w:tab/>
          </w:r>
          <w:r>
            <w:fldChar w:fldCharType="begin"/>
          </w:r>
          <w:r>
            <w:instrText xml:space="preserve"> PAGEREF _Toc14309 \h </w:instrText>
          </w:r>
          <w:r>
            <w:fldChar w:fldCharType="separate"/>
          </w:r>
          <w:r>
            <w:t>15</w:t>
          </w:r>
          <w:r>
            <w:fldChar w:fldCharType="end"/>
          </w:r>
          <w:r>
            <w:rPr>
              <w:rFonts w:hint="eastAsia"/>
            </w:rPr>
            <w:fldChar w:fldCharType="end"/>
          </w:r>
        </w:p>
        <w:p>
          <w:pPr>
            <w:pStyle w:val="21"/>
            <w:tabs>
              <w:tab w:val="right" w:leader="dot" w:pos="8296"/>
            </w:tabs>
            <w:bidi w:val="0"/>
          </w:pPr>
          <w:r>
            <w:rPr>
              <w:rFonts w:hint="eastAsia"/>
            </w:rPr>
            <w:fldChar w:fldCharType="begin"/>
          </w:r>
          <w:r>
            <w:rPr>
              <w:rFonts w:hint="eastAsia"/>
            </w:rPr>
            <w:instrText xml:space="preserve"> HYPERLINK \l _Toc28005 </w:instrText>
          </w:r>
          <w:r>
            <w:rPr>
              <w:rFonts w:hint="eastAsia"/>
            </w:rPr>
            <w:fldChar w:fldCharType="separate"/>
          </w:r>
          <w:r>
            <w:rPr>
              <w:rFonts w:hint="eastAsia"/>
            </w:rPr>
            <w:t>第三部分 名词解释</w:t>
          </w:r>
          <w:r>
            <w:tab/>
          </w:r>
          <w:r>
            <w:fldChar w:fldCharType="begin"/>
          </w:r>
          <w:r>
            <w:instrText xml:space="preserve"> PAGEREF _Toc28005 \h </w:instrText>
          </w:r>
          <w:r>
            <w:fldChar w:fldCharType="separate"/>
          </w:r>
          <w:r>
            <w:t>15</w:t>
          </w:r>
          <w:r>
            <w:fldChar w:fldCharType="end"/>
          </w:r>
          <w:r>
            <w:rPr>
              <w:rFonts w:hint="eastAsia"/>
            </w:rPr>
            <w:fldChar w:fldCharType="end"/>
          </w:r>
        </w:p>
        <w:p>
          <w:pPr>
            <w:pStyle w:val="21"/>
            <w:tabs>
              <w:tab w:val="right" w:leader="dot" w:pos="8296"/>
            </w:tabs>
            <w:rPr>
              <w:b/>
            </w:rPr>
          </w:pPr>
          <w:r>
            <w:rPr>
              <w:rFonts w:hint="eastAsia"/>
            </w:rPr>
            <w:fldChar w:fldCharType="begin"/>
          </w:r>
          <w:r>
            <w:rPr>
              <w:rFonts w:hint="eastAsia"/>
            </w:rPr>
            <w:instrText xml:space="preserve"> HYPERLINK \l _Toc2350 </w:instrText>
          </w:r>
          <w:r>
            <w:rPr>
              <w:rFonts w:hint="eastAsia"/>
            </w:rPr>
            <w:fldChar w:fldCharType="separate"/>
          </w:r>
          <w:r>
            <w:rPr>
              <w:rFonts w:hint="eastAsia"/>
              <w:lang w:val="en-US" w:eastAsia="zh-CN"/>
            </w:rPr>
            <w:t>第四部分 附件</w:t>
          </w:r>
          <w:r>
            <w:tab/>
          </w:r>
          <w:r>
            <w:fldChar w:fldCharType="begin"/>
          </w:r>
          <w:r>
            <w:instrText xml:space="preserve"> PAGEREF _Toc2350 \h </w:instrText>
          </w:r>
          <w:r>
            <w:fldChar w:fldCharType="separate"/>
          </w:r>
          <w:r>
            <w:t>18</w:t>
          </w:r>
          <w:r>
            <w:fldChar w:fldCharType="end"/>
          </w:r>
          <w:r>
            <w:rPr>
              <w:rFonts w:hint="eastAsia"/>
            </w:rPr>
            <w:fldChar w:fldCharType="end"/>
          </w:r>
        </w:p>
        <w:p>
          <w:pPr>
            <w:spacing w:line="600" w:lineRule="exact"/>
            <w:ind w:left="0"/>
            <w:rPr>
              <w:rFonts w:ascii="仿宋_GB2312" w:eastAsia="仿宋_GB2312" w:cs="仿宋_GB2312" w:hint="eastAsia"/>
              <w:color w:val="000000"/>
              <w:sz w:val="32"/>
              <w:szCs w:val="32"/>
            </w:rPr>
          </w:pPr>
          <w:r>
            <w:rPr>
              <w:rFonts w:ascii="黑体" w:eastAsia="黑体" w:hint="eastAsia"/>
              <w:b/>
            </w:rPr>
            <w:fldChar w:fldCharType="end"/>
          </w:r>
          <w:r>
            <w:rPr>
              <w:rFonts w:ascii="黑体" w:eastAsia="黑体" w:hint="eastAsia"/>
              <w:b w:val="0"/>
              <w:sz w:val="32"/>
              <w:szCs w:val="32"/>
            </w:rPr>
            <w:fldChar w:fldCharType="begin"/>
          </w:r>
          <w:r>
            <w:rPr>
              <w:rFonts w:ascii="黑体" w:eastAsia="黑体" w:hint="eastAsia"/>
              <w:b w:val="0"/>
              <w:sz w:val="32"/>
              <w:szCs w:val="32"/>
            </w:rPr>
            <w:instrText xml:space="preserve">TOC \o "1-2" \h \u </w:instrText>
          </w:r>
          <w:r>
            <w:rPr>
              <w:rFonts w:ascii="黑体" w:eastAsia="黑体" w:hint="eastAsia"/>
              <w:b w:val="0"/>
              <w:sz w:val="32"/>
              <w:szCs w:val="32"/>
            </w:rPr>
            <w:fldChar w:fldCharType="separate"/>
          </w:r>
          <w:r>
            <w:rPr>
              <w:rFonts w:ascii="仿宋_GB2312" w:eastAsia="仿宋_GB2312" w:cs="仿宋_GB2312"/>
              <w:b w:val="0"/>
              <w:color w:val="000000"/>
              <w:sz w:val="32"/>
              <w:szCs w:val="32"/>
              <w:lang w:val="en-US" w:eastAsia="zh-CN"/>
            </w:rPr>
            <w:t>第五部分</w:t>
          </w:r>
          <w:r>
            <w:rPr>
              <w:rFonts w:ascii="仿宋_GB2312" w:eastAsia="仿宋_GB2312" w:cs="仿宋_GB2312" w:hint="eastAsia"/>
              <w:b w:val="0"/>
              <w:color w:val="000000"/>
              <w:sz w:val="32"/>
              <w:szCs w:val="32"/>
              <w:lang w:val="en-US" w:eastAsia="zh-CN"/>
            </w:rPr>
            <w:t>、决算公开表</w:t>
          </w:r>
          <w:r>
            <w:rPr>
              <w:rFonts w:ascii="仿宋_GB2312" w:eastAsia="仿宋_GB2312" w:cs="仿宋_GB2312"/>
              <w:b w:val="0"/>
              <w:color w:val="000000"/>
              <w:sz w:val="32"/>
              <w:szCs w:val="32"/>
              <w:lang w:val="en-US" w:eastAsia="zh-CN"/>
            </w:rPr>
            <w:t>.....................…….....25</w:t>
          </w:r>
        </w:p>
      </w:sdtContent>
    </w:sdt>
    <w:p>
      <w:pPr>
        <w:spacing w:line="600" w:lineRule="exact"/>
        <w:ind w:left="0"/>
        <w:jc w:val="left"/>
        <w:rPr>
          <w:rFonts w:ascii="仿宋_GB2312" w:eastAsia="仿宋_GB2312" w:cs="仿宋_GB2312" w:hint="eastAsia"/>
          <w:b w:val="0"/>
          <w:color w:val="000000"/>
          <w:sz w:val="32"/>
          <w:szCs w:val="32"/>
          <w:lang w:val="en-US" w:eastAsia="zh-CN"/>
        </w:rPr>
      </w:pPr>
      <w:r>
        <w:rPr>
          <w:rFonts w:ascii="黑体" w:eastAsia="黑体" w:hint="eastAsia"/>
          <w:b/>
          <w:sz w:val="32"/>
          <w:szCs w:val="32"/>
        </w:rPr>
        <w:fldChar w:fldCharType="end"/>
      </w:r>
      <w:r>
        <w:rPr>
          <w:rFonts w:ascii="仿宋_GB2312" w:eastAsia="仿宋_GB2312" w:cs="仿宋_GB2312" w:hint="eastAsia"/>
          <w:b w:val="0"/>
          <w:color w:val="000000"/>
          <w:sz w:val="32"/>
          <w:szCs w:val="32"/>
          <w:lang w:val="en-US" w:eastAsia="zh-CN"/>
        </w:rPr>
        <w:t>（一）收入支出决算总表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（二）收入决算表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（三）支出决算表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（四）财政拨款收入支出决算总表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（五）财政拨款收入支出决算总表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（六）一般公共预算财政拨款支出决算表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（七）一般公共预算财政拨款支出决算表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（八）一般公共预算财政拨款基本支出决算明细表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（九）一般公共预算财政拨款项目支出决算表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（十）政府性基金预算财政拨款收入支出决算表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（十一）国有资本经营预算财政拨款收入支出决算表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（十二）国有资本经营预算财政拨款支出决算表</w:t>
      </w:r>
    </w:p>
    <w:p>
      <w:pPr>
        <w:ind w:left="0"/>
      </w:pPr>
      <w:r>
        <w:rPr>
          <w:rFonts w:ascii="仿宋_GB2312" w:eastAsia="仿宋_GB2312" w:cs="仿宋_GB2312" w:hint="eastAsia"/>
          <w:b w:val="0"/>
          <w:color w:val="000000"/>
          <w:sz w:val="32"/>
          <w:szCs w:val="32"/>
          <w:lang w:val="en-US" w:eastAsia="zh-CN"/>
        </w:rPr>
        <w:t>（十三）财政拨款“三公”经费支出决算表</w:t>
      </w:r>
    </w:p>
    <w:p>
      <w:pPr>
        <w:pStyle w:val="1"/>
        <w:jc w:val="both"/>
        <w:outlineLvl w:val="9"/>
        <w:rPr>
          <w:lang w:val="en-US" w:eastAsia="zh-CN"/>
        </w:rPr>
        <w:sectPr>
          <w:footerReference w:type="default" r:id="rId4"/>
          <w:footerReference w:type="first" r:id="rId5"/>
          <w:pgSz w:w="11906" w:h="16838"/>
          <w:pgMar w:top="1440" w:right="1800" w:bottom="1440" w:left="1800" w:header="851" w:footer="992" w:gutter="0"/>
          <w:pgNumType w:start="1"/>
          <w:titlePg/>
          <w:docGrid w:type="lines" w:linePitch="312" w:charSpace="0"/>
        </w:sectPr>
      </w:pPr>
    </w:p>
    <w:p>
      <w:pPr>
        <w:pStyle w:val="1"/>
        <w:jc w:val="center"/>
        <w:rPr>
          <w:rFonts w:ascii="黑体" w:eastAsia="黑体"/>
          <w:color w:val="000000"/>
          <w:sz w:val="32"/>
          <w:szCs w:val="32"/>
        </w:rPr>
      </w:pPr>
      <w:bookmarkStart w:id="17" w:name="_Toc32036"/>
      <w:r>
        <w:rPr>
          <w:rFonts w:ascii="黑体" w:eastAsia="黑体" w:hint="eastAsia"/>
          <w:b w:val="0"/>
        </w:rPr>
        <w:t xml:space="preserve">第一部分 </w:t>
      </w:r>
      <w:r>
        <w:rPr>
          <w:rStyle w:val="1Char"/>
          <w:rFonts w:ascii="黑体" w:eastAsia="黑体" w:hint="eastAsia"/>
          <w:b w:val="0"/>
          <w:bCs w:val="0"/>
        </w:rPr>
        <w:t>部门概况</w:t>
      </w:r>
      <w:bookmarkEnd w:id="16"/>
      <w:bookmarkEnd w:id="17"/>
    </w:p>
    <w:p>
      <w:pPr>
        <w:pStyle w:val="2"/>
        <w:spacing w:before="0" w:after="0" w:line="240" w:lineRule="auto"/>
        <w:ind w:left="640" w:hangingChars="200" w:hanging="640"/>
        <w:rPr>
          <w:rStyle w:val="2Char"/>
          <w:rFonts w:ascii="黑体" w:eastAsia="黑体"/>
          <w:b w:val="0"/>
          <w:bCs w:val="0"/>
        </w:rPr>
      </w:pPr>
      <w:bookmarkStart w:id="18" w:name="_Toc20678"/>
      <w:bookmarkStart w:id="19" w:name="_Toc15377197"/>
      <w:bookmarkStart w:id="20" w:name="_Toc20436"/>
      <w:r>
        <w:rPr>
          <w:rFonts w:ascii="黑体" w:eastAsia="黑体" w:hint="eastAsia"/>
          <w:b w:val="0"/>
          <w:color w:val="000000"/>
        </w:rPr>
        <w:t>一、基</w:t>
      </w:r>
      <w:r>
        <w:rPr>
          <w:rStyle w:val="2Char"/>
          <w:rFonts w:ascii="黑体" w:eastAsia="黑体" w:hint="eastAsia"/>
          <w:b w:val="0"/>
          <w:bCs w:val="0"/>
        </w:rPr>
        <w:t>本职能及主要工作</w:t>
      </w:r>
      <w:bookmarkStart w:id="21" w:name="_Toc15377198"/>
      <w:bookmarkStart w:id="22" w:name="_Toc15378445"/>
      <w:bookmarkEnd w:id="18"/>
      <w:bookmarkEnd w:id="19"/>
      <w:bookmarkEnd w:id="20"/>
    </w:p>
    <w:p>
      <w:pPr>
        <w:pStyle w:val="2"/>
        <w:spacing w:before="0" w:after="0" w:line="240" w:lineRule="auto"/>
        <w:ind w:leftChars="153" w:left="641" w:hangingChars="100" w:hanging="320"/>
        <w:rPr>
          <w:rFonts w:ascii="楷体" w:eastAsia="楷体" w:cs="楷体"/>
          <w:color w:val="000000"/>
        </w:rPr>
      </w:pPr>
      <w:bookmarkStart w:id="23" w:name="_Toc31800"/>
      <w:bookmarkStart w:id="24" w:name="_Toc28250"/>
      <w:r>
        <w:rPr>
          <w:rFonts w:ascii="楷体" w:eastAsia="楷体" w:cs="楷体" w:hint="eastAsia"/>
          <w:color w:val="000000"/>
        </w:rPr>
        <w:t>（一）主要职能</w:t>
      </w:r>
      <w:bookmarkStart w:id="25" w:name="_Toc15377199"/>
      <w:bookmarkStart w:id="26" w:name="_Toc15378446"/>
      <w:bookmarkEnd w:id="21"/>
      <w:bookmarkEnd w:id="22"/>
      <w:bookmarkEnd w:id="23"/>
      <w:bookmarkEnd w:id="24"/>
    </w:p>
    <w:p>
      <w:pPr>
        <w:snapToGrid w:val="0"/>
        <w:spacing w:line="520" w:lineRule="exact"/>
        <w:ind w:firstLineChars="200" w:firstLine="640"/>
        <w:rPr>
          <w:rFonts w:ascii="仿宋" w:eastAsia="仿宋" w:cs="Times New Roman" w:hint="eastAsia"/>
          <w:color w:val="000000"/>
          <w:sz w:val="32"/>
          <w:szCs w:val="32"/>
        </w:rPr>
      </w:pPr>
      <w:bookmarkStart w:id="27" w:name="_Toc32413"/>
      <w:r>
        <w:rPr>
          <w:rFonts w:ascii="仿宋" w:eastAsia="仿宋" w:cs="Times New Roman" w:hint="eastAsia"/>
          <w:color w:val="000000"/>
          <w:sz w:val="32"/>
          <w:szCs w:val="32"/>
        </w:rPr>
        <w:t>贯彻执行党和国家关于预算、税收、行政事业单位国有资产、财务、会计等法律、法规、规章和方针、政策。根据我</w:t>
      </w:r>
      <w:r>
        <w:rPr>
          <w:rFonts w:ascii="仿宋" w:eastAsia="仿宋" w:cs="Times New Roman" w:hint="eastAsia"/>
          <w:color w:val="000000"/>
          <w:sz w:val="32"/>
          <w:szCs w:val="32"/>
          <w:lang w:eastAsia="zh-CN"/>
        </w:rPr>
        <w:t>镇</w:t>
      </w:r>
      <w:r>
        <w:rPr>
          <w:rFonts w:ascii="仿宋" w:eastAsia="仿宋" w:cs="Times New Roman" w:hint="eastAsia"/>
          <w:color w:val="000000"/>
          <w:sz w:val="32"/>
          <w:szCs w:val="32"/>
        </w:rPr>
        <w:t>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ascii="仿宋" w:eastAsia="仿宋" w:cs="Times New Roman" w:hint="eastAsia"/>
          <w:color w:val="000000"/>
          <w:sz w:val="32"/>
          <w:szCs w:val="32"/>
          <w:lang w:val="en-US" w:eastAsia="zh-CN"/>
        </w:rPr>
        <w:t>卡撒</w:t>
      </w:r>
      <w:r>
        <w:rPr>
          <w:rFonts w:ascii="仿宋" w:eastAsia="仿宋" w:cs="Times New Roman" w:hint="eastAsia"/>
          <w:color w:val="000000"/>
          <w:sz w:val="32"/>
          <w:szCs w:val="32"/>
        </w:rPr>
        <w:t>发展的新局面。</w:t>
      </w:r>
      <w:bookmarkEnd w:id="27"/>
    </w:p>
    <w:p>
      <w:pPr>
        <w:pStyle w:val="2"/>
        <w:spacing w:before="0" w:after="0" w:line="240" w:lineRule="auto"/>
        <w:ind w:firstLineChars="100" w:firstLine="320"/>
        <w:rPr>
          <w:rFonts w:ascii="楷体" w:eastAsia="楷体" w:cs="楷体"/>
          <w:color w:val="000000"/>
        </w:rPr>
      </w:pPr>
      <w:bookmarkStart w:id="28" w:name="_Toc21487"/>
      <w:bookmarkStart w:id="29" w:name="_Toc9977"/>
      <w:r>
        <w:rPr>
          <w:rFonts w:ascii="楷体" w:eastAsia="楷体" w:cs="楷体" w:hint="eastAsia"/>
          <w:color w:val="000000"/>
        </w:rPr>
        <w:t>（二）</w:t>
      </w:r>
      <w:r>
        <w:rPr>
          <w:rFonts w:ascii="楷体" w:eastAsia="楷体" w:cs="楷体" w:hint="eastAsia"/>
          <w:color w:val="000000"/>
          <w:lang w:eastAsia="zh-CN"/>
        </w:rPr>
        <w:t>2022年</w:t>
      </w:r>
      <w:r>
        <w:rPr>
          <w:rFonts w:ascii="楷体" w:eastAsia="楷体" w:cs="楷体" w:hint="eastAsia"/>
          <w:color w:val="000000"/>
        </w:rPr>
        <w:t>重点工作完成情况</w:t>
      </w:r>
      <w:bookmarkEnd w:id="25"/>
      <w:bookmarkEnd w:id="26"/>
      <w:bookmarkEnd w:id="28"/>
      <w:bookmarkEnd w:id="29"/>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Chars="200" w:firstLine="640"/>
        <w:textAlignment w:val="auto"/>
        <w:outlineLvl w:val="9"/>
        <w:rPr>
          <w:rFonts w:ascii="仿宋_GB2312" w:eastAsia="仿宋_GB2312" w:cs="??_GB2312" w:hint="eastAsia"/>
          <w:color w:val="auto"/>
          <w:sz w:val="32"/>
          <w:szCs w:val="32"/>
          <w:shd w:val="clear" w:color="auto" w:fill="FFFFFF"/>
          <w:lang w:val="en-US" w:eastAsia="zh-CN"/>
        </w:rPr>
      </w:pPr>
      <w:bookmarkStart w:id="30" w:name="_Toc15377200"/>
      <w:r>
        <w:rPr>
          <w:rFonts w:ascii="仿宋_GB2312" w:eastAsia="仿宋_GB2312" w:cs="??_GB2312" w:hint="eastAsia"/>
          <w:color w:val="auto"/>
          <w:sz w:val="32"/>
          <w:szCs w:val="32"/>
          <w:shd w:val="clear" w:color="auto" w:fill="FFFFFF"/>
          <w:lang w:val="en-US" w:eastAsia="zh-CN"/>
        </w:rPr>
        <w:t>在县委、县政府和镇党委的坚强领导下，镇人民政府</w:t>
      </w:r>
      <w:r>
        <w:rPr>
          <w:rFonts w:eastAsia="仿宋_GB2312" w:hint="eastAsia"/>
          <w:color w:val="auto"/>
          <w:sz w:val="32"/>
          <w:szCs w:val="32"/>
          <w:shd w:val="clear" w:color="auto" w:fill="FFFFFF"/>
          <w:lang w:val="en-US" w:eastAsia="zh-CN"/>
        </w:rPr>
        <w:t>坚持以习近平新时代中国特色社会主义思想为指导</w:t>
      </w:r>
      <w:r>
        <w:rPr>
          <w:rFonts w:ascii="仿宋" w:eastAsia="仿宋" w:cs="??_GB2312" w:hint="eastAsia"/>
          <w:color w:val="auto"/>
          <w:sz w:val="32"/>
          <w:szCs w:val="32"/>
          <w:shd w:val="clear" w:color="auto" w:fill="FFFFFF"/>
          <w:lang w:val="en-US" w:eastAsia="zh-CN"/>
        </w:rPr>
        <w:t>，</w:t>
      </w:r>
      <w:r>
        <w:rPr>
          <w:rFonts w:ascii="仿宋_GB2312" w:eastAsia="仿宋_GB2312" w:cs="??_GB2312" w:hint="eastAsia"/>
          <w:color w:val="auto"/>
          <w:sz w:val="32"/>
          <w:szCs w:val="32"/>
          <w:shd w:val="clear" w:color="auto" w:fill="FFFFFF"/>
          <w:lang w:val="en-US" w:eastAsia="zh-CN"/>
        </w:rPr>
        <w:t>认真贯彻落实中央大政方针和省委、州委、县委重大决策部署，坚持科学发展、高质量发展理念，积极应对脱贫攻坚、新冠</w:t>
      </w:r>
      <w:r>
        <w:rPr>
          <w:rFonts w:ascii="仿宋_GB2312" w:eastAsia="仿宋_GB2312" w:cs="??_GB2312"/>
          <w:color w:val="auto"/>
          <w:sz w:val="32"/>
          <w:szCs w:val="32"/>
          <w:shd w:val="clear" w:color="auto" w:fill="FFFFFF"/>
          <w:lang w:val="en-US" w:eastAsia="zh-CN"/>
        </w:rPr>
        <w:t>感染</w:t>
      </w:r>
      <w:r>
        <w:rPr>
          <w:rFonts w:ascii="仿宋_GB2312" w:eastAsia="仿宋_GB2312" w:cs="??_GB2312" w:hint="eastAsia"/>
          <w:color w:val="auto"/>
          <w:sz w:val="32"/>
          <w:szCs w:val="32"/>
          <w:shd w:val="clear" w:color="auto" w:fill="FFFFFF"/>
          <w:lang w:val="en-US" w:eastAsia="zh-CN"/>
        </w:rPr>
        <w:t>、抢险救灾等复杂严峻的发展形势，统筹推进经济建设、政治建设、文化建设、社会建设和生态文明建设，全面压实主体责任、转变干部作风、细化工作措施，全镇呈现出经济持续稳定发展、民生持续改善、社会和谐稳定、干群奋发有为的良好局面。曾先后荣获“四川省脱贫攻坚先进集体”、“阿坝州脱贫攻坚先进集体”、“金川县先进党组织”等殊荣。</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仿宋_GB2312" w:eastAsia="仿宋_GB2312" w:cs="??_GB2312" w:hint="eastAsia"/>
          <w:color w:val="auto"/>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一是紧紧围绕影响经济发展和社会稳定的源头性、苗头性、基础性问题，突出重点、综合施策，进一步优化社会环境，促进社会和谐稳定。</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eastAsia="仿宋_GB2312" w:hint="eastAsia"/>
          <w:color w:val="auto"/>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二是</w:t>
      </w:r>
      <w:r>
        <w:rPr>
          <w:rFonts w:eastAsia="仿宋_GB2312" w:hint="eastAsia"/>
          <w:color w:val="auto"/>
          <w:sz w:val="32"/>
          <w:szCs w:val="32"/>
          <w:shd w:val="clear" w:color="auto" w:fill="FFFFFF"/>
          <w:lang w:val="en-US" w:eastAsia="zh-CN"/>
        </w:rPr>
        <w:t>自新冠疫情发生以来，全镇上下众志成城、争分夺秒，用实际行动投入疫情防控阻击战，党员干部率先垂范、冲锋在前、勇于担当，人民群众主动参与、甘于奉献、守望相助，迅速筑起疫情防控坚实防线。我们始终坚持“人民至上、生命至上”，认真贯彻落实中央和省州县疫情防控决策部署。</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仿宋_GB2312" w:eastAsia="仿宋_GB2312" w:cs="??_GB2312" w:hint="eastAsia"/>
          <w:color w:val="auto"/>
          <w:sz w:val="32"/>
          <w:szCs w:val="32"/>
          <w:shd w:val="clear" w:color="auto" w:fill="FFFFFF"/>
          <w:lang w:val="en-US" w:eastAsia="zh-CN"/>
        </w:rPr>
      </w:pPr>
      <w:r>
        <w:rPr>
          <w:rFonts w:eastAsia="仿宋_GB2312" w:hint="eastAsia"/>
          <w:color w:val="auto"/>
          <w:sz w:val="32"/>
          <w:szCs w:val="32"/>
          <w:shd w:val="clear" w:color="auto" w:fill="FFFFFF"/>
          <w:lang w:val="en-US" w:eastAsia="zh-CN"/>
        </w:rPr>
        <w:t>三是</w:t>
      </w:r>
      <w:r>
        <w:rPr>
          <w:rFonts w:ascii="仿宋_GB2312" w:eastAsia="仿宋_GB2312" w:cs="??_GB2312" w:hint="eastAsia"/>
          <w:color w:val="auto"/>
          <w:sz w:val="32"/>
          <w:szCs w:val="32"/>
          <w:shd w:val="clear" w:color="auto" w:fill="FFFFFF"/>
          <w:lang w:val="en-US" w:eastAsia="zh-CN"/>
        </w:rPr>
        <w:t>围绕项目建设主线，着力优化发展环境，下好项目建设“先手棋”，有力助推经济社会跨越发展。</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仿宋_GB2312" w:eastAsia="仿宋_GB2312" w:cs="仿宋_GB2312" w:hint="eastAsia"/>
          <w:b w:val="0"/>
          <w:bCs w:val="0"/>
          <w:color w:val="000000"/>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四是</w:t>
      </w:r>
      <w:r>
        <w:rPr>
          <w:rFonts w:ascii="仿宋_GB2312" w:eastAsia="仿宋_GB2312" w:cs="仿宋_GB2312" w:hint="eastAsia"/>
          <w:kern w:val="0"/>
          <w:sz w:val="32"/>
          <w:szCs w:val="32"/>
          <w:lang w:val="en-US" w:eastAsia="zh-CN"/>
        </w:rPr>
        <w:t>始终坚持以习近平生态文明思想为指引，认真践行“绿水青山就是金山银山</w:t>
      </w:r>
      <w:r>
        <w:rPr>
          <w:rFonts w:ascii="仿宋_GB2312" w:eastAsia="仿宋_GB2312" w:cs="仿宋_GB2312" w:hint="eastAsia"/>
          <w:b w:val="0"/>
          <w:bCs w:val="0"/>
          <w:color w:val="000000"/>
          <w:sz w:val="32"/>
          <w:szCs w:val="32"/>
          <w:shd w:val="clear" w:color="auto" w:fill="FFFFFF"/>
          <w:lang w:val="en-US" w:eastAsia="zh-CN"/>
        </w:rPr>
        <w:t>”</w:t>
      </w:r>
      <w:r>
        <w:rPr>
          <w:rFonts w:ascii="仿宋_GB2312" w:eastAsia="仿宋_GB2312" w:cs="仿宋_GB2312" w:hint="eastAsia"/>
          <w:b w:val="0"/>
          <w:bCs w:val="0"/>
          <w:color w:val="000000"/>
          <w:sz w:val="32"/>
          <w:szCs w:val="32"/>
          <w:shd w:val="clear" w:color="auto" w:fill="FFFFFF"/>
        </w:rPr>
        <w:t>“重在保护、要在治理、高质量发展”</w:t>
      </w:r>
      <w:r>
        <w:rPr>
          <w:rFonts w:ascii="仿宋_GB2312" w:eastAsia="仿宋_GB2312" w:cs="仿宋_GB2312" w:hint="eastAsia"/>
          <w:b w:val="0"/>
          <w:bCs w:val="0"/>
          <w:color w:val="000000"/>
          <w:sz w:val="32"/>
          <w:szCs w:val="32"/>
          <w:shd w:val="clear" w:color="auto" w:fill="FFFFFF"/>
          <w:lang w:val="en-US" w:eastAsia="zh-CN"/>
        </w:rPr>
        <w:t>理念，切实把生态环境保护摆在压倒性</w:t>
      </w:r>
      <w:r>
        <w:rPr>
          <w:rFonts w:ascii="仿宋_GB2312" w:eastAsia="仿宋_GB2312" w:cs="??_GB2312" w:hint="eastAsia"/>
          <w:color w:val="auto"/>
          <w:sz w:val="32"/>
          <w:szCs w:val="32"/>
          <w:shd w:val="clear" w:color="auto" w:fill="FFFFFF"/>
          <w:lang w:val="en-US" w:eastAsia="zh-CN"/>
        </w:rPr>
        <w:t>位置</w:t>
      </w:r>
      <w:r>
        <w:rPr>
          <w:rFonts w:ascii="仿宋_GB2312" w:eastAsia="仿宋_GB2312" w:cs="仿宋_GB2312" w:hint="eastAsia"/>
          <w:b w:val="0"/>
          <w:bCs w:val="0"/>
          <w:color w:val="000000"/>
          <w:sz w:val="32"/>
          <w:szCs w:val="32"/>
          <w:shd w:val="clear" w:color="auto" w:fill="FFFFFF"/>
          <w:lang w:val="en-US" w:eastAsia="zh-CN"/>
        </w:rPr>
        <w:t>，共抓大保护、不搞大开发。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eastAsia="仿宋_GB2312" w:hint="eastAsia"/>
          <w:color w:val="auto"/>
          <w:sz w:val="32"/>
          <w:szCs w:val="32"/>
          <w:shd w:val="clear" w:color="auto" w:fill="FFFFFF"/>
          <w:lang w:val="en-US" w:eastAsia="zh-CN"/>
        </w:rPr>
      </w:pPr>
      <w:r>
        <w:rPr>
          <w:rFonts w:ascii="仿宋_GB2312" w:eastAsia="仿宋_GB2312" w:cs="仿宋_GB2312" w:hint="eastAsia"/>
          <w:b w:val="0"/>
          <w:bCs w:val="0"/>
          <w:color w:val="000000"/>
          <w:sz w:val="32"/>
          <w:szCs w:val="32"/>
          <w:shd w:val="clear" w:color="auto" w:fill="FFFFFF"/>
          <w:lang w:val="en-US" w:eastAsia="zh-CN"/>
        </w:rPr>
        <w:t>五是</w:t>
      </w:r>
      <w:r>
        <w:rPr>
          <w:rFonts w:eastAsia="仿宋_GB2312" w:hint="eastAsia"/>
          <w:color w:val="auto"/>
          <w:sz w:val="32"/>
          <w:szCs w:val="32"/>
          <w:shd w:val="clear" w:color="auto" w:fill="FFFFFF"/>
          <w:lang w:val="en-US" w:eastAsia="zh-CN"/>
        </w:rPr>
        <w:t>坚定贯彻总体国家安全观，旗帜鲜明开展反分维稳斗争，“扫黑除恶专项斗争”强力推进，“天</w:t>
      </w:r>
      <w:r>
        <w:rPr>
          <w:rFonts w:eastAsia="仿宋_GB2312"/>
          <w:color w:val="auto"/>
          <w:sz w:val="32"/>
          <w:szCs w:val="32"/>
          <w:shd w:val="clear" w:color="auto" w:fill="FFFFFF"/>
          <w:lang w:val="en-US" w:eastAsia="zh-CN"/>
        </w:rPr>
        <w:t>网</w:t>
      </w:r>
      <w:r>
        <w:rPr>
          <w:rFonts w:eastAsia="仿宋_GB2312" w:hint="eastAsia"/>
          <w:color w:val="auto"/>
          <w:sz w:val="32"/>
          <w:szCs w:val="32"/>
          <w:shd w:val="clear" w:color="auto" w:fill="FFFFFF"/>
          <w:lang w:val="en-US" w:eastAsia="zh-CN"/>
        </w:rPr>
        <w:t>”“雪亮”工程拓展延伸，平安防线牢不可破，“两</w:t>
      </w:r>
      <w:r>
        <w:rPr>
          <w:rFonts w:eastAsia="仿宋_GB2312"/>
          <w:color w:val="auto"/>
          <w:sz w:val="32"/>
          <w:szCs w:val="32"/>
          <w:shd w:val="clear" w:color="auto" w:fill="FFFFFF"/>
          <w:lang w:val="en-US" w:eastAsia="zh-CN"/>
        </w:rPr>
        <w:t>项</w:t>
      </w:r>
      <w:r>
        <w:rPr>
          <w:rFonts w:eastAsia="仿宋_GB2312" w:hint="eastAsia"/>
          <w:color w:val="auto"/>
          <w:sz w:val="32"/>
          <w:szCs w:val="32"/>
          <w:shd w:val="clear" w:color="auto" w:fill="FFFFFF"/>
          <w:lang w:val="en-US" w:eastAsia="zh-CN"/>
        </w:rPr>
        <w:t>”改革调整优化2个村。</w:t>
      </w:r>
    </w:p>
    <w:p>
      <w:pPr>
        <w:spacing w:line="578" w:lineRule="exact"/>
        <w:ind w:firstLineChars="200" w:firstLine="640"/>
        <w:outlineLvl w:val="1"/>
        <w:rPr>
          <w:rStyle w:val="2Char"/>
          <w:b w:val="0"/>
          <w:bCs w:val="0"/>
        </w:rPr>
      </w:pPr>
      <w:bookmarkStart w:id="31" w:name="_Toc30907"/>
      <w:bookmarkStart w:id="32" w:name="_Toc15978"/>
      <w:r>
        <w:rPr>
          <w:rStyle w:val="2Char"/>
          <w:rFonts w:ascii="黑体" w:eastAsia="黑体" w:hint="eastAsia"/>
          <w:b w:val="0"/>
          <w:bCs w:val="0"/>
        </w:rPr>
        <w:t>二、机构设置</w:t>
      </w:r>
      <w:bookmarkEnd w:id="30"/>
      <w:bookmarkEnd w:id="31"/>
    </w:p>
    <w:p>
      <w:pPr>
        <w:snapToGrid w:val="0"/>
        <w:spacing w:line="560" w:lineRule="exact"/>
        <w:ind w:firstLineChars="200" w:firstLine="640"/>
        <w:rPr>
          <w:rFonts w:ascii="仿宋_GB2312" w:eastAsia="仿宋_GB2312"/>
          <w:sz w:val="32"/>
          <w:szCs w:val="32"/>
        </w:rPr>
      </w:pPr>
      <w:bookmarkStart w:id="33" w:name="_Toc15377204"/>
      <w:bookmarkEnd w:id="32"/>
      <w:r>
        <w:rPr>
          <w:rFonts w:ascii="仿宋_GB2312" w:eastAsia="仿宋_GB2312" w:cs="仿宋_GB2312" w:hint="eastAsia"/>
          <w:bCs/>
          <w:sz w:val="32"/>
        </w:rPr>
        <w:t>我</w:t>
      </w:r>
      <w:r>
        <w:rPr>
          <w:rFonts w:ascii="仿宋_GB2312" w:eastAsia="仿宋_GB2312" w:cs="仿宋_GB2312" w:hint="eastAsia"/>
          <w:bCs/>
          <w:sz w:val="32"/>
          <w:lang w:eastAsia="zh-CN"/>
        </w:rPr>
        <w:t>镇2022年</w:t>
      </w:r>
      <w:r>
        <w:rPr>
          <w:rFonts w:ascii="仿宋_GB2312" w:eastAsia="仿宋_GB2312" w:cs="仿宋_GB2312" w:hint="eastAsia"/>
          <w:bCs/>
          <w:sz w:val="32"/>
        </w:rPr>
        <w:t>有</w:t>
      </w:r>
      <w:r>
        <w:rPr>
          <w:rFonts w:ascii="仿宋_GB2312" w:eastAsia="仿宋_GB2312" w:cs="仿宋_GB2312" w:hint="eastAsia"/>
          <w:bCs/>
          <w:sz w:val="32"/>
          <w:lang w:val="en-US" w:eastAsia="zh-CN"/>
        </w:rPr>
        <w:t>4</w:t>
      </w:r>
      <w:r>
        <w:rPr>
          <w:rFonts w:ascii="仿宋_GB2312" w:eastAsia="仿宋_GB2312" w:cs="仿宋_GB2312" w:hint="eastAsia"/>
          <w:bCs/>
          <w:sz w:val="32"/>
        </w:rPr>
        <w:t>个机构，</w:t>
      </w:r>
      <w:r>
        <w:rPr>
          <w:rFonts w:ascii="仿宋_GB2312" w:eastAsia="仿宋_GB2312" w:cs="仿宋_GB2312" w:hint="eastAsia"/>
          <w:bCs/>
          <w:sz w:val="32"/>
          <w:lang w:eastAsia="zh-CN"/>
        </w:rPr>
        <w:t>由镇人民政府办公室、镇人大办公室、镇党委办公室、镇综合服务中心，设统一核算机构为</w:t>
      </w:r>
      <w:r>
        <w:rPr>
          <w:rFonts w:ascii="仿宋_GB2312" w:eastAsia="仿宋_GB2312" w:cs="仿宋_GB2312" w:hint="eastAsia"/>
          <w:bCs/>
          <w:sz w:val="32"/>
          <w:lang w:val="en-US" w:eastAsia="zh-CN"/>
        </w:rPr>
        <w:t>1个，独立编制机构1个，其中：公务员编制21个，事业编制17个，机关工勤4个，</w:t>
      </w:r>
      <w:r>
        <w:rPr>
          <w:rFonts w:ascii="仿宋_GB2312" w:eastAsia="仿宋_GB2312" w:cs="仿宋_GB2312" w:hint="eastAsia"/>
          <w:bCs/>
          <w:sz w:val="32"/>
        </w:rPr>
        <w:t>较上年无变动。我</w:t>
      </w:r>
      <w:r>
        <w:rPr>
          <w:rFonts w:ascii="仿宋_GB2312" w:eastAsia="仿宋_GB2312" w:cs="仿宋_GB2312" w:hint="eastAsia"/>
          <w:bCs/>
          <w:sz w:val="32"/>
          <w:lang w:eastAsia="zh-CN"/>
        </w:rPr>
        <w:t>镇</w:t>
      </w:r>
      <w:r>
        <w:rPr>
          <w:rFonts w:ascii="仿宋_GB2312" w:eastAsia="仿宋_GB2312" w:cs="仿宋_GB2312" w:hint="eastAsia"/>
          <w:bCs/>
          <w:sz w:val="32"/>
        </w:rPr>
        <w:t>本年度年末实有人数为</w:t>
      </w:r>
      <w:r>
        <w:rPr>
          <w:rFonts w:ascii="仿宋_GB2312" w:eastAsia="仿宋_GB2312" w:cs="仿宋_GB2312" w:hint="eastAsia"/>
          <w:bCs/>
          <w:sz w:val="32"/>
          <w:lang w:val="en-US" w:eastAsia="zh-CN"/>
        </w:rPr>
        <w:t>38</w:t>
      </w:r>
      <w:r>
        <w:rPr>
          <w:rFonts w:ascii="仿宋_GB2312" w:eastAsia="仿宋_GB2312" w:cs="仿宋_GB2312" w:hint="eastAsia"/>
          <w:bCs/>
          <w:sz w:val="32"/>
        </w:rPr>
        <w:t>人，</w:t>
      </w:r>
      <w:r>
        <w:rPr>
          <w:rFonts w:ascii="仿宋_GB2312" w:eastAsia="仿宋_GB2312" w:cs="仿宋_GB2312" w:hint="eastAsia"/>
          <w:bCs/>
          <w:sz w:val="32"/>
          <w:lang w:eastAsia="zh-CN"/>
        </w:rPr>
        <w:t>其中</w:t>
      </w:r>
      <w:r>
        <w:rPr>
          <w:rFonts w:ascii="仿宋_GB2312" w:eastAsia="仿宋_GB2312" w:cs="仿宋_GB2312" w:hint="eastAsia"/>
          <w:bCs/>
          <w:sz w:val="32"/>
        </w:rPr>
        <w:t>行政人员</w:t>
      </w:r>
      <w:r>
        <w:rPr>
          <w:rFonts w:ascii="仿宋_GB2312" w:eastAsia="仿宋_GB2312" w:cs="仿宋_GB2312" w:hint="eastAsia"/>
          <w:bCs/>
          <w:sz w:val="32"/>
          <w:lang w:val="en-US" w:eastAsia="zh-CN"/>
        </w:rPr>
        <w:t>18人</w:t>
      </w:r>
      <w:r>
        <w:rPr>
          <w:rFonts w:ascii="仿宋_GB2312" w:eastAsia="仿宋_GB2312" w:cs="仿宋_GB2312" w:hint="eastAsia"/>
          <w:bCs/>
          <w:sz w:val="32"/>
          <w:lang w:eastAsia="zh-CN"/>
        </w:rPr>
        <w:t>、</w:t>
      </w:r>
      <w:r>
        <w:rPr>
          <w:rFonts w:ascii="仿宋_GB2312" w:eastAsia="仿宋_GB2312" w:cs="仿宋_GB2312" w:hint="eastAsia"/>
          <w:bCs/>
          <w:sz w:val="32"/>
        </w:rPr>
        <w:t>机关工勤</w:t>
      </w:r>
      <w:r>
        <w:rPr>
          <w:rFonts w:ascii="仿宋_GB2312" w:eastAsia="仿宋_GB2312" w:cs="仿宋_GB2312" w:hint="eastAsia"/>
          <w:bCs/>
          <w:sz w:val="32"/>
          <w:lang w:val="en-US" w:eastAsia="zh-CN"/>
        </w:rPr>
        <w:t>3</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17</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rPr>
        <w:t>比上年</w:t>
      </w:r>
      <w:r>
        <w:rPr>
          <w:rFonts w:ascii="仿宋_GB2312" w:eastAsia="仿宋_GB2312" w:cs="仿宋_GB2312" w:hint="eastAsia"/>
          <w:bCs/>
          <w:sz w:val="32"/>
          <w:lang w:val="en-US" w:eastAsia="zh-CN"/>
        </w:rPr>
        <w:t>行政人员减少1</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事业人员无变动。由于编制空缺，有人员新进及调进</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0人</w:t>
      </w:r>
      <w:r>
        <w:rPr>
          <w:rFonts w:ascii="仿宋_GB2312" w:eastAsia="仿宋_GB2312" w:cs="仿宋_GB2312" w:hint="eastAsia"/>
          <w:bCs/>
          <w:sz w:val="32"/>
        </w:rPr>
        <w:t>。</w:t>
      </w:r>
    </w:p>
    <w:p>
      <w:pPr>
        <w:pStyle w:val="1"/>
        <w:ind w:right="440"/>
        <w:jc w:val="right"/>
      </w:pPr>
      <w:bookmarkStart w:id="34" w:name="_Toc32723"/>
      <w:bookmarkStart w:id="35" w:name="_Toc10246"/>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2022年度部门决算情况说明</w:t>
      </w:r>
      <w:bookmarkEnd w:id="33"/>
      <w:bookmarkEnd w:id="34"/>
      <w:bookmarkEnd w:id="35"/>
    </w:p>
    <w:p>
      <w:pPr>
        <w:pStyle w:val="32"/>
        <w:numPr>
          <w:ilvl w:val="0"/>
          <w:numId w:val="1"/>
        </w:numPr>
        <w:ind w:left="0" w:firstLineChars="0" w:firstLine="0"/>
        <w:outlineLvl w:val="1"/>
        <w:rPr>
          <w:rStyle w:val="2Char"/>
          <w:rFonts w:ascii="黑体" w:eastAsia="黑体"/>
          <w:b w:val="0"/>
        </w:rPr>
      </w:pPr>
      <w:bookmarkStart w:id="36" w:name="_Toc15377205"/>
      <w:bookmarkStart w:id="37" w:name="_Toc14461"/>
      <w:bookmarkStart w:id="38" w:name="_Toc9759"/>
      <w:r>
        <w:rPr>
          <w:rFonts w:ascii="黑体" w:eastAsia="黑体" w:hint="eastAsia"/>
          <w:color w:val="000000"/>
          <w:sz w:val="32"/>
          <w:szCs w:val="32"/>
        </w:rPr>
        <w:t>收</w:t>
      </w:r>
      <w:r>
        <w:rPr>
          <w:rStyle w:val="2Char"/>
          <w:rFonts w:ascii="黑体" w:eastAsia="黑体" w:hint="eastAsia"/>
          <w:b w:val="0"/>
        </w:rPr>
        <w:t>入支出决算总体情况说明</w:t>
      </w:r>
      <w:bookmarkEnd w:id="36"/>
      <w:bookmarkEnd w:id="37"/>
      <w:bookmarkEnd w:id="38"/>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rPr>
        <w:t>度总收入</w:t>
      </w:r>
      <w:r>
        <w:rPr>
          <w:rFonts w:ascii="仿宋_GB2312" w:eastAsia="仿宋_GB2312" w:hint="eastAsia"/>
          <w:color w:val="000000"/>
          <w:sz w:val="32"/>
          <w:szCs w:val="32"/>
          <w:shd w:val="clear" w:color="auto" w:fill="FFFFFF"/>
          <w14:textFill>
            <w14:solidFill>
              <w14:srgbClr w14:val="000000"/>
            </w14:solidFill>
          </w14:textFill>
          <w:lang w:val="en-US" w:eastAsia="zh-CN"/>
        </w:rPr>
        <w:t>1279.19</w:t>
      </w:r>
      <w:r>
        <w:rPr>
          <w:rFonts w:ascii="仿宋_GB2312" w:eastAsia="仿宋_GB2312" w:hint="eastAsia"/>
          <w:color w:val="000000"/>
          <w:spacing w:val="-2"/>
          <w:sz w:val="32"/>
          <w:szCs w:val="32"/>
        </w:rPr>
        <w:t>万元，较上年收入</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343.71</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21.18</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项目支出较上年有所减少</w:t>
      </w:r>
      <w:r>
        <w:rPr>
          <w:rFonts w:ascii="仿宋_GB2312" w:eastAsia="仿宋_GB2312" w:hint="eastAsia"/>
          <w:color w:val="000000"/>
          <w:spacing w:val="-2"/>
          <w:sz w:val="32"/>
          <w:szCs w:val="32"/>
        </w:rPr>
        <w:t>。</w:t>
      </w:r>
    </w:p>
    <w:p>
      <w:pPr>
        <w:snapToGrid w:val="0"/>
        <w:spacing w:line="520" w:lineRule="exact"/>
        <w:ind w:firstLineChars="200" w:firstLine="632"/>
        <w:rPr>
          <w:rFonts w:ascii="仿宋" w:eastAsia="仿宋"/>
          <w:sz w:val="32"/>
          <w:szCs w:val="32"/>
        </w:rPr>
      </w:pPr>
      <w:r>
        <w:rPr>
          <w:rFonts w:ascii="仿宋_GB2312" w:eastAsia="仿宋_GB2312" w:hint="eastAsia"/>
          <w:spacing w:val="-2"/>
          <w:sz w:val="32"/>
          <w:szCs w:val="32"/>
          <w:lang w:eastAsia="zh-CN"/>
        </w:rPr>
        <w:t>2022年</w:t>
      </w:r>
      <w:r>
        <w:rPr>
          <w:rFonts w:ascii="仿宋_GB2312" w:eastAsia="仿宋_GB2312" w:hint="eastAsia"/>
          <w:spacing w:val="-2"/>
          <w:sz w:val="32"/>
          <w:szCs w:val="32"/>
        </w:rPr>
        <w:t>总支出</w:t>
      </w:r>
      <w:r>
        <w:rPr>
          <w:rFonts w:ascii="仿宋_GB2312" w:eastAsia="仿宋_GB2312" w:hint="eastAsia"/>
          <w:color w:val="000000"/>
          <w:sz w:val="32"/>
          <w:szCs w:val="32"/>
          <w:shd w:val="clear" w:color="auto" w:fill="FFFFFF"/>
          <w14:textFill>
            <w14:solidFill>
              <w14:srgbClr w14:val="000000"/>
            </w14:solidFill>
          </w14:textFill>
          <w:lang w:val="en-US" w:eastAsia="zh-CN"/>
        </w:rPr>
        <w:t>1279.19</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减少</w:t>
      </w:r>
      <w:r>
        <w:rPr>
          <w:rFonts w:ascii="仿宋_GB2312" w:eastAsia="仿宋_GB2312" w:hint="eastAsia"/>
          <w:color w:val="000000"/>
          <w:spacing w:val="-2"/>
          <w:sz w:val="32"/>
          <w:szCs w:val="32"/>
          <w:lang w:val="en-US" w:eastAsia="zh-CN"/>
        </w:rPr>
        <w:t>343.71</w:t>
      </w:r>
      <w:r>
        <w:rPr>
          <w:rFonts w:ascii="仿宋_GB2312" w:eastAsia="仿宋_GB2312" w:hint="eastAsia"/>
          <w:spacing w:val="-2"/>
          <w:sz w:val="32"/>
          <w:szCs w:val="32"/>
        </w:rPr>
        <w:t>万元，</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21.18</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项目支出较上年有所减少</w:t>
      </w:r>
      <w:r>
        <w:rPr>
          <w:rFonts w:ascii="仿宋_GB2312" w:eastAsia="仿宋_GB2312" w:hint="eastAsia"/>
          <w:color w:val="000000"/>
          <w:spacing w:val="-2"/>
          <w:sz w:val="32"/>
          <w:szCs w:val="32"/>
        </w:rPr>
        <w:t>。</w:t>
      </w:r>
    </w:p>
    <w:p>
      <w:pPr>
        <w:pStyle w:val="32"/>
        <w:outlineLvl w:val="1"/>
        <w:rPr>
          <w:rStyle w:val="2Char"/>
          <w:rFonts w:ascii="黑体" w:eastAsia="黑体" w:cs="Times New Roman" w:hint="eastAsia"/>
          <w:b w:val="0"/>
        </w:rPr>
      </w:pPr>
      <w:bookmarkStart w:id="39" w:name="_Toc23259"/>
      <w:r>
        <w:rPr>
          <w:rStyle w:val="2Char"/>
          <w:rFonts w:ascii="黑体" w:eastAsia="黑体" w:cs="Times New Roman" w:hint="eastAsia"/>
          <w:b w:val="0"/>
        </w:rPr>
        <w:drawing>
          <wp:anchor distT="0" distB="0" distL="114300" distR="114300" simplePos="0" relativeHeight="18" behindDoc="0" locked="0" layoutInCell="1" hidden="0" allowOverlap="1">
            <wp:simplePos x="0" y="0"/>
            <wp:positionH relativeFrom="column">
              <wp:posOffset>299085</wp:posOffset>
            </wp:positionH>
            <wp:positionV relativeFrom="paragraph">
              <wp:posOffset>-6069330</wp:posOffset>
            </wp:positionV>
            <wp:extent cx="5079998"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8"/>
              </a:graphicData>
            </a:graphic>
          </wp:anchor>
        </w:drawing>
      </w:r>
      <w:bookmarkStart w:id="40" w:name="_Toc15377206"/>
      <w:r>
        <w:rPr>
          <w:rStyle w:val="2Char"/>
          <w:rFonts w:ascii="黑体" w:eastAsia="黑体" w:cs="Times New Roman" w:hint="eastAsia"/>
          <w:b w:val="0"/>
        </w:rPr>
        <w:t>二、收入决算情况说明</w:t>
      </w:r>
      <w:bookmarkEnd w:id="39"/>
      <w:bookmarkEnd w:id="40"/>
    </w:p>
    <w:p>
      <w:pPr>
        <w:snapToGrid w:val="0"/>
        <w:spacing w:line="520" w:lineRule="exact"/>
        <w:ind w:firstLineChars="200" w:firstLine="640"/>
        <w:rPr>
          <w:rFonts w:ascii="仿宋" w:eastAsia="仿宋" w:cs="Times New Roman" w:hint="eastAsia"/>
          <w:color w:val="000000"/>
          <w:sz w:val="32"/>
          <w:szCs w:val="32"/>
        </w:rPr>
      </w:pPr>
      <w:bookmarkStart w:id="41" w:name="_Toc22912"/>
      <w:r>
        <w:rPr>
          <w:rFonts w:ascii="仿宋" w:eastAsia="仿宋" w:cs="Times New Roman" w:hint="eastAsia"/>
          <w:color w:val="000000"/>
          <w:sz w:val="32"/>
          <w:szCs w:val="32"/>
          <w:lang w:eastAsia="zh-CN"/>
        </w:rPr>
        <w:t>2022年总收入</w:t>
      </w:r>
      <w:r>
        <w:rPr>
          <w:rFonts w:ascii="仿宋" w:eastAsia="仿宋" w:cs="Times New Roman" w:hint="eastAsia"/>
          <w:color w:val="000000"/>
          <w:sz w:val="32"/>
          <w:szCs w:val="32"/>
          <w:lang w:val="en-US" w:eastAsia="zh-CN"/>
        </w:rPr>
        <w:t>1279.19</w:t>
      </w:r>
      <w:r>
        <w:rPr>
          <w:rFonts w:ascii="仿宋" w:eastAsia="仿宋" w:cs="Times New Roman" w:hint="eastAsia"/>
          <w:color w:val="000000"/>
          <w:sz w:val="32"/>
          <w:szCs w:val="32"/>
          <w:lang w:eastAsia="zh-CN"/>
        </w:rPr>
        <w:t>万元，其中：一般公共预算财政拨款收入</w:t>
      </w:r>
      <w:r>
        <w:rPr>
          <w:rFonts w:ascii="仿宋" w:eastAsia="仿宋" w:cs="Times New Roman" w:hint="eastAsia"/>
          <w:color w:val="000000"/>
          <w:sz w:val="32"/>
          <w:szCs w:val="32"/>
          <w:lang w:val="en-US" w:eastAsia="zh-CN"/>
        </w:rPr>
        <w:t>1279.19</w:t>
      </w:r>
      <w:r>
        <w:rPr>
          <w:rFonts w:ascii="仿宋" w:eastAsia="仿宋" w:cs="Times New Roman" w:hint="eastAsia"/>
          <w:color w:val="000000"/>
          <w:sz w:val="32"/>
          <w:szCs w:val="32"/>
          <w:lang w:eastAsia="zh-CN"/>
        </w:rPr>
        <w:t>万元，占100%；政府性基金预算财政拨款收入0万元，占0%；国有资本经营预算财政拨款收入0万元，占0%；事业收入0万元，占0%；经营收入0万元，占0%；附属单位上缴收入0万元，占0%；其他收入0万元，占0%。</w:t>
      </w:r>
      <w:bookmarkEnd w:id="41"/>
    </w:p>
    <w:p>
      <w:pPr>
        <w:spacing w:line="600" w:lineRule="exact"/>
        <w:ind w:firstLineChars="200" w:firstLine="640"/>
        <w:outlineLvl w:val="1"/>
        <w:rPr>
          <w:rStyle w:val="2Char"/>
          <w:rFonts w:ascii="黑体" w:eastAsia="黑体"/>
          <w:b w:val="0"/>
        </w:rPr>
      </w:pPr>
      <w:bookmarkStart w:id="42" w:name="_Toc4194"/>
      <w:bookmarkStart w:id="43" w:name="_Toc30398"/>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73368"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9"/>
              </a:graphicData>
            </a:graphic>
          </wp:anchor>
        </w:drawing>
      </w:r>
      <w:bookmarkStart w:id="44" w:name="_Toc15377207"/>
      <w:r>
        <w:rPr>
          <w:rFonts w:ascii="黑体" w:eastAsia="黑体" w:hint="eastAsia"/>
          <w:color w:val="000000"/>
          <w:sz w:val="32"/>
          <w:szCs w:val="32"/>
        </w:rPr>
        <w:t>三、支出决</w:t>
      </w:r>
      <w:r>
        <w:rPr>
          <w:rStyle w:val="2Char"/>
          <w:rFonts w:ascii="黑体" w:eastAsia="黑体" w:hint="eastAsia"/>
          <w:b w:val="0"/>
        </w:rPr>
        <w:t>算情况说明</w:t>
      </w:r>
      <w:bookmarkEnd w:id="42"/>
      <w:bookmarkEnd w:id="43"/>
      <w:bookmarkEnd w:id="44"/>
    </w:p>
    <w:p>
      <w:pPr>
        <w:spacing w:line="600" w:lineRule="exact"/>
        <w:ind w:firstLine="640"/>
        <w:rPr>
          <w:rFonts w:ascii="黑体" w:eastAsia="黑体" w:hint="eastAsia"/>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本年总支出</w:t>
      </w:r>
      <w:r>
        <w:rPr>
          <w:rFonts w:ascii="仿宋" w:eastAsia="仿宋" w:hint="eastAsia"/>
          <w:color w:val="000000"/>
          <w:sz w:val="32"/>
          <w:szCs w:val="32"/>
          <w:lang w:val="en-US" w:eastAsia="zh-CN"/>
        </w:rPr>
        <w:t>1279.19</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868.36</w:t>
      </w:r>
      <w:r>
        <w:rPr>
          <w:rFonts w:ascii="仿宋" w:eastAsia="仿宋" w:hint="eastAsia"/>
          <w:color w:val="000000"/>
          <w:sz w:val="32"/>
          <w:szCs w:val="32"/>
        </w:rPr>
        <w:t>万元，占</w:t>
      </w:r>
      <w:r>
        <w:rPr>
          <w:rFonts w:ascii="仿宋" w:eastAsia="仿宋" w:hint="eastAsia"/>
          <w:color w:val="000000"/>
          <w:sz w:val="32"/>
          <w:szCs w:val="32"/>
          <w:lang w:val="en-US" w:eastAsia="zh-CN"/>
        </w:rPr>
        <w:t>67.88</w:t>
      </w:r>
      <w:r>
        <w:rPr>
          <w:rFonts w:ascii="仿宋" w:eastAsia="仿宋" w:hint="eastAsia"/>
          <w:color w:val="000000"/>
          <w:sz w:val="32"/>
          <w:szCs w:val="32"/>
        </w:rPr>
        <w:t>%；项目支出</w:t>
      </w:r>
      <w:r>
        <w:rPr>
          <w:rFonts w:ascii="仿宋" w:eastAsia="仿宋" w:hint="eastAsia"/>
          <w:color w:val="000000"/>
          <w:sz w:val="32"/>
          <w:szCs w:val="32"/>
          <w:lang w:val="en-US" w:eastAsia="zh-CN"/>
        </w:rPr>
        <w:t>410.83</w:t>
      </w:r>
      <w:r>
        <w:rPr>
          <w:rFonts w:ascii="仿宋" w:eastAsia="仿宋" w:hint="eastAsia"/>
          <w:color w:val="000000"/>
          <w:sz w:val="32"/>
          <w:szCs w:val="32"/>
        </w:rPr>
        <w:t>万元，占</w:t>
      </w:r>
      <w:r>
        <w:rPr>
          <w:rFonts w:ascii="仿宋" w:eastAsia="仿宋" w:hint="eastAsia"/>
          <w:color w:val="000000"/>
          <w:sz w:val="32"/>
          <w:szCs w:val="32"/>
          <w:lang w:val="en-US" w:eastAsia="zh-CN"/>
        </w:rPr>
        <w:t>32.12</w:t>
      </w:r>
      <w:r>
        <w:rPr>
          <w:rFonts w:ascii="仿宋" w:eastAsia="仿宋" w:hint="eastAsia"/>
          <w:color w:val="000000"/>
          <w:sz w:val="32"/>
          <w:szCs w:val="32"/>
        </w:rPr>
        <w:t>%</w:t>
      </w:r>
      <w:r>
        <w:rPr>
          <w:rFonts w:ascii="仿宋" w:eastAsia="仿宋" w:hint="eastAsia"/>
          <w:color w:val="000000"/>
          <w:sz w:val="32"/>
          <w:szCs w:val="32"/>
          <w:lang w:eastAsia="zh-CN"/>
        </w:rPr>
        <w:t>。</w:t>
      </w:r>
    </w:p>
    <w:p>
      <w:pPr>
        <w:pStyle w:val="15"/>
        <w:rPr>
          <w:lang w:val="en-US"/>
        </w:rPr>
      </w:pPr>
      <w:r>
        <w:rPr>
          <w:rFonts w:ascii="黑体" w:eastAsia="黑体" w:hint="eastAsia"/>
          <w:color w:val="000000"/>
          <w:sz w:val="32"/>
          <w:szCs w:val="32"/>
        </w:rPr>
        <w:drawing>
          <wp:anchor distT="0" distB="0" distL="114300" distR="114300" simplePos="0" relativeHeight="24" behindDoc="0" locked="0" layoutInCell="1" hidden="0" allowOverlap="1">
            <wp:simplePos x="0" y="0"/>
            <wp:positionH relativeFrom="column">
              <wp:posOffset>-81280</wp:posOffset>
            </wp:positionH>
            <wp:positionV relativeFrom="paragraph">
              <wp:posOffset>182880</wp:posOffset>
            </wp:positionV>
            <wp:extent cx="5373368"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Chars="200" w:firstLine="640"/>
        <w:outlineLvl w:val="1"/>
        <w:rPr>
          <w:rStyle w:val="2Char"/>
          <w:rFonts w:ascii="黑体" w:eastAsia="黑体"/>
          <w:b w:val="0"/>
        </w:rPr>
      </w:pPr>
      <w:bookmarkStart w:id="45" w:name="_Toc15377208"/>
      <w:bookmarkStart w:id="46" w:name="_Toc27948"/>
      <w:bookmarkStart w:id="47" w:name="_Toc24383"/>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5"/>
      <w:bookmarkEnd w:id="46"/>
      <w:bookmarkEnd w:id="47"/>
    </w:p>
    <w:p>
      <w:pPr>
        <w:snapToGrid w:val="0"/>
        <w:spacing w:line="520" w:lineRule="exact"/>
        <w:ind w:firstLineChars="200" w:firstLine="640"/>
        <w:rPr>
          <w:rFonts w:ascii="仿宋_GB2312" w:eastAsia="仿宋_GB2312"/>
          <w:color w:val="000000"/>
          <w:spacing w:val="-2"/>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财政拨款收入</w:t>
      </w:r>
      <w:r>
        <w:rPr>
          <w:rFonts w:ascii="仿宋" w:eastAsia="仿宋" w:hint="eastAsia"/>
          <w:color w:val="000000"/>
          <w:sz w:val="32"/>
          <w:szCs w:val="32"/>
          <w:lang w:val="en-US" w:eastAsia="zh-CN"/>
        </w:rPr>
        <w:t>1279.19</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年相比，一般公共预算财政拨款收入</w:t>
      </w:r>
      <w:r>
        <w:rPr>
          <w:rFonts w:ascii="仿宋_GB2312" w:eastAsia="仿宋_GB2312" w:hint="eastAsia"/>
          <w:color w:val="000000"/>
          <w:spacing w:val="-2"/>
          <w:sz w:val="32"/>
          <w:szCs w:val="32"/>
        </w:rPr>
        <w:t>较上年收入</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343.71</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21.18%</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项目支出较上年有所减少</w:t>
      </w:r>
      <w:r>
        <w:rPr>
          <w:rFonts w:ascii="仿宋_GB2312" w:eastAsia="仿宋_GB2312" w:hint="eastAsia"/>
          <w:color w:val="000000"/>
          <w:spacing w:val="-2"/>
          <w:sz w:val="32"/>
          <w:szCs w:val="32"/>
        </w:rPr>
        <w:t>。</w:t>
      </w:r>
    </w:p>
    <w:p>
      <w:pPr>
        <w:snapToGrid w:val="0"/>
        <w:spacing w:line="520" w:lineRule="exact"/>
        <w:ind w:firstLineChars="200" w:firstLine="640"/>
        <w:rPr>
          <w:rFonts w:ascii="仿宋_GB2312" w:eastAsia="仿宋_GB2312"/>
          <w:color w:val="000000"/>
          <w:spacing w:val="-2"/>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财政拨款</w:t>
      </w:r>
      <w:r>
        <w:rPr>
          <w:rFonts w:ascii="仿宋" w:eastAsia="仿宋" w:hint="eastAsia"/>
          <w:color w:val="000000"/>
          <w:sz w:val="32"/>
          <w:szCs w:val="32"/>
          <w:lang w:val="en-US" w:eastAsia="zh-CN"/>
        </w:rPr>
        <w:t>支出1279.19</w:t>
      </w:r>
      <w:r>
        <w:rPr>
          <w:rFonts w:ascii="仿宋" w:eastAsia="仿宋" w:hint="eastAsia"/>
          <w:color w:val="000000"/>
          <w:sz w:val="32"/>
          <w:szCs w:val="32"/>
        </w:rPr>
        <w:t>万元</w:t>
      </w:r>
      <w:r>
        <w:rPr>
          <w:rFonts w:ascii="仿宋_GB2312" w:eastAsia="仿宋_GB2312" w:hint="eastAsia"/>
          <w:spacing w:val="-2"/>
          <w:sz w:val="32"/>
          <w:szCs w:val="32"/>
        </w:rPr>
        <w:t>，较上年支出</w:t>
      </w:r>
      <w:r>
        <w:rPr>
          <w:rFonts w:ascii="仿宋_GB2312" w:eastAsia="仿宋_GB2312" w:hint="eastAsia"/>
          <w:spacing w:val="-2"/>
          <w:sz w:val="32"/>
          <w:szCs w:val="32"/>
          <w:lang w:val="en-US" w:eastAsia="zh-CN"/>
        </w:rPr>
        <w:t>减少</w:t>
      </w:r>
      <w:r>
        <w:rPr>
          <w:rFonts w:ascii="仿宋_GB2312" w:eastAsia="仿宋_GB2312" w:hint="eastAsia"/>
          <w:color w:val="000000"/>
          <w:spacing w:val="-2"/>
          <w:sz w:val="32"/>
          <w:szCs w:val="32"/>
          <w:lang w:val="en-US" w:eastAsia="zh-CN"/>
        </w:rPr>
        <w:t>343.71</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21.18%</w:t>
      </w:r>
      <w:r>
        <w:rPr>
          <w:rFonts w:ascii="仿宋_GB2312" w:eastAsia="仿宋_GB2312" w:hint="eastAsia"/>
          <w:spacing w:val="-2"/>
          <w:sz w:val="32"/>
          <w:szCs w:val="32"/>
        </w:rPr>
        <w:t>。</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项目支出较上年有所减少</w:t>
      </w:r>
      <w:r>
        <w:rPr>
          <w:rFonts w:ascii="仿宋_GB2312" w:eastAsia="仿宋_GB2312" w:hint="eastAsia"/>
          <w:color w:val="000000"/>
          <w:spacing w:val="-2"/>
          <w:sz w:val="32"/>
          <w:szCs w:val="32"/>
        </w:rPr>
        <w:t>。</w:t>
      </w:r>
    </w:p>
    <w:p>
      <w:pPr>
        <w:spacing w:line="600" w:lineRule="exact"/>
        <w:ind w:firstLineChars="200" w:firstLine="640"/>
        <w:outlineLvl w:val="1"/>
        <w:rPr>
          <w:rStyle w:val="2Char"/>
          <w:rFonts w:ascii="黑体" w:eastAsia="黑体" w:cs="Times New Roman" w:hint="eastAsia"/>
          <w:b w:val="0"/>
        </w:rPr>
      </w:pPr>
      <w:bookmarkStart w:id="48" w:name="_Toc29169"/>
      <w:r>
        <w:rPr>
          <w:rStyle w:val="2Char"/>
          <w:rFonts w:ascii="黑体" w:eastAsia="黑体" w:cs="Times New Roman" w:hint="eastAsia"/>
          <w:b w:val="0"/>
        </w:rPr>
        <w:drawing>
          <wp:anchor distT="0" distB="0" distL="114300" distR="114300" simplePos="0" relativeHeight="22"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11"/>
              </a:graphicData>
            </a:graphic>
          </wp:anchor>
        </w:drawing>
      </w:r>
      <w:bookmarkStart w:id="49" w:name="_Toc15377209"/>
      <w:r>
        <w:rPr>
          <w:rStyle w:val="2Char"/>
          <w:rFonts w:ascii="黑体" w:eastAsia="黑体" w:cs="Times New Roman" w:hint="eastAsia"/>
          <w:b w:val="0"/>
        </w:rPr>
        <w:t>五、一般公共预算财政拨款支出决算情况说明</w:t>
      </w:r>
      <w:bookmarkEnd w:id="48"/>
      <w:bookmarkEnd w:id="49"/>
    </w:p>
    <w:p>
      <w:pPr>
        <w:spacing w:line="600" w:lineRule="exact"/>
        <w:ind w:firstLineChars="200" w:firstLine="640"/>
        <w:outlineLvl w:val="2"/>
        <w:rPr>
          <w:rFonts w:ascii="仿宋" w:eastAsia="仿宋"/>
          <w:b/>
          <w:color w:val="000000"/>
          <w:sz w:val="32"/>
          <w:szCs w:val="32"/>
        </w:rPr>
      </w:pPr>
      <w:bookmarkStart w:id="50" w:name="_Toc15377210"/>
      <w:r>
        <w:rPr>
          <w:rFonts w:ascii="仿宋" w:eastAsia="仿宋" w:hint="eastAsia"/>
          <w:b/>
          <w:color w:val="000000"/>
          <w:sz w:val="32"/>
          <w:szCs w:val="32"/>
        </w:rPr>
        <w:t>（一）一般公共预算财政拨款支出决算总体情况</w:t>
      </w:r>
      <w:bookmarkEnd w:id="50"/>
    </w:p>
    <w:p>
      <w:pPr>
        <w:snapToGrid w:val="0"/>
        <w:spacing w:line="520" w:lineRule="exact"/>
        <w:ind w:firstLineChars="200" w:firstLine="640"/>
        <w:rPr>
          <w:rFonts w:ascii="仿宋_GB2312" w:eastAsia="仿宋_GB2312"/>
          <w:spacing w:val="-2"/>
          <w:sz w:val="32"/>
          <w:szCs w:val="32"/>
        </w:rPr>
      </w:pPr>
      <w:r>
        <w:rPr>
          <w:rFonts w:ascii="仿宋" w:eastAsia="仿宋" w:hint="eastAsia"/>
          <w:color w:val="000000"/>
          <w:sz w:val="32"/>
          <w:szCs w:val="32"/>
          <w:lang w:eastAsia="zh-CN"/>
        </w:rPr>
        <w:t>2022年</w:t>
      </w:r>
      <w:r>
        <w:rPr>
          <w:rFonts w:ascii="仿宋_GB2312" w:eastAsia="仿宋_GB2312" w:hint="eastAsia"/>
          <w:spacing w:val="-2"/>
          <w:sz w:val="32"/>
          <w:szCs w:val="32"/>
        </w:rPr>
        <w:t>一般公共预算财政拨款支出</w:t>
      </w:r>
      <w:r>
        <w:rPr>
          <w:rFonts w:ascii="仿宋_GB2312" w:eastAsia="仿宋_GB2312" w:hint="eastAsia"/>
          <w:spacing w:val="-2"/>
          <w:sz w:val="32"/>
          <w:szCs w:val="32"/>
          <w:lang w:val="en-US" w:eastAsia="zh-CN"/>
        </w:rPr>
        <w:t>1279.19</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支出较上年支出</w:t>
      </w:r>
      <w:r>
        <w:rPr>
          <w:rFonts w:ascii="仿宋_GB2312" w:eastAsia="仿宋_GB2312" w:hint="eastAsia"/>
          <w:spacing w:val="-2"/>
          <w:sz w:val="32"/>
          <w:szCs w:val="32"/>
          <w:lang w:val="en-US" w:eastAsia="zh-CN"/>
        </w:rPr>
        <w:t>减少343.71</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lang w:val="en-US" w:eastAsia="zh-CN"/>
        </w:rPr>
        <w:t>21.18%</w:t>
      </w:r>
      <w:r>
        <w:rPr>
          <w:rFonts w:ascii="仿宋_GB2312" w:eastAsia="仿宋_GB2312" w:hint="eastAsia"/>
          <w:spacing w:val="-2"/>
          <w:sz w:val="32"/>
          <w:szCs w:val="32"/>
        </w:rPr>
        <w:t>。</w:t>
      </w:r>
      <w:r>
        <w:rPr>
          <w:rFonts w:ascii="仿宋_GB2312" w:eastAsia="仿宋_GB2312" w:hint="eastAsia"/>
          <w:color w:val="000000"/>
          <w:spacing w:val="-2"/>
          <w:sz w:val="32"/>
          <w:szCs w:val="32"/>
          <w:lang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lang w:val="en-US" w:eastAsia="zh-CN"/>
        </w:rPr>
        <w:t>项目支出较上年有所减少</w:t>
      </w:r>
      <w:r>
        <w:rPr>
          <w:rFonts w:ascii="仿宋_GB2312" w:eastAsia="仿宋_GB2312" w:hint="eastAsia"/>
          <w:color w:val="000000"/>
          <w:spacing w:val="-2"/>
          <w:sz w:val="32"/>
          <w:szCs w:val="32"/>
        </w:rPr>
        <w:t>。</w:t>
      </w:r>
    </w:p>
    <w:p>
      <w:pPr>
        <w:numPr>
          <w:ilvl w:val="0"/>
          <w:numId w:val="2"/>
        </w:numPr>
        <w:spacing w:line="600" w:lineRule="exact"/>
        <w:ind w:left="0" w:firstLineChars="200" w:firstLine="640"/>
        <w:outlineLvl w:val="2"/>
        <w:rPr>
          <w:rFonts w:ascii="仿宋" w:eastAsia="仿宋"/>
          <w:b/>
          <w:color w:val="000000"/>
          <w:sz w:val="32"/>
          <w:szCs w:val="32"/>
        </w:rPr>
      </w:pPr>
      <w:bookmarkStart w:id="51" w:name="_Toc15377211"/>
      <w:r>
        <w:rPr>
          <w:rFonts w:ascii="仿宋" w:eastAsia="仿宋" w:hint="eastAsia"/>
          <w:b/>
          <w:color w:val="000000"/>
          <w:sz w:val="32"/>
          <w:szCs w:val="32"/>
        </w:rPr>
        <w:t>一般公共预算财政拨款支出决算结构情况</w:t>
      </w:r>
      <w:bookmarkEnd w:id="51"/>
    </w:p>
    <w:p>
      <w:pPr>
        <w:snapToGrid w:val="0"/>
        <w:spacing w:line="520" w:lineRule="exact"/>
        <w:ind w:firstLineChars="200" w:firstLine="640"/>
        <w:rPr>
          <w:rFonts w:ascii="仿宋" w:eastAsia="仿宋" w:cs="Times New Roman" w:hint="eastAsia"/>
          <w:color w:val="000000"/>
          <w:sz w:val="32"/>
          <w:szCs w:val="32"/>
          <w:lang w:eastAsia="zh-CN"/>
        </w:rPr>
      </w:pPr>
      <w:r>
        <w:rPr>
          <w:rFonts w:ascii="仿宋" w:eastAsia="仿宋" w:cs="Times New Roman" w:hint="eastAsia"/>
          <w:color w:val="000000"/>
          <w:sz w:val="32"/>
          <w:szCs w:val="32"/>
          <w:lang w:eastAsia="zh-CN"/>
        </w:rPr>
        <w:t>2022年一般公共预算财政拨款支出为</w:t>
      </w:r>
      <w:r>
        <w:rPr>
          <w:rFonts w:ascii="仿宋" w:eastAsia="仿宋" w:cs="Times New Roman" w:hint="eastAsia"/>
          <w:color w:val="000000"/>
          <w:sz w:val="32"/>
          <w:szCs w:val="32"/>
          <w:lang w:val="en-US" w:eastAsia="zh-CN"/>
        </w:rPr>
        <w:t>1279.19</w:t>
      </w:r>
      <w:r>
        <w:rPr>
          <w:rFonts w:ascii="仿宋" w:eastAsia="仿宋" w:cs="Times New Roman" w:hint="eastAsia"/>
          <w:color w:val="000000"/>
          <w:sz w:val="32"/>
          <w:szCs w:val="32"/>
          <w:lang w:eastAsia="zh-CN"/>
        </w:rPr>
        <w:t>万元。其中：一般公共服务支出为</w:t>
      </w:r>
      <w:r>
        <w:rPr>
          <w:rFonts w:ascii="仿宋" w:eastAsia="仿宋" w:cs="Times New Roman" w:hint="eastAsia"/>
          <w:color w:val="000000"/>
          <w:sz w:val="32"/>
          <w:szCs w:val="32"/>
          <w:lang w:val="en-US" w:eastAsia="zh-CN"/>
        </w:rPr>
        <w:t>398.23</w:t>
      </w:r>
      <w:r>
        <w:rPr>
          <w:rFonts w:ascii="仿宋" w:eastAsia="仿宋" w:cs="Times New Roman" w:hint="eastAsia"/>
          <w:color w:val="000000"/>
          <w:sz w:val="32"/>
          <w:szCs w:val="32"/>
          <w:lang w:eastAsia="zh-CN"/>
        </w:rPr>
        <w:t>万元，占比</w:t>
      </w:r>
      <w:r>
        <w:rPr>
          <w:rFonts w:ascii="仿宋" w:eastAsia="仿宋" w:cs="Times New Roman" w:hint="eastAsia"/>
          <w:color w:val="000000"/>
          <w:sz w:val="32"/>
          <w:szCs w:val="32"/>
          <w:lang w:val="en-US" w:eastAsia="zh-CN"/>
        </w:rPr>
        <w:t>31.13</w:t>
      </w:r>
      <w:r>
        <w:rPr>
          <w:rFonts w:ascii="仿宋" w:eastAsia="仿宋" w:cs="Times New Roman" w:hint="eastAsia"/>
          <w:color w:val="000000"/>
          <w:sz w:val="32"/>
          <w:szCs w:val="32"/>
          <w:lang w:eastAsia="zh-CN"/>
        </w:rPr>
        <w:t>%；社会保障和就业支出为</w:t>
      </w:r>
      <w:r>
        <w:rPr>
          <w:rFonts w:ascii="仿宋" w:eastAsia="仿宋" w:cs="Times New Roman" w:hint="eastAsia"/>
          <w:color w:val="000000"/>
          <w:sz w:val="32"/>
          <w:szCs w:val="32"/>
          <w:lang w:val="en-US" w:eastAsia="zh-CN"/>
        </w:rPr>
        <w:t>92.34</w:t>
      </w:r>
      <w:r>
        <w:rPr>
          <w:rFonts w:ascii="仿宋" w:eastAsia="仿宋" w:cs="Times New Roman" w:hint="eastAsia"/>
          <w:color w:val="000000"/>
          <w:sz w:val="32"/>
          <w:szCs w:val="32"/>
          <w:lang w:eastAsia="zh-CN"/>
        </w:rPr>
        <w:t>万元，占比</w:t>
      </w:r>
      <w:r>
        <w:rPr>
          <w:rFonts w:ascii="仿宋" w:eastAsia="仿宋" w:cs="Times New Roman" w:hint="eastAsia"/>
          <w:color w:val="000000"/>
          <w:sz w:val="32"/>
          <w:szCs w:val="32"/>
          <w:lang w:val="en-US" w:eastAsia="zh-CN"/>
        </w:rPr>
        <w:t>7.22</w:t>
      </w:r>
      <w:r>
        <w:rPr>
          <w:rFonts w:ascii="仿宋" w:eastAsia="仿宋" w:cs="Times New Roman" w:hint="eastAsia"/>
          <w:color w:val="000000"/>
          <w:sz w:val="32"/>
          <w:szCs w:val="32"/>
          <w:lang w:eastAsia="zh-CN"/>
        </w:rPr>
        <w:t>%；卫生健康支出为</w:t>
      </w:r>
      <w:r>
        <w:rPr>
          <w:rFonts w:ascii="仿宋" w:eastAsia="仿宋" w:cs="Times New Roman" w:hint="eastAsia"/>
          <w:color w:val="000000"/>
          <w:sz w:val="32"/>
          <w:szCs w:val="32"/>
          <w:lang w:val="en-US" w:eastAsia="zh-CN"/>
        </w:rPr>
        <w:t>48.82</w:t>
      </w:r>
      <w:r>
        <w:rPr>
          <w:rFonts w:ascii="仿宋" w:eastAsia="仿宋" w:cs="Times New Roman" w:hint="eastAsia"/>
          <w:color w:val="000000"/>
          <w:sz w:val="32"/>
          <w:szCs w:val="32"/>
          <w:lang w:eastAsia="zh-CN"/>
        </w:rPr>
        <w:t>万元，占比</w:t>
      </w:r>
      <w:r>
        <w:rPr>
          <w:rFonts w:ascii="仿宋" w:eastAsia="仿宋" w:cs="Times New Roman" w:hint="eastAsia"/>
          <w:color w:val="000000"/>
          <w:sz w:val="32"/>
          <w:szCs w:val="32"/>
          <w:lang w:val="en-US" w:eastAsia="zh-CN"/>
        </w:rPr>
        <w:t>3.82</w:t>
      </w:r>
      <w:r>
        <w:rPr>
          <w:rFonts w:ascii="仿宋" w:eastAsia="仿宋" w:cs="Times New Roman" w:hint="eastAsia"/>
          <w:color w:val="000000"/>
          <w:sz w:val="32"/>
          <w:szCs w:val="32"/>
          <w:lang w:eastAsia="zh-CN"/>
        </w:rPr>
        <w:t>%</w:t>
      </w:r>
      <w:r>
        <w:rPr>
          <w:rFonts w:ascii="仿宋" w:eastAsia="仿宋" w:cs="Times New Roman" w:hint="eastAsia"/>
          <w:color w:val="000000"/>
          <w:sz w:val="32"/>
          <w:szCs w:val="32"/>
          <w:lang w:val="en-US" w:eastAsia="zh-CN"/>
        </w:rPr>
        <w:t>；</w:t>
      </w:r>
      <w:r>
        <w:rPr>
          <w:rFonts w:ascii="仿宋" w:eastAsia="仿宋" w:cs="Times New Roman" w:hint="eastAsia"/>
          <w:color w:val="000000"/>
          <w:sz w:val="32"/>
          <w:szCs w:val="32"/>
          <w:lang w:eastAsia="zh-CN"/>
        </w:rPr>
        <w:t>农林水支出为</w:t>
      </w:r>
      <w:r>
        <w:rPr>
          <w:rFonts w:ascii="仿宋" w:eastAsia="仿宋" w:cs="Times New Roman" w:hint="eastAsia"/>
          <w:color w:val="000000"/>
          <w:sz w:val="32"/>
          <w:szCs w:val="32"/>
          <w:lang w:val="en-US" w:eastAsia="zh-CN"/>
        </w:rPr>
        <w:t>679.61</w:t>
      </w:r>
      <w:r>
        <w:rPr>
          <w:rFonts w:ascii="仿宋" w:eastAsia="仿宋" w:cs="Times New Roman" w:hint="eastAsia"/>
          <w:color w:val="000000"/>
          <w:sz w:val="32"/>
          <w:szCs w:val="32"/>
          <w:lang w:eastAsia="zh-CN"/>
        </w:rPr>
        <w:t>万元，占比</w:t>
      </w:r>
      <w:r>
        <w:rPr>
          <w:rFonts w:ascii="仿宋" w:eastAsia="仿宋" w:cs="Times New Roman" w:hint="eastAsia"/>
          <w:color w:val="000000"/>
          <w:sz w:val="32"/>
          <w:szCs w:val="32"/>
          <w:lang w:val="en-US" w:eastAsia="zh-CN"/>
        </w:rPr>
        <w:t>53.13</w:t>
      </w:r>
      <w:r>
        <w:rPr>
          <w:rFonts w:ascii="仿宋" w:eastAsia="仿宋" w:cs="Times New Roman" w:hint="eastAsia"/>
          <w:color w:val="000000"/>
          <w:sz w:val="32"/>
          <w:szCs w:val="32"/>
          <w:lang w:eastAsia="zh-CN"/>
        </w:rPr>
        <w:t>%；住房保障支出为</w:t>
      </w:r>
      <w:r>
        <w:rPr>
          <w:rFonts w:ascii="仿宋" w:eastAsia="仿宋" w:cs="Times New Roman" w:hint="eastAsia"/>
          <w:color w:val="000000"/>
          <w:sz w:val="32"/>
          <w:szCs w:val="32"/>
          <w:lang w:val="en-US" w:eastAsia="zh-CN"/>
        </w:rPr>
        <w:t>56.82</w:t>
      </w:r>
      <w:r>
        <w:rPr>
          <w:rFonts w:ascii="仿宋" w:eastAsia="仿宋" w:cs="Times New Roman" w:hint="eastAsia"/>
          <w:color w:val="000000"/>
          <w:sz w:val="32"/>
          <w:szCs w:val="32"/>
          <w:lang w:eastAsia="zh-CN"/>
        </w:rPr>
        <w:t>万元，占比</w:t>
      </w:r>
      <w:r>
        <w:rPr>
          <w:rFonts w:ascii="仿宋" w:eastAsia="仿宋" w:cs="Times New Roman" w:hint="eastAsia"/>
          <w:color w:val="000000"/>
          <w:sz w:val="32"/>
          <w:szCs w:val="32"/>
          <w:lang w:val="en-US" w:eastAsia="zh-CN"/>
        </w:rPr>
        <w:t>4.44</w:t>
      </w:r>
      <w:r>
        <w:rPr>
          <w:rFonts w:ascii="仿宋" w:eastAsia="仿宋" w:cs="Times New Roman" w:hint="eastAsia"/>
          <w:color w:val="000000"/>
          <w:sz w:val="32"/>
          <w:szCs w:val="32"/>
          <w:lang w:eastAsia="zh-CN"/>
        </w:rPr>
        <w:t>%；其他支出为</w:t>
      </w:r>
      <w:r>
        <w:rPr>
          <w:rFonts w:ascii="仿宋" w:eastAsia="仿宋" w:cs="Times New Roman" w:hint="eastAsia"/>
          <w:color w:val="000000"/>
          <w:sz w:val="32"/>
          <w:szCs w:val="32"/>
          <w:lang w:val="en-US" w:eastAsia="zh-CN"/>
        </w:rPr>
        <w:t>3.36</w:t>
      </w:r>
      <w:r>
        <w:rPr>
          <w:rFonts w:ascii="仿宋" w:eastAsia="仿宋" w:cs="Times New Roman" w:hint="eastAsia"/>
          <w:color w:val="000000"/>
          <w:sz w:val="32"/>
          <w:szCs w:val="32"/>
          <w:lang w:eastAsia="zh-CN"/>
        </w:rPr>
        <w:t>万元，占比</w:t>
      </w:r>
      <w:r>
        <w:rPr>
          <w:rFonts w:ascii="仿宋" w:eastAsia="仿宋" w:cs="Times New Roman" w:hint="eastAsia"/>
          <w:color w:val="000000"/>
          <w:sz w:val="32"/>
          <w:szCs w:val="32"/>
          <w:lang w:val="en-US" w:eastAsia="zh-CN"/>
        </w:rPr>
        <w:t>0.26</w:t>
      </w:r>
      <w:r>
        <w:rPr>
          <w:rFonts w:ascii="仿宋" w:eastAsia="仿宋" w:cs="Times New Roman" w:hint="eastAsia"/>
          <w:color w:val="000000"/>
          <w:sz w:val="32"/>
          <w:szCs w:val="32"/>
          <w:lang w:eastAsia="zh-CN"/>
        </w:rPr>
        <w:t>%。</w:t>
      </w:r>
    </w:p>
    <w:p>
      <w:pPr>
        <w:pStyle w:val="15"/>
        <w:rPr>
          <w:rFonts w:ascii="仿宋" w:eastAsia="仿宋"/>
          <w:b/>
          <w:color w:val="000000"/>
          <w:sz w:val="32"/>
          <w:szCs w:val="32"/>
        </w:rPr>
      </w:pPr>
      <w:r>
        <w:rPr>
          <w:rFonts w:ascii="仿宋" w:eastAsia="仿宋" w:hint="eastAsia"/>
          <w:bCs/>
          <w:color w:val="000000"/>
          <w:sz w:val="32"/>
          <w:szCs w:val="32"/>
          <w:lang w:eastAsia="zh-CN"/>
        </w:rPr>
        <w:drawing>
          <wp:inline distT="0" distB="0" distL="114300" distR="114300">
            <wp:extent cx="5079998" cy="3810000"/>
            <wp:effectExtent l="0" t="0" r="0" b="0"/>
            <wp:docPr id="5" name="图表 10"/>
            <wp:cNvGraphicFramePr>
              <a:graphicFrameLocks noChangeAspect="0"/>
            </wp:cNvGraphicFramePr>
            <a:graphic>
              <a:graphicData uri="http://schemas.openxmlformats.org/drawingml/2006/chart">
                <c:chart xmlns:c="http://schemas.openxmlformats.org/drawingml/2006/chart" r:id="rId12"/>
              </a:graphicData>
            </a:graphic>
          </wp:inline>
        </w:drawing>
      </w:r>
      <w:bookmarkStart w:id="52" w:name="_Toc15378460"/>
      <w:bookmarkStart w:id="53" w:name="_Toc15377444"/>
      <w:bookmarkStart w:id="54" w:name="_Toc15377213"/>
    </w:p>
    <w:p>
      <w:pPr>
        <w:spacing w:line="600" w:lineRule="exact"/>
        <w:ind w:firstLineChars="200" w:firstLine="640"/>
        <w:outlineLvl w:val="2"/>
        <w:rPr>
          <w:rFonts w:ascii="仿宋" w:eastAsia="仿宋"/>
          <w:b/>
          <w:color w:val="000000"/>
          <w:sz w:val="32"/>
          <w:szCs w:val="32"/>
        </w:rPr>
      </w:pPr>
      <w:bookmarkStart w:id="55" w:name="_Toc15377212"/>
      <w:r>
        <w:rPr>
          <w:rFonts w:ascii="仿宋" w:eastAsia="仿宋" w:hint="eastAsia"/>
          <w:b/>
          <w:color w:val="000000"/>
          <w:sz w:val="32"/>
          <w:szCs w:val="32"/>
        </w:rPr>
        <w:t>（三）一般公共预算财政拨款支出决算具体情况</w:t>
      </w:r>
      <w:bookmarkEnd w:id="55"/>
    </w:p>
    <w:p>
      <w:pPr>
        <w:snapToGrid w:val="0"/>
        <w:spacing w:line="520" w:lineRule="exact"/>
        <w:ind w:firstLineChars="200" w:firstLine="640"/>
        <w:rPr>
          <w:rFonts w:ascii="仿宋" w:eastAsia="仿宋" w:cs="Times New Roman" w:hint="eastAsia"/>
          <w:color w:val="000000"/>
          <w:sz w:val="32"/>
          <w:szCs w:val="32"/>
          <w:lang w:eastAsia="zh-CN"/>
        </w:rPr>
      </w:pPr>
      <w:r>
        <w:rPr>
          <w:rFonts w:ascii="仿宋" w:eastAsia="仿宋" w:cs="Times New Roman" w:hint="eastAsia"/>
          <w:color w:val="000000"/>
          <w:sz w:val="32"/>
          <w:szCs w:val="32"/>
          <w:lang w:eastAsia="zh-CN"/>
        </w:rPr>
        <w:t xml:space="preserve">    2022年一般公共预算数为</w:t>
      </w:r>
      <w:r>
        <w:rPr>
          <w:rFonts w:ascii="仿宋" w:eastAsia="仿宋" w:cs="Times New Roman" w:hint="eastAsia"/>
          <w:color w:val="000000"/>
          <w:sz w:val="32"/>
          <w:szCs w:val="32"/>
          <w:lang w:val="en-US" w:eastAsia="zh-CN"/>
        </w:rPr>
        <w:t>1279.19</w:t>
      </w:r>
      <w:r>
        <w:rPr>
          <w:rFonts w:ascii="仿宋" w:eastAsia="仿宋" w:cs="Times New Roman" w:hint="eastAsia"/>
          <w:color w:val="000000"/>
          <w:sz w:val="32"/>
          <w:szCs w:val="32"/>
          <w:lang w:eastAsia="zh-CN"/>
        </w:rPr>
        <w:t>万元，支出决算数为</w:t>
      </w:r>
      <w:r>
        <w:rPr>
          <w:rFonts w:ascii="仿宋" w:eastAsia="仿宋" w:cs="Times New Roman" w:hint="eastAsia"/>
          <w:color w:val="000000"/>
          <w:sz w:val="32"/>
          <w:szCs w:val="32"/>
          <w:lang w:val="en-US" w:eastAsia="zh-CN"/>
        </w:rPr>
        <w:t>1279.19</w:t>
      </w:r>
      <w:r>
        <w:rPr>
          <w:rFonts w:ascii="仿宋" w:eastAsia="仿宋" w:cs="Times New Roman" w:hint="eastAsia"/>
          <w:color w:val="000000"/>
          <w:sz w:val="32"/>
          <w:szCs w:val="32"/>
          <w:lang w:eastAsia="zh-CN"/>
        </w:rPr>
        <w:t>万元，完成预算</w:t>
      </w:r>
      <w:r>
        <w:rPr>
          <w:rFonts w:ascii="仿宋" w:eastAsia="仿宋" w:cs="Times New Roman" w:hint="eastAsia"/>
          <w:color w:val="000000"/>
          <w:sz w:val="32"/>
          <w:szCs w:val="32"/>
          <w:lang w:val="en-US" w:eastAsia="zh-CN"/>
        </w:rPr>
        <w:t>100</w:t>
      </w:r>
      <w:r>
        <w:rPr>
          <w:rFonts w:ascii="仿宋" w:eastAsia="仿宋" w:cs="Times New Roman" w:hint="eastAsia"/>
          <w:color w:val="000000"/>
          <w:sz w:val="32"/>
          <w:szCs w:val="32"/>
          <w:lang w:eastAsia="zh-CN"/>
        </w:rPr>
        <w:t>%，其中：</w:t>
      </w:r>
      <w:bookmarkEnd w:id="52"/>
      <w:bookmarkEnd w:id="53"/>
      <w:bookmarkEnd w:id="54"/>
    </w:p>
    <w:p>
      <w:pPr>
        <w:spacing w:line="600" w:lineRule="exact"/>
        <w:ind w:firstLineChars="200" w:firstLine="640"/>
        <w:rPr>
          <w:rStyle w:val="24"/>
          <w:rFonts w:ascii="仿宋" w:eastAsia="仿宋"/>
          <w:b w:val="0"/>
          <w:bCs/>
          <w:color w:val="000000"/>
          <w:sz w:val="32"/>
          <w:szCs w:val="32"/>
        </w:rPr>
      </w:pPr>
      <w:bookmarkStart w:id="56" w:name="_Toc15377214"/>
      <w:r>
        <w:rPr>
          <w:rStyle w:val="24"/>
          <w:rFonts w:ascii="仿宋" w:eastAsia="仿宋" w:hint="eastAsia"/>
          <w:bCs/>
          <w:color w:val="000000"/>
          <w:sz w:val="32"/>
          <w:szCs w:val="32"/>
        </w:rPr>
        <w:t>1.一般公共服务（类）政府办公厅（室）及相关机构事务（款）行政运行（项）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343.70</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bCs/>
          <w:color w:val="000000"/>
          <w:sz w:val="32"/>
          <w:szCs w:val="32"/>
        </w:rPr>
        <w:t>2.</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党委</w:t>
      </w:r>
      <w:r>
        <w:rPr>
          <w:rStyle w:val="24"/>
          <w:rFonts w:ascii="仿宋" w:eastAsia="仿宋" w:hint="eastAsia"/>
          <w:bCs/>
          <w:color w:val="000000"/>
          <w:sz w:val="32"/>
          <w:szCs w:val="32"/>
        </w:rPr>
        <w:t>办公室（室）及相关机构事务（款）一般行政管理事务（项）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35.70</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cs="Times New Roman" w:hint="eastAsia"/>
          <w:bCs/>
          <w:color w:val="000000"/>
          <w:kern w:val="2"/>
          <w:sz w:val="32"/>
          <w:szCs w:val="32"/>
          <w:lang w:val="en-US" w:eastAsia="zh-CN" w:bidi="ar-SA"/>
        </w:rPr>
        <w:t>3.一般公共服务（类）人大事务（款）一般行政管理事务（项）: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18.63</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cs="Times New Roman" w:hint="eastAsia"/>
          <w:bCs/>
          <w:color w:val="000000"/>
          <w:kern w:val="2"/>
          <w:sz w:val="32"/>
          <w:szCs w:val="32"/>
          <w:lang w:val="en-US" w:eastAsia="zh-CN" w:bidi="ar-SA"/>
        </w:rPr>
        <w:t>4.一般公共服务（类）人大事务（款）人大会议（项）: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0.02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5</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社会保障和就业（类）行政事业单位离退休（款）机关事业单位基本养老保险缴费支出（项）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60.44</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7</w:t>
      </w:r>
      <w:r>
        <w:rPr>
          <w:rStyle w:val="24"/>
          <w:rFonts w:ascii="仿宋" w:eastAsia="仿宋"/>
          <w:bCs/>
          <w:color w:val="000000"/>
          <w:sz w:val="32"/>
          <w:szCs w:val="32"/>
        </w:rPr>
        <w:t>.</w:t>
      </w:r>
      <w:r>
        <w:rPr>
          <w:rStyle w:val="24"/>
          <w:rFonts w:ascii="仿宋" w:eastAsia="仿宋" w:hint="eastAsia"/>
          <w:bCs/>
          <w:color w:val="000000"/>
          <w:sz w:val="32"/>
          <w:szCs w:val="32"/>
        </w:rPr>
        <w:t>社会保障和就业（类）行政事业单位离退休（款）机关事业单位基本职业年金缴费支出（项）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31.91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pStyle w:val="15"/>
        <w:ind w:leftChars="0" w:left="0" w:firstLineChars="200" w:firstLine="640"/>
        <w:rPr>
          <w:rFonts w:eastAsia="仿宋" w:hint="eastAsia"/>
          <w:lang w:val="en-US" w:eastAsia="zh-CN"/>
        </w:rPr>
      </w:pPr>
      <w:r>
        <w:rPr>
          <w:rStyle w:val="24"/>
          <w:rFonts w:ascii="仿宋" w:eastAsia="仿宋" w:hint="eastAsia"/>
          <w:bCs/>
          <w:color w:val="000000"/>
          <w:sz w:val="32"/>
          <w:szCs w:val="32"/>
          <w:lang w:val="en-US" w:eastAsia="zh-CN"/>
        </w:rPr>
        <w:t>8</w:t>
      </w:r>
      <w:r>
        <w:rPr>
          <w:rStyle w:val="24"/>
          <w:rFonts w:ascii="仿宋" w:eastAsia="仿宋" w:hint="eastAsia"/>
          <w:bCs/>
          <w:color w:val="000000"/>
          <w:sz w:val="32"/>
          <w:szCs w:val="32"/>
        </w:rPr>
        <w:t>.卫生健康支出（类）</w:t>
      </w:r>
      <w:r>
        <w:rPr>
          <w:rStyle w:val="24"/>
          <w:rFonts w:ascii="仿宋" w:eastAsia="仿宋" w:hint="eastAsia"/>
          <w:bCs/>
          <w:color w:val="000000"/>
          <w:sz w:val="32"/>
          <w:szCs w:val="32"/>
          <w:lang w:val="en-US" w:eastAsia="zh-CN"/>
        </w:rPr>
        <w:t>公共卫生</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突发公共卫生应急处理</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10</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9</w:t>
      </w:r>
      <w:r>
        <w:rPr>
          <w:rStyle w:val="24"/>
          <w:rFonts w:ascii="仿宋" w:eastAsia="仿宋" w:hint="eastAsia"/>
          <w:bCs/>
          <w:color w:val="000000"/>
          <w:sz w:val="32"/>
          <w:szCs w:val="32"/>
        </w:rPr>
        <w:t>.卫生健康支出（类）行政事业单位医疗（款）行政单位医疗（项）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19.48</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pStyle w:val="15"/>
        <w:ind w:leftChars="0" w:left="0" w:firstLineChars="200" w:firstLine="640"/>
        <w:rPr>
          <w:rStyle w:val="24"/>
          <w:rFonts w:ascii="仿宋" w:eastAsia="仿宋"/>
          <w:b w:val="0"/>
          <w:bCs/>
          <w:color w:val="000000"/>
          <w:sz w:val="32"/>
          <w:szCs w:val="32"/>
        </w:rPr>
      </w:pPr>
      <w:r>
        <w:rPr>
          <w:rStyle w:val="24"/>
          <w:rFonts w:ascii="仿宋" w:eastAsia="仿宋" w:hint="eastAsia"/>
          <w:bCs/>
          <w:color w:val="000000"/>
          <w:sz w:val="32"/>
          <w:szCs w:val="32"/>
          <w:lang w:val="en-US" w:eastAsia="zh-CN"/>
        </w:rPr>
        <w:t>10</w:t>
      </w:r>
      <w:r>
        <w:rPr>
          <w:rStyle w:val="24"/>
          <w:rFonts w:ascii="仿宋" w:eastAsia="仿宋" w:hint="eastAsia"/>
          <w:bCs/>
          <w:color w:val="000000"/>
          <w:sz w:val="32"/>
          <w:szCs w:val="32"/>
        </w:rPr>
        <w:t>.卫生健康支出（类）行政事业单位医疗（款）</w:t>
      </w:r>
      <w:r>
        <w:rPr>
          <w:rStyle w:val="24"/>
          <w:rFonts w:ascii="仿宋" w:eastAsia="仿宋" w:hint="eastAsia"/>
          <w:bCs/>
          <w:color w:val="000000"/>
          <w:sz w:val="32"/>
          <w:szCs w:val="32"/>
          <w:lang w:val="en-US" w:eastAsia="zh-CN"/>
        </w:rPr>
        <w:t>事业单位医疗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10.86</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p>
    <w:p>
      <w:pPr>
        <w:pStyle w:val="15"/>
        <w:ind w:leftChars="0" w:left="0"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11</w:t>
      </w:r>
      <w:r>
        <w:rPr>
          <w:rStyle w:val="24"/>
          <w:rFonts w:ascii="仿宋" w:eastAsia="仿宋" w:hint="eastAsia"/>
          <w:bCs/>
          <w:color w:val="000000"/>
          <w:sz w:val="32"/>
          <w:szCs w:val="32"/>
        </w:rPr>
        <w:t>.卫生健康支出（类）行政事业单位医疗（款）公务员医疗补助（项）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5.51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pStyle w:val="15"/>
        <w:ind w:leftChars="0" w:left="0"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12</w:t>
      </w:r>
      <w:r>
        <w:rPr>
          <w:rStyle w:val="24"/>
          <w:rFonts w:ascii="仿宋" w:eastAsia="仿宋" w:hint="eastAsia"/>
          <w:bCs/>
          <w:color w:val="000000"/>
          <w:sz w:val="32"/>
          <w:szCs w:val="32"/>
        </w:rPr>
        <w:t>.卫生健康支出（类）行政事业单位医疗（款）</w:t>
      </w:r>
      <w:r>
        <w:rPr>
          <w:rStyle w:val="24"/>
          <w:rFonts w:ascii="仿宋" w:eastAsia="仿宋" w:hint="eastAsia"/>
          <w:bCs/>
          <w:color w:val="000000"/>
          <w:sz w:val="32"/>
          <w:szCs w:val="32"/>
          <w:lang w:val="en-US" w:eastAsia="zh-CN"/>
        </w:rPr>
        <w:t>其他行政事业单位医疗支出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2.98</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13</w:t>
      </w:r>
      <w:r>
        <w:rPr>
          <w:rStyle w:val="24"/>
          <w:rFonts w:ascii="仿宋" w:eastAsia="仿宋" w:hint="eastAsia"/>
          <w:bCs/>
          <w:color w:val="000000"/>
          <w:sz w:val="32"/>
          <w:szCs w:val="32"/>
        </w:rPr>
        <w:t>.住房保障（类）住房改革支出（款）住房公积金（项）：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56.82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14.农林水支出（类）巩固脱贫衔接乡村振兴（款）农村基础设施建设（项）：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244.36</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15.农林水支出（类）农村综合改革（款）对村民委员会和党支部的补助（项）：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152.92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 xml:space="preserve">       </w:t>
      </w:r>
    </w:p>
    <w:p>
      <w:pPr>
        <w:spacing w:line="600" w:lineRule="exact"/>
        <w:ind w:firstLineChars="200" w:firstLine="640"/>
        <w:rPr>
          <w:rStyle w:val="24"/>
          <w:rFonts w:ascii="仿宋" w:eastAsia="仿宋" w:hint="eastAsia"/>
          <w:b w:val="0"/>
          <w:bCs/>
          <w:color w:val="000000"/>
          <w:sz w:val="32"/>
          <w:szCs w:val="32"/>
          <w:lang w:val="en-US" w:eastAsia="zh-CN"/>
        </w:rPr>
      </w:pPr>
      <w:r>
        <w:rPr>
          <w:rStyle w:val="24"/>
          <w:rFonts w:ascii="仿宋" w:eastAsia="仿宋" w:hint="eastAsia"/>
          <w:bCs/>
          <w:color w:val="000000"/>
          <w:sz w:val="32"/>
          <w:szCs w:val="32"/>
          <w:lang w:val="en-US" w:eastAsia="zh-CN"/>
        </w:rPr>
        <w:t>16.其他支出（类）其他支出（款）其他支出（项）：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3.36</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outlineLvl w:val="1"/>
        <w:rPr>
          <w:rStyle w:val="2Char"/>
          <w:rFonts w:ascii="黑体" w:eastAsia="黑体" w:cs="Times New Roman" w:hint="eastAsia"/>
          <w:b w:val="0"/>
        </w:rPr>
      </w:pPr>
      <w:bookmarkStart w:id="57" w:name="_Toc4904"/>
      <w:r>
        <w:rPr>
          <w:rStyle w:val="2Char"/>
          <w:rFonts w:ascii="黑体" w:eastAsia="黑体" w:cs="Times New Roman" w:hint="eastAsia"/>
          <w:b w:val="0"/>
        </w:rPr>
        <w:t>六、一般公共预算财政拨款基本支出决算情况说明</w:t>
      </w:r>
      <w:bookmarkEnd w:id="56"/>
      <w:bookmarkEnd w:id="57"/>
      <w:r>
        <w:rPr>
          <w:rStyle w:val="2Char"/>
          <w:rFonts w:ascii="黑体" w:eastAsia="黑体" w:cs="Times New Roman" w:hint="eastAsia"/>
          <w:b w:val="0"/>
        </w:rPr>
        <w:tab/>
      </w:r>
    </w:p>
    <w:p>
      <w:pPr>
        <w:spacing w:line="600" w:lineRule="exact"/>
        <w:ind w:firstLine="645"/>
        <w:rPr>
          <w:rFonts w:ascii="仿宋" w:eastAsia="仿宋" w:hint="eastAsia"/>
          <w:color w:val="000000"/>
          <w:sz w:val="32"/>
          <w:szCs w:val="32"/>
          <w:lang w:val="en-US" w:eastAsia="zh-CN"/>
        </w:rPr>
      </w:pPr>
      <w:r>
        <w:rPr>
          <w:rFonts w:ascii="仿宋" w:eastAsia="仿宋" w:hint="eastAsia"/>
          <w:color w:val="000000"/>
          <w:sz w:val="32"/>
          <w:szCs w:val="32"/>
          <w:lang w:eastAsia="zh-CN"/>
        </w:rPr>
        <w:t>2022年</w:t>
      </w:r>
      <w:r>
        <w:rPr>
          <w:rFonts w:ascii="仿宋" w:eastAsia="仿宋" w:hint="eastAsia"/>
          <w:color w:val="000000"/>
          <w:sz w:val="32"/>
          <w:szCs w:val="32"/>
        </w:rPr>
        <w:t>一般公共预算财政拨款支出</w:t>
      </w:r>
      <w:r>
        <w:rPr>
          <w:rFonts w:ascii="仿宋" w:eastAsia="仿宋" w:hint="eastAsia"/>
          <w:bCs/>
          <w:color w:val="000000"/>
          <w:sz w:val="32"/>
          <w:szCs w:val="32"/>
          <w:lang w:val="en-US" w:eastAsia="zh-CN"/>
        </w:rPr>
        <w:t>1279.19</w:t>
      </w:r>
      <w:r>
        <w:rPr>
          <w:rFonts w:ascii="仿宋" w:eastAsia="仿宋" w:hint="eastAsia"/>
          <w:color w:val="000000"/>
          <w:sz w:val="32"/>
          <w:szCs w:val="32"/>
        </w:rPr>
        <w:t>万元</w:t>
      </w:r>
      <w:r>
        <w:rPr>
          <w:rFonts w:ascii="仿宋" w:eastAsia="仿宋" w:hint="eastAsia"/>
          <w:color w:val="000000"/>
          <w:sz w:val="32"/>
          <w:szCs w:val="32"/>
          <w:lang w:eastAsia="zh-CN"/>
        </w:rPr>
        <w:t>。</w:t>
      </w:r>
    </w:p>
    <w:p>
      <w:pPr>
        <w:snapToGrid w:val="0"/>
        <w:spacing w:line="520" w:lineRule="exact"/>
        <w:ind w:firstLineChars="200" w:firstLine="640"/>
        <w:rPr>
          <w:rFonts w:ascii="仿宋_GB2312" w:eastAsia="仿宋_GB2312"/>
          <w:color w:val="000000"/>
          <w:sz w:val="32"/>
          <w:szCs w:val="32"/>
          <w14:textFill>
            <w14:solidFill>
              <w14:srgbClr w14:val="000000"/>
            </w14:solidFill>
          </w14:textFill>
        </w:rPr>
      </w:pPr>
      <w:bookmarkStart w:id="58"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868.36</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807.95</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color w:val="000000"/>
          <w:sz w:val="32"/>
          <w:szCs w:val="32"/>
          <w14:textFill>
            <w14:solidFill>
              <w14:srgbClr w14:val="000000"/>
            </w14:solidFill>
          </w14:textFill>
          <w:lang w:val="en-US" w:eastAsia="zh-CN"/>
        </w:rPr>
        <w:t>174.34</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color w:val="000000"/>
          <w:sz w:val="32"/>
          <w:szCs w:val="32"/>
          <w14:textFill>
            <w14:solidFill>
              <w14:srgbClr w14:val="000000"/>
            </w14:solidFill>
          </w14:textFill>
          <w:lang w:val="en-US" w:eastAsia="zh-CN"/>
        </w:rPr>
        <w:t>169.18</w:t>
      </w:r>
      <w:r>
        <w:rPr>
          <w:rFonts w:ascii="仿宋_GB2312" w:eastAsia="仿宋_GB2312" w:hint="eastAsia"/>
          <w:color w:val="000000"/>
          <w:sz w:val="32"/>
          <w:szCs w:val="32"/>
          <w14:textFill>
            <w14:solidFill>
              <w14:srgbClr w14:val="000000"/>
            </w14:solidFill>
          </w14:textFill>
        </w:rPr>
        <w:t>万元、奖金</w:t>
      </w:r>
      <w:r>
        <w:rPr>
          <w:rFonts w:ascii="仿宋_GB2312" w:eastAsia="仿宋_GB2312" w:hint="eastAsia"/>
          <w:color w:val="000000"/>
          <w:sz w:val="32"/>
          <w:szCs w:val="32"/>
          <w14:textFill>
            <w14:solidFill>
              <w14:srgbClr w14:val="000000"/>
            </w14:solidFill>
          </w14:textFill>
          <w:lang w:val="en-US" w:eastAsia="zh-CN"/>
        </w:rPr>
        <w:t>142.29</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color w:val="000000"/>
          <w:sz w:val="32"/>
          <w:szCs w:val="32"/>
          <w14:textFill>
            <w14:solidFill>
              <w14:srgbClr w14:val="000000"/>
            </w14:solidFill>
          </w14:textFill>
          <w:lang w:val="en-US" w:eastAsia="zh-CN"/>
        </w:rPr>
        <w:t>51.92</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color w:val="000000"/>
          <w:sz w:val="32"/>
          <w:szCs w:val="32"/>
          <w14:textFill>
            <w14:solidFill>
              <w14:srgbClr w14:val="000000"/>
            </w14:solidFill>
          </w14:textFill>
          <w:lang w:val="en-US" w:eastAsia="zh-CN"/>
        </w:rPr>
        <w:t>60.44</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color w:val="000000"/>
          <w:sz w:val="32"/>
          <w:szCs w:val="32"/>
          <w14:textFill>
            <w14:solidFill>
              <w14:srgbClr w14:val="000000"/>
            </w14:solidFill>
          </w14:textFill>
          <w:lang w:val="en-US" w:eastAsia="zh-CN"/>
        </w:rPr>
        <w:t>31.91</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color w:val="000000"/>
          <w:sz w:val="32"/>
          <w:szCs w:val="32"/>
          <w14:textFill>
            <w14:solidFill>
              <w14:srgbClr w14:val="000000"/>
            </w14:solidFill>
          </w14:textFill>
          <w:lang w:val="en-US" w:eastAsia="zh-CN"/>
        </w:rPr>
        <w:t>7.55</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color w:val="000000"/>
          <w:sz w:val="32"/>
          <w:szCs w:val="32"/>
          <w14:textFill>
            <w14:solidFill>
              <w14:srgbClr w14:val="000000"/>
            </w14:solidFill>
          </w14:textFill>
          <w:lang w:val="en-US" w:eastAsia="zh-CN"/>
        </w:rPr>
        <w:t>56.82</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color w:val="000000"/>
          <w:sz w:val="32"/>
          <w:szCs w:val="32"/>
          <w14:textFill>
            <w14:solidFill>
              <w14:srgbClr w14:val="000000"/>
            </w14:solidFill>
          </w14:textFill>
          <w:lang w:val="en-US" w:eastAsia="zh-CN"/>
        </w:rPr>
        <w:t>30.33</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color w:val="000000"/>
          <w:sz w:val="32"/>
          <w:szCs w:val="32"/>
          <w14:textFill>
            <w14:solidFill>
              <w14:srgbClr w14:val="000000"/>
            </w14:solidFill>
          </w14:textFill>
          <w:lang w:val="en-US" w:eastAsia="zh-CN"/>
        </w:rPr>
        <w:t>8.49</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color w:val="000000"/>
          <w:sz w:val="32"/>
          <w:szCs w:val="32"/>
          <w14:textFill>
            <w14:solidFill>
              <w14:srgbClr w14:val="000000"/>
            </w14:solidFill>
          </w14:textFill>
          <w:lang w:val="en-US" w:eastAsia="zh-CN"/>
        </w:rPr>
        <w:t>17.42</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color w:val="000000"/>
          <w:sz w:val="32"/>
          <w:szCs w:val="32"/>
          <w14:textFill>
            <w14:solidFill>
              <w14:srgbClr w14:val="000000"/>
            </w14:solidFill>
          </w14:textFill>
          <w:lang w:val="en-US" w:eastAsia="zh-CN"/>
        </w:rPr>
        <w:t>84.26</w:t>
      </w:r>
      <w:r>
        <w:rPr>
          <w:rFonts w:ascii="仿宋_GB2312" w:eastAsia="仿宋_GB2312" w:hint="eastAsia"/>
          <w:color w:val="000000"/>
          <w:sz w:val="32"/>
          <w:szCs w:val="32"/>
          <w14:textFill>
            <w14:solidFill>
              <w14:srgbClr w14:val="000000"/>
            </w14:solidFill>
          </w14:textFill>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60.41</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9.87</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手续费</w:t>
      </w:r>
      <w:r>
        <w:rPr>
          <w:rFonts w:ascii="仿宋_GB2312" w:eastAsia="仿宋_GB2312" w:hint="eastAsia"/>
          <w:color w:val="000000"/>
          <w:sz w:val="32"/>
          <w:szCs w:val="32"/>
          <w:lang w:val="en-US" w:eastAsia="zh-CN"/>
        </w:rPr>
        <w:t>0.1万、</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7.44</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维修（护）费</w:t>
      </w:r>
      <w:r>
        <w:rPr>
          <w:rFonts w:ascii="仿宋_GB2312" w:eastAsia="仿宋_GB2312" w:hint="eastAsia"/>
          <w:color w:val="000000"/>
          <w:sz w:val="32"/>
          <w:szCs w:val="32"/>
          <w:lang w:val="en-US" w:eastAsia="zh-CN"/>
        </w:rPr>
        <w:t>15万元、</w:t>
      </w:r>
      <w:r>
        <w:rPr>
          <w:rFonts w:ascii="仿宋_GB2312" w:eastAsia="仿宋_GB2312" w:hint="eastAsia"/>
          <w:color w:val="000000"/>
          <w:sz w:val="32"/>
          <w:szCs w:val="32"/>
        </w:rPr>
        <w:t>其他交通</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color w:val="000000"/>
          <w:sz w:val="32"/>
          <w:szCs w:val="32"/>
          <w:lang w:val="en-US" w:eastAsia="zh-CN"/>
        </w:rPr>
      </w:pPr>
      <w:bookmarkStart w:id="59" w:name="_Toc9449"/>
      <w:r>
        <w:rPr>
          <w:rFonts w:ascii="仿宋_GB2312" w:eastAsia="仿宋_GB2312" w:hint="eastAsia"/>
          <w:color w:val="000000"/>
          <w:sz w:val="32"/>
          <w:szCs w:val="32"/>
          <w:lang w:val="en-US" w:eastAsia="zh-CN"/>
        </w:rPr>
        <w:t xml:space="preserve"> 项目支出为410.83元，主要包括：疫情防控经费10万元、金川县地质灾害防治项目344.36万元、村级运维费及村干部生活补助152.92万元、三老干部生活补助3.36万元、人大会议费0.2万元。</w:t>
      </w:r>
    </w:p>
    <w:p>
      <w:pPr>
        <w:spacing w:line="600" w:lineRule="exact"/>
        <w:ind w:firstLineChars="200" w:firstLine="640"/>
        <w:outlineLvl w:val="1"/>
        <w:rPr>
          <w:rStyle w:val="2Char"/>
          <w:rFonts w:ascii="黑体" w:eastAsia="黑体"/>
          <w:b w:val="0"/>
        </w:rPr>
      </w:pPr>
      <w:bookmarkStart w:id="60" w:name="_Toc10702"/>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58"/>
      <w:bookmarkEnd w:id="59"/>
      <w:bookmarkEnd w:id="60"/>
    </w:p>
    <w:p>
      <w:pPr>
        <w:spacing w:line="600" w:lineRule="exact"/>
        <w:ind w:firstLine="640"/>
        <w:outlineLvl w:val="2"/>
        <w:rPr>
          <w:rFonts w:ascii="仿宋" w:eastAsia="仿宋"/>
          <w:b/>
          <w:color w:val="000000"/>
          <w:sz w:val="32"/>
          <w:szCs w:val="32"/>
        </w:rPr>
      </w:pPr>
      <w:bookmarkStart w:id="61" w:name="_Toc15377216"/>
      <w:r>
        <w:rPr>
          <w:rFonts w:ascii="仿宋" w:eastAsia="仿宋" w:hint="eastAsia"/>
          <w:b/>
          <w:color w:val="000000"/>
          <w:sz w:val="32"/>
          <w:szCs w:val="32"/>
        </w:rPr>
        <w:t>（一）“三公”经费财政拨款支出决算总体情况说明</w:t>
      </w:r>
      <w:bookmarkEnd w:id="61"/>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“三公”经费财政拨款</w:t>
      </w:r>
      <w:r>
        <w:rPr>
          <w:rFonts w:ascii="仿宋" w:eastAsia="仿宋" w:hint="eastAsia"/>
          <w:color w:val="000000"/>
          <w:sz w:val="32"/>
          <w:szCs w:val="32"/>
          <w:lang w:val="en-US" w:eastAsia="zh-CN"/>
        </w:rPr>
        <w:t>支出预算为10万元，</w:t>
      </w:r>
      <w:r>
        <w:rPr>
          <w:rFonts w:ascii="仿宋" w:eastAsia="仿宋" w:hint="eastAsia"/>
          <w:color w:val="000000"/>
          <w:sz w:val="32"/>
          <w:szCs w:val="32"/>
        </w:rPr>
        <w:t>支出决算为</w:t>
      </w:r>
      <w:r>
        <w:rPr>
          <w:rFonts w:ascii="仿宋" w:eastAsia="仿宋" w:hint="eastAsia"/>
          <w:color w:val="000000"/>
          <w:sz w:val="32"/>
          <w:szCs w:val="32"/>
          <w:lang w:val="en-US" w:eastAsia="zh-CN"/>
        </w:rPr>
        <w:t>10</w:t>
      </w:r>
      <w:r>
        <w:rPr>
          <w:rFonts w:ascii="仿宋" w:eastAsia="仿宋" w:hint="eastAsia"/>
          <w:color w:val="000000"/>
          <w:sz w:val="32"/>
          <w:szCs w:val="32"/>
        </w:rPr>
        <w:t>万元，完成预算100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62" w:name="_Toc15377217"/>
      <w:r>
        <w:rPr>
          <w:rFonts w:ascii="仿宋" w:eastAsia="仿宋" w:hint="eastAsia"/>
          <w:b/>
          <w:color w:val="000000"/>
          <w:sz w:val="32"/>
          <w:szCs w:val="32"/>
        </w:rPr>
        <w:t>（二）“三公”经费财政拨款支出决算具体情况说明</w:t>
      </w:r>
      <w:bookmarkEnd w:id="62"/>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“三公”经费财政拨款</w:t>
      </w:r>
      <w:r>
        <w:rPr>
          <w:rFonts w:ascii="仿宋" w:eastAsia="仿宋" w:hint="eastAsia"/>
          <w:color w:val="000000"/>
          <w:sz w:val="32"/>
          <w:szCs w:val="32"/>
          <w:lang w:val="en-US" w:eastAsia="zh-CN"/>
        </w:rPr>
        <w:t>支出预算为10万元，</w:t>
      </w:r>
      <w:r>
        <w:rPr>
          <w:rFonts w:ascii="仿宋" w:eastAsia="仿宋" w:hint="eastAsia"/>
          <w:color w:val="000000"/>
          <w:sz w:val="32"/>
          <w:szCs w:val="32"/>
        </w:rPr>
        <w:t>支出</w:t>
      </w:r>
      <w:r>
        <w:rPr>
          <w:rFonts w:ascii="仿宋" w:eastAsia="仿宋" w:hint="eastAsia"/>
          <w:sz w:val="32"/>
          <w:szCs w:val="32"/>
        </w:rPr>
        <w:t>决算</w:t>
      </w:r>
      <w:r>
        <w:rPr>
          <w:rFonts w:ascii="仿宋" w:eastAsia="仿宋" w:hint="eastAsia"/>
          <w:sz w:val="32"/>
          <w:szCs w:val="32"/>
          <w:lang w:val="en-US" w:eastAsia="zh-CN"/>
        </w:rPr>
        <w:t>10</w:t>
      </w:r>
      <w:r>
        <w:rPr>
          <w:rFonts w:ascii="仿宋" w:eastAsia="仿宋" w:hint="eastAsia"/>
          <w:sz w:val="32"/>
          <w:szCs w:val="32"/>
        </w:rPr>
        <w:t>万元</w:t>
      </w:r>
      <w:r>
        <w:rPr>
          <w:rFonts w:ascii="仿宋" w:eastAsia="仿宋" w:hint="eastAsia"/>
          <w:color w:val="000000"/>
          <w:sz w:val="32"/>
          <w:szCs w:val="32"/>
        </w:rPr>
        <w:t>，其中：公务用车购置及运行维护费支出决算</w:t>
      </w:r>
      <w:r>
        <w:rPr>
          <w:rFonts w:ascii="仿宋" w:eastAsia="仿宋" w:hint="eastAsia"/>
          <w:color w:val="000000"/>
          <w:sz w:val="32"/>
          <w:szCs w:val="32"/>
          <w:lang w:val="en-US" w:eastAsia="zh-CN"/>
        </w:rPr>
        <w:t>10</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b/>
          <w:sz w:val="32"/>
          <w:szCs w:val="32"/>
          <w:lang w:val="en-US" w:eastAsia="zh-CN"/>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年增加</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cs="仿宋" w:hint="eastAsia"/>
          <w:color w:val="000000"/>
          <w:sz w:val="32"/>
          <w:szCs w:val="32"/>
          <w:lang w:val="en-US" w:eastAsia="zh-CN"/>
        </w:rPr>
        <w:t>与上年相比无变动。</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hint="eastAsia"/>
          <w:color w:val="000000"/>
          <w:sz w:val="32"/>
          <w:szCs w:val="32"/>
          <w:lang w:eastAsia="zh-CN"/>
        </w:rPr>
        <w:t>2022年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辆、执法执勤用车0辆、特种专业技术用车0辆、离退休干部用车0辆、其他用车0辆；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color w:val="000000"/>
          <w:sz w:val="32"/>
          <w:szCs w:val="32"/>
          <w:lang w:val="en-US" w:eastAsia="zh-CN"/>
        </w:rPr>
        <w:t>10</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lang w:val="en-US" w:eastAsia="zh-CN"/>
        </w:rPr>
        <w:t>2</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hint="eastAsia"/>
          <w:color w:val="000000"/>
          <w:sz w:val="32"/>
          <w:szCs w:val="32"/>
          <w:lang w:val="en-US" w:eastAsia="zh-CN"/>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无变化。</w:t>
      </w:r>
      <w:r>
        <w:rPr>
          <w:rFonts w:ascii="仿宋_GB2312" w:eastAsia="仿宋_GB2312" w:hint="eastAsia"/>
          <w:color w:val="000000"/>
          <w:sz w:val="32"/>
          <w:szCs w:val="32"/>
        </w:rPr>
        <w:t>国内公务接待0批次，0人次，共计支出0万元。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spacing w:line="560" w:lineRule="exact"/>
        <w:ind w:firstLineChars="200" w:firstLine="640"/>
      </w:pPr>
      <w:r>
        <w:rPr>
          <w:rFonts w:ascii="仿宋_GB2312" w:eastAsia="仿宋_GB2312" w:cs="仿宋_GB2312" w:hint="eastAsia"/>
          <w:b/>
          <w:bCs/>
          <w:color w:val="000000"/>
          <w:sz w:val="32"/>
          <w:szCs w:val="32"/>
          <w:lang w:val="en-US" w:eastAsia="zh-CN" w:bidi="ar-SA"/>
        </w:rPr>
        <w:t>3.</w:t>
      </w:r>
      <w:r>
        <w:rPr>
          <w:rFonts w:ascii="仿宋_GB2312" w:eastAsia="仿宋_GB2312" w:cs="仿宋_GB2312" w:hint="eastAsia"/>
          <w:b/>
          <w:bCs/>
          <w:color w:val="000000"/>
          <w:sz w:val="32"/>
          <w:szCs w:val="32"/>
          <w:lang w:bidi="ar-SA"/>
        </w:rPr>
        <w:t>因公出国（境）费支出</w:t>
      </w:r>
      <w:r>
        <w:rPr>
          <w:rFonts w:ascii="仿宋_GB2312" w:eastAsia="仿宋_GB2312" w:cs="仿宋_GB2312" w:hint="eastAsia"/>
          <w:b/>
          <w:bCs/>
          <w:color w:val="000000"/>
          <w:sz w:val="32"/>
          <w:szCs w:val="32"/>
          <w:lang w:val="en-US" w:eastAsia="zh-CN" w:bidi="ar-SA"/>
        </w:rPr>
        <w:t>0</w:t>
      </w:r>
      <w:r>
        <w:rPr>
          <w:rFonts w:ascii="仿宋_GB2312" w:eastAsia="仿宋_GB2312" w:cs="仿宋_GB2312" w:hint="eastAsia"/>
          <w:b/>
          <w:bCs/>
          <w:color w:val="000000"/>
          <w:sz w:val="32"/>
          <w:szCs w:val="32"/>
          <w:lang w:bidi="ar-SA"/>
        </w:rPr>
        <w:t>万元</w:t>
      </w:r>
      <w:r>
        <w:rPr>
          <w:rFonts w:ascii="仿宋_GB2312" w:eastAsia="仿宋_GB2312" w:cs="仿宋_GB2312" w:hint="eastAsia"/>
          <w:b/>
          <w:bCs/>
          <w:color w:val="000000"/>
          <w:sz w:val="32"/>
          <w:szCs w:val="32"/>
          <w:lang w:eastAsia="zh-CN" w:bidi="ar-SA"/>
        </w:rPr>
        <w:t>。</w:t>
      </w:r>
    </w:p>
    <w:p>
      <w:pPr>
        <w:spacing w:line="600" w:lineRule="exact"/>
        <w:ind w:firstLine="640"/>
        <w:outlineLvl w:val="1"/>
        <w:rPr>
          <w:rStyle w:val="2Char"/>
          <w:rFonts w:ascii="黑体" w:eastAsia="黑体"/>
        </w:rPr>
      </w:pPr>
      <w:bookmarkStart w:id="63" w:name="_Toc15377218"/>
      <w:bookmarkStart w:id="64" w:name="_Toc23573"/>
      <w:bookmarkStart w:id="65" w:name="_Toc9319"/>
      <w:r>
        <w:rPr>
          <w:rFonts w:ascii="黑体" w:eastAsia="黑体" w:hint="eastAsia"/>
          <w:color w:val="000000"/>
          <w:sz w:val="32"/>
          <w:szCs w:val="32"/>
        </w:rPr>
        <w:t>八、</w:t>
      </w:r>
      <w:r>
        <w:rPr>
          <w:rStyle w:val="2Char"/>
          <w:rFonts w:ascii="黑体" w:eastAsia="黑体" w:hint="eastAsia"/>
          <w:b w:val="0"/>
        </w:rPr>
        <w:t>政府性基金预算支出决算情况说明</w:t>
      </w:r>
      <w:bookmarkEnd w:id="63"/>
      <w:bookmarkEnd w:id="64"/>
      <w:bookmarkEnd w:id="65"/>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2022年</w:t>
      </w:r>
      <w:r>
        <w:rPr>
          <w:rFonts w:ascii="仿宋_GB2312" w:eastAsia="仿宋_GB2312" w:hint="eastAsia"/>
          <w:color w:val="000000"/>
          <w:sz w:val="32"/>
          <w:szCs w:val="32"/>
        </w:rPr>
        <w:t>政府性基金预算拨款支出0万元。</w:t>
      </w:r>
    </w:p>
    <w:p>
      <w:pPr>
        <w:numPr>
          <w:ilvl w:val="0"/>
          <w:numId w:val="3"/>
        </w:numPr>
        <w:spacing w:line="600" w:lineRule="exact"/>
        <w:ind w:left="0" w:firstLine="640"/>
        <w:outlineLvl w:val="1"/>
        <w:rPr>
          <w:rStyle w:val="2Char"/>
          <w:rFonts w:ascii="黑体" w:eastAsia="黑体"/>
          <w:b w:val="0"/>
        </w:rPr>
      </w:pPr>
      <w:bookmarkStart w:id="66" w:name="_Toc351"/>
      <w:bookmarkStart w:id="67" w:name="_Toc15377219"/>
      <w:bookmarkStart w:id="68" w:name="_Toc12463"/>
      <w:r>
        <w:rPr>
          <w:rStyle w:val="2Char"/>
          <w:rFonts w:ascii="黑体" w:eastAsia="黑体" w:hint="eastAsia"/>
          <w:b w:val="0"/>
        </w:rPr>
        <w:t>国有资本经营预算支出决算情况说明</w:t>
      </w:r>
      <w:bookmarkEnd w:id="66"/>
      <w:bookmarkEnd w:id="67"/>
      <w:bookmarkEnd w:id="68"/>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2022年</w:t>
      </w:r>
      <w:r>
        <w:rPr>
          <w:rFonts w:ascii="仿宋_GB2312" w:eastAsia="仿宋_GB2312" w:hint="eastAsia"/>
          <w:color w:val="000000"/>
          <w:sz w:val="32"/>
          <w:szCs w:val="32"/>
        </w:rPr>
        <w:t>国有资本经营预算拨款支出0万元。</w:t>
      </w:r>
    </w:p>
    <w:p>
      <w:pPr>
        <w:numPr>
          <w:ilvl w:val="0"/>
          <w:numId w:val="3"/>
        </w:numPr>
        <w:spacing w:line="600" w:lineRule="exact"/>
        <w:ind w:left="0" w:firstLine="640"/>
        <w:outlineLvl w:val="1"/>
        <w:rPr>
          <w:rStyle w:val="2Char"/>
          <w:rFonts w:ascii="黑体" w:eastAsia="黑体" w:cs="Times New Roman" w:hint="eastAsia"/>
          <w:b w:val="0"/>
        </w:rPr>
      </w:pPr>
      <w:bookmarkStart w:id="69" w:name="_Toc12434"/>
      <w:bookmarkStart w:id="70" w:name="_Toc16199"/>
      <w:r>
        <w:rPr>
          <w:rStyle w:val="2Char"/>
          <w:rFonts w:ascii="黑体" w:eastAsia="黑体" w:cs="Times New Roman" w:hint="eastAsia"/>
          <w:b w:val="0"/>
        </w:rPr>
        <w:t>预算绩效情况说明</w:t>
      </w:r>
      <w:bookmarkEnd w:id="69"/>
    </w:p>
    <w:p>
      <w:pPr>
        <w:snapToGrid w:val="0"/>
        <w:spacing w:line="520" w:lineRule="exact"/>
        <w:ind w:firstLineChars="200" w:firstLine="640"/>
        <w:rPr>
          <w:rFonts w:ascii="仿宋_GB2312" w:eastAsia="仿宋_GB2312" w:cs="仿宋_GB2312"/>
          <w:sz w:val="32"/>
          <w:szCs w:val="32"/>
        </w:rPr>
      </w:pPr>
      <w:bookmarkEnd w:id="70"/>
      <w:r>
        <w:rPr>
          <w:rFonts w:ascii="仿宋_GB2312" w:eastAsia="仿宋_GB2312" w:cs="仿宋_GB2312" w:hint="eastAsia"/>
          <w:sz w:val="32"/>
          <w:szCs w:val="32"/>
        </w:rPr>
        <w:t>本部门在</w:t>
      </w:r>
      <w:r>
        <w:rPr>
          <w:rFonts w:ascii="仿宋_GB2312" w:eastAsia="仿宋_GB2312" w:cs="仿宋_GB2312"/>
          <w:sz w:val="32"/>
          <w:szCs w:val="32"/>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年度部门决算中</w:t>
      </w:r>
      <w:r>
        <w:rPr>
          <w:rFonts w:ascii="仿宋_GB2312" w:eastAsia="仿宋_GB2312" w:cs="仿宋_GB2312" w:hint="eastAsia"/>
          <w:sz w:val="32"/>
          <w:szCs w:val="32"/>
          <w:lang w:eastAsia="zh-CN"/>
        </w:rPr>
        <w:t>反应村级运维费及村干部生活补助意外险、</w:t>
      </w:r>
      <w:r>
        <w:rPr>
          <w:rFonts w:ascii="仿宋_GB2312" w:eastAsia="仿宋_GB2312" w:cs="仿宋_GB2312" w:hint="eastAsia"/>
          <w:sz w:val="32"/>
          <w:szCs w:val="32"/>
          <w:lang w:val="en-US" w:eastAsia="zh-CN"/>
        </w:rPr>
        <w:t>2022年新冠防疫工作经费、</w:t>
      </w:r>
      <w:r>
        <w:rPr>
          <w:rFonts w:ascii="仿宋_GB2312" w:eastAsia="仿宋_GB2312" w:hint="eastAsia"/>
          <w:color w:val="000000"/>
          <w:sz w:val="32"/>
          <w:szCs w:val="32"/>
          <w:lang w:val="en-US" w:eastAsia="zh-CN"/>
        </w:rPr>
        <w:t>金川县地质灾害防治项目、三老干部生活补助</w:t>
      </w:r>
      <w:r>
        <w:rPr>
          <w:rFonts w:ascii="仿宋_GB2312" w:eastAsia="仿宋_GB2312" w:cs="仿宋_GB2312" w:hint="eastAsia"/>
          <w:sz w:val="32"/>
          <w:szCs w:val="32"/>
          <w:lang w:val="en-US" w:eastAsia="zh-CN"/>
        </w:rPr>
        <w:t>共4</w:t>
      </w:r>
      <w:r>
        <w:rPr>
          <w:rFonts w:ascii="仿宋_GB2312" w:eastAsia="仿宋_GB2312" w:cs="仿宋_GB2312" w:hint="eastAsia"/>
          <w:sz w:val="32"/>
          <w:szCs w:val="32"/>
        </w:rPr>
        <w:t>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w:t>
      </w:r>
      <w:r>
        <w:rPr>
          <w:rFonts w:ascii="仿宋_GB2312" w:eastAsia="仿宋_GB2312" w:cs="仿宋_GB2312" w:hint="eastAsia"/>
          <w:sz w:val="32"/>
          <w:szCs w:val="32"/>
          <w:lang w:eastAsia="zh-CN"/>
        </w:rPr>
        <w:t>“村级运维费及村干部生活补助意外险”</w:t>
      </w:r>
      <w:r>
        <w:rPr>
          <w:rFonts w:ascii="仿宋_GB2312" w:eastAsia="仿宋_GB2312" w:cs="仿宋_GB2312" w:hint="eastAsia"/>
          <w:sz w:val="32"/>
          <w:szCs w:val="32"/>
        </w:rPr>
        <w:t>运转类项目绩效目标完成情况综述。项目全年预算数</w:t>
      </w:r>
      <w:r>
        <w:rPr>
          <w:rFonts w:ascii="仿宋_GB2312" w:eastAsia="仿宋_GB2312" w:cs="仿宋_GB2312" w:hint="eastAsia"/>
          <w:sz w:val="32"/>
          <w:szCs w:val="32"/>
          <w:lang w:val="en-US" w:eastAsia="zh-CN"/>
        </w:rPr>
        <w:t>152.92</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152.92</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2"/>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2"/>
              <w:widowControl/>
              <w:ind w:leftChars="1994" w:left="4187" w:firstLineChars="5" w:firstLine="18"/>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eastAsia="zh-CN"/>
              </w:rPr>
              <w:t>村级运维费及村干部生活补助意外险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马奈镇</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152.92</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152.92</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152.92</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152.92</w:t>
            </w:r>
            <w:r>
              <w:rPr>
                <w:rFonts w:ascii="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eastAsia="zh-CN"/>
              </w:rPr>
              <w:t>维持农村基层政权正常运转，保障上级安排任务及时落实，群众满意。保障村干部报酬。</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经济成本</w:t>
            </w:r>
            <w:r>
              <w:rPr>
                <w:rFonts w:asci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村级运维费</w:t>
            </w:r>
            <w:r>
              <w:rPr>
                <w:rFonts w:ascii="宋体" w:cs="宋体" w:hint="eastAsia"/>
                <w:color w:val="000000"/>
                <w:sz w:val="24"/>
                <w:lang w:eastAsia="zh-CN"/>
              </w:rPr>
              <w:t>及村干部生活补助意外险</w:t>
            </w:r>
            <w:r>
              <w:rPr>
                <w:rFonts w:ascii="宋体" w:cs="宋体" w:hint="eastAsia"/>
                <w:color w:val="000000"/>
                <w:sz w:val="24"/>
              </w:rPr>
              <w:t>资金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152.92万元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152.92万元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eastAsia="zh-CN"/>
              </w:rPr>
              <w:t>产出</w:t>
            </w:r>
            <w:r>
              <w:rPr>
                <w:rFonts w:asci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村级运维费</w:t>
            </w:r>
            <w:r>
              <w:rPr>
                <w:rFonts w:ascii="宋体" w:cs="宋体" w:hint="eastAsia"/>
                <w:color w:val="000000"/>
                <w:sz w:val="24"/>
                <w:lang w:eastAsia="zh-CN"/>
              </w:rPr>
              <w:t>及村干部生活补助意外险</w:t>
            </w:r>
            <w:r>
              <w:rPr>
                <w:rFonts w:ascii="宋体" w:cs="宋体" w:hint="eastAsia"/>
                <w:color w:val="000000"/>
                <w:sz w:val="24"/>
              </w:rPr>
              <w:t>资金拨付到位及时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r>
              <w:rPr>
                <w:rFonts w:ascii="宋体" w:cs="宋体"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r>
              <w:rPr>
                <w:rFonts w:ascii="宋体" w:cs="宋体" w:hint="eastAsia"/>
                <w:color w:val="000000"/>
                <w:sz w:val="24"/>
              </w:rPr>
              <w:t>%</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kern w:val="0"/>
                <w:sz w:val="24"/>
                <w:lang w:val="en-US" w:eastAsia="zh-CN"/>
              </w:rPr>
            </w:pPr>
            <w:r>
              <w:rPr>
                <w:rFonts w:ascii="宋体" w:cs="宋体" w:hint="eastAsia"/>
                <w:color w:val="000000"/>
                <w:kern w:val="0"/>
                <w:sz w:val="24"/>
                <w:lang w:eastAsia="zh-CN"/>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eastAsia="zh-CN"/>
              </w:rPr>
              <w:t>保障基层党组织基本运转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r>
              <w:rPr>
                <w:rFonts w:ascii="宋体" w:cs="宋体"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服务对象</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p>
    <w:p>
      <w:pPr>
        <w:numPr>
          <w:ilvl w:val="0"/>
          <w:numId w:val="4"/>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2022年新冠防疫工作经费</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10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10</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2"/>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2"/>
              <w:widowControl/>
              <w:ind w:leftChars="1823" w:left="4170" w:hangingChars="95" w:hanging="342"/>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2022年新冠防疫工作经费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马奈镇</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10</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10</w:t>
            </w:r>
            <w:r>
              <w:rPr>
                <w:rFonts w:ascii="宋体" w:cs="宋体" w:hint="eastAsia"/>
                <w:color w:val="000000"/>
                <w:kern w:val="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10</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10</w:t>
            </w:r>
            <w:r>
              <w:rPr>
                <w:rFonts w:ascii="宋体" w:cs="宋体" w:hint="eastAsia"/>
                <w:color w:val="000000"/>
                <w:kern w:val="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rPr>
              <w:t>保证</w:t>
            </w:r>
            <w:r>
              <w:rPr>
                <w:rFonts w:ascii="宋体" w:cs="宋体" w:hint="eastAsia"/>
                <w:color w:val="000000"/>
                <w:sz w:val="24"/>
                <w:lang w:eastAsia="zh-CN"/>
              </w:rPr>
              <w:t>防疫所需的后勤保障工作</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经济</w:t>
            </w: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防疫工作经费</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10万元</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10万元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kern w:val="0"/>
                <w:sz w:val="24"/>
                <w:lang w:eastAsia="zh-CN"/>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社会效益</w:t>
            </w:r>
            <w:r>
              <w:rPr>
                <w:rFonts w:asci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有效遏制疫情扩散</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ascii="宋体" w:cs="宋体" w:hint="eastAsia"/>
                <w:color w:val="000000"/>
                <w:sz w:val="24"/>
                <w:lang w:val="en-US" w:eastAsia="zh-CN"/>
              </w:rPr>
              <w:t>95</w:t>
            </w:r>
            <w:r>
              <w:rPr>
                <w:rFonts w:ascii="宋体" w:cs="宋体" w:hint="eastAsia"/>
                <w:color w:val="000000"/>
                <w:sz w:val="24"/>
              </w:rPr>
              <w:t>%</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按要求按成各项工作</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eastAsia="zh-CN"/>
              </w:rPr>
              <w:t>服务群众</w:t>
            </w:r>
            <w:r>
              <w:rPr>
                <w:rFonts w:ascii="宋体" w:cs="宋体" w:hint="eastAsia"/>
                <w:color w:val="000000"/>
                <w:sz w:val="24"/>
              </w:rPr>
              <w:t>满意</w:t>
            </w:r>
            <w:r>
              <w:rPr>
                <w:rFonts w:ascii="宋体" w:cs="宋体" w:hint="eastAsia"/>
                <w:color w:val="000000"/>
                <w:sz w:val="24"/>
                <w:lang w:val="en-US" w:eastAsia="zh-CN"/>
              </w:rPr>
              <w:t>度</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p>
        </w:tc>
      </w:tr>
    </w:tbl>
    <w:p>
      <w:pPr>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w:t>
      </w:r>
    </w:p>
    <w:p>
      <w:pPr>
        <w:numPr>
          <w:ilvl w:val="0"/>
          <w:numId w:val="5"/>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hint="eastAsia"/>
          <w:color w:val="000000"/>
          <w:sz w:val="32"/>
          <w:szCs w:val="32"/>
          <w:lang w:val="en-US" w:eastAsia="zh-CN"/>
        </w:rPr>
        <w:t>金川县地质灾害防治项目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300</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244.36</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81.45</w:t>
      </w:r>
      <w:r>
        <w:rPr>
          <w:rFonts w:ascii="仿宋_GB2312" w:eastAsia="仿宋_GB2312" w:cs="仿宋_GB2312" w:hint="eastAsia"/>
          <w:sz w:val="32"/>
          <w:szCs w:val="32"/>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金川县地质灾害防治项目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马奈镇</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300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300</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300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300</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新建河堤堡坎320米，下宽3米，上宽0.7米，高8米。项目实施能够保障河堤沿线人民群众的生命财产安全，改善村容村貌，提高群众生活的幸福感。</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保障河堤沿线人民群众的生命财产安全，改善村容村貌，提高群众生活的幸福感。</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kern w:val="0"/>
                <w:sz w:val="24"/>
                <w:lang w:eastAsia="zh-CN"/>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eastAsia="宋体" w:hint="eastAsia"/>
                <w:lang w:eastAsia="zh-CN"/>
              </w:rPr>
            </w:pPr>
            <w:r>
              <w:rPr>
                <w:rFonts w:ascii="宋体" w:eastAsia="宋体" w:cs="宋体" w:hint="eastAsia"/>
                <w:color w:val="000000"/>
                <w:sz w:val="24"/>
                <w:lang w:eastAsia="zh-CN"/>
              </w:rPr>
              <w:t>经济成本指标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hint="eastAsia"/>
                <w:lang w:val="en-US" w:eastAsia="zh-CN"/>
              </w:rPr>
            </w:pPr>
            <w:r>
              <w:rPr>
                <w:rFonts w:ascii="宋体" w:cs="宋体" w:hint="eastAsia"/>
                <w:color w:val="000000"/>
                <w:sz w:val="24"/>
              </w:rPr>
              <w:t xml:space="preserve">              </w:t>
            </w:r>
            <w:r>
              <w:rPr>
                <w:rFonts w:ascii="宋体" w:cs="宋体" w:hint="eastAsia"/>
                <w:color w:val="000000"/>
                <w:sz w:val="24"/>
                <w:lang w:eastAsia="zh-CN"/>
              </w:rPr>
              <w:t>项目建设总费用</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300万元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244.36万元</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eastAsia="宋体" w:cs="宋体" w:hint="eastAsia"/>
                <w:color w:val="000000"/>
                <w:sz w:val="24"/>
                <w:lang w:eastAsia="zh-CN"/>
              </w:rPr>
            </w:pPr>
            <w:r>
              <w:rPr>
                <w:rFonts w:ascii="宋体" w:cs="宋体" w:hint="eastAsia"/>
                <w:color w:val="000000"/>
                <w:sz w:val="24"/>
              </w:rPr>
              <w:t xml:space="preserve">              </w:t>
            </w:r>
            <w:r>
              <w:rPr>
                <w:rFonts w:ascii="宋体" w:cs="宋体" w:hint="eastAsia"/>
                <w:color w:val="000000"/>
                <w:sz w:val="24"/>
                <w:lang w:eastAsia="zh-CN"/>
              </w:rPr>
              <w:t>按期完工</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完成率100%</w:t>
            </w:r>
          </w:p>
        </w:tc>
      </w:tr>
      <w:tr>
        <w:trPr>
          <w:trHeight w:val="1050"/>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社会效益</w:t>
            </w:r>
            <w:r>
              <w:rPr>
                <w:rFonts w:asci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保障河堤沿线群众的生命财产安全</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w:t>
            </w:r>
            <w:r>
              <w:rPr>
                <w:rFonts w:ascii="宋体" w:cs="宋体" w:hint="eastAsia"/>
                <w:color w:val="000000"/>
                <w:sz w:val="24"/>
              </w:rPr>
              <w:t>万元</w:t>
            </w:r>
          </w:p>
        </w:tc>
      </w:tr>
      <w:tr>
        <w:trPr>
          <w:trHeight w:val="1050"/>
        </w:trPr>
        <w:tc>
          <w:tcPr>
            <w:tcW w:w="390" w:type="dxa"/>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可持续影响指标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改善交通道路环境、防汛减灾</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rPr>
        <w:t>4 .“</w:t>
      </w:r>
      <w:r>
        <w:rPr>
          <w:rFonts w:ascii="仿宋_GB2312" w:eastAsia="仿宋_GB2312" w:cs="仿宋_GB2312" w:hint="eastAsia"/>
          <w:sz w:val="32"/>
          <w:szCs w:val="32"/>
          <w:lang w:val="en-US" w:eastAsia="zh-CN"/>
        </w:rPr>
        <w:t>三老干部生活补助</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3.36</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3.36</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三老干部生活补助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马奈镇</w:t>
            </w:r>
            <w:r>
              <w:rPr>
                <w:rFonts w:ascii="宋体" w:cs="宋体" w:hint="eastAsia"/>
                <w:color w:val="000000"/>
                <w:sz w:val="24"/>
              </w:rPr>
              <w:t>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rPr>
            </w:pPr>
            <w:r>
              <w:rPr>
                <w:rFonts w:ascii="宋体" w:cs="宋体" w:hint="eastAsia"/>
                <w:color w:val="000000"/>
                <w:sz w:val="24"/>
                <w:lang w:val="en-US" w:eastAsia="zh-CN"/>
              </w:rPr>
              <w:t>3.36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3.36万元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rPr>
            </w:pPr>
            <w:r>
              <w:rPr>
                <w:rFonts w:ascii="宋体" w:cs="宋体" w:hint="eastAsia"/>
                <w:color w:val="000000"/>
                <w:sz w:val="24"/>
                <w:lang w:val="en-US" w:eastAsia="zh-CN"/>
              </w:rPr>
              <w:t>3.36</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3.36万元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color w:val="000000"/>
                <w:sz w:val="24"/>
                <w:lang w:val="en-US" w:eastAsia="zh-CN"/>
              </w:rPr>
            </w:pPr>
            <w:r>
              <w:rPr>
                <w:rFonts w:ascii="宋体" w:cs="宋体" w:hint="eastAsia"/>
                <w:color w:val="000000"/>
                <w:sz w:val="24"/>
                <w:lang w:val="en-US" w:eastAsia="zh-CN"/>
              </w:rPr>
              <w:t>切实保障三老干部生活的必要支出和正常运转，规范经费管理，有利于夯实党在基层执政的组织基础和群众基础，有利于提高基层组织引领发展、服务群众的能力和水平。</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保障三老干部生活的必要支出和正常运转，夯实党在基层执政的组织基础和群众基础</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三老干部人数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hint="eastAsia"/>
                <w:sz w:val="24"/>
                <w:lang w:eastAsia="zh-CN"/>
              </w:rPr>
            </w:pPr>
            <w:r>
              <w:rPr>
                <w:rFonts w:ascii="宋体" w:cs="宋体" w:hint="eastAsia"/>
                <w:color w:val="000000"/>
                <w:sz w:val="24"/>
                <w:lang w:val="en-US" w:eastAsia="zh-CN"/>
              </w:rPr>
              <w:t>3人</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sz w:val="24"/>
              </w:rPr>
            </w:pPr>
            <w:r>
              <w:rPr>
                <w:rFonts w:ascii="宋体" w:cs="宋体" w:hint="eastAsia"/>
                <w:color w:val="000000"/>
                <w:sz w:val="24"/>
                <w:lang w:val="en-US" w:eastAsia="zh-CN"/>
              </w:rPr>
              <w:t>3人</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补助发放准确</w:t>
            </w:r>
            <w:r>
              <w:rPr>
                <w:rFonts w:ascii="宋体" w:cs="宋体" w:hint="eastAsia"/>
                <w:color w:val="000000"/>
                <w:sz w:val="24"/>
              </w:rPr>
              <w:t>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r>
              <w:rPr>
                <w:rFonts w:ascii="宋体" w:cs="宋体"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社会效益</w:t>
            </w:r>
            <w:r>
              <w:rPr>
                <w:rFonts w:asci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政策知晓率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000000"/>
                <w:sz w:val="24"/>
                <w:lang w:eastAsia="zh-CN"/>
              </w:rPr>
            </w:pPr>
            <w:r>
              <w:rPr>
                <w:rFonts w:ascii="宋体" w:cs="宋体" w:hint="eastAsia"/>
                <w:color w:val="000000"/>
                <w:sz w:val="24"/>
                <w:lang w:eastAsia="zh-CN"/>
              </w:rPr>
              <w:t>经济成本指标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三老干部每月补助标准</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400元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400元</w:t>
            </w:r>
          </w:p>
        </w:tc>
      </w:tr>
    </w:tbl>
    <w:p>
      <w:pPr>
        <w:rPr>
          <w:rFonts w:ascii="Calibri" w:hAnsi="Calibri"/>
        </w:rPr>
      </w:pPr>
    </w:p>
    <w:p>
      <w:pPr>
        <w:spacing w:line="600" w:lineRule="exact"/>
        <w:ind w:firstLineChars="200" w:firstLine="640"/>
        <w:outlineLvl w:val="1"/>
        <w:rPr>
          <w:rStyle w:val="2Char"/>
          <w:rFonts w:ascii="黑体" w:eastAsia="黑体"/>
        </w:rPr>
      </w:pPr>
      <w:bookmarkStart w:id="71" w:name="_Toc30171"/>
      <w:bookmarkStart w:id="72" w:name="_Toc15377221"/>
      <w:bookmarkStart w:id="73" w:name="_Toc14309"/>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71"/>
      <w:bookmarkEnd w:id="72"/>
      <w:bookmarkEnd w:id="73"/>
    </w:p>
    <w:p>
      <w:pPr>
        <w:spacing w:line="600" w:lineRule="exact"/>
        <w:ind w:firstLineChars="200" w:firstLine="640"/>
        <w:outlineLvl w:val="2"/>
        <w:rPr>
          <w:rFonts w:ascii="仿宋" w:eastAsia="仿宋"/>
          <w:color w:val="000000"/>
          <w:sz w:val="32"/>
          <w:szCs w:val="32"/>
        </w:rPr>
      </w:pPr>
      <w:bookmarkStart w:id="74" w:name="_Toc15377222"/>
      <w:r>
        <w:rPr>
          <w:rFonts w:ascii="仿宋" w:eastAsia="仿宋" w:hint="eastAsia"/>
          <w:b/>
          <w:color w:val="000000"/>
          <w:sz w:val="32"/>
          <w:szCs w:val="32"/>
        </w:rPr>
        <w:t>（一）机关运行经费支出情况</w:t>
      </w:r>
      <w:bookmarkEnd w:id="74"/>
    </w:p>
    <w:p>
      <w:pPr>
        <w:spacing w:line="600" w:lineRule="exact"/>
        <w:ind w:firstLineChars="200" w:firstLine="640"/>
        <w:rPr>
          <w:rFonts w:ascii="仿宋_GB2312" w:eastAsia="仿宋_GB2312"/>
          <w:sz w:val="32"/>
          <w:szCs w:val="32"/>
        </w:rPr>
      </w:pPr>
      <w:r>
        <w:rPr>
          <w:rFonts w:ascii="仿宋_GB2312" w:eastAsia="仿宋_GB2312"/>
          <w:color w:val="000000"/>
          <w:sz w:val="32"/>
          <w:szCs w:val="32"/>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w:t>
      </w:r>
      <w:r>
        <w:rPr>
          <w:rFonts w:ascii="仿宋_GB2312" w:eastAsia="仿宋_GB2312" w:hint="eastAsia"/>
          <w:color w:val="000000"/>
          <w:sz w:val="32"/>
          <w:szCs w:val="32"/>
          <w:lang w:eastAsia="zh-CN"/>
        </w:rPr>
        <w:t>，马奈镇</w:t>
      </w:r>
      <w:r>
        <w:rPr>
          <w:rFonts w:ascii="仿宋_GB2312" w:eastAsia="仿宋_GB2312" w:hint="eastAsia"/>
          <w:color w:val="000000"/>
          <w:sz w:val="32"/>
          <w:szCs w:val="32"/>
        </w:rPr>
        <w:t>人民政府运行经费支出</w:t>
      </w:r>
      <w:r>
        <w:rPr>
          <w:rFonts w:ascii="仿宋_GB2312" w:eastAsia="仿宋_GB2312"/>
          <w:color w:val="000000"/>
          <w:sz w:val="32"/>
          <w:szCs w:val="32"/>
        </w:rPr>
        <w:t>46.5</w:t>
      </w:r>
      <w:r>
        <w:rPr>
          <w:rFonts w:ascii="仿宋_GB2312" w:eastAsia="仿宋_GB2312" w:hint="eastAsia"/>
          <w:color w:val="000000"/>
          <w:sz w:val="32"/>
          <w:szCs w:val="32"/>
        </w:rPr>
        <w:t>万元</w:t>
      </w:r>
      <w:r>
        <w:rPr>
          <w:rFonts w:ascii="仿宋_GB2312" w:eastAsia="仿宋_GB2312" w:hint="eastAsia"/>
          <w:sz w:val="32"/>
          <w:szCs w:val="32"/>
        </w:rPr>
        <w:t>。比2021年增加</w:t>
      </w:r>
      <w:r>
        <w:rPr>
          <w:rFonts w:ascii="仿宋_GB2312" w:eastAsia="仿宋_GB2312"/>
          <w:sz w:val="32"/>
          <w:szCs w:val="32"/>
        </w:rPr>
        <w:t>46.5</w:t>
      </w:r>
      <w:r>
        <w:rPr>
          <w:rFonts w:ascii="仿宋_GB2312" w:eastAsia="仿宋_GB2312" w:hint="eastAsia"/>
          <w:sz w:val="32"/>
          <w:szCs w:val="32"/>
        </w:rPr>
        <w:t>万元，增长100%，</w:t>
      </w:r>
      <w:r>
        <w:rPr>
          <w:rFonts w:ascii="仿宋_GB2312" w:eastAsia="仿宋_GB2312"/>
          <w:color w:val="000000"/>
          <w:sz w:val="32"/>
          <w:szCs w:val="32"/>
        </w:rPr>
        <w:t>2021年和2022年</w:t>
      </w:r>
      <w:r>
        <w:rPr>
          <w:rFonts w:ascii="仿宋_GB2312" w:eastAsia="仿宋_GB2312" w:hint="eastAsia"/>
          <w:color w:val="000000"/>
          <w:sz w:val="32"/>
          <w:szCs w:val="32"/>
        </w:rPr>
        <w:t>决算报表</w:t>
      </w:r>
      <w:r>
        <w:rPr>
          <w:rFonts w:ascii="仿宋_GB2312" w:eastAsia="仿宋_GB2312"/>
          <w:color w:val="000000"/>
          <w:sz w:val="32"/>
          <w:szCs w:val="32"/>
        </w:rPr>
        <w:t>填报口径不一样</w:t>
      </w:r>
      <w:r>
        <w:rPr>
          <w:rFonts w:ascii="仿宋_GB2312" w:eastAsia="仿宋_GB2312" w:hint="eastAsia"/>
          <w:sz w:val="32"/>
          <w:szCs w:val="32"/>
        </w:rPr>
        <w:t>。</w:t>
      </w:r>
      <w:bookmarkStart w:id="75" w:name="_GoBack"/>
      <w:bookmarkEnd w:id="75"/>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76" w:name="_Toc15377224"/>
      <w:r>
        <w:rPr>
          <w:rFonts w:ascii="仿宋" w:eastAsia="仿宋" w:hint="eastAsia"/>
          <w:b/>
          <w:color w:val="000000"/>
          <w:sz w:val="32"/>
          <w:szCs w:val="32"/>
        </w:rPr>
        <w:t>（二）国有资产占有使用情况</w:t>
      </w:r>
      <w:bookmarkEnd w:id="76"/>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辆，为日常工作及应急保障用车。</w:t>
      </w:r>
    </w:p>
    <w:p>
      <w:pPr>
        <w:autoSpaceDE w:val="0"/>
        <w:autoSpaceDN w:val="0"/>
        <w:adjustRightInd w:val="0"/>
        <w:spacing w:line="600" w:lineRule="exact"/>
        <w:ind w:firstLineChars="200" w:firstLine="640"/>
        <w:jc w:val="left"/>
        <w:outlineLvl w:val="2"/>
        <w:rPr>
          <w:rFonts w:ascii="仿宋" w:eastAsia="仿宋" w:cs="Times New Roman" w:hint="eastAsia"/>
          <w:b/>
          <w:color w:val="000000"/>
          <w:sz w:val="32"/>
          <w:szCs w:val="32"/>
        </w:rPr>
      </w:pPr>
      <w:r>
        <w:rPr>
          <w:rFonts w:ascii="仿宋" w:eastAsia="仿宋" w:cs="Times New Roman" w:hint="eastAsia"/>
          <w:b/>
          <w:color w:val="000000"/>
          <w:sz w:val="32"/>
          <w:szCs w:val="32"/>
          <w:lang w:val="en-US" w:eastAsia="zh-CN"/>
        </w:rPr>
        <w:t>(三）</w:t>
      </w:r>
      <w:r>
        <w:rPr>
          <w:rFonts w:ascii="仿宋" w:eastAsia="仿宋" w:cs="Times New Roman" w:hint="eastAsia"/>
          <w:b/>
          <w:color w:val="000000"/>
          <w:sz w:val="32"/>
          <w:szCs w:val="32"/>
        </w:rPr>
        <w:t xml:space="preserve">政府采购支出情况   </w:t>
      </w:r>
    </w:p>
    <w:p>
      <w:pPr>
        <w:pStyle w:val="23"/>
        <w:keepNext w:val="0"/>
        <w:keepLines w:val="0"/>
        <w:widowControl/>
        <w:suppressLineNumbers w:val="0"/>
        <w:spacing w:before="0" w:beforeAutospacing="0"/>
        <w:ind w:left="0" w:firstLineChars="200" w:firstLine="640"/>
        <w:jc w:val="left"/>
        <w:rPr>
          <w:rFonts w:ascii="仿宋" w:eastAsia="仿宋" w:cs="仿宋" w:hint="eastAsia"/>
          <w:sz w:val="32"/>
          <w:szCs w:val="32"/>
          <w:shd w:val="clear" w:color="auto" w:fill="FFFFFF"/>
          <w:lang w:bidi="ar-SA"/>
        </w:rPr>
      </w:pPr>
      <w:bookmarkStart w:id="77" w:name="_Toc30760"/>
      <w:bookmarkStart w:id="78" w:name="_Toc15377225"/>
      <w:bookmarkStart w:id="79" w:name="_Toc28005"/>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numPr>
          <w:ilvl w:val="0"/>
          <w:numId w:val="6"/>
        </w:numPr>
        <w:spacing w:line="600" w:lineRule="exact"/>
        <w:ind w:left="0" w:firstLineChars="150" w:firstLine="660"/>
        <w:jc w:val="center"/>
        <w:outlineLvl w:val="0"/>
        <w:rPr>
          <w:rStyle w:val="1Char"/>
          <w:rFonts w:ascii="黑体" w:eastAsia="黑体"/>
          <w:b w:val="0"/>
        </w:rPr>
      </w:pPr>
      <w:r>
        <w:rPr>
          <w:rFonts w:ascii="黑体" w:eastAsia="黑体" w:hint="eastAsia"/>
          <w:b/>
          <w:color w:val="000000"/>
          <w:sz w:val="44"/>
          <w:szCs w:val="44"/>
        </w:rPr>
        <w:t>名</w:t>
      </w:r>
      <w:r>
        <w:rPr>
          <w:rStyle w:val="1Char"/>
          <w:rFonts w:ascii="黑体" w:eastAsia="黑体" w:hint="eastAsia"/>
          <w:b w:val="0"/>
        </w:rPr>
        <w:t>词解释</w:t>
      </w:r>
      <w:bookmarkEnd w:id="77"/>
      <w:bookmarkEnd w:id="78"/>
      <w:bookmarkEnd w:id="79"/>
    </w:p>
    <w:p>
      <w:pPr>
        <w:pStyle w:val="31"/>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9"/>
        <w:rPr>
          <w:rFonts w:ascii="黑体" w:eastAsia="黑体"/>
          <w:color w:val="000000"/>
          <w:sz w:val="44"/>
          <w:szCs w:val="44"/>
        </w:rPr>
      </w:pPr>
      <w:bookmarkStart w:id="80" w:name="_Toc15396614"/>
      <w:bookmarkStart w:id="81" w:name="_Toc15377226"/>
    </w:p>
    <w:p>
      <w:pPr>
        <w:spacing w:line="600" w:lineRule="exact"/>
        <w:jc w:val="center"/>
        <w:outlineLvl w:val="9"/>
        <w:rPr>
          <w:rFonts w:ascii="黑体" w:eastAsia="黑体" w:hint="eastAsia"/>
          <w:b/>
          <w:color w:val="000000"/>
          <w:sz w:val="44"/>
          <w:szCs w:val="44"/>
          <w:lang w:val="en-US" w:eastAsia="zh-CN"/>
        </w:rPr>
      </w:pPr>
    </w:p>
    <w:p>
      <w:pPr>
        <w:spacing w:line="600" w:lineRule="exact"/>
        <w:jc w:val="center"/>
        <w:outlineLvl w:val="9"/>
        <w:rPr>
          <w:rFonts w:ascii="黑体" w:eastAsia="黑体" w:hint="eastAsia"/>
          <w:b/>
          <w:color w:val="000000"/>
          <w:sz w:val="44"/>
          <w:szCs w:val="44"/>
          <w:lang w:val="en-US" w:eastAsia="zh-CN"/>
        </w:rPr>
      </w:pPr>
    </w:p>
    <w:p>
      <w:pPr>
        <w:spacing w:line="600" w:lineRule="exact"/>
        <w:jc w:val="center"/>
        <w:outlineLvl w:val="9"/>
        <w:rPr>
          <w:rFonts w:ascii="黑体" w:eastAsia="黑体" w:hint="eastAsia"/>
          <w:b/>
          <w:color w:val="000000"/>
          <w:sz w:val="44"/>
          <w:szCs w:val="44"/>
          <w:lang w:val="en-US" w:eastAsia="zh-CN"/>
        </w:rPr>
      </w:pPr>
    </w:p>
    <w:p>
      <w:pPr>
        <w:pStyle w:val="15"/>
        <w:ind w:leftChars="0" w:left="0" w:firstLineChars="0" w:firstLine="0"/>
        <w:rPr>
          <w:lang w:val="en-US" w:eastAsia="zh-CN"/>
        </w:rPr>
      </w:pPr>
    </w:p>
    <w:p/>
    <w:p>
      <w:pPr>
        <w:pStyle w:val="15"/>
      </w:pPr>
    </w:p>
    <w:p>
      <w:pPr>
        <w:numPr>
          <w:ilvl w:val="0"/>
          <w:numId w:val="6"/>
        </w:numPr>
        <w:spacing w:line="600" w:lineRule="exact"/>
        <w:ind w:left="0" w:firstLineChars="150" w:firstLine="660"/>
        <w:jc w:val="center"/>
        <w:outlineLvl w:val="0"/>
        <w:rPr>
          <w:rFonts w:ascii="黑体" w:eastAsia="黑体" w:cs="Times New Roman" w:hint="eastAsia"/>
          <w:b/>
          <w:color w:val="000000"/>
          <w:sz w:val="44"/>
          <w:szCs w:val="44"/>
          <w:lang w:val="en-US" w:eastAsia="zh-CN"/>
        </w:rPr>
      </w:pPr>
      <w:r>
        <w:rPr>
          <w:rFonts w:ascii="黑体" w:eastAsia="黑体" w:cs="Times New Roman" w:hint="eastAsia"/>
          <w:b/>
          <w:color w:val="000000"/>
          <w:sz w:val="44"/>
          <w:szCs w:val="44"/>
          <w:lang w:val="en-US" w:eastAsia="zh-CN"/>
        </w:rPr>
        <w:t xml:space="preserve">  </w:t>
      </w:r>
      <w:bookmarkStart w:id="82" w:name="_Toc2350"/>
      <w:r>
        <w:rPr>
          <w:rFonts w:ascii="黑体" w:eastAsia="黑体" w:cs="Times New Roman" w:hint="eastAsia"/>
          <w:b/>
          <w:color w:val="000000"/>
          <w:sz w:val="44"/>
          <w:szCs w:val="44"/>
          <w:lang w:val="en-US" w:eastAsia="zh-CN"/>
        </w:rPr>
        <w:t>附件</w:t>
      </w:r>
      <w:bookmarkEnd w:id="82"/>
    </w:p>
    <w:p>
      <w:pPr>
        <w:pStyle w:val="15"/>
        <w:ind w:leftChars="0" w:left="0" w:firstLineChars="0" w:firstLine="0"/>
        <w:rPr>
          <w:rFonts w:hint="eastAsia"/>
          <w:lang w:val="en-US" w:eastAsia="zh-CN"/>
        </w:rPr>
      </w:pPr>
    </w:p>
    <w:p>
      <w:pPr>
        <w:tabs>
          <w:tab w:val="left" w:pos="0"/>
        </w:tabs>
        <w:spacing w:line="600" w:lineRule="exact"/>
        <w:ind w:leftChars="150" w:left="315"/>
        <w:jc w:val="center"/>
        <w:outlineLvl w:val="0"/>
        <w:rPr>
          <w:rFonts w:ascii="黑体" w:eastAsia="黑体" w:cs="Times New Roman" w:hint="eastAsia"/>
          <w:b/>
          <w:color w:val="000000"/>
          <w:sz w:val="44"/>
          <w:szCs w:val="44"/>
        </w:rPr>
      </w:pPr>
      <w:bookmarkStart w:id="83" w:name="_Toc25833"/>
      <w:bookmarkEnd w:id="80"/>
      <w:bookmarkEnd w:id="81"/>
      <w:r>
        <w:rPr>
          <w:rFonts w:ascii="黑体" w:eastAsia="黑体" w:cs="Times New Roman" w:hint="eastAsia"/>
          <w:b/>
          <w:color w:val="000000"/>
          <w:sz w:val="44"/>
          <w:szCs w:val="44"/>
        </w:rPr>
        <w:t>金川县</w:t>
      </w:r>
      <w:r>
        <w:rPr>
          <w:rFonts w:ascii="黑体" w:eastAsia="黑体" w:cs="Times New Roman" w:hint="eastAsia"/>
          <w:b/>
          <w:color w:val="000000"/>
          <w:sz w:val="44"/>
          <w:szCs w:val="44"/>
          <w:lang w:eastAsia="zh-CN"/>
        </w:rPr>
        <w:t>马奈镇</w:t>
      </w:r>
      <w:r>
        <w:rPr>
          <w:rFonts w:ascii="黑体" w:eastAsia="黑体" w:cs="Times New Roman" w:hint="eastAsia"/>
          <w:b/>
          <w:color w:val="000000"/>
          <w:sz w:val="44"/>
          <w:szCs w:val="44"/>
        </w:rPr>
        <w:t>人民政府</w:t>
      </w:r>
      <w:bookmarkEnd w:id="83"/>
    </w:p>
    <w:p>
      <w:pPr>
        <w:tabs>
          <w:tab w:val="left" w:pos="0"/>
        </w:tabs>
        <w:spacing w:line="600" w:lineRule="exact"/>
        <w:ind w:leftChars="150" w:left="315"/>
        <w:jc w:val="center"/>
        <w:outlineLvl w:val="0"/>
        <w:rPr>
          <w:rFonts w:ascii="黑体" w:eastAsia="黑体" w:cs="Times New Roman" w:hint="eastAsia"/>
          <w:b/>
          <w:color w:val="000000"/>
          <w:sz w:val="44"/>
          <w:szCs w:val="44"/>
        </w:rPr>
      </w:pPr>
      <w:bookmarkStart w:id="84" w:name="_Toc22690"/>
      <w:r>
        <w:rPr>
          <w:rFonts w:ascii="黑体" w:eastAsia="黑体" w:cs="Times New Roman" w:hint="eastAsia"/>
          <w:b/>
          <w:color w:val="000000"/>
          <w:sz w:val="44"/>
          <w:szCs w:val="44"/>
        </w:rPr>
        <w:t>2022年部门整体支出绩效</w:t>
      </w:r>
      <w:bookmarkEnd w:id="84"/>
    </w:p>
    <w:p>
      <w:pPr>
        <w:tabs>
          <w:tab w:val="left" w:pos="0"/>
        </w:tabs>
        <w:spacing w:line="600" w:lineRule="exact"/>
        <w:ind w:leftChars="150" w:left="315"/>
        <w:jc w:val="center"/>
        <w:outlineLvl w:val="0"/>
        <w:rPr>
          <w:rFonts w:ascii="方正小标宋简体" w:eastAsia="方正小标宋简体" w:cs="方正小标宋简体" w:hint="eastAsia"/>
          <w:b w:val="0"/>
          <w:bCs/>
          <w:spacing w:val="34"/>
          <w:sz w:val="44"/>
          <w:szCs w:val="44"/>
          <w:shd w:val="clear" w:color="auto" w:fill="FFFFFF"/>
        </w:rPr>
      </w:pPr>
      <w:bookmarkStart w:id="85" w:name="_Toc27689"/>
      <w:r>
        <w:rPr>
          <w:rFonts w:ascii="黑体" w:eastAsia="黑体" w:cs="Times New Roman" w:hint="eastAsia"/>
          <w:b/>
          <w:color w:val="000000"/>
          <w:sz w:val="44"/>
          <w:szCs w:val="44"/>
        </w:rPr>
        <w:t>评价报告</w:t>
      </w:r>
      <w:bookmarkEnd w:id="85"/>
    </w:p>
    <w:p>
      <w:pPr>
        <w:keepNext w:val="0"/>
        <w:keepLines w:val="0"/>
        <w:pageBreakBefore w:val="0"/>
        <w:widowControl/>
        <w:kinsoku w:val="0"/>
        <w:overflowPunct w:val="0"/>
        <w:autoSpaceDE w:val="0"/>
        <w:autoSpaceDN w:val="0"/>
        <w:bidi w:val="0"/>
        <w:spacing w:line="600" w:lineRule="exact"/>
        <w:ind w:firstLineChars="200" w:firstLine="640"/>
        <w:jc w:val="left"/>
        <w:textAlignment w:val="auto"/>
        <w:rPr>
          <w:rFonts w:hint="eastAsia"/>
          <w:lang w:val="zh-CN"/>
        </w:rPr>
      </w:pPr>
      <w:r>
        <w:rPr>
          <w:rFonts w:ascii="仿宋" w:eastAsia="仿宋" w:hint="eastAsia"/>
          <w:color w:val="000000"/>
          <w:sz w:val="32"/>
          <w:szCs w:val="32"/>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我</w:t>
      </w:r>
      <w:r>
        <w:rPr>
          <w:rFonts w:ascii="仿宋" w:eastAsia="仿宋" w:hint="eastAsia"/>
          <w:color w:val="000000"/>
          <w:sz w:val="32"/>
          <w:szCs w:val="32"/>
          <w:lang w:eastAsia="zh-CN"/>
        </w:rPr>
        <w:t>镇</w:t>
      </w:r>
      <w:r>
        <w:rPr>
          <w:rFonts w:ascii="仿宋" w:eastAsia="仿宋" w:hint="eastAsia"/>
          <w:color w:val="000000"/>
          <w:sz w:val="32"/>
          <w:szCs w:val="32"/>
        </w:rPr>
        <w:t>高度重视，</w:t>
      </w:r>
      <w:r>
        <w:rPr>
          <w:rFonts w:ascii="仿宋" w:eastAsia="仿宋"/>
          <w:color w:val="000000"/>
          <w:sz w:val="32"/>
          <w:szCs w:val="32"/>
        </w:rPr>
        <w:t>赓</w:t>
      </w:r>
      <w:r>
        <w:rPr>
          <w:rFonts w:ascii="仿宋" w:eastAsia="仿宋" w:hint="eastAsia"/>
          <w:color w:val="000000"/>
          <w:sz w:val="32"/>
          <w:szCs w:val="32"/>
        </w:rPr>
        <w:t>即成立了绩效评价工作组负责开展202</w:t>
      </w:r>
      <w:r>
        <w:rPr>
          <w:rFonts w:ascii="仿宋" w:eastAsia="仿宋" w:hint="eastAsia"/>
          <w:color w:val="000000"/>
          <w:sz w:val="32"/>
          <w:szCs w:val="32"/>
          <w:lang w:val="en-US" w:eastAsia="zh-CN"/>
        </w:rPr>
        <w:t>2</w:t>
      </w:r>
      <w:r>
        <w:rPr>
          <w:rFonts w:ascii="仿宋" w:eastAsia="仿宋" w:hint="eastAsia"/>
          <w:color w:val="000000"/>
          <w:sz w:val="32"/>
          <w:szCs w:val="32"/>
        </w:rPr>
        <w:t>年财政支出绩效评价。</w:t>
      </w:r>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1"/>
        <w:rPr>
          <w:rFonts w:ascii="黑体" w:eastAsia="黑体" w:cs="黑体" w:hint="eastAsia"/>
          <w:b/>
          <w:bCs/>
          <w:color w:val="000000"/>
          <w:spacing w:val="34"/>
          <w:sz w:val="32"/>
          <w:szCs w:val="48"/>
          <w:lang w:val="zh-CN"/>
        </w:rPr>
      </w:pPr>
      <w:bookmarkStart w:id="86" w:name="_Toc18089"/>
      <w:bookmarkStart w:id="87" w:name="_Toc13478"/>
      <w:bookmarkStart w:id="88" w:name="_Toc20121"/>
      <w:bookmarkStart w:id="89" w:name="_Toc6958"/>
      <w:r>
        <w:rPr>
          <w:rFonts w:ascii="黑体" w:eastAsia="黑体" w:cs="黑体" w:hint="eastAsia"/>
          <w:b/>
          <w:bCs/>
          <w:color w:val="000000"/>
          <w:spacing w:val="34"/>
          <w:sz w:val="32"/>
          <w:szCs w:val="48"/>
          <w:lang w:val="zh-CN"/>
        </w:rPr>
        <w:t>一、部门（单位）概况</w:t>
      </w:r>
      <w:bookmarkEnd w:id="86"/>
      <w:bookmarkEnd w:id="87"/>
      <w:bookmarkEnd w:id="88"/>
      <w:bookmarkEnd w:id="89"/>
    </w:p>
    <w:p>
      <w:pPr>
        <w:keepNext w:val="0"/>
        <w:keepLines w:val="0"/>
        <w:pageBreakBefore w:val="0"/>
        <w:widowControl w:val="0"/>
        <w:bidi w:val="0"/>
        <w:snapToGrid w:val="0"/>
        <w:spacing w:line="600" w:lineRule="exact"/>
        <w:ind w:firstLineChars="200" w:firstLine="640"/>
        <w:textAlignment w:val="auto"/>
        <w:outlineLvl w:val="1"/>
        <w:rPr>
          <w:rFonts w:ascii="仿宋_GB2312" w:eastAsia="仿宋_GB2312" w:hint="eastAsia"/>
          <w:sz w:val="30"/>
          <w:szCs w:val="30"/>
        </w:rPr>
      </w:pPr>
      <w:bookmarkStart w:id="90" w:name="_Toc1399"/>
      <w:bookmarkStart w:id="91" w:name="_Toc28734"/>
      <w:bookmarkStart w:id="92" w:name="_Toc30120"/>
      <w:r>
        <w:rPr>
          <w:rFonts w:ascii="楷体" w:eastAsia="楷体" w:cs="楷体" w:hint="eastAsia"/>
          <w:b/>
          <w:bCs/>
          <w:sz w:val="32"/>
          <w:szCs w:val="32"/>
        </w:rPr>
        <w:t>（一）机构和人员情况</w:t>
      </w:r>
      <w:bookmarkEnd w:id="90"/>
      <w:bookmarkEnd w:id="91"/>
    </w:p>
    <w:p>
      <w:pPr>
        <w:keepNext w:val="0"/>
        <w:keepLines w:val="0"/>
        <w:pageBreakBefore w:val="0"/>
        <w:widowControl w:val="0"/>
        <w:bidi w:val="0"/>
        <w:snapToGrid w:val="0"/>
        <w:spacing w:line="600"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rPr>
        <w:t>1、机构情况：我</w:t>
      </w:r>
      <w:r>
        <w:rPr>
          <w:rFonts w:ascii="仿宋" w:eastAsia="仿宋" w:hint="eastAsia"/>
          <w:color w:val="000000"/>
          <w:sz w:val="32"/>
          <w:szCs w:val="32"/>
          <w:lang w:eastAsia="zh-CN"/>
        </w:rPr>
        <w:t>镇2022年</w:t>
      </w:r>
      <w:r>
        <w:rPr>
          <w:rFonts w:ascii="仿宋" w:eastAsia="仿宋" w:hint="eastAsia"/>
          <w:color w:val="000000"/>
          <w:sz w:val="32"/>
          <w:szCs w:val="32"/>
        </w:rPr>
        <w:t>有</w:t>
      </w:r>
      <w:r>
        <w:rPr>
          <w:rFonts w:ascii="仿宋" w:eastAsia="仿宋" w:hint="eastAsia"/>
          <w:color w:val="000000"/>
          <w:sz w:val="32"/>
          <w:szCs w:val="32"/>
          <w:lang w:val="en-US" w:eastAsia="zh-CN"/>
        </w:rPr>
        <w:t>4</w:t>
      </w:r>
      <w:r>
        <w:rPr>
          <w:rFonts w:ascii="仿宋" w:eastAsia="仿宋" w:hint="eastAsia"/>
          <w:color w:val="000000"/>
          <w:sz w:val="32"/>
          <w:szCs w:val="32"/>
        </w:rPr>
        <w:t>个机构，</w:t>
      </w:r>
      <w:r>
        <w:rPr>
          <w:rFonts w:ascii="仿宋_GB2312" w:eastAsia="仿宋_GB2312" w:cs="仿宋_GB2312" w:hint="eastAsia"/>
          <w:bCs/>
          <w:sz w:val="32"/>
          <w:lang w:eastAsia="zh-CN"/>
        </w:rPr>
        <w:t>由镇人民政府办公室、镇人办公室、镇党委办公室、镇综合服务中心，设统一核算机构为</w:t>
      </w:r>
      <w:r>
        <w:rPr>
          <w:rFonts w:ascii="仿宋_GB2312" w:eastAsia="仿宋_GB2312" w:cs="仿宋_GB2312" w:hint="eastAsia"/>
          <w:bCs/>
          <w:sz w:val="32"/>
          <w:lang w:val="en-US" w:eastAsia="zh-CN"/>
        </w:rPr>
        <w:t>1个，独立编制机构1个，</w:t>
      </w:r>
      <w:r>
        <w:rPr>
          <w:rFonts w:ascii="仿宋" w:eastAsia="仿宋" w:hint="eastAsia"/>
          <w:color w:val="000000"/>
          <w:sz w:val="32"/>
          <w:szCs w:val="32"/>
        </w:rPr>
        <w:t>无增减变动。</w:t>
      </w:r>
    </w:p>
    <w:p>
      <w:pPr>
        <w:snapToGrid w:val="0"/>
        <w:spacing w:line="560" w:lineRule="exact"/>
        <w:ind w:firstLineChars="100" w:firstLine="320"/>
        <w:rPr>
          <w:rFonts w:ascii="仿宋" w:eastAsia="仿宋" w:hint="eastAsia"/>
          <w:color w:val="000000"/>
          <w:sz w:val="32"/>
          <w:szCs w:val="32"/>
        </w:rPr>
      </w:pPr>
      <w:r>
        <w:rPr>
          <w:rFonts w:ascii="仿宋" w:eastAsia="仿宋" w:hint="eastAsia"/>
          <w:color w:val="000000"/>
          <w:sz w:val="32"/>
          <w:szCs w:val="32"/>
        </w:rPr>
        <w:t>　2、人员情况：</w:t>
      </w:r>
      <w:r>
        <w:rPr>
          <w:rFonts w:ascii="仿宋_GB2312" w:eastAsia="仿宋_GB2312" w:cs="仿宋_GB2312" w:hint="eastAsia"/>
          <w:bCs/>
          <w:sz w:val="32"/>
          <w:lang w:val="en-US" w:eastAsia="zh-CN"/>
        </w:rPr>
        <w:t>公务员编制21个，事业编制17个，机关工勤4个，</w:t>
      </w:r>
      <w:r>
        <w:rPr>
          <w:rFonts w:ascii="仿宋_GB2312" w:eastAsia="仿宋_GB2312" w:cs="仿宋_GB2312" w:hint="eastAsia"/>
          <w:bCs/>
          <w:sz w:val="32"/>
        </w:rPr>
        <w:t>较上年无变动。我</w:t>
      </w:r>
      <w:r>
        <w:rPr>
          <w:rFonts w:ascii="仿宋_GB2312" w:eastAsia="仿宋_GB2312" w:cs="仿宋_GB2312" w:hint="eastAsia"/>
          <w:bCs/>
          <w:sz w:val="32"/>
          <w:lang w:eastAsia="zh-CN"/>
        </w:rPr>
        <w:t>镇</w:t>
      </w:r>
      <w:r>
        <w:rPr>
          <w:rFonts w:ascii="仿宋_GB2312" w:eastAsia="仿宋_GB2312" w:cs="仿宋_GB2312" w:hint="eastAsia"/>
          <w:bCs/>
          <w:sz w:val="32"/>
        </w:rPr>
        <w:t>本年度年末实有人数为</w:t>
      </w:r>
      <w:r>
        <w:rPr>
          <w:rFonts w:ascii="仿宋_GB2312" w:eastAsia="仿宋_GB2312" w:cs="仿宋_GB2312" w:hint="eastAsia"/>
          <w:bCs/>
          <w:sz w:val="32"/>
          <w:lang w:val="en-US" w:eastAsia="zh-CN"/>
        </w:rPr>
        <w:t>38</w:t>
      </w:r>
      <w:r>
        <w:rPr>
          <w:rFonts w:ascii="仿宋_GB2312" w:eastAsia="仿宋_GB2312" w:cs="仿宋_GB2312" w:hint="eastAsia"/>
          <w:bCs/>
          <w:sz w:val="32"/>
        </w:rPr>
        <w:t>人，比上年</w:t>
      </w:r>
      <w:r>
        <w:rPr>
          <w:rFonts w:ascii="仿宋_GB2312" w:eastAsia="仿宋_GB2312" w:cs="仿宋_GB2312" w:hint="eastAsia"/>
          <w:bCs/>
          <w:sz w:val="32"/>
          <w:lang w:val="en-US" w:eastAsia="zh-CN"/>
        </w:rPr>
        <w:t>行政人员减少1</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事业人员无变动，由于编制空缺，有人员新进及调进</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0</w:t>
      </w:r>
      <w:r>
        <w:rPr>
          <w:rFonts w:ascii="仿宋_GB2312" w:eastAsia="仿宋_GB2312" w:cs="仿宋_GB2312" w:hint="eastAsia"/>
          <w:bCs/>
          <w:sz w:val="32"/>
        </w:rPr>
        <w:t>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18人</w:t>
      </w:r>
      <w:r>
        <w:rPr>
          <w:rFonts w:ascii="仿宋_GB2312" w:eastAsia="仿宋_GB2312" w:cs="仿宋_GB2312" w:hint="eastAsia"/>
          <w:bCs/>
          <w:sz w:val="32"/>
        </w:rPr>
        <w:t>，机关工勤</w:t>
      </w:r>
      <w:r>
        <w:rPr>
          <w:rFonts w:ascii="仿宋_GB2312" w:eastAsia="仿宋_GB2312" w:cs="仿宋_GB2312" w:hint="eastAsia"/>
          <w:bCs/>
          <w:sz w:val="32"/>
          <w:lang w:val="en-US" w:eastAsia="zh-CN"/>
        </w:rPr>
        <w:t>3</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17</w:t>
      </w:r>
      <w:r>
        <w:rPr>
          <w:rFonts w:ascii="仿宋_GB2312" w:eastAsia="仿宋_GB2312" w:cs="仿宋_GB2312" w:hint="eastAsia"/>
          <w:bCs/>
          <w:sz w:val="32"/>
        </w:rPr>
        <w:t>人）。</w:t>
      </w:r>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1"/>
        <w:rPr>
          <w:rFonts w:ascii="黑体" w:eastAsia="黑体" w:cs="黑体" w:hint="eastAsia"/>
          <w:b/>
          <w:bCs/>
          <w:color w:val="000000"/>
          <w:spacing w:val="34"/>
          <w:sz w:val="32"/>
          <w:szCs w:val="32"/>
          <w:lang w:val="zh-CN"/>
        </w:rPr>
      </w:pPr>
      <w:bookmarkStart w:id="93" w:name="_Toc3827"/>
      <w:bookmarkStart w:id="94" w:name="_Toc14408"/>
      <w:bookmarkStart w:id="95" w:name="_Toc13280"/>
      <w:bookmarkStart w:id="96" w:name="_Toc11745"/>
      <w:bookmarkEnd w:id="92"/>
      <w:r>
        <w:rPr>
          <w:rFonts w:ascii="黑体" w:eastAsia="黑体" w:cs="黑体" w:hint="eastAsia"/>
          <w:b/>
          <w:bCs/>
          <w:color w:val="000000"/>
          <w:spacing w:val="34"/>
          <w:sz w:val="32"/>
          <w:szCs w:val="32"/>
          <w:lang w:val="zh-CN"/>
        </w:rPr>
        <w:t>二、部门财政资金收支情况</w:t>
      </w:r>
      <w:bookmarkEnd w:id="93"/>
      <w:bookmarkEnd w:id="94"/>
      <w:bookmarkEnd w:id="95"/>
      <w:bookmarkEnd w:id="96"/>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2"/>
        <w:rPr>
          <w:rFonts w:ascii="楷体" w:eastAsia="楷体" w:cs="楷体" w:hint="eastAsia"/>
          <w:b/>
          <w:bCs/>
          <w:color w:val="000000"/>
          <w:spacing w:val="34"/>
          <w:sz w:val="32"/>
          <w:szCs w:val="32"/>
          <w:lang w:val="zh-CN"/>
        </w:rPr>
      </w:pPr>
      <w:bookmarkStart w:id="97" w:name="_Toc912"/>
      <w:r>
        <w:rPr>
          <w:rFonts w:ascii="楷体" w:eastAsia="楷体" w:cs="楷体" w:hint="eastAsia"/>
          <w:b/>
          <w:bCs/>
          <w:color w:val="000000"/>
          <w:spacing w:val="34"/>
          <w:sz w:val="32"/>
          <w:szCs w:val="32"/>
          <w:lang w:val="zh-CN"/>
        </w:rPr>
        <w:t>（一）部门财政资金收入情况</w:t>
      </w:r>
      <w:bookmarkEnd w:id="97"/>
    </w:p>
    <w:p>
      <w:pPr>
        <w:keepNext w:val="0"/>
        <w:keepLines w:val="0"/>
        <w:pageBreakBefore w:val="0"/>
        <w:widowControl w:val="0"/>
        <w:bidi w:val="0"/>
        <w:snapToGrid w:val="0"/>
        <w:spacing w:line="600"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度财政拨款收入</w:t>
      </w:r>
      <w:r>
        <w:rPr>
          <w:rFonts w:ascii="仿宋" w:eastAsia="仿宋" w:hint="eastAsia"/>
          <w:color w:val="000000"/>
          <w:sz w:val="32"/>
          <w:szCs w:val="32"/>
          <w:lang w:val="en-US" w:eastAsia="zh-CN"/>
        </w:rPr>
        <w:t>1279.19</w:t>
      </w:r>
      <w:r>
        <w:rPr>
          <w:rFonts w:ascii="仿宋" w:eastAsia="仿宋" w:hint="eastAsia"/>
          <w:color w:val="000000"/>
          <w:sz w:val="32"/>
          <w:szCs w:val="32"/>
        </w:rPr>
        <w:t>万元，其他收入0万元，上年结转收入0万元。相应安排支出预算</w:t>
      </w:r>
      <w:r>
        <w:rPr>
          <w:rFonts w:ascii="仿宋" w:eastAsia="仿宋" w:hint="eastAsia"/>
          <w:color w:val="000000"/>
          <w:sz w:val="32"/>
          <w:szCs w:val="32"/>
          <w:lang w:val="en-US" w:eastAsia="zh-CN"/>
        </w:rPr>
        <w:t>1279.19</w:t>
      </w:r>
      <w:r>
        <w:rPr>
          <w:rFonts w:ascii="仿宋" w:eastAsia="仿宋" w:hint="eastAsia"/>
          <w:color w:val="000000"/>
          <w:sz w:val="32"/>
          <w:szCs w:val="32"/>
        </w:rPr>
        <w:t xml:space="preserve">万元。 </w:t>
      </w:r>
    </w:p>
    <w:p>
      <w:pPr>
        <w:keepNext w:val="0"/>
        <w:keepLines w:val="0"/>
        <w:pageBreakBefore w:val="0"/>
        <w:widowControl w:val="0"/>
        <w:bidi w:val="0"/>
        <w:snapToGrid w:val="0"/>
        <w:spacing w:line="600" w:lineRule="exact"/>
        <w:ind w:firstLineChars="200" w:firstLine="556"/>
        <w:textAlignment w:val="auto"/>
        <w:rPr>
          <w:rFonts w:ascii="仿宋" w:eastAsia="仿宋"/>
          <w:color w:val="000000"/>
          <w:sz w:val="32"/>
          <w:szCs w:val="32"/>
        </w:rPr>
      </w:pPr>
      <w:r>
        <w:rPr>
          <w:rFonts w:ascii="楷体" w:eastAsia="楷体" w:cs="楷体" w:hint="eastAsia"/>
          <w:b/>
          <w:bCs/>
          <w:color w:val="000000"/>
          <w:spacing w:val="34"/>
          <w:szCs w:val="32"/>
          <w:lang w:val="zh-CN"/>
        </w:rPr>
        <w:t>（</w:t>
      </w:r>
      <w:r>
        <w:rPr>
          <w:rFonts w:ascii="楷体" w:eastAsia="楷体" w:cs="楷体" w:hint="eastAsia"/>
          <w:b/>
          <w:bCs/>
          <w:color w:val="000000"/>
          <w:spacing w:val="34"/>
          <w:sz w:val="32"/>
          <w:szCs w:val="32"/>
          <w:lang w:val="zh-CN"/>
        </w:rPr>
        <w:t>二）部门财政资金支出情况</w:t>
      </w:r>
      <w:r>
        <w:rPr>
          <w:rFonts w:ascii="仿宋_GB2312" w:cs="宋体" w:hAnsi="仿宋_GB2312" w:hint="eastAsia"/>
          <w:color w:val="000000"/>
          <w:spacing w:val="34"/>
          <w:sz w:val="32"/>
          <w:szCs w:val="32"/>
          <w:lang w:val="zh-CN"/>
        </w:rPr>
        <w:t>。 </w:t>
      </w:r>
    </w:p>
    <w:p>
      <w:pPr>
        <w:spacing w:line="600" w:lineRule="exact"/>
        <w:ind w:firstLine="645"/>
        <w:rPr>
          <w:rFonts w:ascii="仿宋" w:eastAsia="仿宋" w:hint="eastAsia"/>
          <w:color w:val="000000"/>
          <w:sz w:val="32"/>
          <w:szCs w:val="32"/>
          <w:lang w:val="en-US" w:eastAsia="zh-CN"/>
        </w:rPr>
      </w:pPr>
      <w:bookmarkStart w:id="98" w:name="_Toc18927"/>
      <w:bookmarkStart w:id="99" w:name="_Toc31292"/>
      <w:bookmarkStart w:id="100" w:name="_Toc9555"/>
      <w:r>
        <w:rPr>
          <w:rFonts w:ascii="仿宋" w:eastAsia="仿宋" w:hint="eastAsia"/>
          <w:color w:val="000000"/>
          <w:sz w:val="32"/>
          <w:szCs w:val="32"/>
          <w:lang w:eastAsia="zh-CN"/>
        </w:rPr>
        <w:t>2022年</w:t>
      </w:r>
      <w:r>
        <w:rPr>
          <w:rFonts w:ascii="仿宋" w:eastAsia="仿宋" w:hint="eastAsia"/>
          <w:color w:val="000000"/>
          <w:sz w:val="32"/>
          <w:szCs w:val="32"/>
        </w:rPr>
        <w:t>一般公共预算财政拨款支出</w:t>
      </w:r>
      <w:r>
        <w:rPr>
          <w:rFonts w:ascii="仿宋" w:eastAsia="仿宋" w:hint="eastAsia"/>
          <w:bCs/>
          <w:color w:val="000000"/>
          <w:sz w:val="32"/>
          <w:szCs w:val="32"/>
          <w:lang w:val="en-US" w:eastAsia="zh-CN"/>
        </w:rPr>
        <w:t>1279.19</w:t>
      </w:r>
      <w:r>
        <w:rPr>
          <w:rFonts w:ascii="仿宋" w:eastAsia="仿宋" w:hint="eastAsia"/>
          <w:color w:val="000000"/>
          <w:sz w:val="32"/>
          <w:szCs w:val="32"/>
        </w:rPr>
        <w:t>万元</w:t>
      </w:r>
      <w:r>
        <w:rPr>
          <w:rFonts w:ascii="仿宋" w:eastAsia="仿宋" w:hint="eastAsia"/>
          <w:color w:val="000000"/>
          <w:sz w:val="32"/>
          <w:szCs w:val="32"/>
          <w:lang w:eastAsia="zh-CN"/>
        </w:rPr>
        <w:t>。</w:t>
      </w:r>
    </w:p>
    <w:p>
      <w:pPr>
        <w:snapToGrid w:val="0"/>
        <w:spacing w:line="52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868.36</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807.95</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color w:val="000000"/>
          <w:sz w:val="32"/>
          <w:szCs w:val="32"/>
          <w14:textFill>
            <w14:solidFill>
              <w14:srgbClr w14:val="000000"/>
            </w14:solidFill>
          </w14:textFill>
          <w:lang w:val="en-US" w:eastAsia="zh-CN"/>
        </w:rPr>
        <w:t>174.34</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color w:val="000000"/>
          <w:sz w:val="32"/>
          <w:szCs w:val="32"/>
          <w14:textFill>
            <w14:solidFill>
              <w14:srgbClr w14:val="000000"/>
            </w14:solidFill>
          </w14:textFill>
          <w:lang w:val="en-US" w:eastAsia="zh-CN"/>
        </w:rPr>
        <w:t>169.18</w:t>
      </w:r>
      <w:r>
        <w:rPr>
          <w:rFonts w:ascii="仿宋_GB2312" w:eastAsia="仿宋_GB2312" w:hint="eastAsia"/>
          <w:color w:val="000000"/>
          <w:sz w:val="32"/>
          <w:szCs w:val="32"/>
          <w14:textFill>
            <w14:solidFill>
              <w14:srgbClr w14:val="000000"/>
            </w14:solidFill>
          </w14:textFill>
        </w:rPr>
        <w:t>万元、奖金</w:t>
      </w:r>
      <w:r>
        <w:rPr>
          <w:rFonts w:ascii="仿宋_GB2312" w:eastAsia="仿宋_GB2312" w:hint="eastAsia"/>
          <w:color w:val="000000"/>
          <w:sz w:val="32"/>
          <w:szCs w:val="32"/>
          <w14:textFill>
            <w14:solidFill>
              <w14:srgbClr w14:val="000000"/>
            </w14:solidFill>
          </w14:textFill>
          <w:lang w:val="en-US" w:eastAsia="zh-CN"/>
        </w:rPr>
        <w:t>142.29</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color w:val="000000"/>
          <w:sz w:val="32"/>
          <w:szCs w:val="32"/>
          <w14:textFill>
            <w14:solidFill>
              <w14:srgbClr w14:val="000000"/>
            </w14:solidFill>
          </w14:textFill>
          <w:lang w:val="en-US" w:eastAsia="zh-CN"/>
        </w:rPr>
        <w:t>51.92</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color w:val="000000"/>
          <w:sz w:val="32"/>
          <w:szCs w:val="32"/>
          <w14:textFill>
            <w14:solidFill>
              <w14:srgbClr w14:val="000000"/>
            </w14:solidFill>
          </w14:textFill>
          <w:lang w:val="en-US" w:eastAsia="zh-CN"/>
        </w:rPr>
        <w:t>60.44</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color w:val="000000"/>
          <w:sz w:val="32"/>
          <w:szCs w:val="32"/>
          <w14:textFill>
            <w14:solidFill>
              <w14:srgbClr w14:val="000000"/>
            </w14:solidFill>
          </w14:textFill>
          <w:lang w:val="en-US" w:eastAsia="zh-CN"/>
        </w:rPr>
        <w:t>31.91</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color w:val="000000"/>
          <w:sz w:val="32"/>
          <w:szCs w:val="32"/>
          <w14:textFill>
            <w14:solidFill>
              <w14:srgbClr w14:val="000000"/>
            </w14:solidFill>
          </w14:textFill>
          <w:lang w:val="en-US" w:eastAsia="zh-CN"/>
        </w:rPr>
        <w:t>7.55</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color w:val="000000"/>
          <w:sz w:val="32"/>
          <w:szCs w:val="32"/>
          <w14:textFill>
            <w14:solidFill>
              <w14:srgbClr w14:val="000000"/>
            </w14:solidFill>
          </w14:textFill>
          <w:lang w:val="en-US" w:eastAsia="zh-CN"/>
        </w:rPr>
        <w:t>56.82</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color w:val="000000"/>
          <w:sz w:val="32"/>
          <w:szCs w:val="32"/>
          <w14:textFill>
            <w14:solidFill>
              <w14:srgbClr w14:val="000000"/>
            </w14:solidFill>
          </w14:textFill>
          <w:lang w:val="en-US" w:eastAsia="zh-CN"/>
        </w:rPr>
        <w:t>30.33</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color w:val="000000"/>
          <w:sz w:val="32"/>
          <w:szCs w:val="32"/>
          <w14:textFill>
            <w14:solidFill>
              <w14:srgbClr w14:val="000000"/>
            </w14:solidFill>
          </w14:textFill>
          <w:lang w:val="en-US" w:eastAsia="zh-CN"/>
        </w:rPr>
        <w:t>8.49</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color w:val="000000"/>
          <w:sz w:val="32"/>
          <w:szCs w:val="32"/>
          <w14:textFill>
            <w14:solidFill>
              <w14:srgbClr w14:val="000000"/>
            </w14:solidFill>
          </w14:textFill>
          <w:lang w:val="en-US" w:eastAsia="zh-CN"/>
        </w:rPr>
        <w:t>17.42</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color w:val="000000"/>
          <w:sz w:val="32"/>
          <w:szCs w:val="32"/>
          <w14:textFill>
            <w14:solidFill>
              <w14:srgbClr w14:val="000000"/>
            </w14:solidFill>
          </w14:textFill>
          <w:lang w:val="en-US" w:eastAsia="zh-CN"/>
        </w:rPr>
        <w:t>84.26</w:t>
      </w:r>
      <w:r>
        <w:rPr>
          <w:rFonts w:ascii="仿宋_GB2312" w:eastAsia="仿宋_GB2312" w:hint="eastAsia"/>
          <w:color w:val="000000"/>
          <w:sz w:val="32"/>
          <w:szCs w:val="32"/>
          <w14:textFill>
            <w14:solidFill>
              <w14:srgbClr w14:val="000000"/>
            </w14:solidFill>
          </w14:textFill>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60.41</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9.87</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手续费</w:t>
      </w:r>
      <w:r>
        <w:rPr>
          <w:rFonts w:ascii="仿宋_GB2312" w:eastAsia="仿宋_GB2312" w:hint="eastAsia"/>
          <w:color w:val="000000"/>
          <w:sz w:val="32"/>
          <w:szCs w:val="32"/>
          <w:lang w:val="en-US" w:eastAsia="zh-CN"/>
        </w:rPr>
        <w:t>0.1万、</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7.44</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维修（护）费</w:t>
      </w:r>
      <w:r>
        <w:rPr>
          <w:rFonts w:ascii="仿宋_GB2312" w:eastAsia="仿宋_GB2312" w:hint="eastAsia"/>
          <w:color w:val="000000"/>
          <w:sz w:val="32"/>
          <w:szCs w:val="32"/>
          <w:lang w:val="en-US" w:eastAsia="zh-CN"/>
        </w:rPr>
        <w:t>15万元、</w:t>
      </w:r>
      <w:r>
        <w:rPr>
          <w:rFonts w:ascii="仿宋_GB2312" w:eastAsia="仿宋_GB2312" w:hint="eastAsia"/>
          <w:color w:val="000000"/>
          <w:sz w:val="32"/>
          <w:szCs w:val="32"/>
        </w:rPr>
        <w:t>其他交通</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万元。</w:t>
      </w:r>
    </w:p>
    <w:p>
      <w:pPr>
        <w:snapToGrid w:val="0"/>
        <w:spacing w:line="520" w:lineRule="exact"/>
        <w:ind w:firstLineChars="200" w:firstLine="640"/>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 xml:space="preserve"> 项目支出为410.83元，主要包括：疫情防控经费10万元、金川县地质灾害防治项目344.36万元、村级运维费及村干部生活补助152.92万元、三老干部生活补助3.36万元、人大会议费0.2万元。</w:t>
      </w:r>
    </w:p>
    <w:p>
      <w:pPr>
        <w:keepNext w:val="0"/>
        <w:keepLines w:val="0"/>
        <w:pageBreakBefore w:val="0"/>
        <w:widowControl/>
        <w:numPr>
          <w:ilvl w:val="0"/>
          <w:numId w:val="7"/>
        </w:numPr>
        <w:wordWrap w:val="0"/>
        <w:topLinePunct/>
        <w:bidi w:val="0"/>
        <w:adjustRightInd w:val="0"/>
        <w:snapToGrid w:val="0"/>
        <w:spacing w:line="600" w:lineRule="exact"/>
        <w:ind w:left="0" w:firstLineChars="200" w:firstLine="640"/>
        <w:jc w:val="left"/>
        <w:textAlignment w:val="auto"/>
        <w:outlineLvl w:val="1"/>
        <w:rPr>
          <w:rFonts w:ascii="黑体" w:eastAsia="黑体" w:cs="宋体" w:hint="eastAsia"/>
          <w:color w:val="000000"/>
          <w:kern w:val="0"/>
          <w:sz w:val="32"/>
          <w:szCs w:val="32"/>
          <w:shd w:val="clear" w:color="auto" w:fill="FFFFFF"/>
        </w:rPr>
      </w:pPr>
      <w:bookmarkStart w:id="101" w:name="_Toc21744"/>
      <w:r>
        <w:rPr>
          <w:rFonts w:ascii="黑体" w:eastAsia="黑体" w:cs="宋体" w:hint="eastAsia"/>
          <w:color w:val="000000"/>
          <w:kern w:val="0"/>
          <w:sz w:val="32"/>
          <w:szCs w:val="32"/>
          <w:shd w:val="clear" w:color="auto" w:fill="FFFFFF"/>
        </w:rPr>
        <w:t>部门整体预算绩效管理情况</w:t>
      </w:r>
      <w:bookmarkEnd w:id="98"/>
      <w:bookmarkEnd w:id="99"/>
      <w:bookmarkEnd w:id="100"/>
      <w:bookmarkEnd w:id="101"/>
    </w:p>
    <w:p>
      <w:pPr>
        <w:keepNext w:val="0"/>
        <w:keepLines w:val="0"/>
        <w:pageBreakBefore w:val="0"/>
        <w:widowControl/>
        <w:bidi w:val="0"/>
        <w:adjustRightInd w:val="0"/>
        <w:snapToGrid w:val="0"/>
        <w:spacing w:line="600" w:lineRule="exact"/>
        <w:ind w:firstLineChars="200" w:firstLine="640"/>
        <w:contextualSpacing/>
        <w:jc w:val="left"/>
        <w:textAlignment w:val="auto"/>
        <w:outlineLvl w:val="2"/>
        <w:rPr>
          <w:rFonts w:ascii="楷体" w:eastAsia="楷体" w:cs="楷体" w:hint="eastAsia"/>
          <w:b/>
          <w:bCs/>
          <w:color w:val="000000"/>
          <w:spacing w:val="34"/>
          <w:sz w:val="32"/>
          <w:szCs w:val="32"/>
          <w:lang w:val="zh-CN"/>
        </w:rPr>
      </w:pPr>
      <w:bookmarkStart w:id="102" w:name="_Toc6429"/>
      <w:r>
        <w:rPr>
          <w:rFonts w:ascii="楷体" w:eastAsia="楷体" w:cs="楷体" w:hint="eastAsia"/>
          <w:b/>
          <w:bCs/>
          <w:color w:val="000000"/>
          <w:kern w:val="0"/>
          <w:sz w:val="32"/>
          <w:szCs w:val="32"/>
          <w:shd w:val="clear" w:color="auto" w:fill="FFFFFF"/>
          <w:lang w:val="zh-CN"/>
        </w:rPr>
        <w:t>（一）部门预算管理</w:t>
      </w:r>
      <w:bookmarkEnd w:id="102"/>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严格按照县级部门预算编制通知和有关要求，按时完成基础库、项目库报送工作，按时完成</w:t>
      </w:r>
      <w:r>
        <w:rPr>
          <w:rFonts w:ascii="仿宋" w:eastAsia="仿宋" w:hint="eastAsia"/>
          <w:color w:val="000000"/>
          <w:sz w:val="32"/>
          <w:szCs w:val="32"/>
          <w:lang w:eastAsia="zh-CN"/>
        </w:rPr>
        <w:t>2022年</w:t>
      </w:r>
      <w:r>
        <w:rPr>
          <w:rFonts w:ascii="仿宋" w:eastAsia="仿宋" w:hint="eastAsia"/>
          <w:color w:val="000000"/>
          <w:sz w:val="32"/>
          <w:szCs w:val="32"/>
        </w:rPr>
        <w:t>预算编制工作，并按时提交部门预算草案。预算编制全面、科学。</w:t>
      </w:r>
      <w:r>
        <w:rPr>
          <w:rFonts w:ascii="仿宋" w:eastAsia="仿宋" w:hint="eastAsia"/>
          <w:color w:val="000000"/>
          <w:sz w:val="32"/>
          <w:szCs w:val="32"/>
          <w:lang w:eastAsia="zh-CN"/>
        </w:rPr>
        <w:t>2022年</w:t>
      </w:r>
      <w:r>
        <w:rPr>
          <w:rFonts w:ascii="仿宋" w:eastAsia="仿宋" w:hint="eastAsia"/>
          <w:color w:val="000000"/>
          <w:sz w:val="32"/>
          <w:szCs w:val="32"/>
        </w:rPr>
        <w:t>实际支出和部门决算一致，绩效目标填报及年末结余结转都是严格按照县财政局的要求认真完成，不存在违规违纪使用资金的情况并按时完成2022年预算编制工作，及时提交了部门预算草案。</w:t>
      </w:r>
    </w:p>
    <w:p>
      <w:pPr>
        <w:keepNext w:val="0"/>
        <w:keepLines w:val="0"/>
        <w:pageBreakBefore w:val="0"/>
        <w:widowControl/>
        <w:bidi w:val="0"/>
        <w:adjustRightInd w:val="0"/>
        <w:snapToGrid w:val="0"/>
        <w:spacing w:line="600" w:lineRule="exact"/>
        <w:ind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bookmarkStart w:id="103" w:name="_Toc22499"/>
      <w:r>
        <w:rPr>
          <w:rFonts w:ascii="楷体" w:eastAsia="楷体" w:cs="楷体" w:hint="eastAsia"/>
          <w:b/>
          <w:bCs/>
          <w:color w:val="000000"/>
          <w:kern w:val="0"/>
          <w:sz w:val="32"/>
          <w:szCs w:val="32"/>
          <w:shd w:val="clear" w:color="auto" w:fill="FFFFFF"/>
          <w:lang w:val="zh-CN"/>
        </w:rPr>
        <w:t>（二）执行管理情况</w:t>
      </w:r>
      <w:bookmarkEnd w:id="103"/>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三公经费：</w:t>
      </w:r>
      <w:r>
        <w:rPr>
          <w:rFonts w:ascii="仿宋" w:eastAsia="仿宋" w:hint="eastAsia"/>
          <w:color w:val="000000"/>
          <w:sz w:val="32"/>
          <w:szCs w:val="32"/>
          <w:lang w:eastAsia="zh-CN"/>
        </w:rPr>
        <w:t>2022年</w:t>
      </w:r>
      <w:r>
        <w:rPr>
          <w:rFonts w:ascii="仿宋" w:eastAsia="仿宋" w:hint="eastAsia"/>
          <w:color w:val="000000"/>
          <w:sz w:val="32"/>
          <w:szCs w:val="32"/>
        </w:rPr>
        <w:t>“三公”经费财政拨款支出决算为</w:t>
      </w:r>
      <w:r>
        <w:rPr>
          <w:rFonts w:ascii="仿宋" w:eastAsia="仿宋" w:hint="eastAsia"/>
          <w:color w:val="000000"/>
          <w:sz w:val="32"/>
          <w:szCs w:val="32"/>
          <w:lang w:val="en-US" w:eastAsia="zh-CN"/>
        </w:rPr>
        <w:t>10</w:t>
      </w:r>
      <w:r>
        <w:rPr>
          <w:rFonts w:ascii="仿宋" w:eastAsia="仿宋" w:hint="eastAsia"/>
          <w:color w:val="000000"/>
          <w:sz w:val="32"/>
          <w:szCs w:val="32"/>
        </w:rPr>
        <w:t>万元（公务用车运行维护费），完成预算100</w:t>
      </w:r>
      <w:r>
        <w:rPr>
          <w:rFonts w:ascii="仿宋" w:eastAsia="仿宋"/>
          <w:color w:val="000000"/>
          <w:sz w:val="32"/>
          <w:szCs w:val="32"/>
        </w:rPr>
        <w:t>%</w:t>
      </w:r>
      <w:r>
        <w:rPr>
          <w:rFonts w:ascii="仿宋" w:eastAsia="仿宋" w:hint="eastAsia"/>
          <w:color w:val="000000"/>
          <w:sz w:val="32"/>
          <w:szCs w:val="32"/>
        </w:rPr>
        <w:t>.</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“三公”经费预算</w:t>
      </w:r>
      <w:r>
        <w:rPr>
          <w:rFonts w:ascii="仿宋" w:eastAsia="仿宋" w:hint="eastAsia"/>
          <w:color w:val="000000"/>
          <w:sz w:val="32"/>
          <w:szCs w:val="32"/>
          <w:lang w:val="en-US" w:eastAsia="zh-CN"/>
        </w:rPr>
        <w:t>10</w:t>
      </w:r>
      <w:r>
        <w:rPr>
          <w:rFonts w:ascii="仿宋" w:eastAsia="仿宋" w:hint="eastAsia"/>
          <w:color w:val="000000"/>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2"/>
        <w:rPr>
          <w:rFonts w:ascii="楷体" w:eastAsia="楷体" w:cs="楷体" w:hint="eastAsia"/>
          <w:b/>
          <w:bCs/>
          <w:color w:val="000000"/>
          <w:spacing w:val="34"/>
          <w:sz w:val="32"/>
          <w:szCs w:val="48"/>
          <w:lang w:val="zh-CN"/>
        </w:rPr>
      </w:pPr>
      <w:bookmarkStart w:id="104" w:name="_Toc7445"/>
      <w:r>
        <w:rPr>
          <w:rFonts w:ascii="楷体" w:eastAsia="楷体" w:cs="楷体" w:hint="eastAsia"/>
          <w:b/>
          <w:bCs/>
          <w:color w:val="000000"/>
          <w:spacing w:val="34"/>
          <w:sz w:val="32"/>
          <w:szCs w:val="48"/>
          <w:lang w:val="zh-CN"/>
        </w:rPr>
        <w:t>（三）综合管理情况</w:t>
      </w:r>
      <w:bookmarkEnd w:id="104"/>
    </w:p>
    <w:p>
      <w:pPr>
        <w:keepNext w:val="0"/>
        <w:keepLines w:val="0"/>
        <w:pageBreakBefore w:val="0"/>
        <w:widowControl/>
        <w:wordWrap w:val="0"/>
        <w:topLinePunct/>
        <w:bidi w:val="0"/>
        <w:adjustRightInd w:val="0"/>
        <w:snapToGrid w:val="0"/>
        <w:spacing w:line="600" w:lineRule="exact"/>
        <w:ind w:firstLineChars="200" w:firstLine="776"/>
        <w:jc w:val="left"/>
        <w:textAlignment w:val="auto"/>
        <w:rPr>
          <w:rFonts w:ascii="仿宋_GB2312" w:eastAsia="仿宋_GB2312" w:cs="仿宋_GB2312" w:hint="eastAsia"/>
          <w:b/>
          <w:bCs/>
          <w:color w:val="000000"/>
          <w:spacing w:val="34"/>
          <w:sz w:val="32"/>
          <w:szCs w:val="48"/>
          <w:lang w:val="zh-CN"/>
        </w:rPr>
      </w:pPr>
      <w:r>
        <w:rPr>
          <w:rFonts w:ascii="仿宋_GB2312" w:eastAsia="仿宋_GB2312" w:cs="仿宋_GB2312" w:hint="eastAsia"/>
          <w:b/>
          <w:bCs/>
          <w:color w:val="000000"/>
          <w:spacing w:val="34"/>
          <w:sz w:val="32"/>
          <w:szCs w:val="48"/>
          <w:lang w:val="zh-CN"/>
        </w:rPr>
        <w:t>1、基础管理情况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所有国有资产纳入资产管理系统，及时准确上报并做好资产的管理工作。根据相关要求，单位使用预算资金基本符合相关的预算财务管理制度。我</w:t>
      </w:r>
      <w:r>
        <w:rPr>
          <w:rFonts w:ascii="仿宋" w:eastAsia="仿宋" w:hint="eastAsia"/>
          <w:color w:val="000000"/>
          <w:sz w:val="32"/>
          <w:szCs w:val="32"/>
          <w:lang w:eastAsia="zh-CN"/>
        </w:rPr>
        <w:t>镇</w:t>
      </w:r>
      <w:r>
        <w:rPr>
          <w:rFonts w:ascii="仿宋" w:eastAsia="仿宋" w:hint="eastAsia"/>
          <w:color w:val="000000"/>
          <w:sz w:val="32"/>
          <w:szCs w:val="32"/>
        </w:rPr>
        <w:t>在财政批复后20日内在指定网站公开预决算信息。按照相关要求进行绩效自我评价，按要求及时上报，对发现的问题提出整改措施，并整改落实到位。绩效评价及依法接受财政监督情况等。</w:t>
      </w:r>
    </w:p>
    <w:p>
      <w:pPr>
        <w:keepNext w:val="0"/>
        <w:keepLines w:val="0"/>
        <w:pageBreakBefore w:val="0"/>
        <w:widowControl/>
        <w:numPr>
          <w:ilvl w:val="0"/>
          <w:numId w:val="8"/>
        </w:numPr>
        <w:wordWrap w:val="0"/>
        <w:topLinePunct/>
        <w:bidi w:val="0"/>
        <w:adjustRightInd w:val="0"/>
        <w:snapToGrid w:val="0"/>
        <w:spacing w:line="600" w:lineRule="exact"/>
        <w:ind w:left="61" w:firstLine="779"/>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政府债务情况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度我</w:t>
      </w:r>
      <w:r>
        <w:rPr>
          <w:rFonts w:ascii="仿宋" w:eastAsia="仿宋" w:hint="eastAsia"/>
          <w:color w:val="000000"/>
          <w:sz w:val="32"/>
          <w:szCs w:val="32"/>
          <w:lang w:eastAsia="zh-CN"/>
        </w:rPr>
        <w:t>镇</w:t>
      </w:r>
      <w:r>
        <w:rPr>
          <w:rFonts w:ascii="仿宋" w:eastAsia="仿宋" w:hint="eastAsia"/>
          <w:color w:val="000000"/>
          <w:sz w:val="32"/>
          <w:szCs w:val="32"/>
        </w:rPr>
        <w:t>债务合计0万元。</w:t>
      </w:r>
    </w:p>
    <w:p>
      <w:pPr>
        <w:keepNext w:val="0"/>
        <w:keepLines w:val="0"/>
        <w:pageBreakBefore w:val="0"/>
        <w:widowControl/>
        <w:numPr>
          <w:ilvl w:val="0"/>
          <w:numId w:val="8"/>
        </w:numPr>
        <w:wordWrap w:val="0"/>
        <w:topLinePunct/>
        <w:bidi w:val="0"/>
        <w:adjustRightInd w:val="0"/>
        <w:snapToGrid w:val="0"/>
        <w:spacing w:line="600" w:lineRule="exact"/>
        <w:ind w:left="61" w:firstLine="779"/>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非税收入执收情况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lang w:eastAsia="zh-CN"/>
        </w:rPr>
        <w:t>2022年</w:t>
      </w:r>
      <w:r>
        <w:rPr>
          <w:rFonts w:ascii="仿宋" w:eastAsia="仿宋" w:hint="eastAsia"/>
          <w:color w:val="000000"/>
          <w:sz w:val="32"/>
          <w:szCs w:val="32"/>
        </w:rPr>
        <w:t>度我</w:t>
      </w:r>
      <w:r>
        <w:rPr>
          <w:rFonts w:ascii="仿宋" w:eastAsia="仿宋" w:hint="eastAsia"/>
          <w:color w:val="000000"/>
          <w:sz w:val="32"/>
          <w:szCs w:val="32"/>
          <w:lang w:eastAsia="zh-CN"/>
        </w:rPr>
        <w:t>镇</w:t>
      </w:r>
      <w:r>
        <w:rPr>
          <w:rFonts w:ascii="仿宋" w:eastAsia="仿宋" w:hint="eastAsia"/>
          <w:color w:val="000000"/>
          <w:sz w:val="32"/>
          <w:szCs w:val="32"/>
        </w:rPr>
        <w:t xml:space="preserve">非税收入合计0元，上缴财政0万元。 </w:t>
      </w:r>
    </w:p>
    <w:p>
      <w:pPr>
        <w:keepNext w:val="0"/>
        <w:keepLines w:val="0"/>
        <w:pageBreakBefore w:val="0"/>
        <w:widowControl/>
        <w:numPr>
          <w:ilvl w:val="0"/>
          <w:numId w:val="8"/>
        </w:numPr>
        <w:wordWrap w:val="0"/>
        <w:topLinePunct/>
        <w:bidi w:val="0"/>
        <w:adjustRightInd w:val="0"/>
        <w:snapToGrid w:val="0"/>
        <w:spacing w:line="600" w:lineRule="exact"/>
        <w:ind w:left="61" w:firstLine="779"/>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政府采购实施计划</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镇2022年</w:t>
      </w:r>
      <w:r>
        <w:rPr>
          <w:rFonts w:ascii="仿宋" w:eastAsia="仿宋" w:hint="eastAsia"/>
          <w:color w:val="000000"/>
          <w:sz w:val="32"/>
          <w:szCs w:val="32"/>
        </w:rPr>
        <w:t>未制定年度政府采购计划。</w:t>
      </w:r>
    </w:p>
    <w:p>
      <w:pPr>
        <w:keepNext w:val="0"/>
        <w:keepLines w:val="0"/>
        <w:pageBreakBefore w:val="0"/>
        <w:widowControl/>
        <w:numPr>
          <w:ilvl w:val="0"/>
          <w:numId w:val="8"/>
        </w:numPr>
        <w:wordWrap w:val="0"/>
        <w:topLinePunct/>
        <w:bidi w:val="0"/>
        <w:adjustRightInd w:val="0"/>
        <w:snapToGrid w:val="0"/>
        <w:spacing w:line="600" w:lineRule="exact"/>
        <w:ind w:left="61" w:firstLine="779"/>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资产管理情况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镇</w:t>
      </w:r>
      <w:r>
        <w:rPr>
          <w:rFonts w:ascii="仿宋" w:eastAsia="仿宋" w:hint="eastAsia"/>
          <w:color w:val="000000"/>
          <w:sz w:val="32"/>
          <w:szCs w:val="32"/>
        </w:rPr>
        <w:t>已将国有资产纳入资产信息系统管理，并落实专人负责管理维护系统，资产变动已及时把资产变动情况录入系统</w:t>
      </w:r>
    </w:p>
    <w:p>
      <w:pPr>
        <w:keepNext w:val="0"/>
        <w:keepLines w:val="0"/>
        <w:pageBreakBefore w:val="0"/>
        <w:widowControl/>
        <w:wordWrap w:val="0"/>
        <w:topLinePunct/>
        <w:bidi w:val="0"/>
        <w:adjustRightInd w:val="0"/>
        <w:snapToGrid w:val="0"/>
        <w:spacing w:line="600" w:lineRule="exact"/>
        <w:ind w:left="840"/>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rPr>
        <w:t>6、</w:t>
      </w:r>
      <w:r>
        <w:rPr>
          <w:rFonts w:ascii="楷体_GB2312" w:eastAsia="楷体_GB2312" w:cs="楷体_GB2312" w:hint="eastAsia"/>
          <w:b/>
          <w:bCs/>
          <w:color w:val="000000"/>
          <w:spacing w:val="34"/>
          <w:sz w:val="32"/>
          <w:szCs w:val="32"/>
          <w:lang w:val="zh-CN"/>
        </w:rPr>
        <w:t>信息公开情况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镇2022年</w:t>
      </w:r>
      <w:r>
        <w:rPr>
          <w:rFonts w:ascii="仿宋" w:eastAsia="仿宋" w:hint="eastAsia"/>
          <w:color w:val="000000"/>
          <w:sz w:val="32"/>
          <w:szCs w:val="32"/>
        </w:rPr>
        <w:t>的预、决算编制说明、“三公”经费预、决算情况；按县财政要求由县财政统一公开，2022年的预算编制说明、“三公”经费预算情况在政府网站上已公开。</w:t>
      </w:r>
    </w:p>
    <w:p>
      <w:pPr>
        <w:keepNext w:val="0"/>
        <w:keepLines w:val="0"/>
        <w:pageBreakBefore w:val="0"/>
        <w:widowControl w:val="0"/>
        <w:numPr>
          <w:ilvl w:val="0"/>
          <w:numId w:val="9"/>
        </w:numPr>
        <w:bidi w:val="0"/>
        <w:spacing w:line="600" w:lineRule="exact"/>
        <w:ind w:left="0" w:firstLine="640"/>
        <w:textAlignment w:val="auto"/>
        <w:outlineLvl w:val="2"/>
        <w:rPr>
          <w:rFonts w:ascii="楷体_GB2312" w:eastAsia="楷体_GB2312" w:cs="楷体_GB2312" w:hint="eastAsia"/>
          <w:b/>
          <w:bCs/>
          <w:color w:val="000000"/>
          <w:spacing w:val="34"/>
          <w:sz w:val="32"/>
          <w:szCs w:val="48"/>
          <w:lang w:val="zh-CN"/>
        </w:rPr>
      </w:pPr>
      <w:bookmarkStart w:id="105" w:name="_Toc30116"/>
      <w:r>
        <w:rPr>
          <w:rFonts w:ascii="楷体_GB2312" w:eastAsia="楷体_GB2312" w:cs="楷体_GB2312" w:hint="eastAsia"/>
          <w:b/>
          <w:bCs/>
          <w:color w:val="000000"/>
          <w:spacing w:val="34"/>
          <w:sz w:val="32"/>
          <w:szCs w:val="48"/>
          <w:lang w:val="zh-CN"/>
        </w:rPr>
        <w:t>整体绩效 </w:t>
      </w:r>
      <w:bookmarkEnd w:id="105"/>
    </w:p>
    <w:p>
      <w:pPr>
        <w:keepNext w:val="0"/>
        <w:keepLines w:val="0"/>
        <w:pageBreakBefore w:val="0"/>
        <w:widowControl w:val="0"/>
        <w:tabs>
          <w:tab w:val="left" w:pos="0"/>
        </w:tabs>
        <w:bidi w:val="0"/>
        <w:spacing w:line="600"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镇</w:t>
      </w:r>
      <w:r>
        <w:rPr>
          <w:rFonts w:ascii="仿宋" w:eastAsia="仿宋" w:hint="eastAsia"/>
          <w:color w:val="000000"/>
          <w:sz w:val="32"/>
          <w:szCs w:val="32"/>
        </w:rPr>
        <w:t>对本部门实施了整体支出绩效评价 ，按照要求向金川县财政局按时报送自评报告，财政资金支出主要用于保障本部门机构正常运转、更好完成各项日常工作，社会群众对我</w:t>
      </w:r>
      <w:r>
        <w:rPr>
          <w:rFonts w:ascii="仿宋" w:eastAsia="仿宋" w:hint="eastAsia"/>
          <w:color w:val="000000"/>
          <w:sz w:val="32"/>
          <w:szCs w:val="32"/>
          <w:lang w:eastAsia="zh-CN"/>
        </w:rPr>
        <w:t>镇</w:t>
      </w:r>
      <w:r>
        <w:rPr>
          <w:rFonts w:ascii="仿宋" w:eastAsia="仿宋" w:hint="eastAsia"/>
          <w:color w:val="000000"/>
          <w:sz w:val="32"/>
          <w:szCs w:val="32"/>
        </w:rPr>
        <w:t>的工作总体较满意。</w:t>
      </w:r>
    </w:p>
    <w:p>
      <w:pPr>
        <w:keepNext w:val="0"/>
        <w:keepLines w:val="0"/>
        <w:pageBreakBefore w:val="0"/>
        <w:widowControl/>
        <w:wordWrap w:val="0"/>
        <w:topLinePunct/>
        <w:bidi w:val="0"/>
        <w:adjustRightInd w:val="0"/>
        <w:snapToGrid w:val="0"/>
        <w:spacing w:line="600" w:lineRule="exact"/>
        <w:ind w:firstLineChars="200" w:firstLine="776"/>
        <w:jc w:val="left"/>
        <w:textAlignment w:val="auto"/>
        <w:rPr>
          <w:rFonts w:ascii="楷体" w:eastAsia="楷体" w:cs="楷体" w:hint="eastAsia"/>
          <w:b/>
          <w:bCs/>
          <w:color w:val="000000"/>
          <w:spacing w:val="34"/>
          <w:sz w:val="32"/>
          <w:szCs w:val="48"/>
          <w:lang w:val="zh-CN"/>
        </w:rPr>
      </w:pPr>
      <w:r>
        <w:rPr>
          <w:rFonts w:ascii="楷体" w:eastAsia="楷体" w:cs="楷体" w:hint="eastAsia"/>
          <w:b/>
          <w:bCs/>
          <w:color w:val="000000"/>
          <w:spacing w:val="34"/>
          <w:sz w:val="32"/>
          <w:szCs w:val="48"/>
          <w:lang w:val="zh-CN"/>
        </w:rPr>
        <w:t>（二）绩效管理工作开展情况 </w:t>
      </w:r>
    </w:p>
    <w:p>
      <w:pPr>
        <w:keepNext w:val="0"/>
        <w:keepLines w:val="0"/>
        <w:pageBreakBefore w:val="0"/>
        <w:widowControl/>
        <w:wordWrap w:val="0"/>
        <w:topLinePunct/>
        <w:bidi w:val="0"/>
        <w:adjustRightInd w:val="0"/>
        <w:snapToGrid w:val="0"/>
        <w:spacing w:line="600" w:lineRule="exact"/>
        <w:ind w:firstLineChars="200" w:firstLine="556"/>
        <w:jc w:val="left"/>
        <w:textAlignment w:val="auto"/>
        <w:rPr>
          <w:rFonts w:ascii="仿宋_GB2312" w:eastAsia="仿宋_GB2312" w:cs="仿宋_GB2312" w:hint="eastAsia"/>
          <w:spacing w:val="34"/>
          <w:sz w:val="32"/>
          <w:szCs w:val="32"/>
          <w:lang w:val="zh-CN"/>
        </w:rPr>
      </w:pPr>
      <w:r>
        <w:rPr>
          <w:rFonts w:ascii="仿宋_GB2312" w:cs="宋体" w:hAnsi="仿宋_GB2312" w:hint="eastAsia"/>
          <w:color w:val="000000"/>
          <w:spacing w:val="34"/>
          <w:szCs w:val="32"/>
          <w:lang w:val="zh-CN"/>
        </w:rPr>
        <w:t xml:space="preserve">  </w:t>
      </w:r>
      <w:r>
        <w:rPr>
          <w:rFonts w:ascii="仿宋" w:eastAsia="仿宋" w:hint="eastAsia"/>
          <w:color w:val="000000"/>
          <w:sz w:val="32"/>
          <w:szCs w:val="32"/>
        </w:rPr>
        <w:t xml:space="preserve"> 根据金财监绩〔2022〕22号文件要求，我</w:t>
      </w:r>
      <w:r>
        <w:rPr>
          <w:rFonts w:ascii="仿宋" w:eastAsia="仿宋" w:hint="eastAsia"/>
          <w:color w:val="000000"/>
          <w:sz w:val="32"/>
          <w:szCs w:val="32"/>
          <w:lang w:eastAsia="zh-CN"/>
        </w:rPr>
        <w:t>镇</w:t>
      </w:r>
      <w:r>
        <w:rPr>
          <w:rFonts w:ascii="仿宋" w:eastAsia="仿宋" w:hint="eastAsia"/>
          <w:color w:val="000000"/>
          <w:sz w:val="32"/>
          <w:szCs w:val="32"/>
        </w:rPr>
        <w:t>对财政资金使用管理情况，按照《关于开展2022年部门整体和项目支出绩效评价工作的通知》认真开展自评工作，撰写部门自评报告。</w:t>
      </w:r>
      <w:r>
        <w:rPr>
          <w:rFonts w:ascii="仿宋_GB2312" w:eastAsia="仿宋_GB2312" w:cs="仿宋_GB2312" w:hint="eastAsia"/>
          <w:spacing w:val="34"/>
          <w:sz w:val="32"/>
          <w:szCs w:val="32"/>
          <w:lang w:val="zh-CN"/>
        </w:rPr>
        <w:t> </w:t>
      </w:r>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1"/>
        <w:rPr>
          <w:rFonts w:ascii="仿宋_GB2312" w:cs="宋体" w:hAnsi="仿宋_GB2312" w:hint="eastAsia"/>
          <w:color w:val="000000"/>
          <w:spacing w:val="34"/>
          <w:sz w:val="32"/>
          <w:szCs w:val="48"/>
          <w:lang w:val="zh-CN"/>
        </w:rPr>
      </w:pPr>
      <w:bookmarkStart w:id="106" w:name="_Toc23708"/>
      <w:bookmarkStart w:id="107" w:name="_Toc11636"/>
      <w:bookmarkStart w:id="108" w:name="_Toc21502"/>
      <w:bookmarkStart w:id="109" w:name="_Toc15501"/>
      <w:r>
        <w:rPr>
          <w:rFonts w:ascii="黑体" w:eastAsia="黑体" w:cs="黑体" w:hint="eastAsia"/>
          <w:color w:val="000000"/>
          <w:spacing w:val="34"/>
          <w:sz w:val="32"/>
          <w:szCs w:val="48"/>
          <w:lang w:val="zh-CN"/>
        </w:rPr>
        <w:t>四、评价结论及建议</w:t>
      </w:r>
      <w:r>
        <w:rPr>
          <w:rFonts w:ascii="仿宋_GB2312" w:cs="宋体" w:hAnsi="仿宋_GB2312" w:hint="eastAsia"/>
          <w:color w:val="000000"/>
          <w:spacing w:val="34"/>
          <w:sz w:val="32"/>
          <w:szCs w:val="48"/>
          <w:lang w:val="zh-CN"/>
        </w:rPr>
        <w:t> </w:t>
      </w:r>
      <w:bookmarkEnd w:id="106"/>
      <w:bookmarkEnd w:id="107"/>
      <w:bookmarkEnd w:id="108"/>
      <w:bookmarkEnd w:id="109"/>
    </w:p>
    <w:p>
      <w:pPr>
        <w:keepNext w:val="0"/>
        <w:keepLines w:val="0"/>
        <w:pageBreakBefore w:val="0"/>
        <w:widowControl w:val="0"/>
        <w:bidi w:val="0"/>
        <w:snapToGrid w:val="0"/>
        <w:spacing w:line="600"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评价结论。根据部门支出绩效评价指标体系进行单位自评，圆满完成绩效自评工作，圆满完成中央、省、州委和县的重要工作、目标任务。</w:t>
      </w:r>
    </w:p>
    <w:p>
      <w:pPr>
        <w:keepNext w:val="0"/>
        <w:keepLines w:val="0"/>
        <w:pageBreakBefore w:val="0"/>
        <w:widowControl w:val="0"/>
        <w:bidi w:val="0"/>
        <w:spacing w:line="600"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镇</w:t>
      </w:r>
      <w:r>
        <w:rPr>
          <w:rFonts w:ascii="仿宋" w:eastAsia="仿宋" w:hint="eastAsia"/>
          <w:color w:val="000000"/>
          <w:sz w:val="32"/>
          <w:szCs w:val="32"/>
        </w:rPr>
        <w:t>本次自评总分82。</w:t>
      </w:r>
    </w:p>
    <w:p>
      <w:pPr>
        <w:keepNext w:val="0"/>
        <w:keepLines w:val="0"/>
        <w:pageBreakBefore w:val="0"/>
        <w:widowControl w:val="0"/>
        <w:wordWrap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镇2022年</w:t>
      </w:r>
      <w:r>
        <w:rPr>
          <w:rFonts w:ascii="仿宋" w:eastAsia="仿宋" w:hint="eastAsia"/>
          <w:color w:val="000000"/>
          <w:sz w:val="32"/>
          <w:szCs w:val="32"/>
        </w:rPr>
        <w:t>部门支出与年初预算基本一致，达到预期绩效目标。但预算编制还需进一步细化，针对我会预算存在的问题，提出以下建议：</w:t>
      </w:r>
    </w:p>
    <w:p>
      <w:pPr>
        <w:keepNext w:val="0"/>
        <w:keepLines w:val="0"/>
        <w:pageBreakBefore w:val="0"/>
        <w:widowControl w:val="0"/>
        <w:wordWrap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keepNext w:val="0"/>
        <w:keepLines w:val="0"/>
        <w:pageBreakBefore w:val="0"/>
        <w:widowControl/>
        <w:wordWrap w:val="0"/>
        <w:bidi w:val="0"/>
        <w:snapToGrid w:val="0"/>
        <w:spacing w:line="600" w:lineRule="exact"/>
        <w:ind w:firstLineChars="100" w:firstLine="320"/>
        <w:jc w:val="left"/>
        <w:textAlignment w:val="auto"/>
        <w:rPr>
          <w:rFonts w:ascii="仿宋" w:eastAsia="仿宋" w:hint="eastAsia"/>
          <w:color w:val="000000"/>
          <w:sz w:val="32"/>
          <w:szCs w:val="32"/>
        </w:rPr>
      </w:pPr>
      <w:r>
        <w:rPr>
          <w:rFonts w:ascii="仿宋" w:eastAsia="仿宋" w:hint="eastAsia"/>
          <w:color w:val="000000"/>
          <w:sz w:val="32"/>
          <w:szCs w:val="32"/>
        </w:rPr>
        <w:t xml:space="preserve"> 2、严格控制“三公”经费。认真贯彻落实中央、省委省政府和县委县政府相关规定，严格“三公”经费支出的审核和审批，合理压缩“三公”经费支出。   </w:t>
      </w:r>
    </w:p>
    <w:p>
      <w:pPr>
        <w:pStyle w:val="15"/>
        <w:keepNext w:val="0"/>
        <w:keepLines w:val="0"/>
        <w:pageBreakBefore w:val="0"/>
        <w:widowControl w:val="0"/>
        <w:bidi w:val="0"/>
        <w:spacing w:line="600" w:lineRule="exact"/>
        <w:ind w:leftChars="47" w:left="298" w:hangingChars="95" w:hanging="199"/>
        <w:jc w:val="right"/>
        <w:textAlignment w:val="auto"/>
        <w:rPr>
          <w:rFonts w:hint="eastAsia"/>
        </w:rPr>
      </w:pPr>
    </w:p>
    <w:p>
      <w:pPr>
        <w:pStyle w:val="16"/>
        <w:rPr>
          <w:rFonts w:ascii="仿宋" w:eastAsia="仿宋"/>
          <w:color w:val="000000"/>
        </w:rPr>
      </w:pPr>
    </w:p>
    <w:p>
      <w:pPr>
        <w:ind w:left="0" w:firstLine="0"/>
        <w:jc w:val="center"/>
        <w:rPr>
          <w:sz w:val="44"/>
          <w:szCs w:val="44"/>
        </w:rPr>
      </w:pPr>
      <w:r>
        <w:rPr>
          <w:rFonts w:ascii="黑体" w:eastAsia="黑体" w:hint="eastAsia"/>
          <w:b w:val="0"/>
          <w:sz w:val="44"/>
          <w:szCs w:val="44"/>
        </w:rPr>
        <w:fldChar w:fldCharType="begin"/>
      </w:r>
      <w:r>
        <w:rPr>
          <w:rFonts w:ascii="黑体" w:eastAsia="黑体" w:hint="eastAsia"/>
          <w:b w:val="0"/>
          <w:sz w:val="44"/>
          <w:szCs w:val="44"/>
        </w:rPr>
        <w:instrText xml:space="preserve">TOC \o "1-2" \h \u </w:instrText>
      </w:r>
      <w:r>
        <w:rPr>
          <w:rFonts w:ascii="黑体" w:eastAsia="黑体" w:hint="eastAsia"/>
          <w:b w:val="0"/>
          <w:sz w:val="44"/>
          <w:szCs w:val="44"/>
        </w:rPr>
        <w:fldChar w:fldCharType="separate"/>
      </w:r>
    </w:p>
    <w:p>
      <w:pPr>
        <w:spacing w:line="600" w:lineRule="exact"/>
        <w:ind w:firstLineChars="200" w:firstLine="880"/>
        <w:jc w:val="center"/>
        <w:rPr>
          <w:rFonts w:ascii="仿宋_GB2312" w:eastAsia="仿宋_GB2312" w:cs="仿宋_GB2312" w:hint="eastAsia"/>
          <w:color w:val="000000"/>
          <w:sz w:val="44"/>
          <w:szCs w:val="44"/>
        </w:rPr>
      </w:pPr>
      <w:r>
        <w:rPr>
          <w:rFonts w:ascii="仿宋_GB2312" w:eastAsia="仿宋_GB2312" w:cs="仿宋_GB2312"/>
          <w:b w:val="0"/>
          <w:color w:val="000000"/>
          <w:sz w:val="44"/>
          <w:szCs w:val="44"/>
          <w:lang w:val="en-US" w:eastAsia="zh-CN"/>
        </w:rPr>
        <w:t>第五部分</w:t>
      </w:r>
      <w:r>
        <w:rPr>
          <w:rFonts w:ascii="仿宋_GB2312" w:eastAsia="仿宋_GB2312" w:cs="仿宋_GB2312" w:hint="eastAsia"/>
          <w:b w:val="0"/>
          <w:color w:val="000000"/>
          <w:sz w:val="44"/>
          <w:szCs w:val="44"/>
          <w:lang w:val="en-US" w:eastAsia="zh-CN"/>
        </w:rPr>
        <w:t>、决算公开表</w:t>
      </w:r>
    </w:p>
    <w:p>
      <w:pPr>
        <w:spacing w:line="600" w:lineRule="exact"/>
        <w:ind w:left="0"/>
        <w:rPr>
          <w:rFonts w:ascii="仿宋_GB2312" w:eastAsia="仿宋_GB2312" w:cs="仿宋_GB2312" w:hint="eastAsia"/>
          <w:b w:val="0"/>
          <w:color w:val="000000"/>
          <w:sz w:val="32"/>
          <w:szCs w:val="32"/>
          <w:lang w:val="en-US" w:eastAsia="zh-CN"/>
        </w:rPr>
      </w:pPr>
      <w:r>
        <w:rPr>
          <w:rFonts w:ascii="黑体" w:eastAsia="黑体" w:hint="eastAsia"/>
          <w:b/>
          <w:sz w:val="44"/>
          <w:szCs w:val="44"/>
        </w:rPr>
        <w:fldChar w:fldCharType="end"/>
      </w:r>
      <w:r>
        <w:rPr>
          <w:rFonts w:ascii="仿宋_GB2312" w:eastAsia="仿宋_GB2312" w:cs="仿宋_GB2312" w:hint="eastAsia"/>
          <w:b w:val="0"/>
          <w:color w:val="000000"/>
          <w:sz w:val="32"/>
          <w:szCs w:val="32"/>
          <w:lang w:val="en-US" w:eastAsia="zh-CN"/>
        </w:rPr>
        <w:t>（一）收入支出决算总表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（二）收入决算表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（三）支出决算表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（四）财政拨款收入支出决算总表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（五）财政拨款收入支出决算总表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（六）一般公共预算财政拨款支出决算表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（七）一般公共预算财政拨款支出决算表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（八）一般公共预算财政拨款基本支出决算明细表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（九）一般公共预算财政拨款项目支出决算表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（十）政府性基金预算财政拨款收入支出决算表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（十一）国有资本经营预算财政拨款收入支出决算表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（十二）国有资本经营预算财政拨款支出决算表</w:t>
      </w:r>
    </w:p>
    <w:p>
      <w:pPr>
        <w:ind w:left="0"/>
      </w:pPr>
      <w:r>
        <w:rPr>
          <w:rFonts w:ascii="仿宋_GB2312" w:eastAsia="仿宋_GB2312" w:cs="仿宋_GB2312" w:hint="eastAsia"/>
          <w:b w:val="0"/>
          <w:color w:val="000000"/>
          <w:sz w:val="32"/>
          <w:szCs w:val="32"/>
          <w:lang w:val="en-US" w:eastAsia="zh-CN"/>
        </w:rPr>
        <w:t>（十三）财政拨款“三公”经费支出决算表</w:t>
      </w:r>
    </w:p>
    <w:p>
      <w:pPr>
        <w:pStyle w:val="16"/>
        <w:rPr>
          <w:rFonts w:ascii="仿宋" w:eastAsia="仿宋"/>
          <w:color w:val="000000"/>
        </w:rPr>
      </w:pPr>
    </w:p>
    <w:sectPr>
      <w:footerReference w:type="default" r:id="rId6"/>
      <w:footerReference w:type="first" r:id="rId7"/>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2010601030101010101"/>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Times New Roman">
    <w:altName w:val="AR PL UKai CN"/>
    <w:panose1 w:val="02020603050405020304"/>
    <w:charset w:val="86"/>
    <w:family w:val="auto"/>
    <w:pitch w:val="variable"/>
    <w:sig w:usb0="E0002AFF" w:usb1="C0007841" w:usb2="00000009" w:usb3="00000000" w:csb0="400001FF" w:csb1="FFFF0000"/>
  </w:font>
  <w:font w:name="宋体">
    <w:altName w:val="方正书宋_GBK"/>
    <w:panose1 w:val="02010600030101010101"/>
    <w:charset w:val="7A"/>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楷体">
    <w:altName w:val="楷体_GB2312"/>
    <w:panose1 w:val="02010609060101010101"/>
    <w:charset w:val="86"/>
    <w:family w:val="modern"/>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_GB2312">
    <w:altName w:val="DejaVu Sans"/>
    <w:panose1 w:val="00000000000000000000"/>
    <w:charset w:val="00"/>
    <w:family w:val="auto"/>
    <w:pitch w:val="variable"/>
    <w:sig w:usb0="00000000" w:usb1="00000000" w:usb2="00000000" w:usb3="00000000" w:csb0="00000001" w:csb1="00000000"/>
  </w:font>
  <w:font w:name="Calibri">
    <w:altName w:val="DejaVu Sans"/>
    <w:panose1 w:val="020F0502020204030204"/>
    <w:charset w:val="00"/>
    <w:family w:val="swiss"/>
    <w:pitch w:val="variable"/>
    <w:sig w:usb0="E00002FF" w:usb1="4000ACFF" w:usb2="00000001" w:usb3="00000000" w:csb0="2000019F" w:csb1="00000000"/>
  </w:font>
  <w:font w:name="楷体_GB2312">
    <w:altName w:val="楷体"/>
    <w:panose1 w:val="02010609030101010101"/>
    <w:charset w:val="86"/>
    <w:family w:val="modern"/>
    <w:pitch w:val="variable"/>
    <w:sig w:usb0="00000000" w:usb1="00000000" w:usb2="00000000" w:usb3="00000000" w:csb0="00040000"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243864557"/>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9"/>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807927969"/>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9"/>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747B1FF4"/>
    <w:multiLevelType w:val="singleLevel"/>
    <w:tmpl w:val="747B1FF4"/>
    <w:lvl w:ilvl="0">
      <w:start w:val="2"/>
      <w:numFmt w:val="decimal"/>
      <w:lvlRestart w:val="0"/>
      <w:lvlText w:val="%1."/>
      <w:lvlJc w:val="left"/>
      <w:pPr>
        <w:tabs>
          <w:tab w:val="num" w:pos="0"/>
        </w:tabs>
        <w:ind w:left="0" w:hanging="0"/>
      </w:pPr>
    </w:lvl>
  </w:abstractNum>
  <w:abstractNum w:abstractNumId="4">
    <w:nsid w:val="386D6DF3"/>
    <w:multiLevelType w:val="singleLevel"/>
    <w:tmpl w:val="386D6DF3"/>
    <w:lvl w:ilvl="0">
      <w:start w:val="3"/>
      <w:numFmt w:val="decimal"/>
      <w:lvlRestart w:val="0"/>
      <w:lvlText w:val="%1."/>
      <w:lvlJc w:val="left"/>
      <w:pPr>
        <w:tabs>
          <w:tab w:val="num" w:pos="0"/>
        </w:tabs>
        <w:ind w:left="0" w:hanging="0"/>
      </w:pPr>
    </w:lvl>
  </w:abstractNum>
  <w:abstractNum w:abstractNumId="5">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6">
    <w:nsid w:val="DF753C88"/>
    <w:multiLevelType w:val="singleLevel"/>
    <w:tmpl w:val="DF753C88"/>
    <w:lvl w:ilvl="0">
      <w:start w:val="3"/>
      <w:numFmt w:val="chineseCounting"/>
      <w:lvlRestart w:val="0"/>
      <w:suff w:val="nothing"/>
      <w:lvlText w:val="%1、"/>
      <w:lvlJc w:val="left"/>
      <w:pPr>
        <w:tabs>
          <w:tab w:val="num" w:pos="0"/>
        </w:tabs>
        <w:ind w:left="0" w:hanging="0"/>
      </w:pPr>
      <w:rPr>
        <w:rFonts w:hint="eastAsia"/>
      </w:rPr>
    </w:lvl>
  </w:abstractNum>
  <w:abstractNum w:abstractNumId="7">
    <w:nsid w:val="FD209342"/>
    <w:multiLevelType w:val="singleLevel"/>
    <w:tmpl w:val="FD209342"/>
    <w:lvl w:ilvl="0">
      <w:start w:val="2"/>
      <w:numFmt w:val="decimal"/>
      <w:lvlRestart w:val="0"/>
      <w:suff w:val="nothing"/>
      <w:lvlText w:val="%1、"/>
      <w:lvlJc w:val="left"/>
      <w:pPr>
        <w:tabs>
          <w:tab w:val="num" w:pos="0"/>
        </w:tabs>
        <w:ind w:left="61" w:hanging="61"/>
      </w:pPr>
    </w:lvl>
  </w:abstractNum>
  <w:abstractNum w:abstractNumId="8">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jllOGE3Nzk5MTQzNTlmNWM1M2RlMGRjYmJkNDZmND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next w:val="21"/>
    <w:pPr>
      <w:widowControl w:val="0"/>
      <w:spacing w:before="0" w:beforeAutospacing="1" w:after="0" w:afterAutospacing="1"/>
      <w:ind w:left="0" w:right="0"/>
      <w:jc w:val="left"/>
    </w:pPr>
    <w:rPr>
      <w:rFonts w:ascii="Times New Roman" w:eastAsia="宋体" w:cs="Times New Roman" w:hAnsi="Times New Roman"/>
      <w:kern w:val="0"/>
      <w:sz w:val="24"/>
      <w:szCs w:val="24"/>
      <w:lang w:val="en-US" w:eastAsia="zh-CN" w:bidi="ar-SA"/>
    </w:rPr>
  </w:style>
  <w:style w:type="character" w:styleId="24">
    <w:name w:val="Strong"/>
    <w:basedOn w:val="10"/>
    <w:rPr>
      <w:b/>
    </w:rPr>
  </w:style>
  <w:style w:type="character" w:styleId="25">
    <w:name w:val="Hyperlink"/>
    <w:basedOn w:val="10"/>
    <w:rPr>
      <w:color w:val="0000FF"/>
      <w:u w:val="single"/>
    </w:rPr>
  </w:style>
  <w:style w:type="paragraph" w:customStyle="1" w:styleId="26">
    <w:name w:val="table of figures1"/>
    <w:basedOn w:val="0"/>
    <w:next w:val="0"/>
    <w:pPr>
      <w:spacing w:before="100" w:beforeAutospacing="1" w:after="100" w:afterAutospacing="1"/>
      <w:ind w:leftChars="200" w:left="400" w:hangingChars="200" w:hanging="200"/>
    </w:pPr>
  </w:style>
  <w:style w:type="paragraph" w:customStyle="1" w:styleId="27">
    <w:name w:val="图表目录1"/>
    <w:basedOn w:val="0"/>
    <w:next w:val="0"/>
    <w:pPr>
      <w:spacing w:beforeAutospacing="1" w:afterAutospacing="1"/>
      <w:ind w:leftChars="200" w:left="400" w:hangingChars="200" w:hanging="200"/>
    </w:p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普通(网站) Char"/>
    <w:basedOn w:val="0"/>
    <w:pPr>
      <w:spacing w:before="100" w:beforeAutospacing="1" w:after="100" w:afterAutospacing="1"/>
    </w:pPr>
  </w:style>
  <w:style w:type="character" w:customStyle="1" w:styleId="35">
    <w:name w:val="NormalCharacter"/>
    <w:rPr>
      <w:rFonts w:eastAsia="宋体"/>
      <w:kern w:val="2"/>
      <w:sz w:val="21"/>
      <w:szCs w:val="24"/>
      <w:lang w:val="en-US" w:eastAsia="zh-CN" w:bidi="ar-SA"/>
    </w:rPr>
  </w:style>
  <w:style w:type="paragraph" w:customStyle="1" w:styleId="36">
    <w:name w:val="WPSOffice手动目录 1"/>
    <w:rPr>
      <w:rFonts w:ascii="Times New Roman" w:eastAsia="宋体" w:cs="Times New Roman" w:hAnsi="Times New Roman"/>
      <w:sz w:val="20"/>
      <w:szCs w:val="20"/>
      <w:lang w:val="en-US" w:eastAsia="zh-CN" w:bidi="ar-SA"/>
    </w:rPr>
  </w:style>
  <w:style w:type="paragraph" w:customStyle="1" w:styleId="37">
    <w:name w:val="WPSOffice手动目录 2"/>
    <w:pPr>
      <w:ind w:leftChars="200" w:left="200"/>
    </w:pPr>
    <w:rPr>
      <w:rFonts w:ascii="Times New Roman" w:eastAsia="宋体" w:cs="Times New Roman" w:hAnsi="Times New Roman"/>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chart" Target="charts/chart1.xml"/><Relationship Id="rId9" Type="http://schemas.openxmlformats.org/officeDocument/2006/relationships/chart" Target="charts/chart2.xml"/><Relationship Id="rId10" Type="http://schemas.openxmlformats.org/officeDocument/2006/relationships/chart" Target="charts/chart3.xml"/><Relationship Id="rId11" Type="http://schemas.openxmlformats.org/officeDocument/2006/relationships/chart" Target="charts/chart4.xml"/><Relationship Id="rId12" Type="http://schemas.openxmlformats.org/officeDocument/2006/relationships/chart" Target="charts/chart5.xml"/><Relationship Id="rId13" Type="http://schemas.openxmlformats.org/officeDocument/2006/relationships/styles" Target="styles.xml"/><Relationship Id="rId14" Type="http://schemas.openxmlformats.org/officeDocument/2006/relationships/numbering" Target="numbering.xml"/><Relationship Id="rId1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v>总收入</c:v>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0"/>
            <c:dLblPos val="inEnd"/>
            <c:showLegendKey val="0"/>
            <c:showVal val="1"/>
            <c:showCatName val="0"/>
            <c:showSerName val="0"/>
            <c:showPercent val="0"/>
            <c:showBubbleSize val="0"/>
            <c:showLeaderLines val="0"/>
          </c:dLbls>
          <c:val>
            <c:numRef>
              <c:f/>
              <c:numCache>
                <c:formatCode>General</c:formatCode>
                <c:ptCount val="2"/>
                <c:pt idx="0">
                  <c:v>1622.9</c:v>
                </c:pt>
                <c:pt idx="1">
                  <c:v>1279.19</c:v>
                </c:pt>
              </c:numCache>
            </c:numRef>
          </c:val>
        </c:ser>
        <c:ser>
          <c:idx val="1"/>
          <c:order val="1"/>
          <c:tx>
            <c:v>总支出</c:v>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0"/>
            <c:dLblPos val="inEnd"/>
            <c:showLegendKey val="0"/>
            <c:showVal val="1"/>
            <c:showCatName val="0"/>
            <c:showSerName val="0"/>
            <c:showPercent val="0"/>
            <c:showBubbleSize val="0"/>
            <c:showLeaderLines val="0"/>
          </c:dLbls>
          <c:val>
            <c:numRef>
              <c:f/>
              <c:numCache>
                <c:formatCode>General</c:formatCode>
                <c:ptCount val="2"/>
                <c:pt idx="0">
                  <c:v>1623.53</c:v>
                </c:pt>
                <c:pt idx="1">
                  <c:v>1279.19</c:v>
                </c:pt>
              </c:numCache>
            </c:numRef>
          </c:val>
        </c:ser>
        <c:gapWidth val="65"/>
        <c:axId val="0"/>
        <c:axId val="1"/>
      </c:barChart>
      <c:catAx>
        <c:axId val="0"/>
        <c:scaling>
          <c:orientation val="minMax"/>
        </c:scaling>
        <c:delete val="0"/>
        <c:axPos val="b"/>
        <c:numFmt formatCode="General" sourceLinked="0"/>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1279.19</a:t>
                    </a:r>
                  </a:p>
                </c:rich>
              </c:tx>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10</a:t>
                    </a:r>
                    <a:r>
                      <a:rPr lang="zh-CN" sz="1000" b="0" i="0" u="none" strike="noStrike" baseline="0">
                        <a:solidFill>
                          <a:srgbClr val="000000"/>
                        </a:solidFill>
                        <a:latin typeface="AR PL UKai CN"/>
                        <a:ea typeface="AR PL UKai CN"/>
                        <a:cs typeface="Lucida Sans"/>
                      </a:rPr>
                      <a:t>0</a:t>
                    </a:r>
                    <a:r>
                      <a:rPr lang="zh-CN" sz="1000" b="0" i="0" u="none" strike="noStrike" baseline="0">
                        <a:solidFill>
                          <a:srgbClr val="000000"/>
                        </a:solidFill>
                        <a:latin typeface="AR PL UKai CN"/>
                        <a:ea typeface="AR PL UKai CN"/>
                        <a:cs typeface="Lucida Sans"/>
                      </a:rPr>
                      <a:t>%</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1127.72</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15284116"/>
                  <c:y val="-0.03085217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410.83</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868.36</c:v>
                </c:pt>
                <c:pt idx="1">
                  <c:v>410.83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showLegendKey val="0"/>
            <c:showVal val="0"/>
            <c:showCatName val="0"/>
            <c:showSerName val="0"/>
            <c:showPercent val="0"/>
            <c:showBubbleSize val="0"/>
            <c:showLeaderLines val="0"/>
          </c:dLbls>
          <c:val>
            <c:numRef>
              <c:f/>
            </c:numRef>
          </c:val>
        </c:ser>
        <c:ser>
          <c:idx val="1"/>
          <c:order val="1"/>
          <c:spPr>
            <a:solidFill>
              <a:srgbClr val="C0504D"/>
            </a:solidFill>
            <a:ln>
              <a:noFill/>
            </a:ln>
          </c:spPr>
          <c:invertIfNegative val="0"/>
          <c:dLbls>
            <c:showLegendKey val="0"/>
            <c:showVal val="0"/>
            <c:showCatName val="0"/>
            <c:showSerName val="0"/>
            <c:showPercent val="0"/>
            <c:showBubbleSize val="0"/>
            <c:showLeaderLines val="0"/>
          </c:dLbls>
          <c:val>
            <c:numRef>
              <c:f/>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1"/>
    <c:plotArea>
      <c:layout/>
      <c:pieChart>
        <c:varyColors val="1"/>
        <c:ser>
          <c:idx val="0"/>
          <c:order val="0"/>
          <c:tx>
            <c:strRef>
              <c:f>'Sheet1 (5)'!$B$1</c:f>
              <c:strCache>
                <c:ptCount val="1"/>
                <c:pt idx="0">
                  <c:v>支出结构表</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Lbls>
            <c:showLegendKey val="0"/>
            <c:showVal val="0"/>
            <c:showCatName val="0"/>
            <c:showSerName val="0"/>
            <c:showPercent val="0"/>
            <c:showBubbleSize val="0"/>
            <c:showLeaderLines val="0"/>
          </c:dLbls>
          <c:cat>
            <c:strRef>
              <c:f>'Sheet1 (5)'!$A$2:$A$7</c:f>
              <c:strCache>
                <c:ptCount val="6"/>
                <c:pt idx="0">
                  <c:v>一般公共服务支出</c:v>
                </c:pt>
                <c:pt idx="1">
                  <c:v>社会保障和就业支出</c:v>
                </c:pt>
                <c:pt idx="2">
                  <c:v>卫生健康支出</c:v>
                </c:pt>
                <c:pt idx="3">
                  <c:v>农林水支出</c:v>
                </c:pt>
                <c:pt idx="4">
                  <c:v>住房保障支出</c:v>
                </c:pt>
                <c:pt idx="5">
                  <c:v>其他支出</c:v>
                </c:pt>
              </c:strCache>
            </c:strRef>
          </c:cat>
          <c:val>
            <c:numRef>
              <c:f>'Sheet1 (5)'!$B$2:$B$7</c:f>
              <c:numCache>
                <c:formatCode>General</c:formatCode>
                <c:ptCount val="6"/>
                <c:pt idx="0">
                  <c:v>398.23</c:v>
                </c:pt>
                <c:pt idx="1">
                  <c:v>92.34</c:v>
                </c:pt>
                <c:pt idx="2">
                  <c:v>48.82</c:v>
                </c:pt>
                <c:pt idx="3">
                  <c:v>679.61</c:v>
                </c:pt>
                <c:pt idx="4">
                  <c:v>56.82</c:v>
                </c:pt>
                <c:pt idx="5">
                  <c:v>3.36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12</TotalTime>
  <Application>Yozo_Office27021597764231179</Application>
  <Pages>29</Pages>
  <Words>9558</Words>
  <Characters>10621</Characters>
  <Lines>781</Lines>
  <Paragraphs>401</Paragraphs>
  <CharactersWithSpaces>10894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cp:revision>
  <cp:lastPrinted>2021-09-18T03:06:00Z</cp:lastPrinted>
  <dcterms:created xsi:type="dcterms:W3CDTF">2021-09-18T03:28:00Z</dcterms:created>
  <dcterms:modified xsi:type="dcterms:W3CDTF">2023-09-22T00:58:12Z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2052-11.1.0.11875</vt:lpwstr>
  </property>
  <property fmtid="{D5CDD505-2E9C-101B-9397-08002B2CF9AE}" pid="3" name="ICV">
    <vt:lpwstr>3E4FD33698BF404380C053090CCA0E40_13</vt:lpwstr>
  </property>
</Properties>
</file>