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96597"/>
      <w:bookmarkStart w:id="3" w:name="_Toc15377193"/>
      <w:bookmarkStart w:id="4" w:name="_Toc15378441"/>
      <w:bookmarkStart w:id="5" w:name="_Toc12796"/>
      <w:bookmarkStart w:id="6" w:name="_Toc15377425"/>
      <w:r>
        <w:rPr>
          <w:rFonts w:ascii="黑体" w:eastAsia="黑体"/>
          <w:color w:val="000000"/>
          <w:sz w:val="72"/>
          <w:szCs w:val="72"/>
        </w:rPr>
        <w:t>202</w:t>
      </w:r>
      <w:r>
        <w:rPr>
          <w:rFonts w:ascii="黑体" w:eastAsia="黑体" w:hint="eastAsia"/>
          <w:color w:val="000000"/>
          <w:sz w:val="72"/>
          <w:szCs w:val="72"/>
        </w:rPr>
        <w:t>1</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194"/>
      <w:bookmarkStart w:id="8" w:name="_Toc15377426"/>
      <w:bookmarkStart w:id="9" w:name="_Toc15396476"/>
      <w:bookmarkStart w:id="10" w:name="_Toc15396598"/>
      <w:bookmarkStart w:id="11" w:name="_Toc15378442"/>
      <w:bookmarkStart w:id="12" w:name="_Toc6811"/>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金川县马奈镇人民政府部门决算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pStyle w:val="21"/>
        <w:tabs>
          <w:tab w:val="clear" w:pos="8296"/>
          <w:tab w:val="right" w:leader="dot" w:pos="8306"/>
        </w:tabs>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clear" w:pos="8296"/>
          <w:tab w:val="right" w:leader="dot" w:pos="8306"/>
        </w:tabs>
      </w:pPr>
      <w:r>
        <w:fldChar w:fldCharType="begin"/>
      </w:r>
      <w:r>
        <w:instrText xml:space="preserve"> HYPERLINK \l "_Toc27352" </w:instrText>
      </w:r>
      <w:r>
        <w:fldChar w:fldCharType="separate"/>
      </w:r>
      <w:r>
        <w:rPr>
          <w:rFonts w:ascii="黑体" w:eastAsia="黑体" w:hint="eastAsia"/>
        </w:rPr>
        <w:t>第一部分 部门概况</w:t>
      </w:r>
      <w:r>
        <w:tab/>
      </w:r>
      <w:r>
        <w:fldChar w:fldCharType="begin"/>
      </w:r>
      <w:r>
        <w:instrText xml:space="preserve"> PAGEREF _Toc27352 \h </w:instrText>
      </w:r>
      <w:r>
        <w:fldChar w:fldCharType="separate"/>
      </w:r>
      <w:r>
        <w:t>3</w:t>
      </w:r>
      <w:r>
        <w:fldChar w:fldCharType="end"/>
      </w:r>
      <w:r>
        <w:fldChar w:fldCharType="end"/>
      </w:r>
    </w:p>
    <w:p>
      <w:pPr>
        <w:pStyle w:val="22"/>
        <w:tabs>
          <w:tab w:val="clear" w:pos="8296"/>
          <w:tab w:val="right" w:leader="dot" w:pos="8306"/>
        </w:tabs>
        <w:rPr>
          <w:sz w:val="28"/>
          <w:szCs w:val="28"/>
        </w:rPr>
      </w:pPr>
      <w:r>
        <w:fldChar w:fldCharType="begin"/>
      </w:r>
      <w:r>
        <w:instrText xml:space="preserve"> HYPERLINK \l "_Toc20678" </w:instrText>
      </w:r>
      <w:r>
        <w:fldChar w:fldCharType="separate"/>
      </w:r>
      <w:r>
        <w:rPr>
          <w:rFonts w:ascii="黑体" w:eastAsia="黑体" w:hint="eastAsia"/>
          <w:sz w:val="28"/>
          <w:szCs w:val="28"/>
        </w:rPr>
        <w:t>一、基本职能及主要工作</w:t>
      </w:r>
      <w:r>
        <w:rPr>
          <w:sz w:val="28"/>
          <w:szCs w:val="28"/>
        </w:rPr>
        <w:tab/>
      </w:r>
      <w:r>
        <w:rPr>
          <w:sz w:val="28"/>
          <w:szCs w:val="28"/>
        </w:rPr>
        <w:fldChar w:fldCharType="begin"/>
      </w:r>
      <w:r>
        <w:rPr>
          <w:sz w:val="28"/>
          <w:szCs w:val="28"/>
        </w:rPr>
        <w:instrText xml:space="preserve"> PAGEREF _Toc20678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"_Toc31800" </w:instrText>
      </w:r>
      <w:r>
        <w:fldChar w:fldCharType="separate"/>
      </w:r>
      <w:r>
        <w:rPr>
          <w:rFonts w:ascii="楷体" w:eastAsia="楷体" w:cs="楷体" w:hint="eastAsia"/>
          <w:sz w:val="28"/>
          <w:szCs w:val="28"/>
        </w:rPr>
        <w:t>（一）主要职能</w:t>
      </w:r>
      <w:r>
        <w:rPr>
          <w:sz w:val="28"/>
          <w:szCs w:val="28"/>
        </w:rPr>
        <w:tab/>
      </w:r>
      <w:r>
        <w:rPr>
          <w:sz w:val="28"/>
          <w:szCs w:val="28"/>
        </w:rPr>
        <w:fldChar w:fldCharType="begin"/>
      </w:r>
      <w:r>
        <w:rPr>
          <w:sz w:val="28"/>
          <w:szCs w:val="28"/>
        </w:rPr>
        <w:instrText xml:space="preserve"> PAGEREF _Toc31800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"_Toc21487" </w:instrText>
      </w:r>
      <w:r>
        <w:fldChar w:fldCharType="separate"/>
      </w:r>
      <w:r>
        <w:rPr>
          <w:rFonts w:ascii="楷体" w:eastAsia="楷体" w:cs="楷体" w:hint="eastAsia"/>
          <w:sz w:val="28"/>
          <w:szCs w:val="28"/>
        </w:rPr>
        <w:t>（二）</w:t>
      </w:r>
      <w:r>
        <w:rPr>
          <w:rFonts w:ascii="楷体" w:eastAsia="楷体" w:cs="楷体"/>
          <w:sz w:val="28"/>
          <w:szCs w:val="28"/>
        </w:rPr>
        <w:t>202</w:t>
      </w:r>
      <w:r>
        <w:rPr>
          <w:rFonts w:ascii="楷体" w:eastAsia="楷体" w:cs="楷体" w:hint="eastAsia"/>
          <w:sz w:val="28"/>
          <w:szCs w:val="28"/>
        </w:rPr>
        <w:t>1年重点工作完成情况</w:t>
      </w:r>
      <w:r>
        <w:rPr>
          <w:sz w:val="28"/>
          <w:szCs w:val="28"/>
        </w:rPr>
        <w:tab/>
      </w:r>
      <w:r>
        <w:rPr>
          <w:sz w:val="28"/>
          <w:szCs w:val="28"/>
        </w:rPr>
        <w:fldChar w:fldCharType="begin"/>
      </w:r>
      <w:r>
        <w:rPr>
          <w:sz w:val="28"/>
          <w:szCs w:val="28"/>
        </w:rPr>
        <w:instrText xml:space="preserve"> PAGEREF _Toc21487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"_Toc15978" </w:instrText>
      </w:r>
      <w:r>
        <w:fldChar w:fldCharType="separate"/>
      </w:r>
      <w:r>
        <w:rPr>
          <w:rFonts w:ascii="黑体" w:eastAsia="黑体" w:hint="eastAsia"/>
          <w:sz w:val="28"/>
          <w:szCs w:val="28"/>
        </w:rPr>
        <w:t>二、机构设置</w:t>
      </w:r>
      <w:r>
        <w:rPr>
          <w:sz w:val="28"/>
          <w:szCs w:val="28"/>
        </w:rPr>
        <w:tab/>
      </w:r>
      <w:r>
        <w:rPr>
          <w:sz w:val="28"/>
          <w:szCs w:val="28"/>
        </w:rPr>
        <w:fldChar w:fldCharType="begin"/>
      </w:r>
      <w:r>
        <w:rPr>
          <w:sz w:val="28"/>
          <w:szCs w:val="28"/>
        </w:rPr>
        <w:instrText xml:space="preserve"> PAGEREF _Toc15978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21"/>
        <w:tabs>
          <w:tab w:val="clear" w:pos="8296"/>
          <w:tab w:val="right" w:leader="dot" w:pos="8306"/>
        </w:tabs>
      </w:pPr>
      <w:r>
        <w:fldChar w:fldCharType="begin"/>
      </w:r>
      <w:r>
        <w:instrText xml:space="preserve"> HYPERLINK \l "_Toc32723" </w:instrText>
      </w:r>
      <w:r>
        <w:fldChar w:fldCharType="separate"/>
      </w:r>
      <w:r>
        <w:rPr>
          <w:rFonts w:ascii="黑体" w:eastAsia="黑体" w:hint="eastAsia"/>
        </w:rPr>
        <w:t xml:space="preserve">第二部分 </w:t>
      </w:r>
      <w:r>
        <w:rPr>
          <w:rFonts w:ascii="黑体" w:eastAsia="黑体"/>
        </w:rPr>
        <w:t>202</w:t>
      </w:r>
      <w:r>
        <w:rPr>
          <w:rFonts w:ascii="黑体" w:eastAsia="黑体" w:hint="eastAsia"/>
        </w:rPr>
        <w:t>1年度部门决算情况说明</w:t>
      </w:r>
      <w:r>
        <w:tab/>
      </w:r>
      <w:r>
        <w:fldChar w:fldCharType="begin"/>
      </w:r>
      <w:r>
        <w:instrText xml:space="preserve"> PAGEREF _Toc32723 \h </w:instrText>
      </w:r>
      <w:r>
        <w:fldChar w:fldCharType="separate"/>
      </w:r>
      <w:r>
        <w:t>5</w:t>
      </w:r>
      <w:r>
        <w:fldChar w:fldCharType="end"/>
      </w:r>
      <w:r>
        <w:fldChar w:fldCharType="end"/>
      </w:r>
    </w:p>
    <w:p>
      <w:pPr>
        <w:pStyle w:val="22"/>
        <w:tabs>
          <w:tab w:val="clear" w:pos="8296"/>
          <w:tab w:val="right" w:leader="dot" w:pos="8306"/>
        </w:tabs>
        <w:rPr>
          <w:sz w:val="28"/>
          <w:szCs w:val="28"/>
        </w:rPr>
      </w:pPr>
      <w:r>
        <w:fldChar w:fldCharType="begin"/>
      </w:r>
      <w:r>
        <w:instrText xml:space="preserve"> HYPERLINK \l "_Toc14461" </w:instrText>
      </w:r>
      <w:r>
        <w:fldChar w:fldCharType="separate"/>
      </w:r>
      <w:r>
        <w:rPr>
          <w:rFonts w:ascii="黑体" w:eastAsia="黑体"/>
          <w:sz w:val="28"/>
          <w:szCs w:val="28"/>
        </w:rPr>
        <w:t xml:space="preserve">一、 </w:t>
      </w:r>
      <w:r>
        <w:rPr>
          <w:rFonts w:ascii="黑体" w:eastAsia="黑体" w:hint="eastAsia"/>
          <w:sz w:val="28"/>
          <w:szCs w:val="28"/>
        </w:rPr>
        <w:t>收入支出决算总体情况说明</w:t>
      </w:r>
      <w:r>
        <w:rPr>
          <w:sz w:val="28"/>
          <w:szCs w:val="28"/>
        </w:rPr>
        <w:tab/>
      </w:r>
      <w:r>
        <w:rPr>
          <w:sz w:val="28"/>
          <w:szCs w:val="28"/>
        </w:rPr>
        <w:fldChar w:fldCharType="begin"/>
      </w:r>
      <w:r>
        <w:rPr>
          <w:sz w:val="28"/>
          <w:szCs w:val="28"/>
        </w:rPr>
        <w:instrText xml:space="preserve"> PAGEREF _Toc14461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"_Toc4194" </w:instrText>
      </w:r>
      <w:r>
        <w:fldChar w:fldCharType="separate"/>
      </w:r>
      <w:r>
        <w:rPr>
          <w:rFonts w:ascii="黑体" w:eastAsia="黑体" w:hint="eastAsia"/>
          <w:sz w:val="28"/>
          <w:szCs w:val="28"/>
        </w:rPr>
        <w:t>三、支出决算情况说明</w:t>
      </w:r>
      <w:r>
        <w:rPr>
          <w:sz w:val="28"/>
          <w:szCs w:val="28"/>
        </w:rPr>
        <w:tab/>
      </w:r>
      <w:r>
        <w:rPr>
          <w:sz w:val="28"/>
          <w:szCs w:val="28"/>
        </w:rPr>
        <w:fldChar w:fldCharType="begin"/>
      </w:r>
      <w:r>
        <w:rPr>
          <w:sz w:val="28"/>
          <w:szCs w:val="28"/>
        </w:rPr>
        <w:instrText xml:space="preserve"> PAGEREF _Toc4194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"_Toc27948" </w:instrText>
      </w:r>
      <w:r>
        <w:fldChar w:fldCharType="separate"/>
      </w:r>
      <w:r>
        <w:rPr>
          <w:rFonts w:ascii="黑体" w:eastAsia="黑体" w:hint="eastAsia"/>
          <w:sz w:val="28"/>
          <w:szCs w:val="28"/>
        </w:rPr>
        <w:t>四、财政拨款收入支出决算总体情况说明</w:t>
      </w:r>
      <w:r>
        <w:rPr>
          <w:sz w:val="28"/>
          <w:szCs w:val="28"/>
        </w:rPr>
        <w:tab/>
      </w:r>
      <w:r>
        <w:rPr>
          <w:sz w:val="28"/>
          <w:szCs w:val="28"/>
        </w:rPr>
        <w:fldChar w:fldCharType="begin"/>
      </w:r>
      <w:r>
        <w:rPr>
          <w:sz w:val="28"/>
          <w:szCs w:val="28"/>
        </w:rPr>
        <w:instrText xml:space="preserve"> PAGEREF _Toc27948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"_Toc9449" </w:instrText>
      </w:r>
      <w:r>
        <w:fldChar w:fldCharType="separate"/>
      </w:r>
      <w:r>
        <w:rPr>
          <w:rFonts w:ascii="黑体" w:eastAsia="黑体" w:hint="eastAsia"/>
          <w:sz w:val="28"/>
          <w:szCs w:val="28"/>
        </w:rPr>
        <w:t>七、“三公”经费财政拨款支出决算情况说明</w:t>
      </w:r>
      <w:r>
        <w:rPr>
          <w:sz w:val="28"/>
          <w:szCs w:val="28"/>
        </w:rPr>
        <w:tab/>
      </w:r>
      <w:r>
        <w:rPr>
          <w:sz w:val="28"/>
          <w:szCs w:val="28"/>
        </w:rPr>
        <w:fldChar w:fldCharType="begin"/>
      </w:r>
      <w:r>
        <w:rPr>
          <w:sz w:val="28"/>
          <w:szCs w:val="28"/>
        </w:rPr>
        <w:instrText xml:space="preserve"> PAGEREF _Toc9449 \h </w:instrText>
      </w:r>
      <w:r>
        <w:rPr>
          <w:sz w:val="28"/>
          <w:szCs w:val="28"/>
        </w:rPr>
        <w:fldChar w:fldCharType="separate"/>
      </w:r>
      <w:r>
        <w:rPr>
          <w:sz w:val="28"/>
          <w:szCs w:val="28"/>
        </w:rPr>
        <w:t>12</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"_Toc23573" </w:instrText>
      </w:r>
      <w:r>
        <w:fldChar w:fldCharType="separate"/>
      </w:r>
      <w:r>
        <w:rPr>
          <w:rFonts w:ascii="黑体" w:eastAsia="黑体" w:hint="eastAsia"/>
          <w:sz w:val="28"/>
          <w:szCs w:val="28"/>
        </w:rPr>
        <w:t>八、政府性基金预算支出决算情况说明</w:t>
      </w:r>
      <w:r>
        <w:rPr>
          <w:sz w:val="28"/>
          <w:szCs w:val="28"/>
        </w:rPr>
        <w:tab/>
      </w:r>
      <w:r>
        <w:rPr>
          <w:sz w:val="28"/>
          <w:szCs w:val="28"/>
        </w:rPr>
        <w:fldChar w:fldCharType="begin"/>
      </w:r>
      <w:r>
        <w:rPr>
          <w:sz w:val="28"/>
          <w:szCs w:val="28"/>
        </w:rPr>
        <w:instrText xml:space="preserve"> PAGEREF _Toc23573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"_Toc351" </w:instrText>
      </w:r>
      <w:r>
        <w:fldChar w:fldCharType="separate"/>
      </w:r>
      <w:r>
        <w:rPr>
          <w:rFonts w:ascii="黑体" w:eastAsia="黑体" w:hint="eastAsia"/>
          <w:sz w:val="28"/>
          <w:szCs w:val="28"/>
        </w:rPr>
        <w:t>九、 国有资本经营预算支出决算情况说明</w:t>
      </w:r>
      <w:r>
        <w:rPr>
          <w:sz w:val="28"/>
          <w:szCs w:val="28"/>
        </w:rPr>
        <w:tab/>
      </w:r>
      <w:r>
        <w:rPr>
          <w:sz w:val="28"/>
          <w:szCs w:val="28"/>
        </w:rPr>
        <w:fldChar w:fldCharType="begin"/>
      </w:r>
      <w:r>
        <w:rPr>
          <w:sz w:val="28"/>
          <w:szCs w:val="28"/>
        </w:rPr>
        <w:instrText xml:space="preserve"> PAGEREF _Toc351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"_Toc16199" </w:instrText>
      </w:r>
      <w:r>
        <w:fldChar w:fldCharType="separate"/>
      </w:r>
      <w:r>
        <w:rPr>
          <w:rFonts w:ascii="黑体" w:eastAsia="黑体"/>
          <w:sz w:val="28"/>
          <w:szCs w:val="28"/>
        </w:rPr>
        <w:t xml:space="preserve">十、 </w:t>
      </w:r>
      <w:r>
        <w:rPr>
          <w:rFonts w:ascii="黑体" w:eastAsia="黑体" w:hint="eastAsia"/>
          <w:sz w:val="28"/>
          <w:szCs w:val="28"/>
        </w:rPr>
        <w:t>预算绩效情况说明</w:t>
      </w:r>
      <w:r>
        <w:rPr>
          <w:sz w:val="28"/>
          <w:szCs w:val="28"/>
        </w:rPr>
        <w:tab/>
      </w:r>
      <w:r>
        <w:rPr>
          <w:sz w:val="28"/>
          <w:szCs w:val="28"/>
        </w:rPr>
        <w:fldChar w:fldCharType="begin"/>
      </w:r>
      <w:r>
        <w:rPr>
          <w:sz w:val="28"/>
          <w:szCs w:val="28"/>
        </w:rPr>
        <w:instrText xml:space="preserve"> PAGEREF _Toc16199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"_Toc4523" </w:instrText>
      </w:r>
      <w:r>
        <w:fldChar w:fldCharType="separate"/>
      </w:r>
      <w:r>
        <w:rPr>
          <w:rFonts w:ascii="楷体_GB2312" w:eastAsia="楷体_GB2312" w:cs="楷体_GB2312" w:hint="eastAsia"/>
          <w:bCs/>
          <w:sz w:val="28"/>
          <w:szCs w:val="28"/>
        </w:rPr>
        <w:t xml:space="preserve">（一） </w:t>
      </w:r>
      <w:r>
        <w:rPr>
          <w:rFonts w:ascii="黑体" w:eastAsia="黑体" w:hint="eastAsia"/>
          <w:sz w:val="28"/>
          <w:szCs w:val="28"/>
        </w:rPr>
        <w:t>预算绩效管理工作开展情况。</w:t>
      </w:r>
      <w:r>
        <w:rPr>
          <w:sz w:val="28"/>
          <w:szCs w:val="28"/>
        </w:rPr>
        <w:tab/>
      </w:r>
      <w:r>
        <w:rPr>
          <w:sz w:val="28"/>
          <w:szCs w:val="28"/>
        </w:rPr>
        <w:fldChar w:fldCharType="begin"/>
      </w:r>
      <w:r>
        <w:rPr>
          <w:sz w:val="28"/>
          <w:szCs w:val="28"/>
        </w:rPr>
        <w:instrText xml:space="preserve"> PAGEREF _Toc4523 \h </w:instrText>
      </w:r>
      <w:r>
        <w:rPr>
          <w:sz w:val="28"/>
          <w:szCs w:val="28"/>
        </w:rPr>
        <w:fldChar w:fldCharType="separate"/>
      </w:r>
      <w:r>
        <w:rPr>
          <w:sz w:val="28"/>
          <w:szCs w:val="28"/>
        </w:rPr>
        <w:t>13</w:t>
      </w:r>
      <w:r>
        <w:rPr>
          <w:sz w:val="28"/>
          <w:szCs w:val="28"/>
        </w:rPr>
        <w:fldChar w:fldCharType="end"/>
      </w:r>
      <w:r>
        <w:rPr>
          <w:sz w:val="28"/>
          <w:szCs w:val="28"/>
        </w:rPr>
        <w:fldChar w:fldCharType="end"/>
      </w:r>
    </w:p>
    <w:p>
      <w:pPr>
        <w:pStyle w:val="22"/>
        <w:tabs>
          <w:tab w:val="clear" w:pos="8296"/>
          <w:tab w:val="right" w:leader="dot" w:pos="8306"/>
        </w:tabs>
        <w:rPr>
          <w:sz w:val="28"/>
          <w:szCs w:val="28"/>
        </w:rPr>
      </w:pPr>
      <w:r>
        <w:fldChar w:fldCharType="begin"/>
      </w:r>
      <w:r>
        <w:instrText xml:space="preserve"> HYPERLINK \l "_Toc30171" </w:instrText>
      </w:r>
      <w:r>
        <w:fldChar w:fldCharType="separate"/>
      </w:r>
      <w:r>
        <w:rPr>
          <w:rFonts w:ascii="黑体" w:eastAsia="黑体" w:hint="eastAsia"/>
          <w:sz w:val="28"/>
          <w:szCs w:val="28"/>
        </w:rPr>
        <w:t>十一、其他重要事项的情况说明</w:t>
      </w:r>
      <w:r>
        <w:rPr>
          <w:sz w:val="28"/>
          <w:szCs w:val="28"/>
        </w:rPr>
        <w:tab/>
      </w:r>
      <w:r>
        <w:rPr>
          <w:sz w:val="28"/>
          <w:szCs w:val="28"/>
        </w:rPr>
        <w:fldChar w:fldCharType="begin"/>
      </w:r>
      <w:r>
        <w:rPr>
          <w:sz w:val="28"/>
          <w:szCs w:val="28"/>
        </w:rPr>
        <w:instrText xml:space="preserve"> PAGEREF _Toc30171 \h </w:instrText>
      </w:r>
      <w:r>
        <w:rPr>
          <w:sz w:val="28"/>
          <w:szCs w:val="28"/>
        </w:rPr>
        <w:fldChar w:fldCharType="separate"/>
      </w:r>
      <w:r>
        <w:rPr>
          <w:sz w:val="28"/>
          <w:szCs w:val="28"/>
        </w:rPr>
        <w:t>22</w:t>
      </w:r>
      <w:r>
        <w:rPr>
          <w:sz w:val="28"/>
          <w:szCs w:val="28"/>
        </w:rPr>
        <w:fldChar w:fldCharType="end"/>
      </w:r>
      <w:r>
        <w:rPr>
          <w:sz w:val="28"/>
          <w:szCs w:val="28"/>
        </w:rPr>
        <w:fldChar w:fldCharType="end"/>
      </w:r>
    </w:p>
    <w:p>
      <w:pPr>
        <w:pStyle w:val="21"/>
        <w:tabs>
          <w:tab w:val="clear" w:pos="8296"/>
          <w:tab w:val="right" w:leader="dot" w:pos="8306"/>
        </w:tabs>
      </w:pPr>
      <w:r>
        <w:fldChar w:fldCharType="begin"/>
      </w:r>
      <w:r>
        <w:instrText xml:space="preserve"> HYPERLINK \l "_Toc30760" </w:instrText>
      </w:r>
      <w:r>
        <w:fldChar w:fldCharType="separate"/>
      </w:r>
      <w:r>
        <w:rPr>
          <w:rFonts w:ascii="黑体" w:eastAsia="黑体" w:hint="eastAsia"/>
        </w:rPr>
        <w:t>第三部分 名词解释</w:t>
      </w:r>
      <w:r>
        <w:tab/>
      </w:r>
      <w:r>
        <w:fldChar w:fldCharType="begin"/>
      </w:r>
      <w:r>
        <w:instrText xml:space="preserve"> PAGEREF _Toc30760 \h </w:instrText>
      </w:r>
      <w:r>
        <w:fldChar w:fldCharType="separate"/>
      </w:r>
      <w:r>
        <w:t>22</w:t>
      </w:r>
      <w:r>
        <w:fldChar w:fldCharType="end"/>
      </w:r>
      <w:r>
        <w:fldChar w:fldCharType="end"/>
      </w:r>
    </w:p>
    <w:p>
      <w:pPr>
        <w:pStyle w:val="2"/>
        <w:ind w:left="0"/>
        <w:rPr>
          <w:rFonts w:ascii="仿宋" w:eastAsia="仿宋"/>
          <w:color w:val="000000"/>
          <w:lang w:eastAsia="zh-CN"/>
        </w:rPr>
      </w:pPr>
      <w:r>
        <w:rPr>
          <w:color w:val="000000"/>
        </w:rPr>
        <w:fldChar w:fldCharType="end"/>
      </w:r>
      <w:bookmarkStart w:id="14" w:name="_Toc15377196"/>
      <w:r>
        <w:rPr>
          <w:rFonts w:ascii="仿宋" w:eastAsia="仿宋"/>
          <w:color w:val="000000"/>
          <w:lang w:eastAsia="zh-CN"/>
        </w:rPr>
        <w:t>第四部分  附件..............................</w:t>
      </w:r>
      <w:r>
        <w:rPr>
          <w:rFonts w:ascii="仿宋" w:eastAsia="仿宋"/>
          <w:color w:val="000000"/>
          <w:lang w:eastAsia="zh-CN"/>
        </w:rPr>
        <w:t>……</w:t>
      </w:r>
      <w:r>
        <w:rPr>
          <w:rFonts w:ascii="仿宋" w:eastAsia="仿宋"/>
          <w:color w:val="000000"/>
          <w:lang w:eastAsia="zh-CN"/>
        </w:rPr>
        <w:t>26</w:t>
      </w:r>
    </w:p>
    <w:p>
      <w:pPr>
        <w:pStyle w:val="21"/>
        <w:tabs>
          <w:tab w:val="right" w:leader="dot" w:pos="8296"/>
        </w:tabs>
        <w:rPr>
          <w:rFonts w:cs="Arial"/>
        </w:rPr>
      </w:pPr>
    </w:p>
    <w:p>
      <w:pPr>
        <w:pStyle w:val="1"/>
        <w:jc w:val="center"/>
        <w:rPr>
          <w:rFonts w:ascii="黑体" w:eastAsia="黑体"/>
          <w:color w:val="000000"/>
          <w:sz w:val="32"/>
          <w:szCs w:val="32"/>
        </w:rPr>
      </w:pPr>
      <w:bookmarkStart w:id="15" w:name="_Toc27352"/>
      <w:r>
        <w:rPr>
          <w:rFonts w:ascii="黑体" w:eastAsia="黑体" w:hint="eastAsia"/>
          <w:b w:val="0"/>
        </w:rPr>
        <w:t xml:space="preserve">第一部分 </w:t>
      </w:r>
      <w:r>
        <w:rPr>
          <w:rStyle w:val="1Char"/>
          <w:rFonts w:ascii="黑体" w:eastAsia="黑体" w:hint="eastAsia"/>
          <w:b w:val="0"/>
          <w:bCs w:val="0"/>
        </w:rPr>
        <w:t>部门概况</w:t>
      </w:r>
      <w:bookmarkStart w:id="16" w:name="_GoBack"/>
      <w:bookmarkEnd w:id="14"/>
      <w:bookmarkEnd w:id="15"/>
      <w:bookmarkEnd w:id="16"/>
    </w:p>
    <w:p>
      <w:pPr>
        <w:pStyle w:val="2"/>
        <w:spacing w:before="0" w:after="0" w:line="240" w:lineRule="auto"/>
        <w:ind w:left="640" w:hangingChars="200" w:hanging="640"/>
        <w:rPr>
          <w:rStyle w:val="2Char"/>
          <w:rFonts w:ascii="黑体" w:eastAsia="黑体"/>
          <w:b w:val="0"/>
          <w:bCs w:val="0"/>
        </w:rPr>
      </w:pPr>
      <w:bookmarkStart w:id="17" w:name="_Toc20678"/>
      <w:bookmarkStart w:id="18" w:name="_Toc15377197"/>
      <w:r>
        <w:rPr>
          <w:rFonts w:ascii="黑体" w:eastAsia="黑体" w:hint="eastAsia"/>
          <w:b w:val="0"/>
          <w:color w:val="000000"/>
        </w:rPr>
        <w:t>一、基</w:t>
      </w:r>
      <w:r>
        <w:rPr>
          <w:rStyle w:val="2Char"/>
          <w:rFonts w:ascii="黑体" w:eastAsia="黑体" w:hint="eastAsia"/>
          <w:b w:val="0"/>
          <w:bCs w:val="0"/>
        </w:rPr>
        <w:t>本职能及主要工作</w:t>
      </w:r>
      <w:bookmarkStart w:id="19" w:name="_Toc15377198"/>
      <w:bookmarkStart w:id="20" w:name="_Toc15378445"/>
      <w:bookmarkEnd w:id="17"/>
      <w:bookmarkEnd w:id="18"/>
    </w:p>
    <w:p>
      <w:pPr>
        <w:pStyle w:val="2"/>
        <w:spacing w:before="0" w:after="0" w:line="240" w:lineRule="auto"/>
        <w:ind w:leftChars="153" w:left="641" w:hangingChars="100" w:hanging="320"/>
        <w:rPr>
          <w:rFonts w:ascii="楷体" w:eastAsia="楷体" w:cs="楷体"/>
          <w:color w:val="000000"/>
        </w:rPr>
      </w:pPr>
      <w:bookmarkStart w:id="21" w:name="_Toc31800"/>
      <w:r>
        <w:rPr>
          <w:rFonts w:ascii="楷体" w:eastAsia="楷体" w:cs="楷体" w:hint="eastAsia"/>
          <w:color w:val="000000"/>
        </w:rPr>
        <w:t>（一）主要职能</w:t>
      </w:r>
      <w:bookmarkStart w:id="22" w:name="_Toc15377199"/>
      <w:bookmarkStart w:id="23" w:name="_Toc15378446"/>
      <w:bookmarkEnd w:id="19"/>
      <w:bookmarkEnd w:id="20"/>
      <w:bookmarkEnd w:id="21"/>
    </w:p>
    <w:p>
      <w:pPr>
        <w:snapToGrid w:val="0"/>
        <w:spacing w:line="360" w:lineRule="auto"/>
        <w:ind w:firstLineChars="200" w:firstLine="640"/>
        <w:outlineLvl w:val="1"/>
        <w:rPr>
          <w:rFonts w:ascii="仿宋_GB2312" w:eastAsia="仿宋_GB2312" w:cs="仿宋_GB2312"/>
          <w:sz w:val="32"/>
          <w:szCs w:val="32"/>
        </w:rPr>
      </w:pPr>
      <w:bookmarkStart w:id="24"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卡撒发展的新局面。</w:t>
      </w:r>
      <w:bookmarkEnd w:id="24"/>
    </w:p>
    <w:p>
      <w:pPr>
        <w:pStyle w:val="2"/>
        <w:spacing w:before="0" w:after="0" w:line="240" w:lineRule="auto"/>
        <w:ind w:firstLineChars="100" w:firstLine="320"/>
        <w:rPr>
          <w:rFonts w:ascii="楷体" w:eastAsia="楷体" w:cs="楷体"/>
          <w:color w:val="000000"/>
        </w:rPr>
      </w:pPr>
      <w:bookmarkStart w:id="25" w:name="_Toc21487"/>
      <w:r>
        <w:rPr>
          <w:rFonts w:ascii="楷体" w:eastAsia="楷体" w:cs="楷体" w:hint="eastAsia"/>
          <w:color w:val="000000"/>
        </w:rPr>
        <w:t>（二）</w:t>
      </w:r>
      <w:r>
        <w:rPr>
          <w:rFonts w:ascii="楷体" w:eastAsia="楷体" w:cs="楷体"/>
          <w:color w:val="000000"/>
        </w:rPr>
        <w:t>202</w:t>
      </w:r>
      <w:r>
        <w:rPr>
          <w:rFonts w:ascii="楷体" w:eastAsia="楷体" w:cs="楷体" w:hint="eastAsia"/>
          <w:color w:val="000000"/>
        </w:rPr>
        <w:t>1年重点工作完成情况</w:t>
      </w:r>
      <w:bookmarkEnd w:id="22"/>
      <w:bookmarkEnd w:id="23"/>
      <w:bookmarkEnd w:id="25"/>
    </w:p>
    <w:p>
      <w:pPr>
        <w:spacing w:line="560" w:lineRule="exact"/>
        <w:ind w:firstLineChars="200" w:firstLine="640"/>
        <w:rPr>
          <w:rFonts w:ascii="仿宋_GB2312" w:eastAsia="仿宋_GB2312" w:cs="??_GB2312" w:hint="eastAsia"/>
          <w:sz w:val="32"/>
          <w:szCs w:val="32"/>
          <w:shd w:val="clear" w:color="auto" w:fill="FFFFFF"/>
        </w:rPr>
      </w:pPr>
      <w:bookmarkStart w:id="26" w:name="_Toc15377200"/>
      <w:r>
        <w:rPr>
          <w:rFonts w:ascii="仿宋_GB2312" w:eastAsia="仿宋_GB2312" w:cs="??_GB2312" w:hint="eastAsia"/>
          <w:sz w:val="32"/>
          <w:szCs w:val="32"/>
          <w:shd w:val="clear" w:color="auto" w:fill="FFFFFF"/>
        </w:rPr>
        <w:t>在县委、县政府和镇党委的坚强领导下，镇人民政府</w:t>
      </w:r>
      <w:r>
        <w:rPr>
          <w:rFonts w:eastAsia="仿宋_GB2312" w:hint="eastAsia"/>
          <w:sz w:val="32"/>
          <w:szCs w:val="32"/>
          <w:shd w:val="clear" w:color="auto" w:fill="FFFFFF"/>
        </w:rPr>
        <w:t>坚持以习近平新时代中国特色社会主义思想为指导</w:t>
      </w:r>
      <w:r>
        <w:rPr>
          <w:rFonts w:ascii="仿宋" w:eastAsia="仿宋" w:cs="??_GB2312" w:hint="eastAsia"/>
          <w:sz w:val="32"/>
          <w:szCs w:val="32"/>
          <w:shd w:val="clear" w:color="auto" w:fill="FFFFFF"/>
        </w:rPr>
        <w:t>，</w:t>
      </w:r>
      <w:r>
        <w:rPr>
          <w:rFonts w:ascii="仿宋_GB2312" w:eastAsia="仿宋_GB2312" w:cs="??_GB2312" w:hint="eastAsia"/>
          <w:sz w:val="32"/>
          <w:szCs w:val="32"/>
          <w:shd w:val="clear" w:color="auto" w:fill="FFFFFF"/>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镇呈现出经济持续稳定发展、民生持续改善、社会和谐稳定、干群奋发有为的良好局面。</w:t>
      </w:r>
    </w:p>
    <w:p>
      <w:pPr>
        <w:spacing w:line="560" w:lineRule="exact"/>
        <w:ind w:firstLineChars="200" w:firstLine="640"/>
        <w:rPr>
          <w:rFonts w:ascii="仿宋_GB2312" w:eastAsia="仿宋_GB2312" w:cs="??_GB2312"/>
          <w:sz w:val="32"/>
          <w:szCs w:val="32"/>
          <w:shd w:val="clear" w:color="auto" w:fill="FFFFFF"/>
        </w:rPr>
      </w:pPr>
      <w:r>
        <w:rPr>
          <w:rFonts w:ascii="仿宋_GB2312" w:eastAsia="仿宋_GB2312" w:cs="??_GB2312" w:hint="eastAsia"/>
          <w:sz w:val="32"/>
          <w:szCs w:val="32"/>
          <w:shd w:val="clear" w:color="auto" w:fill="FFFFFF"/>
        </w:rPr>
        <w:t>一是紧紧围绕影响经济发展和社会稳定的源头性、苗头性、基础性问题，突出重点、综合施策，进一步优化社会环境，促进社会和谐稳定。</w:t>
      </w:r>
    </w:p>
    <w:p>
      <w:pPr>
        <w:spacing w:line="560" w:lineRule="exact"/>
        <w:ind w:firstLineChars="200" w:firstLine="640"/>
        <w:rPr>
          <w:rFonts w:eastAsia="仿宋_GB2312"/>
          <w:sz w:val="32"/>
          <w:szCs w:val="32"/>
          <w:shd w:val="clear" w:color="auto" w:fill="FFFFFF"/>
        </w:rPr>
      </w:pPr>
      <w:r>
        <w:rPr>
          <w:rFonts w:ascii="仿宋_GB2312" w:eastAsia="仿宋_GB2312" w:cs="??_GB2312" w:hint="eastAsia"/>
          <w:sz w:val="32"/>
          <w:szCs w:val="32"/>
          <w:shd w:val="clear" w:color="auto" w:fill="FFFFFF"/>
        </w:rPr>
        <w:t>二是</w:t>
      </w:r>
      <w:r>
        <w:rPr>
          <w:rFonts w:eastAsia="仿宋_GB2312" w:hint="eastAsia"/>
          <w:sz w:val="32"/>
          <w:szCs w:val="32"/>
          <w:shd w:val="clear" w:color="auto" w:fill="FFFFFF"/>
        </w:rPr>
        <w:t>自新冠疫情发生以来，全镇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spacing w:line="560" w:lineRule="exact"/>
        <w:ind w:firstLineChars="200" w:firstLine="640"/>
        <w:rPr>
          <w:rFonts w:ascii="仿宋_GB2312" w:eastAsia="仿宋_GB2312" w:cs="??_GB2312"/>
          <w:sz w:val="32"/>
          <w:szCs w:val="32"/>
          <w:shd w:val="clear" w:color="auto" w:fill="FFFFFF"/>
        </w:rPr>
      </w:pPr>
      <w:r>
        <w:rPr>
          <w:rFonts w:eastAsia="仿宋_GB2312" w:hint="eastAsia"/>
          <w:sz w:val="32"/>
          <w:szCs w:val="32"/>
          <w:shd w:val="clear" w:color="auto" w:fill="FFFFFF"/>
        </w:rPr>
        <w:t>三是</w:t>
      </w:r>
      <w:r>
        <w:rPr>
          <w:rFonts w:ascii="仿宋_GB2312" w:eastAsia="仿宋_GB2312" w:cs="??_GB2312" w:hint="eastAsia"/>
          <w:sz w:val="32"/>
          <w:szCs w:val="32"/>
          <w:shd w:val="clear" w:color="auto" w:fill="FFFFFF"/>
        </w:rPr>
        <w:t>围绕项目建设主线，着力优化发展环境，下好项目建设“先手棋”</w:t>
      </w:r>
      <w:r>
        <w:rPr>
          <w:rFonts w:ascii="仿宋_GB2312" w:eastAsia="仿宋_GB2312" w:cs="??_GB2312" w:hint="eastAsia"/>
          <w:sz w:val="32"/>
          <w:szCs w:val="32"/>
          <w:shd w:val="clear" w:color="auto" w:fill="FFFFFF"/>
          <w:lang w:eastAsia="zh-CN"/>
        </w:rPr>
        <w:t>，</w:t>
      </w:r>
      <w:r>
        <w:rPr>
          <w:rFonts w:ascii="仿宋_GB2312" w:eastAsia="仿宋_GB2312" w:cs="??_GB2312" w:hint="eastAsia"/>
          <w:sz w:val="32"/>
          <w:szCs w:val="32"/>
          <w:shd w:val="clear" w:color="auto" w:fill="FFFFFF"/>
        </w:rPr>
        <w:t>有力助推经济社会跨越发展。</w:t>
      </w:r>
    </w:p>
    <w:p>
      <w:pPr>
        <w:pStyle w:val="15"/>
        <w:spacing w:line="560" w:lineRule="exact"/>
        <w:ind w:leftChars="0" w:left="0" w:firstLineChars="200" w:firstLine="640"/>
        <w:rPr>
          <w:rFonts w:ascii="仿宋_GB2312" w:eastAsia="仿宋_GB2312" w:cs="仿宋_GB2312"/>
          <w:color w:val="000000"/>
          <w:sz w:val="32"/>
          <w:szCs w:val="32"/>
          <w:shd w:val="clear" w:color="auto" w:fill="FFFFFF"/>
        </w:rPr>
      </w:pPr>
      <w:r>
        <w:rPr>
          <w:rFonts w:ascii="仿宋_GB2312" w:eastAsia="仿宋_GB2312" w:cs="??_GB2312" w:hint="eastAsia"/>
          <w:sz w:val="32"/>
          <w:szCs w:val="32"/>
          <w:shd w:val="clear" w:color="auto" w:fill="FFFFFF"/>
        </w:rPr>
        <w:t>四是</w:t>
      </w:r>
      <w:r>
        <w:rPr>
          <w:rFonts w:ascii="仿宋_GB2312" w:eastAsia="仿宋_GB2312" w:cs="仿宋_GB2312" w:hint="eastAsia"/>
          <w:kern w:val="0"/>
          <w:sz w:val="32"/>
          <w:szCs w:val="32"/>
        </w:rPr>
        <w:t>始终坚持以习近平生态文明思想为指引，认真践行“绿水青山就是金山银山</w:t>
      </w:r>
      <w:r>
        <w:rPr>
          <w:rFonts w:ascii="仿宋_GB2312" w:eastAsia="仿宋_GB2312" w:cs="仿宋_GB2312" w:hint="eastAsia"/>
          <w:color w:val="000000"/>
          <w:sz w:val="32"/>
          <w:szCs w:val="32"/>
          <w:shd w:val="clear" w:color="auto" w:fill="FFFFFF"/>
        </w:rPr>
        <w:t>”“重在保护、要在治理、高质量发展”理念，切实把生态环境保护摆在压倒性</w:t>
      </w:r>
      <w:r>
        <w:rPr>
          <w:rFonts w:ascii="仿宋_GB2312" w:eastAsia="仿宋_GB2312" w:cs="??_GB2312" w:hint="eastAsia"/>
          <w:sz w:val="32"/>
          <w:szCs w:val="32"/>
          <w:shd w:val="clear" w:color="auto" w:fill="FFFFFF"/>
        </w:rPr>
        <w:t>位置</w:t>
      </w:r>
      <w:r>
        <w:rPr>
          <w:rFonts w:ascii="仿宋_GB2312" w:eastAsia="仿宋_GB2312" w:cs="仿宋_GB2312" w:hint="eastAsia"/>
          <w:color w:val="000000"/>
          <w:sz w:val="32"/>
          <w:szCs w:val="32"/>
          <w:shd w:val="clear" w:color="auto" w:fill="FFFFFF"/>
        </w:rPr>
        <w:t>，共抓大保护、不搞大开发。</w:t>
      </w:r>
    </w:p>
    <w:p>
      <w:pPr>
        <w:spacing w:line="578" w:lineRule="exact"/>
        <w:ind w:firstLineChars="200" w:firstLine="640"/>
        <w:rPr>
          <w:rStyle w:val="2Char"/>
          <w:b w:val="0"/>
          <w:bCs w:val="0"/>
        </w:rPr>
      </w:pPr>
      <w:bookmarkStart w:id="27" w:name="_Toc15978"/>
      <w:r>
        <w:rPr>
          <w:rStyle w:val="2Char"/>
          <w:rFonts w:ascii="黑体" w:eastAsia="黑体" w:hint="eastAsia"/>
          <w:b w:val="0"/>
          <w:bCs w:val="0"/>
        </w:rPr>
        <w:t>二、机构设置</w:t>
      </w:r>
      <w:bookmarkEnd w:id="26"/>
    </w:p>
    <w:p>
      <w:pPr>
        <w:snapToGrid w:val="0"/>
        <w:spacing w:line="560" w:lineRule="exact"/>
        <w:ind w:firstLineChars="200" w:firstLine="640"/>
        <w:rPr>
          <w:rFonts w:ascii="仿宋_GB2312" w:eastAsia="仿宋_GB2312" w:cs="仿宋_GB2312"/>
          <w:bCs/>
          <w:sz w:val="32"/>
        </w:rPr>
      </w:pPr>
      <w:bookmarkStart w:id="28" w:name="_Toc15377204"/>
      <w:bookmarkEnd w:id="27"/>
      <w:r>
        <w:rPr>
          <w:rFonts w:ascii="仿宋_GB2312" w:eastAsia="仿宋_GB2312" w:cs="仿宋_GB2312" w:hint="eastAsia"/>
          <w:bCs/>
          <w:sz w:val="32"/>
        </w:rPr>
        <w:t>我镇20</w:t>
      </w:r>
      <w:r>
        <w:rPr>
          <w:rFonts w:ascii="仿宋_GB2312" w:eastAsia="仿宋_GB2312" w:cs="仿宋_GB2312"/>
          <w:bCs/>
          <w:sz w:val="32"/>
        </w:rPr>
        <w:t>2</w:t>
      </w:r>
      <w:r>
        <w:rPr>
          <w:rFonts w:ascii="仿宋_GB2312" w:eastAsia="仿宋_GB2312" w:cs="仿宋_GB2312" w:hint="eastAsia"/>
          <w:bCs/>
          <w:sz w:val="32"/>
        </w:rPr>
        <w:t>1年有4个机构，较上年无变动。我镇本年度年末实有人数为39人，比上年行政人员增加3人，事业人员增加7人，由于编制空缺，有人员新进及调进；年末实有离退休人数为0人，无变动。（行政人员19，机关工勤3人，事业人员17人）。</w:t>
      </w:r>
    </w:p>
    <w:p>
      <w:pPr>
        <w:snapToGrid w:val="0"/>
        <w:spacing w:line="360" w:lineRule="auto"/>
        <w:ind w:firstLineChars="200" w:firstLine="640"/>
        <w:rPr>
          <w:rFonts w:ascii="仿宋_GB2312" w:eastAsia="仿宋_GB2312"/>
          <w:sz w:val="32"/>
          <w:szCs w:val="32"/>
        </w:rPr>
      </w:pPr>
    </w:p>
    <w:p>
      <w:pPr>
        <w:pStyle w:val="1"/>
        <w:ind w:right="440"/>
        <w:jc w:val="right"/>
      </w:pPr>
      <w:bookmarkStart w:id="29"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val="0"/>
          <w:bCs w:val="0"/>
        </w:rPr>
        <w:t>202</w:t>
      </w:r>
      <w:r>
        <w:rPr>
          <w:rStyle w:val="1Char"/>
          <w:rFonts w:ascii="黑体" w:eastAsia="黑体" w:hint="eastAsia"/>
          <w:b w:val="0"/>
          <w:bCs w:val="0"/>
        </w:rPr>
        <w:t>1年度部门决算情况说明</w:t>
      </w:r>
      <w:bookmarkEnd w:id="28"/>
      <w:bookmarkEnd w:id="29"/>
    </w:p>
    <w:p>
      <w:pPr>
        <w:pStyle w:val="31"/>
        <w:numPr>
          <w:ilvl w:val="0"/>
          <w:numId w:val="1"/>
        </w:numPr>
        <w:ind w:left="0" w:firstLineChars="0" w:firstLine="0"/>
        <w:outlineLvl w:val="1"/>
        <w:rPr>
          <w:rStyle w:val="2Char"/>
          <w:rFonts w:ascii="黑体" w:eastAsia="黑体"/>
          <w:b w:val="0"/>
        </w:rPr>
      </w:pPr>
      <w:bookmarkStart w:id="30" w:name="_Toc15377205"/>
      <w:bookmarkStart w:id="31" w:name="_Toc14461"/>
      <w:r>
        <w:rPr>
          <w:rFonts w:ascii="黑体" w:eastAsia="黑体" w:hint="eastAsia"/>
          <w:color w:val="000000"/>
          <w:sz w:val="32"/>
          <w:szCs w:val="32"/>
        </w:rPr>
        <w:t>收</w:t>
      </w:r>
      <w:r>
        <w:rPr>
          <w:rStyle w:val="2Char"/>
          <w:rFonts w:ascii="黑体" w:eastAsia="黑体" w:hint="eastAsia"/>
          <w:b w:val="0"/>
        </w:rPr>
        <w:t>入支出决算总体情况说明</w:t>
      </w:r>
      <w:bookmarkEnd w:id="30"/>
      <w:bookmarkEnd w:id="31"/>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rPr>
        <w:t>1年度总收入</w:t>
      </w:r>
      <w:r>
        <w:rPr>
          <w:rFonts w:ascii="仿宋_GB2312" w:eastAsia="仿宋_GB2312" w:hint="eastAsia"/>
          <w:color w:val="000000"/>
          <w:sz w:val="32"/>
          <w:szCs w:val="32"/>
          <w:shd w:val="clear" w:color="auto" w:fill="FFFFFF"/>
        </w:rPr>
        <w:t>1622.90</w:t>
      </w:r>
      <w:r>
        <w:rPr>
          <w:rFonts w:ascii="仿宋_GB2312" w:eastAsia="仿宋_GB2312" w:hint="eastAsia"/>
          <w:color w:val="000000"/>
          <w:spacing w:val="-2"/>
          <w:sz w:val="32"/>
          <w:szCs w:val="32"/>
        </w:rPr>
        <w:t>万元，较上年收入增加716.09万元，增加78.97%。增加的主要原因是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1年人员增加，工资变动。</w:t>
      </w:r>
    </w:p>
    <w:p>
      <w:pPr>
        <w:snapToGrid w:val="0"/>
        <w:spacing w:line="520" w:lineRule="exact"/>
        <w:ind w:firstLineChars="200" w:firstLine="632"/>
        <w:rPr>
          <w:rFonts w:ascii="仿宋" w:eastAsia="仿宋"/>
          <w:sz w:val="32"/>
          <w:szCs w:val="32"/>
        </w:rPr>
      </w:pPr>
      <w:r>
        <w:rPr>
          <w:rFonts w:ascii="仿宋_GB2312" w:eastAsia="仿宋_GB2312"/>
          <w:spacing w:val="-2"/>
          <w:sz w:val="32"/>
          <w:szCs w:val="32"/>
        </w:rPr>
        <w:t>202</w:t>
      </w:r>
      <w:r>
        <w:rPr>
          <w:rFonts w:ascii="仿宋_GB2312" w:eastAsia="仿宋_GB2312" w:hint="eastAsia"/>
          <w:spacing w:val="-2"/>
          <w:sz w:val="32"/>
          <w:szCs w:val="32"/>
        </w:rPr>
        <w:t>1年总支出1623.53万元，较上年支出增加716万元，增加78.9%。主要原因一是当年部门预算安排项目经费较上年有所增加；二是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308610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2" w:name="_Toc15377206"/>
      <w:r>
        <w:rPr>
          <w:rFonts w:ascii="黑体" w:eastAsia="黑体" w:hint="eastAsia"/>
          <w:color w:val="000000"/>
          <w:sz w:val="32"/>
          <w:szCs w:val="32"/>
        </w:rPr>
        <w:t>二、收入决</w:t>
      </w:r>
      <w:r>
        <w:rPr>
          <w:rStyle w:val="2Char"/>
          <w:rFonts w:ascii="黑体" w:eastAsia="黑体" w:hint="eastAsia"/>
          <w:b w:val="0"/>
        </w:rPr>
        <w:t>算情况说明</w:t>
      </w:r>
      <w:bookmarkEnd w:id="32"/>
    </w:p>
    <w:p>
      <w:pPr>
        <w:spacing w:line="600" w:lineRule="exact"/>
        <w:ind w:firstLineChars="200" w:firstLine="640"/>
        <w:outlineLvl w:val="1"/>
        <w:rPr>
          <w:rFonts w:ascii="仿宋" w:eastAsia="仿宋"/>
          <w:color w:val="000000"/>
          <w:sz w:val="32"/>
          <w:szCs w:val="32"/>
        </w:rPr>
      </w:pPr>
      <w:bookmarkStart w:id="33" w:name="_Toc22912"/>
      <w:r>
        <w:rPr>
          <w:rFonts w:ascii="仿宋" w:eastAsia="仿宋"/>
          <w:color w:val="000000"/>
          <w:sz w:val="32"/>
          <w:szCs w:val="32"/>
        </w:rPr>
        <w:t>202</w:t>
      </w:r>
      <w:r>
        <w:rPr>
          <w:rFonts w:ascii="仿宋" w:eastAsia="仿宋" w:hint="eastAsia"/>
          <w:color w:val="000000"/>
          <w:sz w:val="32"/>
          <w:szCs w:val="32"/>
        </w:rPr>
        <w:t>1年总收入</w:t>
      </w:r>
      <w:r>
        <w:rPr>
          <w:rFonts w:ascii="仿宋_GB2312" w:eastAsia="仿宋" w:hAnsi="仿宋_GB2312" w:hint="eastAsia"/>
          <w:color w:val="000000"/>
          <w:sz w:val="32"/>
          <w:szCs w:val="32"/>
          <w:shd w:val="clear" w:color="auto" w:fill="FFFFFF"/>
        </w:rPr>
        <w:t>1622.9</w:t>
      </w:r>
      <w:r>
        <w:rPr>
          <w:rFonts w:ascii="仿宋" w:eastAsia="仿宋" w:hint="eastAsia"/>
          <w:color w:val="000000"/>
          <w:sz w:val="32"/>
          <w:szCs w:val="32"/>
        </w:rPr>
        <w:t>万元，其中：一般公共预算财政拨款收入</w:t>
      </w:r>
      <w:r>
        <w:rPr>
          <w:rFonts w:ascii="仿宋_GB2312" w:eastAsia="仿宋" w:hAnsi="仿宋_GB2312" w:hint="eastAsia"/>
          <w:color w:val="000000"/>
          <w:sz w:val="32"/>
          <w:szCs w:val="32"/>
          <w:shd w:val="clear" w:color="auto" w:fill="FFFFFF"/>
        </w:rPr>
        <w:t>1622.9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3"/>
    </w:p>
    <w:p>
      <w:pPr>
        <w:spacing w:line="600" w:lineRule="exact"/>
        <w:ind w:firstLineChars="200" w:firstLine="640"/>
        <w:outlineLvl w:val="1"/>
        <w:rPr>
          <w:rStyle w:val="2Char"/>
          <w:rFonts w:ascii="黑体" w:eastAsia="黑体"/>
          <w:b w:val="0"/>
        </w:rPr>
      </w:pPr>
      <w:bookmarkStart w:id="34" w:name="_Toc4194"/>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5" w:name="_Toc15377207"/>
      <w:r>
        <w:rPr>
          <w:rFonts w:ascii="黑体" w:eastAsia="黑体" w:hint="eastAsia"/>
          <w:color w:val="000000"/>
          <w:sz w:val="32"/>
          <w:szCs w:val="32"/>
        </w:rPr>
        <w:t>三、支出决</w:t>
      </w:r>
      <w:r>
        <w:rPr>
          <w:rStyle w:val="2Char"/>
          <w:rFonts w:ascii="黑体" w:eastAsia="黑体" w:hint="eastAsia"/>
          <w:b w:val="0"/>
        </w:rPr>
        <w:t>算情况说明</w:t>
      </w:r>
      <w:bookmarkEnd w:id="34"/>
      <w:bookmarkEnd w:id="35"/>
    </w:p>
    <w:p>
      <w:pPr>
        <w:spacing w:line="600" w:lineRule="exact"/>
        <w:ind w:firstLine="640"/>
        <w:rPr>
          <w:rFonts w:ascii="仿宋" w:eastAsia="仿宋"/>
          <w:color w:val="000000"/>
          <w:sz w:val="32"/>
          <w:szCs w:val="32"/>
        </w:rPr>
      </w:pPr>
      <w:r>
        <w:rPr>
          <w:rFonts w:ascii="仿宋" w:eastAsia="仿宋" w:hint="eastAsia"/>
          <w:color w:val="000000"/>
          <w:sz w:val="32"/>
          <w:szCs w:val="32"/>
        </w:rPr>
        <w:t>2021年本年总支出1623.53万元，其中：基本支出732.97万元，占45.15%；项目支出889.93万元，占54.82%；项目支出结余和结转为0.63万元，占0.03%。</w:t>
      </w:r>
    </w:p>
    <w:p>
      <w:pPr>
        <w:pStyle w:val="15"/>
      </w:pPr>
      <w:r>
        <w:rPr>
          <w:rFonts w:ascii="黑体" w:eastAsia="黑体" w:hint="eastAsia"/>
          <w:color w:val="000000"/>
          <w:sz w:val="32"/>
          <w:szCs w:val="32"/>
        </w:rPr>
        <w:drawing>
          <wp:anchor distT="0" distB="0" distL="114300" distR="114300" simplePos="0" relativeHeight="22" behindDoc="0" locked="0" layoutInCell="1" hidden="0" allowOverlap="1">
            <wp:simplePos x="0" y="0"/>
            <wp:positionH relativeFrom="column">
              <wp:posOffset>-167639</wp:posOffset>
            </wp:positionH>
            <wp:positionV relativeFrom="paragraph">
              <wp:posOffset>501015</wp:posOffset>
            </wp:positionV>
            <wp:extent cx="5373369"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6" w:name="_Toc15377208"/>
      <w:bookmarkStart w:id="37" w:name="_Toc2794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6"/>
      <w:bookmarkEnd w:id="37"/>
    </w:p>
    <w:p>
      <w:pPr>
        <w:snapToGrid w:val="0"/>
        <w:spacing w:line="520" w:lineRule="exact"/>
        <w:ind w:firstLineChars="200" w:firstLine="640"/>
        <w:rPr>
          <w:rFonts w:ascii="仿宋_GB2312" w:eastAsia="仿宋_GB2312"/>
          <w:color w:val="000000"/>
          <w:spacing w:val="-2"/>
          <w:sz w:val="32"/>
          <w:szCs w:val="32"/>
        </w:rPr>
      </w:pPr>
      <w:r>
        <w:rPr>
          <w:rFonts w:ascii="仿宋" w:eastAsia="仿宋"/>
          <w:color w:val="000000"/>
          <w:sz w:val="32"/>
          <w:szCs w:val="32"/>
        </w:rPr>
        <w:t>202</w:t>
      </w:r>
      <w:r>
        <w:rPr>
          <w:rFonts w:ascii="仿宋" w:eastAsia="仿宋" w:hint="eastAsia"/>
          <w:color w:val="000000"/>
          <w:sz w:val="32"/>
          <w:szCs w:val="32"/>
        </w:rPr>
        <w:t>1年财政拨款收入1622.9万元。与2020年相比，一般公共预算财政拨款收入</w:t>
      </w:r>
      <w:r>
        <w:rPr>
          <w:rFonts w:ascii="仿宋_GB2312" w:eastAsia="仿宋_GB2312" w:hint="eastAsia"/>
          <w:color w:val="000000"/>
          <w:spacing w:val="-2"/>
          <w:sz w:val="32"/>
          <w:szCs w:val="32"/>
        </w:rPr>
        <w:t>较上年收入增加716.09万元</w:t>
      </w:r>
      <w:r>
        <w:rPr>
          <w:rFonts w:ascii="仿宋" w:eastAsia="仿宋" w:hint="eastAsia"/>
          <w:color w:val="000000"/>
          <w:sz w:val="32"/>
          <w:szCs w:val="32"/>
        </w:rPr>
        <w:t>，</w:t>
      </w:r>
      <w:r>
        <w:rPr>
          <w:rFonts w:ascii="仿宋_GB2312" w:eastAsia="仿宋_GB2312" w:hint="eastAsia"/>
          <w:color w:val="000000"/>
          <w:spacing w:val="-2"/>
          <w:sz w:val="32"/>
          <w:szCs w:val="32"/>
        </w:rPr>
        <w:t>增加78.97%。增加的主要原因是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1年人员增加，工资变动。</w:t>
      </w:r>
    </w:p>
    <w:p>
      <w:pPr>
        <w:spacing w:line="600" w:lineRule="exact"/>
        <w:ind w:firstLineChars="200" w:firstLine="640"/>
        <w:rPr>
          <w:rFonts w:ascii="仿宋_GB2312" w:eastAsia="仿宋_GB2312"/>
          <w:spacing w:val="-2"/>
          <w:sz w:val="32"/>
          <w:szCs w:val="32"/>
        </w:rPr>
      </w:pPr>
      <w:r>
        <w:rPr>
          <w:rFonts w:ascii="仿宋" w:eastAsia="仿宋" w:hint="eastAsia"/>
          <w:color w:val="000000"/>
          <w:sz w:val="32"/>
          <w:szCs w:val="32"/>
        </w:rPr>
        <w:t>2021年本年总支出1623.53万元</w:t>
      </w:r>
      <w:r>
        <w:rPr>
          <w:rFonts w:ascii="仿宋_GB2312" w:eastAsia="仿宋_GB2312" w:hint="eastAsia"/>
          <w:spacing w:val="-2"/>
          <w:sz w:val="32"/>
          <w:szCs w:val="32"/>
        </w:rPr>
        <w:t>，较上年支出增加716万元，增加78.9%。主要原因一是当年部门预算安排项目经费较上年有所增加；二是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8"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8"/>
    </w:p>
    <w:p>
      <w:pPr>
        <w:spacing w:line="600" w:lineRule="exact"/>
        <w:ind w:firstLineChars="200" w:firstLine="640"/>
        <w:outlineLvl w:val="2"/>
        <w:rPr>
          <w:rFonts w:ascii="仿宋" w:eastAsia="仿宋"/>
          <w:b/>
          <w:color w:val="000000"/>
          <w:sz w:val="32"/>
          <w:szCs w:val="32"/>
        </w:rPr>
      </w:pPr>
      <w:bookmarkStart w:id="39" w:name="_Toc15377210"/>
      <w:r>
        <w:rPr>
          <w:rFonts w:ascii="仿宋" w:eastAsia="仿宋" w:hint="eastAsia"/>
          <w:b/>
          <w:color w:val="000000"/>
          <w:sz w:val="32"/>
          <w:szCs w:val="32"/>
        </w:rPr>
        <w:t>（一）一般公共预算财政拨款支出决算总体情况</w:t>
      </w:r>
      <w:bookmarkEnd w:id="39"/>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rPr>
        <w:t>1年</w:t>
      </w:r>
      <w:r>
        <w:rPr>
          <w:rFonts w:ascii="仿宋_GB2312" w:eastAsia="仿宋_GB2312" w:hint="eastAsia"/>
          <w:spacing w:val="-2"/>
          <w:sz w:val="32"/>
          <w:szCs w:val="32"/>
        </w:rPr>
        <w:t>一般公共预算财政拨款支出1623.53万元，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。与2020年相比，一般公共预算财政拨款</w:t>
      </w:r>
      <w:r>
        <w:rPr>
          <w:rFonts w:ascii="仿宋_GB2312" w:eastAsia="仿宋_GB2312" w:hint="eastAsia"/>
          <w:spacing w:val="-2"/>
          <w:sz w:val="32"/>
          <w:szCs w:val="32"/>
        </w:rPr>
        <w:t>支出较上年支出增加716万元，增加78.9%。主要原因一是当年部门预算安排项目经费较上年有所增加；二是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numPr>
          <w:ilvl w:val="0"/>
          <w:numId w:val="2"/>
        </w:numPr>
        <w:spacing w:line="600" w:lineRule="exact"/>
        <w:ind w:left="0" w:firstLineChars="200" w:firstLine="640"/>
        <w:outlineLvl w:val="2"/>
        <w:rPr>
          <w:rFonts w:ascii="仿宋" w:eastAsia="仿宋"/>
          <w:b/>
          <w:color w:val="000000"/>
          <w:sz w:val="32"/>
          <w:szCs w:val="32"/>
        </w:rPr>
      </w:pPr>
      <w:bookmarkStart w:id="40" w:name="_Toc15377211"/>
      <w:r>
        <w:rPr>
          <w:rFonts w:ascii="仿宋" w:eastAsia="仿宋" w:hint="eastAsia"/>
          <w:b/>
          <w:color w:val="000000"/>
          <w:sz w:val="32"/>
          <w:szCs w:val="32"/>
        </w:rPr>
        <w:t>一般公共预算财政拨款支出决算结构情况</w:t>
      </w:r>
      <w:bookmarkEnd w:id="40"/>
    </w:p>
    <w:p>
      <w:pPr>
        <w:spacing w:line="600" w:lineRule="exact"/>
        <w:ind w:firstLineChars="200" w:firstLine="640"/>
        <w:outlineLvl w:val="2"/>
        <w:rPr>
          <w:rFonts w:ascii="仿宋" w:eastAsia="仿宋"/>
          <w:bCs/>
          <w:color w:val="000000"/>
          <w:sz w:val="32"/>
          <w:szCs w:val="32"/>
        </w:rPr>
      </w:pPr>
      <w:r>
        <w:rPr>
          <w:rFonts w:ascii="仿宋" w:eastAsia="仿宋"/>
          <w:bCs/>
          <w:color w:val="000000"/>
          <w:sz w:val="32"/>
          <w:szCs w:val="32"/>
        </w:rPr>
        <w:t>202</w:t>
      </w:r>
      <w:r>
        <w:rPr>
          <w:rFonts w:ascii="仿宋" w:eastAsia="仿宋" w:hint="eastAsia"/>
          <w:bCs/>
          <w:color w:val="000000"/>
          <w:sz w:val="32"/>
          <w:szCs w:val="32"/>
        </w:rPr>
        <w:t>1年一般公共预算财政拨款支出为1623.53万元。其中：一般公共服务支出为400.85万元，占比24.69%；社会保障和就业支出为84.08万元，占比5.18%；卫生健康支出为34.35万元，占比2.13%；节能环保支出94.32万元，占比5.81%；农林水支出为942.35万元，占比58.05%；灾害防治及应急管理支出2.5万元，占比0.15%；住房保障支出为55.38万元，占比3.41%；其他支出为4.69万元，占比0.29%。</w:t>
      </w:r>
    </w:p>
    <w:p>
      <w:pPr>
        <w:pStyle w:val="15"/>
        <w:rPr>
          <w:rFonts w:ascii="仿宋" w:eastAsia="仿宋"/>
          <w:bCs/>
          <w:color w:val="000000"/>
          <w:sz w:val="32"/>
          <w:szCs w:val="32"/>
        </w:rPr>
      </w:pPr>
      <w:r>
        <w:rPr>
          <w:rFonts w:ascii="仿宋" w:eastAsia="仿宋" w:hint="eastAsia"/>
          <w:bCs/>
          <w:color w:val="000000"/>
          <w:sz w:val="32"/>
          <w:szCs w:val="32"/>
        </w:rPr>
        <w:drawing>
          <wp:inline distT="0" distB="0" distL="114300" distR="114300">
            <wp:extent cx="5079999" cy="3810000"/>
            <wp:effectExtent l="0" t="0" r="0" b="0"/>
            <wp:docPr id="5"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仿宋" w:eastAsia="仿宋"/>
          <w:b/>
          <w:color w:val="000000"/>
          <w:sz w:val="32"/>
          <w:szCs w:val="32"/>
        </w:rPr>
      </w:pPr>
      <w:bookmarkStart w:id="41" w:name="_Toc15378460"/>
      <w:bookmarkStart w:id="42" w:name="_Toc15377444"/>
      <w:bookmarkStart w:id="43" w:name="_Toc15377213"/>
    </w:p>
    <w:p>
      <w:pPr>
        <w:spacing w:line="600" w:lineRule="exact"/>
        <w:ind w:firstLineChars="200" w:firstLine="640"/>
        <w:outlineLvl w:val="2"/>
        <w:rPr>
          <w:rFonts w:ascii="仿宋" w:eastAsia="仿宋"/>
          <w:b/>
          <w:color w:val="000000"/>
          <w:sz w:val="32"/>
          <w:szCs w:val="32"/>
        </w:rPr>
      </w:pPr>
      <w:bookmarkStart w:id="44" w:name="_Toc15377212"/>
      <w:r>
        <w:rPr>
          <w:rFonts w:ascii="仿宋" w:eastAsia="仿宋" w:hint="eastAsia"/>
          <w:b/>
          <w:color w:val="000000"/>
          <w:sz w:val="32"/>
          <w:szCs w:val="32"/>
        </w:rPr>
        <w:t>（三）一般公共预算财政拨款支出决算具体情况</w:t>
      </w:r>
      <w:bookmarkEnd w:id="44"/>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bCs/>
          <w:color w:val="000000"/>
          <w:sz w:val="32"/>
          <w:szCs w:val="32"/>
        </w:rPr>
        <w:t>202</w:t>
      </w:r>
      <w:r>
        <w:rPr>
          <w:rFonts w:ascii="仿宋" w:eastAsia="仿宋" w:hint="eastAsia"/>
          <w:bCs/>
          <w:color w:val="000000"/>
          <w:sz w:val="32"/>
          <w:szCs w:val="32"/>
        </w:rPr>
        <w:t>1年一般公共预算数为689.96万元，支出决算数为1623.53万元，完</w:t>
      </w:r>
      <w:r>
        <w:rPr>
          <w:rStyle w:val="24"/>
          <w:rFonts w:ascii="仿宋" w:eastAsia="仿宋" w:hint="eastAsia"/>
          <w:b w:val="0"/>
          <w:bCs/>
          <w:color w:val="000000"/>
          <w:sz w:val="32"/>
          <w:szCs w:val="32"/>
        </w:rPr>
        <w:t>成预算135.31</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41"/>
      <w:bookmarkEnd w:id="42"/>
      <w:bookmarkEnd w:id="43"/>
    </w:p>
    <w:p>
      <w:pPr>
        <w:spacing w:line="600" w:lineRule="exact"/>
        <w:ind w:firstLineChars="200" w:firstLine="640"/>
        <w:rPr>
          <w:rStyle w:val="24"/>
          <w:rFonts w:ascii="仿宋" w:eastAsia="仿宋"/>
          <w:b w:val="0"/>
          <w:bCs/>
          <w:color w:val="000000"/>
          <w:sz w:val="32"/>
          <w:szCs w:val="32"/>
        </w:rPr>
      </w:pPr>
      <w:bookmarkStart w:id="45" w:name="_Toc15377214"/>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支出决算为367.58万元，完成预算100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一般公共服务（类）党委办公室（室）及相关机构事务（款）一般行政管理事务（项）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支出决算为20.75万元，完成预算100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3.一般公共服务（类）人大事务（款）一般行政管理事务（项）:</w:t>
      </w:r>
      <w:r>
        <w:rPr>
          <w:rStyle w:val="24"/>
          <w:rFonts w:ascii="仿宋" w:eastAsia="仿宋" w:hint="eastAsia"/>
          <w:b w:val="0"/>
          <w:bCs/>
          <w:color w:val="000000"/>
          <w:sz w:val="32"/>
          <w:szCs w:val="32"/>
        </w:rPr>
        <w:t>支出决算为11.02万元，完成预算100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4.一般公共服务（类）人大事务（款）人大会议（项）:</w:t>
      </w:r>
      <w:r>
        <w:rPr>
          <w:rStyle w:val="24"/>
          <w:rFonts w:ascii="仿宋" w:eastAsia="仿宋" w:hint="eastAsia"/>
          <w:b w:val="0"/>
          <w:bCs/>
          <w:color w:val="000000"/>
          <w:sz w:val="32"/>
          <w:szCs w:val="32"/>
        </w:rPr>
        <w:t>支出决算为0.2万元，完成预算100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pStyle w:val="15"/>
        <w:ind w:leftChars="0" w:left="0" w:firstLineChars="200" w:firstLine="640"/>
      </w:pPr>
      <w:r>
        <w:rPr>
          <w:rStyle w:val="24"/>
          <w:rFonts w:ascii="仿宋" w:eastAsia="仿宋" w:hint="eastAsia"/>
          <w:bCs/>
          <w:color w:val="000000"/>
          <w:sz w:val="32"/>
          <w:szCs w:val="32"/>
        </w:rPr>
        <w:t>5.社会保障和就业支出（类）民政管理事务（款）基层政权建设和治理（项）：</w:t>
      </w:r>
      <w:r>
        <w:rPr>
          <w:rStyle w:val="24"/>
          <w:rFonts w:ascii="仿宋" w:eastAsia="仿宋" w:hint="eastAsia"/>
          <w:b w:val="0"/>
          <w:bCs/>
          <w:color w:val="000000"/>
          <w:sz w:val="32"/>
          <w:szCs w:val="32"/>
        </w:rPr>
        <w:t>支出决算为1.15万元，完成预算100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rPr>
        <w:t>6</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支出决算为52.16万元，完成预算100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rPr>
        <w:t>7</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支出决算为24.92万元，完成预算100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rPr>
        <w:t>8.卫生健康支出（类）行政事业单位医疗（款）行政单位医疗（项）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支出决算为25.82万元，完成预算100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rPr>
        <w:t>9.卫生健康支出（类）行政事业单位医疗（款）公务员医疗补助（项）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支出决算为8.53万元，完成预算100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10.住房保障（类）住房改革支出（款）住房公积金（项）：</w:t>
      </w:r>
      <w:r>
        <w:rPr>
          <w:rStyle w:val="24"/>
          <w:rFonts w:ascii="仿宋" w:eastAsia="仿宋" w:hint="eastAsia"/>
          <w:b w:val="0"/>
          <w:bCs/>
          <w:color w:val="000000"/>
          <w:sz w:val="32"/>
          <w:szCs w:val="32"/>
        </w:rPr>
        <w:t>支出决算为55.38万元，完成预算100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11.节能环保支出（类）自然生态保护（款）生态保护（项）：</w:t>
      </w:r>
      <w:r>
        <w:rPr>
          <w:rStyle w:val="24"/>
          <w:rFonts w:ascii="仿宋" w:eastAsia="仿宋" w:hint="eastAsia"/>
          <w:b w:val="0"/>
          <w:bCs/>
          <w:color w:val="000000"/>
          <w:sz w:val="32"/>
          <w:szCs w:val="32"/>
        </w:rPr>
        <w:t>支出决算为94.32万元，完成预算100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12.农林水支出（类）农业农村（款）事业运行（项）：</w:t>
      </w:r>
      <w:r>
        <w:rPr>
          <w:rStyle w:val="24"/>
          <w:rFonts w:ascii="仿宋" w:eastAsia="仿宋" w:hint="eastAsia"/>
          <w:b w:val="0"/>
          <w:bCs/>
          <w:color w:val="000000"/>
          <w:sz w:val="32"/>
          <w:szCs w:val="32"/>
        </w:rPr>
        <w:t>支出决算为942.35万元，完成预算100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，决算数等于预算数。农林水支出（类）农业农村（款）农村道路建设（项）：支出决算为102.56万元，完成预算100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13.农林水支出（类）农村综合改革（款）对村民委员会和党支部的补助（项）：</w:t>
      </w:r>
      <w:r>
        <w:rPr>
          <w:rStyle w:val="24"/>
          <w:rFonts w:ascii="仿宋" w:eastAsia="仿宋" w:hint="eastAsia"/>
          <w:b w:val="0"/>
          <w:bCs/>
          <w:color w:val="000000"/>
          <w:sz w:val="32"/>
          <w:szCs w:val="32"/>
        </w:rPr>
        <w:t>支出决算为148万元，完成预算100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 xml:space="preserve">，决算数等于预算数。       </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14.农林水支出（类）其他农林水支出（款）其他农林水支出（项）：</w:t>
      </w:r>
      <w:r>
        <w:rPr>
          <w:rStyle w:val="24"/>
          <w:rFonts w:ascii="仿宋" w:eastAsia="仿宋" w:hint="eastAsia"/>
          <w:b w:val="0"/>
          <w:bCs/>
          <w:color w:val="000000"/>
          <w:sz w:val="32"/>
          <w:szCs w:val="32"/>
        </w:rPr>
        <w:t>支出决算为15万元，完成预算100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15.灾害防治和应急管理支出（类）自然灾害防治（款）地质灾害防治（项）：</w:t>
      </w:r>
      <w:r>
        <w:rPr>
          <w:rStyle w:val="24"/>
          <w:rFonts w:ascii="仿宋" w:eastAsia="仿宋" w:hint="eastAsia"/>
          <w:b w:val="0"/>
          <w:bCs/>
          <w:color w:val="000000"/>
          <w:sz w:val="32"/>
          <w:szCs w:val="32"/>
        </w:rPr>
        <w:t>支出决算为2.5万元，完成预算100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16.其他支出（类）其他支出（款）其他支出（项）：</w:t>
      </w:r>
      <w:r>
        <w:rPr>
          <w:rStyle w:val="24"/>
          <w:rFonts w:ascii="仿宋" w:eastAsia="仿宋" w:hint="eastAsia"/>
          <w:b w:val="0"/>
          <w:bCs/>
          <w:color w:val="000000"/>
          <w:sz w:val="32"/>
          <w:szCs w:val="32"/>
        </w:rPr>
        <w:t>支出决算为4.69万元，完成预算100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tabs>
          <w:tab w:val="right" w:pos="7663"/>
        </w:tabs>
        <w:spacing w:line="600" w:lineRule="exact"/>
        <w:rPr>
          <w:rStyle w:val="24"/>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5"/>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1年一般公共预算财政拨款支出</w:t>
      </w:r>
      <w:r>
        <w:rPr>
          <w:rFonts w:ascii="仿宋" w:eastAsia="仿宋" w:hint="eastAsia"/>
          <w:bCs/>
          <w:color w:val="000000"/>
          <w:sz w:val="32"/>
          <w:szCs w:val="32"/>
        </w:rPr>
        <w:t>1623.53</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rPr>
      </w:pPr>
      <w:bookmarkStart w:id="46"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732.97万元，基本支出中人员经费支出为535.38万元，主要包括：基本工资132.34万元、津贴补贴167.64万元、奖金10.48万元、绩效工资56.18万元、机关事业单位基本养老保险缴费52.16万元、职业年金缴费24.92万元、其他社会保障缴费1.94万元、住房公积金55.38万元、职工基本医疗保险缴费25.82万元、公务员医疗补助8.53万元、生活补助14.64万元、奖励金140.72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公用经费支出为42.23万元，主要包括：办公费8.62万元、印刷费3.18万元、手续费1万元、电费2万元、邮电费3万元、取暖费1万元、差旅费6万元、劳务费7.32万元、其他交通1万元，公务用车运行维护费10万元。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项目支出890.56万元，主要包括：人大会议费0.2万元，对村干部生活补助支出97.17万元，村级维护费办公费55万元</w:t>
      </w:r>
      <w:r>
        <w:rPr>
          <w:rFonts w:ascii="仿宋_GB2312" w:eastAsia="仿宋_GB2312" w:cs="仿宋_GB2312" w:hint="eastAsia"/>
          <w:color w:val="000000"/>
          <w:sz w:val="32"/>
          <w:szCs w:val="32"/>
        </w:rPr>
        <w:t>（其中公共运行维护费35万元、基层党组织活动经费10万元、办公费10万元）</w:t>
      </w:r>
      <w:r>
        <w:rPr>
          <w:rFonts w:ascii="仿宋_GB2312" w:eastAsia="仿宋_GB2312" w:hint="eastAsia"/>
          <w:color w:val="000000"/>
          <w:sz w:val="32"/>
          <w:szCs w:val="32"/>
        </w:rPr>
        <w:t>，基层政权和社区治理的维修（护）费3.4万元，基层政权和社区治理的劳务费3.6万元，其他文化和旅游支出的办公费2万元，其他文化和旅游支出的印刷费3万元，马奈镇磨子沟河堤建设项目94.32万元，马奈镇水泥桥建设项目102.56万元，马奈镇八角塘村先不冷沟排洪道建设项目15万元，马奈镇卡卡足村甲嫫山庄及附属建设实施项目509.98万元，马奈镇汛期应急抢险资金2.5万元，三老干部生活补助4.06万元，浙江援建资金0.63万元，村干部生活补助93万元。</w:t>
      </w:r>
    </w:p>
    <w:p>
      <w:pPr>
        <w:spacing w:line="600" w:lineRule="exact"/>
        <w:ind w:firstLineChars="200" w:firstLine="640"/>
        <w:outlineLvl w:val="1"/>
        <w:rPr>
          <w:rStyle w:val="2Char"/>
          <w:rFonts w:ascii="黑体" w:eastAsia="黑体"/>
          <w:b w:val="0"/>
        </w:rPr>
      </w:pPr>
      <w:bookmarkStart w:id="47"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6"/>
      <w:bookmarkEnd w:id="47"/>
    </w:p>
    <w:p>
      <w:pPr>
        <w:spacing w:line="600" w:lineRule="exact"/>
        <w:ind w:firstLine="640"/>
        <w:outlineLvl w:val="2"/>
        <w:rPr>
          <w:rFonts w:ascii="仿宋" w:eastAsia="仿宋"/>
          <w:b/>
          <w:color w:val="000000"/>
          <w:sz w:val="32"/>
          <w:szCs w:val="32"/>
        </w:rPr>
      </w:pPr>
      <w:bookmarkStart w:id="48" w:name="_Toc15377216"/>
      <w:r>
        <w:rPr>
          <w:rFonts w:ascii="仿宋" w:eastAsia="仿宋" w:hint="eastAsia"/>
          <w:b/>
          <w:color w:val="000000"/>
          <w:sz w:val="32"/>
          <w:szCs w:val="32"/>
        </w:rPr>
        <w:t>（一）“三公”经费财政拨款支出决算总体情况说明</w:t>
      </w:r>
      <w:bookmarkEnd w:id="48"/>
    </w:p>
    <w:p>
      <w:pPr>
        <w:spacing w:line="600" w:lineRule="exact"/>
        <w:ind w:firstLine="640"/>
        <w:rPr>
          <w:rFonts w:ascii="仿宋" w:eastAsia="仿宋"/>
          <w:color w:val="000000"/>
          <w:sz w:val="32"/>
          <w:szCs w:val="32"/>
        </w:rPr>
      </w:pPr>
      <w:r>
        <w:rPr>
          <w:rFonts w:ascii="仿宋" w:eastAsia="仿宋" w:hint="eastAsia"/>
          <w:color w:val="000000"/>
          <w:sz w:val="32"/>
          <w:szCs w:val="32"/>
          <w:lang w:val="en-US" w:eastAsia="zh-CN"/>
        </w:rPr>
        <w:t>2021年“三公”经费预算10万元，</w:t>
      </w:r>
      <w:r>
        <w:rPr>
          <w:rFonts w:ascii="仿宋" w:eastAsia="仿宋"/>
          <w:color w:val="000000"/>
          <w:sz w:val="32"/>
          <w:szCs w:val="32"/>
        </w:rPr>
        <w:t>202</w:t>
      </w:r>
      <w:r>
        <w:rPr>
          <w:rFonts w:ascii="仿宋" w:eastAsia="仿宋" w:hint="eastAsia"/>
          <w:color w:val="000000"/>
          <w:sz w:val="32"/>
          <w:szCs w:val="32"/>
        </w:rPr>
        <w:t>1年“三公”经费财政拨款支出决算为10万元，完成预算100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9" w:name="_Toc15377217"/>
      <w:r>
        <w:rPr>
          <w:rFonts w:ascii="仿宋" w:eastAsia="仿宋" w:hint="eastAsia"/>
          <w:b/>
          <w:color w:val="000000"/>
          <w:sz w:val="32"/>
          <w:szCs w:val="32"/>
        </w:rPr>
        <w:t>（二）“三公”经费财政拨款支出决算具体情况说明</w:t>
      </w:r>
      <w:bookmarkEnd w:id="49"/>
    </w:p>
    <w:p>
      <w:pPr>
        <w:spacing w:line="600" w:lineRule="exact"/>
        <w:ind w:firstLine="640"/>
        <w:rPr>
          <w:rFonts w:ascii="仿宋_GB2312" w:eastAsia="仿宋_GB2312" w:cs="仿宋"/>
          <w:color w:val="000000"/>
          <w:sz w:val="32"/>
          <w:szCs w:val="32"/>
        </w:rPr>
      </w:pPr>
      <w:r>
        <w:rPr>
          <w:rFonts w:ascii="仿宋" w:eastAsia="仿宋" w:hint="eastAsia"/>
          <w:color w:val="000000"/>
          <w:sz w:val="32"/>
          <w:szCs w:val="32"/>
          <w:lang w:val="en-US" w:eastAsia="zh-CN"/>
        </w:rPr>
        <w:t>2021年“三公”经费预算10万元，</w:t>
      </w:r>
      <w:r>
        <w:rPr>
          <w:rFonts w:ascii="仿宋" w:eastAsia="仿宋"/>
          <w:color w:val="000000"/>
          <w:sz w:val="32"/>
          <w:szCs w:val="32"/>
        </w:rPr>
        <w:t>202</w:t>
      </w:r>
      <w:r>
        <w:rPr>
          <w:rFonts w:ascii="仿宋" w:eastAsia="仿宋" w:hint="eastAsia"/>
          <w:color w:val="000000"/>
          <w:sz w:val="32"/>
          <w:szCs w:val="32"/>
        </w:rPr>
        <w:t>1年“三公”经费财政拨款支出</w:t>
      </w:r>
      <w:r>
        <w:rPr>
          <w:rFonts w:ascii="仿宋" w:eastAsia="仿宋" w:hint="eastAsia"/>
          <w:sz w:val="32"/>
          <w:szCs w:val="32"/>
        </w:rPr>
        <w:t>决算10万元</w:t>
      </w:r>
      <w:r>
        <w:rPr>
          <w:rFonts w:ascii="仿宋" w:eastAsia="仿宋" w:hint="eastAsia"/>
          <w:color w:val="000000"/>
          <w:sz w:val="32"/>
          <w:szCs w:val="32"/>
        </w:rPr>
        <w:t>，其中：公</w:t>
      </w:r>
      <w:r>
        <w:rPr>
          <w:rFonts w:ascii="仿宋_GB2312" w:eastAsia="仿宋_GB2312" w:cs="仿宋" w:hint="eastAsia"/>
          <w:color w:val="000000"/>
          <w:sz w:val="32"/>
          <w:szCs w:val="32"/>
        </w:rPr>
        <w:t>务用车购置及运行维护费支出决算10万元，占100%；</w:t>
      </w:r>
    </w:p>
    <w:p>
      <w:pPr>
        <w:spacing w:line="600" w:lineRule="exact"/>
        <w:ind w:firstLine="640"/>
        <w:rPr>
          <w:rFonts w:ascii="仿宋_GB2312" w:eastAsia="仿宋_GB2312"/>
          <w:b/>
          <w:sz w:val="32"/>
          <w:szCs w:val="32"/>
        </w:rPr>
      </w:pPr>
      <w:r>
        <w:rPr>
          <w:rFonts w:ascii="仿宋_GB2312" w:eastAsia="仿宋_GB2312" w:cs="仿宋" w:hint="eastAsia"/>
          <w:color w:val="000000"/>
          <w:sz w:val="32"/>
          <w:szCs w:val="32"/>
        </w:rPr>
        <w:t>1.公务用车运行维护费支出10万元,完成预算100%。</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20年增加4.8万元，</w:t>
      </w:r>
      <w:r>
        <w:rPr>
          <w:rFonts w:ascii="仿宋_GB2312" w:eastAsia="仿宋_GB2312" w:hint="eastAsia"/>
          <w:sz w:val="32"/>
          <w:szCs w:val="32"/>
        </w:rPr>
        <w:t>上升92.31</w:t>
      </w:r>
      <w:r>
        <w:rPr>
          <w:rFonts w:ascii="仿宋_GB2312" w:eastAsia="仿宋_GB2312"/>
          <w:sz w:val="32"/>
          <w:szCs w:val="32"/>
        </w:rPr>
        <w:t>%</w:t>
      </w:r>
      <w:r>
        <w:rPr>
          <w:rFonts w:ascii="仿宋_GB2312" w:eastAsia="仿宋_GB2312" w:hint="eastAsia"/>
          <w:sz w:val="32"/>
          <w:szCs w:val="32"/>
        </w:rPr>
        <w:t>。</w:t>
      </w:r>
      <w:r>
        <w:rPr>
          <w:rFonts w:ascii="仿宋_GB2312" w:eastAsia="仿宋_GB2312" w:cs="仿宋" w:hint="eastAsia"/>
          <w:color w:val="000000"/>
          <w:sz w:val="32"/>
          <w:szCs w:val="32"/>
        </w:rPr>
        <w:t>增加原因一是机关公务用车保障任务重、保障路程长、保障半径宽，车辆过半老化，维修维护费用高。且上级划拨应急抢险车辆；二是按照藏区提前一年实现基本“脱贫”的工作要求，脱贫攻坚任务繁重，开展脱贫攻坚一线调研和现场指导的次数增多；三是开展“两联一进”群众工作，保障需求持续增加。四是抗击突发自然灾害，处置和查灾救灾的次数增多。</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其中：公务用车购置支出0万元。全年按规定更新购置公务用车0辆。截至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日，共有车辆2辆，其中：干部级领导干部用车0辆、主要领导干部用车0辆、机要通信用车0辆、应急保障用车0辆、执法执勤用车0辆、特种专业技术用车0辆、离退休干部用车0辆、其他用车2辆；</w:t>
      </w:r>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公务用车运行维护费支出10万元。主要用我单位所需的公务用车燃料费、维修费、过路过桥费、保险费等支出。</w:t>
      </w:r>
    </w:p>
    <w:p>
      <w:pPr>
        <w:spacing w:line="560" w:lineRule="exact"/>
        <w:ind w:firstLineChars="200" w:firstLine="640"/>
        <w:rPr>
          <w:rFonts w:ascii="仿宋_GB2312" w:eastAsia="仿宋_GB2312" w:hint="eastAsia"/>
          <w:color w:val="000000"/>
          <w:sz w:val="32"/>
          <w:szCs w:val="32"/>
          <w:lang w:eastAsia="zh-CN"/>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hint="eastAsia"/>
          <w:color w:val="000000"/>
          <w:sz w:val="32"/>
          <w:szCs w:val="32"/>
          <w:lang w:val="en-US" w:eastAsia="zh-CN"/>
        </w:rPr>
        <w:t>2020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无变化。</w:t>
      </w:r>
    </w:p>
    <w:p>
      <w:pPr>
        <w:spacing w:line="560" w:lineRule="exact"/>
        <w:ind w:firstLineChars="200" w:firstLine="640"/>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600" w:lineRule="exact"/>
        <w:ind w:firstLine="640"/>
        <w:outlineLvl w:val="1"/>
        <w:rPr>
          <w:rStyle w:val="2Char"/>
          <w:rFonts w:ascii="黑体" w:eastAsia="黑体"/>
        </w:rPr>
      </w:pPr>
      <w:bookmarkStart w:id="50" w:name="_Toc23573"/>
      <w:bookmarkStart w:id="51"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1年政府性基金预算拨款支出0万元。</w:t>
      </w:r>
    </w:p>
    <w:p>
      <w:pPr>
        <w:numPr>
          <w:ilvl w:val="0"/>
          <w:numId w:val="3"/>
        </w:numPr>
        <w:spacing w:line="600" w:lineRule="exact"/>
        <w:ind w:left="0" w:firstLine="640"/>
        <w:outlineLvl w:val="1"/>
        <w:rPr>
          <w:rStyle w:val="2Char"/>
          <w:rFonts w:ascii="黑体" w:eastAsia="黑体"/>
          <w:b w:val="0"/>
        </w:rPr>
      </w:pPr>
      <w:bookmarkStart w:id="52" w:name="_Toc15377219"/>
      <w:bookmarkStart w:id="53" w:name="_Toc351"/>
      <w:r>
        <w:rPr>
          <w:rStyle w:val="2Char"/>
          <w:rFonts w:ascii="黑体" w:eastAsia="黑体" w:hint="eastAsia"/>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1年国有资本经营预算拨款支出0万元。</w:t>
      </w:r>
    </w:p>
    <w:p>
      <w:pPr>
        <w:pStyle w:val="31"/>
        <w:numPr>
          <w:ilvl w:val="0"/>
          <w:numId w:val="4"/>
        </w:numPr>
        <w:spacing w:line="580" w:lineRule="exact"/>
        <w:ind w:firstLineChars="0"/>
        <w:rPr>
          <w:rStyle w:val="2Char"/>
          <w:rFonts w:ascii="黑体" w:eastAsia="黑体"/>
          <w:b w:val="0"/>
        </w:rPr>
      </w:pPr>
      <w:bookmarkStart w:id="54"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5" w:name="_Toc4523"/>
      <w:bookmarkEnd w:id="54"/>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5"/>
      <w:r>
        <w:rPr>
          <w:rFonts w:ascii="仿宋_GB2312" w:eastAsia="仿宋_GB2312" w:cs="仿宋_GB2312" w:hint="eastAsia"/>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rPr>
        <w:t>1年部门整体支出开展绩效自评，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。本单位还自行组织了4个项目绩效评价，从评价情况来看我单位年初预算项目基本按照绩效目标完成支付，有部分项目结转质保金在下年质保期后进行支付。</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rPr>
        <w:t>1年度部门决算中反映“金川县马奈镇磨子沟河堤建设项目”“春节慰问金</w:t>
      </w:r>
      <w:r>
        <w:rPr>
          <w:rFonts w:ascii="仿宋_GB2312" w:eastAsia="仿宋_GB2312" w:cs="仿宋_GB2312"/>
          <w:sz w:val="32"/>
          <w:szCs w:val="32"/>
        </w:rPr>
        <w:t>”</w:t>
      </w:r>
      <w:r>
        <w:rPr>
          <w:rFonts w:ascii="仿宋_GB2312" w:eastAsia="仿宋_GB2312" w:cs="仿宋_GB2312" w:hint="eastAsia"/>
          <w:sz w:val="32"/>
          <w:szCs w:val="32"/>
        </w:rPr>
        <w:t>“马奈镇水泥桥建设项目”“马奈镇八角塘村先不冷沟排洪道建设项目”“马奈镇卡卡足村甲嫫山庄附属设施建设项目”“马奈镇汛期应急抢险资金”“锅庄传承经费”等15个项目绩效目标实际完成情况。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1.“春节慰问金”运转类项目绩效目标完成情况综述。项目全年预算数1万元，执行数为1万元，完成预算的100%。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bCs/>
                <w:color w:val="000000"/>
                <w:kern w:val="0"/>
                <w:sz w:val="36"/>
                <w:szCs w:val="36"/>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春节慰问金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金川县马奈镇人民政府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保证马奈镇顺利完成春节慰问活动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拨付春节慰问金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春节慰问中资金拨付到位及时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春节慰问过程中所需资金占补助资金比例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全乡职工满意度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numPr>
          <w:ilvl w:val="0"/>
          <w:numId w:val="6"/>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“金川县马奈镇卡卡足村甲嫫山庄及附属设施建设项目”项目绩效目标完成情况综述。项目全年预算数165万元，执行数为510万元，完成预算的100%。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黑体" w:eastAsia="黑体" w:cs="宋体"/>
                <w:bCs/>
                <w:color w:val="000000"/>
                <w:kern w:val="0"/>
                <w:sz w:val="36"/>
                <w:szCs w:val="36"/>
              </w:rPr>
            </w:pPr>
            <w:r>
              <w:rPr>
                <w:rFonts w:ascii="黑体" w:eastAsia="黑体" w:cs="宋体" w:hint="eastAsia"/>
                <w:bCs/>
                <w:color w:val="000000"/>
                <w:kern w:val="0"/>
                <w:sz w:val="36"/>
                <w:szCs w:val="36"/>
              </w:rPr>
              <w:t>项目支出绩效目标完成情况表</w:t>
            </w:r>
          </w:p>
          <w:p>
            <w:pPr>
              <w:pStyle w:val="31"/>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28"/>
                <w:szCs w:val="28"/>
              </w:rPr>
              <w:t>金川县马奈镇卡卡足村甲嫫山庄及附属设施建设项目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金川县马奈镇人民政府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165万元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510万元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165万元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510万元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加大马奈锅庄的保护和宣传，改善民宿风貌，建成马奈镇传统锅庄文化保护区，提高群众生活的幸福感，促进马奈镇经济发展。</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加大马奈锅庄的保护和宣传，改善民俗风貌，建成马奈镇传统锅庄文化保护区，提高群众生活的幸福感，促进马奈镇经济发展。</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民宿改造数量</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民宿改造数量148户</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民宿改造数量148户</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项目工程验收合格率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民宿改造，锅庄文化广场及附属设施建设</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165万元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165万元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当地群众满意度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bl>
    <w:p>
      <w:pPr>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 xml:space="preserve">                                                                                                                                                                     </w:t>
      </w:r>
    </w:p>
    <w:p>
      <w:pPr>
        <w:numPr>
          <w:ilvl w:val="0"/>
          <w:numId w:val="7"/>
        </w:numPr>
        <w:spacing w:line="58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“金川县马奈镇八角塘村先不冷沟排洪道建设项目”项目绩效目标完成情况综述。项目全年预算数15万元，其中部门预算执行数为15万元，完成预算的100%。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 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金川县马奈镇八角塘村先不冷沟排洪道建设项目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金川县马奈镇人民政府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修建排洪道长168米，修建排洪道高3米，修建排洪道宽0.6米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修建排洪道长168米，修建排洪道高3米，修建排洪道宽0.6米</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p>
          <w:p>
            <w:pP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pPr>
            <w:r>
              <w:rPr>
                <w:rFonts w:ascii="宋体" w:cs="宋体" w:hint="eastAsia"/>
                <w:color w:val="000000"/>
                <w:sz w:val="24"/>
              </w:rPr>
              <w:t xml:space="preserve">              修建排洪道</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r>
              <w:rPr>
                <w:rFonts w:ascii="宋体" w:cs="宋体" w:hint="eastAsia"/>
                <w:color w:val="000000"/>
                <w:sz w:val="24"/>
              </w:rPr>
              <w:t>修建排洪道长168米</w:t>
            </w:r>
          </w:p>
          <w:p>
            <w:pPr>
              <w:rPr>
                <w:rFonts w:ascii="宋体" w:cs="宋体"/>
                <w:color w:val="000000"/>
                <w:sz w:val="24"/>
              </w:rPr>
            </w:pPr>
            <w:r>
              <w:rPr>
                <w:rFonts w:ascii="宋体" w:cs="宋体" w:hint="eastAsia"/>
                <w:color w:val="000000"/>
                <w:sz w:val="24"/>
              </w:rPr>
              <w:t>修建排洪道高3米</w:t>
            </w:r>
          </w:p>
          <w:p>
            <w:r>
              <w:rPr>
                <w:rFonts w:ascii="宋体" w:cs="宋体" w:hint="eastAsia"/>
                <w:color w:val="000000"/>
                <w:sz w:val="24"/>
              </w:rPr>
              <w:t>修建排洪道宽0.6米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r>
              <w:rPr>
                <w:rFonts w:ascii="宋体" w:cs="宋体" w:hint="eastAsia"/>
                <w:color w:val="000000"/>
                <w:sz w:val="24"/>
              </w:rPr>
              <w:t>修建排洪道长168米</w:t>
            </w:r>
          </w:p>
          <w:p>
            <w:pPr>
              <w:rPr>
                <w:rFonts w:ascii="宋体" w:cs="宋体"/>
                <w:color w:val="000000"/>
                <w:sz w:val="24"/>
              </w:rPr>
            </w:pPr>
            <w:r>
              <w:rPr>
                <w:rFonts w:ascii="宋体" w:cs="宋体" w:hint="eastAsia"/>
                <w:color w:val="000000"/>
                <w:sz w:val="24"/>
              </w:rPr>
              <w:t>修建排洪道高3米</w:t>
            </w:r>
          </w:p>
          <w:p>
            <w:pPr>
              <w:widowControl/>
              <w:textAlignment w:val="center"/>
              <w:rPr>
                <w:rFonts w:ascii="宋体" w:cs="宋体"/>
                <w:color w:val="000000"/>
                <w:sz w:val="24"/>
              </w:rPr>
            </w:pPr>
            <w:r>
              <w:rPr>
                <w:rFonts w:ascii="宋体" w:cs="宋体" w:hint="eastAsia"/>
                <w:color w:val="000000"/>
                <w:sz w:val="24"/>
              </w:rPr>
              <w:t>修建排洪道宽0.6米</w:t>
            </w:r>
          </w:p>
        </w:tc>
      </w:tr>
      <w:tr>
        <w:trPr>
          <w:trHeight w:val="1042"/>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rPr>
                <w:rFonts w:ascii="宋体" w:cs="宋体"/>
                <w:color w:val="000000"/>
                <w:sz w:val="24"/>
              </w:rPr>
            </w:pPr>
          </w:p>
          <w:p>
            <w:pP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tcPr>
          <w:p>
            <w:pPr>
              <w:ind w:firstLineChars="200" w:firstLine="480"/>
              <w:jc w:val="center"/>
              <w:rPr>
                <w:rFonts w:ascii="宋体" w:cs="宋体"/>
                <w:color w:val="000000"/>
                <w:sz w:val="24"/>
              </w:rPr>
            </w:pPr>
            <w:r>
              <w:rPr>
                <w:rFonts w:ascii="宋体" w:cs="宋体" w:hint="eastAsia"/>
                <w:color w:val="000000"/>
                <w:sz w:val="24"/>
              </w:rPr>
              <w:t xml:space="preserve">              施工时间及使用时间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施工时间大于等于1个月，使用年限大于等于10年</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施工时间大于等于1个月，使用年限大于等于10年</w:t>
            </w:r>
          </w:p>
        </w:tc>
      </w:tr>
      <w:tr>
        <w:trPr>
          <w:trHeight w:val="1050"/>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合理利用成本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15万元</w:t>
            </w:r>
          </w:p>
        </w:tc>
      </w:tr>
      <w:tr>
        <w:trPr>
          <w:trHeight w:val="1050"/>
        </w:trPr>
        <w:tc>
          <w:tcPr>
            <w:tcW w:w="390" w:type="dxa"/>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社会指标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覆盖1个乡镇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覆盖1个乡镇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覆盖1个乡镇</w:t>
            </w:r>
          </w:p>
        </w:tc>
      </w:tr>
      <w:tr>
        <w:trPr>
          <w:trHeight w:val="1050"/>
        </w:trPr>
        <w:tc>
          <w:tcPr>
            <w:tcW w:w="390" w:type="dxa"/>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4 .“金川县马奈镇汛期应急抢险资金”绩效目标完成情况综述。项目全年预算数2.5万元，执行数为2.5万元，完成预算的100%。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金川县马奈镇汛期应急抢险资金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金川县马奈镇人民政府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2.5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2.5万元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2.5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2.5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sz w:val="24"/>
              </w:rPr>
              <w:t>马奈镇汛期应急抢险资金，用于租赁挖掘机对各村道路、河道等进行清理，保障人民群众交通出行安全。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马奈镇汛期应急抢险资金，用于租赁挖掘机对各村道路、河道等进行清理，保障人民群众交通出行安全。</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用于租赁挖掘机对各村道路、河道等进行清理，保障人民群众交通出行安全</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租赁挖掘机费用2.5万元</w:t>
            </w:r>
          </w:p>
          <w:p>
            <w:pPr>
              <w:rPr>
                <w:rFonts w:ascii="宋体" w:cs="宋体"/>
                <w:sz w:val="24"/>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租赁挖掘机费用2.5万元</w:t>
            </w:r>
          </w:p>
          <w:p>
            <w:pPr>
              <w:rPr>
                <w:rFonts w:ascii="宋体" w:cs="宋体"/>
                <w:sz w:val="24"/>
              </w:rPr>
            </w:pP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机械清理方率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保障道路通畅</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≥98%</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≥98%</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rPr>
      </w:pP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5 .“马奈镇水泥桥建设项目”绩效目标完成情况综述。项目全年预算数134万元，执行数为102.56万元，完成预算的76.54%。</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马奈镇水泥桥建设项目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金川县马奈镇人民政府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134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102.56万元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134</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102.56</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sz w:val="24"/>
              </w:rPr>
              <w:t>新祖水泥桥建设长14米，宽4.5米，勐崮水泥桥建设长9米，宽4.5米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新祖水泥桥建设长14米，宽4.5米，勐崮水泥桥建设长9米，宽4.5米</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新祖水泥桥建设长14米，宽4.5米</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color w:val="000000"/>
                <w:sz w:val="24"/>
              </w:rPr>
              <w:t>新祖水泥桥建设长14米，宽4.5米</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color w:val="000000"/>
                <w:sz w:val="24"/>
              </w:rPr>
              <w:t>新祖水泥桥建设长14米，宽4.5米</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方便群众出行</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6 .“马奈镇锅庄传承经费”绩效目标完成情况综述。项目全年预算数5万元，执行数为5万元，完成预算的100%。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马奈镇锅庄传承经费</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金川县马奈镇人民政府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5</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43.5</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sz w:val="24"/>
              </w:rPr>
              <w:t>马奈镇锅庄传承经费</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马奈镇锅庄传承经费</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pPr>
            <w:r>
              <w:rPr>
                <w:rFonts w:hint="eastAsia"/>
              </w:rPr>
              <w:t>办公费、印刷费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ascii="宋体" w:cs="宋体" w:hint="eastAsia"/>
                <w:sz w:val="24"/>
              </w:rPr>
              <w:t>办公费2万元、印刷费3万元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sz w:val="24"/>
              </w:rPr>
            </w:pPr>
            <w:r>
              <w:rPr>
                <w:rFonts w:ascii="宋体" w:cs="宋体" w:hint="eastAsia"/>
                <w:sz w:val="24"/>
              </w:rPr>
              <w:t>公费2万元、印刷费3万元</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锅庄节经费</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5万元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5万元</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传承锅庄文化</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98%</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98%</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7 .“马奈镇磨子沟河堤建设项目”绩效目标完成情况综述。项目全年预算数99万元，执行数为94.32万元，完成预算的99.53%。</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马奈镇磨子沟河堤建设项目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金川县马奈镇人民政府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99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94.32万元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99</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94.32</w:t>
            </w:r>
            <w:r>
              <w:rPr>
                <w:rFonts w:ascii="宋体" w:cs="宋体" w:hint="eastAsia"/>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无</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left"/>
              <w:textAlignment w:val="center"/>
              <w:rPr>
                <w:rFonts w:ascii="宋体" w:cs="宋体"/>
                <w:color w:val="000000"/>
                <w:sz w:val="24"/>
              </w:rPr>
            </w:pPr>
            <w:r>
              <w:rPr>
                <w:rFonts w:ascii="宋体" w:cs="宋体" w:hint="eastAsia"/>
                <w:color w:val="000000"/>
                <w:sz w:val="24"/>
              </w:rPr>
              <w:t>马奈镇磨子沟河堤建设项目，长320米，宽1.5米，高3米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马奈镇磨子沟河堤建设项目，长320米，宽1.5米，高3米</w:t>
            </w:r>
          </w:p>
        </w:tc>
      </w:tr>
      <w:tr>
        <w:trPr>
          <w:trHeight w:val="1042"/>
        </w:trPr>
        <w:tc>
          <w:tcPr>
            <w:tcW w:w="39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长320米，宽1.5米，高3米</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sz w:val="24"/>
              </w:rPr>
              <w:t>103万元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sz w:val="24"/>
              </w:rPr>
            </w:pPr>
            <w:r>
              <w:rPr>
                <w:rFonts w:ascii="宋体" w:cs="宋体" w:hint="eastAsia"/>
                <w:color w:val="000000"/>
                <w:sz w:val="24"/>
              </w:rPr>
              <w:t>103万元</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按时完成率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297"/>
        </w:trPr>
        <w:tc>
          <w:tcPr>
            <w:tcW w:w="390" w:type="dxa"/>
            <w:vMerge/>
            <w:tcBorders>
              <w:left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可持续影响指标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发挥作用周期</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长期</w:t>
            </w:r>
          </w:p>
        </w:tc>
      </w:tr>
      <w:tr>
        <w:trPr>
          <w:trHeight w:val="1050"/>
        </w:trPr>
        <w:tc>
          <w:tcPr>
            <w:tcW w:w="39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群众满意率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pStyle w:val="15"/>
        <w:ind w:leftChars="0" w:left="0" w:firstLineChars="0" w:firstLine="0"/>
      </w:pPr>
    </w:p>
    <w:p>
      <w:pPr>
        <w:spacing w:line="600" w:lineRule="exact"/>
        <w:ind w:firstLineChars="200" w:firstLine="640"/>
        <w:outlineLvl w:val="1"/>
        <w:rPr>
          <w:rStyle w:val="2Char"/>
          <w:rFonts w:ascii="黑体" w:eastAsia="黑体"/>
        </w:rPr>
      </w:pPr>
      <w:bookmarkStart w:id="56" w:name="_Toc30171"/>
      <w:bookmarkStart w:id="57"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6"/>
      <w:bookmarkEnd w:id="57"/>
    </w:p>
    <w:p>
      <w:pPr>
        <w:spacing w:line="600" w:lineRule="exact"/>
        <w:ind w:firstLineChars="200" w:firstLine="640"/>
        <w:outlineLvl w:val="2"/>
        <w:rPr>
          <w:rFonts w:ascii="仿宋" w:eastAsia="仿宋"/>
          <w:color w:val="000000"/>
          <w:sz w:val="32"/>
          <w:szCs w:val="32"/>
        </w:rPr>
      </w:pPr>
      <w:bookmarkStart w:id="58" w:name="_Toc15377222"/>
      <w:r>
        <w:rPr>
          <w:rFonts w:ascii="仿宋" w:eastAsia="仿宋" w:hint="eastAsia"/>
          <w:b/>
          <w:color w:val="000000"/>
          <w:sz w:val="32"/>
          <w:szCs w:val="32"/>
        </w:rPr>
        <w:t>（一）机关运行经费支出情况</w:t>
      </w:r>
      <w:bookmarkEnd w:id="58"/>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202</w:t>
      </w:r>
      <w:r>
        <w:rPr>
          <w:rFonts w:ascii="仿宋_GB2312" w:eastAsia="仿宋_GB2312" w:hint="eastAsia"/>
          <w:color w:val="000000"/>
          <w:sz w:val="32"/>
          <w:szCs w:val="32"/>
        </w:rPr>
        <w:t>1年，马奈镇人民政府运行经费支出0万元</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9" w:name="_Toc15377224"/>
      <w:r>
        <w:rPr>
          <w:rFonts w:ascii="仿宋" w:eastAsia="仿宋" w:hint="eastAsia"/>
          <w:b/>
          <w:color w:val="000000"/>
          <w:sz w:val="32"/>
          <w:szCs w:val="32"/>
        </w:rPr>
        <w:t>（二）国有资产占有使用情况</w:t>
      </w:r>
      <w:bookmarkEnd w:id="59"/>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日，共有车辆2辆，为日常工作及应急保障用车。</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widowControl/>
        <w:tabs>
          <w:tab w:val="left" w:pos="0"/>
        </w:tabs>
        <w:ind w:leftChars="200" w:left="420" w:firstLineChars="100" w:firstLine="320"/>
        <w:jc w:val="left"/>
        <w:rPr>
          <w:rFonts w:ascii="仿宋_GB2312" w:eastAsia="仿宋_GB2312"/>
          <w:color w:val="000000"/>
          <w:sz w:val="32"/>
          <w:szCs w:val="32"/>
        </w:rPr>
      </w:pPr>
      <w:r>
        <w:rPr>
          <w:rFonts w:ascii="仿宋_GB2312" w:eastAsia="仿宋_GB2312" w:hint="eastAsia"/>
          <w:color w:val="000000"/>
          <w:sz w:val="32"/>
          <w:szCs w:val="32"/>
        </w:rPr>
        <w:t>无政府采购支出。</w:t>
      </w: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8"/>
        </w:numPr>
        <w:spacing w:line="600" w:lineRule="exact"/>
        <w:ind w:left="0" w:firstLineChars="150" w:firstLine="660"/>
        <w:jc w:val="center"/>
        <w:outlineLvl w:val="0"/>
        <w:rPr>
          <w:rStyle w:val="1Char"/>
          <w:rFonts w:ascii="黑体" w:eastAsia="黑体"/>
          <w:b w:val="0"/>
        </w:rPr>
      </w:pPr>
      <w:bookmarkStart w:id="60" w:name="_Toc15377225"/>
      <w:bookmarkStart w:id="61" w:name="_Toc30760"/>
      <w:r>
        <w:rPr>
          <w:rFonts w:ascii="黑体" w:eastAsia="黑体" w:hint="eastAsia"/>
          <w:b/>
          <w:color w:val="000000"/>
          <w:sz w:val="44"/>
          <w:szCs w:val="44"/>
        </w:rPr>
        <w:t>名</w:t>
      </w:r>
      <w:r>
        <w:rPr>
          <w:rStyle w:val="1Char"/>
          <w:rFonts w:ascii="黑体" w:eastAsia="黑体" w:hint="eastAsia"/>
          <w:b w:val="0"/>
        </w:rPr>
        <w:t>词解释</w:t>
      </w:r>
      <w:bookmarkEnd w:id="60"/>
      <w:bookmarkEnd w:id="61"/>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2" w:name="_Toc15396614"/>
      <w:bookmarkStart w:id="63" w:name="_Toc15377226"/>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outlineLvl w:val="0"/>
        <w:rPr>
          <w:rFonts w:ascii="黑体" w:eastAsia="黑体"/>
          <w:color w:val="000000"/>
          <w:sz w:val="44"/>
          <w:szCs w:val="44"/>
        </w:rPr>
      </w:pPr>
      <w:bookmarkStart w:id="64" w:name="_Toc15396619"/>
      <w:bookmarkStart w:id="65" w:name="_Toc15396618"/>
      <w:bookmarkEnd w:id="62"/>
      <w:bookmarkEnd w:id="63"/>
    </w:p>
    <w:p>
      <w:pPr>
        <w:pStyle w:val="2"/>
        <w:rPr>
          <w:rFonts w:ascii="仿宋" w:eastAsia="仿宋" w:hint="eastAsia"/>
          <w:color w:val="000000"/>
          <w:lang w:eastAsia="zh-CN"/>
        </w:rPr>
      </w:pPr>
      <w:bookmarkEnd w:id="64"/>
      <w:bookmarkEnd w:id="65"/>
    </w:p>
    <w:p>
      <w:pPr>
        <w:rPr>
          <w:rFonts w:ascii="仿宋" w:eastAsia="仿宋" w:hint="eastAsia"/>
          <w:color w:val="000000"/>
          <w:lang w:eastAsia="zh-CN"/>
        </w:rPr>
      </w:pPr>
    </w:p>
    <w:p>
      <w:pPr>
        <w:rPr>
          <w:rFonts w:hint="eastAsia"/>
          <w:lang w:eastAsia="zh-CN"/>
        </w:rPr>
      </w:pPr>
    </w:p>
    <w:p>
      <w:pPr>
        <w:pStyle w:val="2"/>
        <w:ind w:firstLineChars="950" w:firstLine="3040"/>
        <w:rPr>
          <w:rFonts w:ascii="仿宋" w:eastAsia="仿宋"/>
          <w:color w:val="000000"/>
          <w:lang w:eastAsia="zh-CN"/>
        </w:rPr>
      </w:pPr>
      <w:r>
        <w:rPr>
          <w:rFonts w:ascii="仿宋" w:eastAsia="仿宋"/>
          <w:color w:val="000000"/>
          <w:lang w:eastAsia="zh-CN"/>
        </w:rPr>
        <w:t>第四部分</w:t>
      </w:r>
    </w:p>
    <w:p>
      <w:pPr>
        <w:pStyle w:val="2"/>
        <w:rPr>
          <w:rFonts w:ascii="仿宋" w:eastAsia="仿宋" w:hint="eastAsia"/>
          <w:color w:val="000000"/>
          <w:lang w:eastAsia="zh-CN"/>
        </w:rPr>
      </w:pPr>
      <w:r>
        <w:rPr>
          <w:rFonts w:ascii="仿宋" w:eastAsia="仿宋" w:hint="eastAsia"/>
          <w:color w:val="000000"/>
          <w:lang w:eastAsia="zh-CN"/>
        </w:rPr>
        <w:t>附件</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金川县</w:t>
      </w:r>
      <w:r>
        <w:rPr>
          <w:rFonts w:ascii="方正小标宋简体" w:eastAsia="方正小标宋简体" w:cs="方正小标宋简体" w:hint="eastAsia"/>
          <w:b/>
          <w:spacing w:val="34"/>
          <w:sz w:val="44"/>
          <w:szCs w:val="44"/>
          <w:shd w:val="clear" w:color="auto" w:fill="FFFFFF"/>
          <w:lang w:eastAsia="zh-CN"/>
        </w:rPr>
        <w:t>马奈镇</w:t>
      </w:r>
      <w:r>
        <w:rPr>
          <w:rFonts w:ascii="方正小标宋简体" w:eastAsia="方正小标宋简体" w:cs="方正小标宋简体" w:hint="eastAsia"/>
          <w:b/>
          <w:spacing w:val="34"/>
          <w:sz w:val="44"/>
          <w:szCs w:val="44"/>
          <w:shd w:val="clear" w:color="auto" w:fill="FFFFFF"/>
        </w:rPr>
        <w:t>人民政府</w:t>
      </w:r>
    </w:p>
    <w:p>
      <w:pPr>
        <w:widowControl/>
        <w:spacing w:line="360" w:lineRule="auto"/>
        <w:contextualSpacing/>
        <w:jc w:val="center"/>
        <w:rPr>
          <w:rFonts w:ascii="方正小标宋简体" w:eastAsia="方正小标宋简体" w:cs="方正小标宋简体" w:hint="eastAsia"/>
          <w:b/>
          <w:spacing w:val="34"/>
          <w:sz w:val="44"/>
          <w:szCs w:val="44"/>
          <w:shd w:val="clear" w:color="auto" w:fill="FFFFFF"/>
        </w:rPr>
      </w:pPr>
      <w:r>
        <w:rPr>
          <w:rFonts w:ascii="方正小标宋简体" w:eastAsia="方正小标宋简体" w:cs="方正小标宋简体" w:hint="eastAsia"/>
          <w:b/>
          <w:spacing w:val="34"/>
          <w:sz w:val="44"/>
          <w:szCs w:val="44"/>
          <w:shd w:val="clear" w:color="auto" w:fill="FFFFFF"/>
        </w:rPr>
        <w:t>2022年部门整体支出绩效</w:t>
      </w:r>
    </w:p>
    <w:p>
      <w:pPr>
        <w:widowControl/>
        <w:spacing w:line="360" w:lineRule="auto"/>
        <w:contextualSpacing/>
        <w:jc w:val="center"/>
        <w:rPr>
          <w:rFonts w:hint="eastAsia"/>
          <w:sz w:val="13"/>
          <w:szCs w:val="10"/>
        </w:rPr>
      </w:pPr>
      <w:r>
        <w:rPr>
          <w:rFonts w:ascii="方正小标宋简体" w:eastAsia="方正小标宋简体" w:cs="方正小标宋简体" w:hint="eastAsia"/>
          <w:b/>
          <w:spacing w:val="34"/>
          <w:sz w:val="44"/>
          <w:szCs w:val="44"/>
          <w:shd w:val="clear" w:color="auto" w:fill="FFFFFF"/>
        </w:rPr>
        <w:t>评价报告</w:t>
      </w:r>
    </w:p>
    <w:p>
      <w:pPr>
        <w:widowControl/>
        <w:kinsoku w:val="0"/>
        <w:overflowPunct w:val="0"/>
        <w:autoSpaceDE w:val="0"/>
        <w:autoSpaceDN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w:t>
      </w:r>
      <w:r>
        <w:rPr>
          <w:rFonts w:ascii="仿宋" w:eastAsia="仿宋" w:hint="eastAsia"/>
          <w:color w:val="000000"/>
          <w:sz w:val="32"/>
          <w:szCs w:val="32"/>
          <w:lang w:eastAsia="zh-CN"/>
        </w:rPr>
        <w:t>镇</w:t>
      </w:r>
      <w:r>
        <w:rPr>
          <w:rFonts w:ascii="仿宋" w:eastAsia="仿宋" w:hint="eastAsia"/>
          <w:color w:val="000000"/>
          <w:sz w:val="32"/>
          <w:szCs w:val="32"/>
        </w:rPr>
        <w:t>高度重视，庚即成立了绩效评价工作组负责开展2021年财政支出绩效评价。</w:t>
      </w:r>
    </w:p>
    <w:p>
      <w:pPr>
        <w:rPr>
          <w:rFonts w:hint="eastAsia"/>
          <w:lang w:val="zh-CN"/>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48"/>
          <w:lang w:val="zh-CN"/>
        </w:rPr>
      </w:pPr>
      <w:bookmarkStart w:id="66" w:name="_Toc18089"/>
      <w:bookmarkStart w:id="67" w:name="_Toc13478"/>
      <w:bookmarkStart w:id="68" w:name="_Toc20121"/>
      <w:r>
        <w:rPr>
          <w:rFonts w:ascii="黑体" w:eastAsia="黑体" w:cs="黑体" w:hint="eastAsia"/>
          <w:b/>
          <w:bCs/>
          <w:color w:val="000000"/>
          <w:spacing w:val="34"/>
          <w:sz w:val="32"/>
          <w:szCs w:val="48"/>
          <w:lang w:val="zh-CN"/>
        </w:rPr>
        <w:t>一、部门（单位）概况</w:t>
      </w:r>
      <w:bookmarkEnd w:id="66"/>
      <w:bookmarkEnd w:id="67"/>
      <w:bookmarkEnd w:id="68"/>
    </w:p>
    <w:p>
      <w:pPr>
        <w:snapToGrid w:val="0"/>
        <w:spacing w:line="360" w:lineRule="auto"/>
        <w:ind w:firstLineChars="200" w:firstLine="640"/>
        <w:outlineLvl w:val="1"/>
        <w:rPr>
          <w:rFonts w:ascii="仿宋_GB2312" w:eastAsia="仿宋_GB2312" w:hint="eastAsia"/>
          <w:sz w:val="30"/>
          <w:szCs w:val="30"/>
        </w:rPr>
      </w:pPr>
      <w:bookmarkStart w:id="69" w:name="_Toc1399"/>
      <w:bookmarkStart w:id="70" w:name="_Toc30120"/>
      <w:r>
        <w:rPr>
          <w:rFonts w:ascii="楷体" w:eastAsia="楷体" w:cs="楷体" w:hint="eastAsia"/>
          <w:b/>
          <w:bCs/>
          <w:sz w:val="32"/>
          <w:szCs w:val="32"/>
        </w:rPr>
        <w:t>（一）机构和人员情况</w:t>
      </w:r>
      <w:bookmarkEnd w:id="69"/>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rPr>
      </w:pPr>
      <w:r>
        <w:rPr>
          <w:rFonts w:ascii="仿宋" w:eastAsia="仿宋" w:cs="Times New Roman" w:hint="eastAsia"/>
          <w:color w:val="000000"/>
          <w:sz w:val="32"/>
          <w:szCs w:val="32"/>
        </w:rPr>
        <w:t>1、机构情况：我</w:t>
      </w:r>
      <w:r>
        <w:rPr>
          <w:rFonts w:ascii="仿宋" w:eastAsia="仿宋" w:cs="Times New Roman" w:hint="eastAsia"/>
          <w:color w:val="000000"/>
          <w:sz w:val="32"/>
          <w:szCs w:val="32"/>
          <w:lang w:eastAsia="zh-CN"/>
        </w:rPr>
        <w:t>镇</w:t>
      </w:r>
      <w:r>
        <w:rPr>
          <w:rFonts w:ascii="仿宋" w:eastAsia="仿宋" w:cs="Times New Roman" w:hint="eastAsia"/>
          <w:color w:val="000000"/>
          <w:sz w:val="32"/>
          <w:szCs w:val="32"/>
        </w:rPr>
        <w:t>2021年有</w:t>
      </w:r>
      <w:r>
        <w:rPr>
          <w:rFonts w:ascii="仿宋" w:eastAsia="仿宋" w:cs="Times New Roman" w:hint="eastAsia"/>
          <w:color w:val="000000"/>
          <w:sz w:val="32"/>
          <w:szCs w:val="32"/>
          <w:lang w:val="en-US" w:eastAsia="zh-CN"/>
        </w:rPr>
        <w:t>2</w:t>
      </w:r>
      <w:r>
        <w:rPr>
          <w:rFonts w:ascii="仿宋" w:eastAsia="仿宋" w:cs="Times New Roman" w:hint="eastAsia"/>
          <w:color w:val="000000"/>
          <w:sz w:val="32"/>
          <w:szCs w:val="32"/>
        </w:rPr>
        <w:t>个机构，无增减变动。</w:t>
      </w:r>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rPr>
      </w:pPr>
      <w:r>
        <w:rPr>
          <w:rFonts w:ascii="仿宋" w:eastAsia="仿宋" w:cs="Times New Roman" w:hint="eastAsia"/>
          <w:color w:val="000000"/>
          <w:sz w:val="32"/>
          <w:szCs w:val="32"/>
        </w:rPr>
        <w:t>2、人员情况：我</w:t>
      </w:r>
      <w:r>
        <w:rPr>
          <w:rFonts w:ascii="仿宋" w:eastAsia="仿宋" w:cs="Times New Roman" w:hint="eastAsia"/>
          <w:color w:val="000000"/>
          <w:sz w:val="32"/>
          <w:szCs w:val="32"/>
          <w:lang w:eastAsia="zh-CN"/>
        </w:rPr>
        <w:t>镇</w:t>
      </w:r>
      <w:r>
        <w:rPr>
          <w:rFonts w:ascii="仿宋" w:eastAsia="仿宋" w:cs="Times New Roman" w:hint="eastAsia"/>
          <w:color w:val="000000"/>
          <w:sz w:val="32"/>
          <w:szCs w:val="32"/>
        </w:rPr>
        <w:t>2021年年末在职</w:t>
      </w:r>
      <w:r>
        <w:rPr>
          <w:rFonts w:ascii="仿宋" w:eastAsia="仿宋" w:cs="Times New Roman" w:hint="eastAsia"/>
          <w:color w:val="000000"/>
          <w:sz w:val="32"/>
          <w:szCs w:val="32"/>
          <w:lang w:val="en-US" w:eastAsia="zh-CN"/>
        </w:rPr>
        <w:t>39</w:t>
      </w:r>
      <w:r>
        <w:rPr>
          <w:rFonts w:ascii="仿宋" w:eastAsia="仿宋" w:cs="Times New Roman" w:hint="eastAsia"/>
          <w:color w:val="000000"/>
          <w:sz w:val="32"/>
          <w:szCs w:val="32"/>
        </w:rPr>
        <w:t>人，退休</w:t>
      </w:r>
      <w:r>
        <w:rPr>
          <w:rFonts w:ascii="仿宋" w:eastAsia="仿宋" w:cs="Times New Roman" w:hint="eastAsia"/>
          <w:color w:val="000000"/>
          <w:sz w:val="32"/>
          <w:szCs w:val="32"/>
          <w:lang w:val="en-US" w:eastAsia="zh-CN"/>
        </w:rPr>
        <w:t>0</w:t>
      </w:r>
      <w:r>
        <w:rPr>
          <w:rFonts w:ascii="仿宋" w:eastAsia="仿宋" w:cs="Times New Roman" w:hint="eastAsia"/>
          <w:color w:val="000000"/>
          <w:sz w:val="32"/>
          <w:szCs w:val="32"/>
        </w:rPr>
        <w:t>人，遗嘱</w:t>
      </w:r>
      <w:r>
        <w:rPr>
          <w:rFonts w:ascii="仿宋" w:eastAsia="仿宋" w:cs="Times New Roman" w:hint="eastAsia"/>
          <w:color w:val="000000"/>
          <w:sz w:val="32"/>
          <w:szCs w:val="32"/>
          <w:lang w:val="en-US" w:eastAsia="zh-CN"/>
        </w:rPr>
        <w:t>11</w:t>
      </w:r>
      <w:r>
        <w:rPr>
          <w:rFonts w:ascii="仿宋" w:eastAsia="仿宋" w:cs="Times New Roman" w:hint="eastAsia"/>
          <w:color w:val="000000"/>
          <w:sz w:val="32"/>
          <w:szCs w:val="32"/>
        </w:rPr>
        <w:t>人。总编制数</w:t>
      </w:r>
      <w:r>
        <w:rPr>
          <w:rFonts w:ascii="仿宋" w:eastAsia="仿宋" w:cs="Times New Roman" w:hint="eastAsia"/>
          <w:color w:val="000000"/>
          <w:sz w:val="32"/>
          <w:szCs w:val="32"/>
          <w:lang w:val="en-US" w:eastAsia="zh-CN"/>
        </w:rPr>
        <w:t>42</w:t>
      </w:r>
      <w:r>
        <w:rPr>
          <w:rFonts w:ascii="仿宋" w:eastAsia="仿宋" w:cs="Times New Roman" w:hint="eastAsia"/>
          <w:color w:val="000000"/>
          <w:sz w:val="32"/>
          <w:szCs w:val="32"/>
        </w:rPr>
        <w:t>人（其中:行政编制</w:t>
      </w:r>
      <w:r>
        <w:rPr>
          <w:rFonts w:ascii="仿宋" w:eastAsia="仿宋" w:cs="Times New Roman" w:hint="eastAsia"/>
          <w:color w:val="000000"/>
          <w:sz w:val="32"/>
          <w:szCs w:val="32"/>
          <w:lang w:val="en-US" w:eastAsia="zh-CN"/>
        </w:rPr>
        <w:t>21</w:t>
      </w:r>
      <w:r>
        <w:rPr>
          <w:rFonts w:ascii="仿宋" w:eastAsia="仿宋" w:cs="Times New Roman" w:hint="eastAsia"/>
          <w:color w:val="000000"/>
          <w:sz w:val="32"/>
          <w:szCs w:val="32"/>
        </w:rPr>
        <w:t>人，工勤编制</w:t>
      </w:r>
      <w:r>
        <w:rPr>
          <w:rFonts w:ascii="仿宋" w:eastAsia="仿宋" w:cs="Times New Roman" w:hint="eastAsia"/>
          <w:color w:val="000000"/>
          <w:sz w:val="32"/>
          <w:szCs w:val="32"/>
          <w:lang w:val="en-US" w:eastAsia="zh-CN"/>
        </w:rPr>
        <w:t>4</w:t>
      </w:r>
      <w:r>
        <w:rPr>
          <w:rFonts w:ascii="仿宋" w:eastAsia="仿宋" w:cs="Times New Roman" w:hint="eastAsia"/>
          <w:color w:val="000000"/>
          <w:sz w:val="32"/>
          <w:szCs w:val="32"/>
        </w:rPr>
        <w:t>人、事业编制</w:t>
      </w:r>
      <w:r>
        <w:rPr>
          <w:rFonts w:ascii="仿宋" w:eastAsia="仿宋" w:cs="Times New Roman" w:hint="eastAsia"/>
          <w:color w:val="000000"/>
          <w:sz w:val="32"/>
          <w:szCs w:val="32"/>
          <w:lang w:val="en-US" w:eastAsia="zh-CN"/>
        </w:rPr>
        <w:t>17</w:t>
      </w:r>
      <w:r>
        <w:rPr>
          <w:rFonts w:ascii="仿宋" w:eastAsia="仿宋" w:cs="Times New Roman" w:hint="eastAsia"/>
          <w:color w:val="000000"/>
          <w:sz w:val="32"/>
          <w:szCs w:val="32"/>
        </w:rPr>
        <w:t>人）。</w:t>
      </w: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32"/>
          <w:lang w:val="zh-CN"/>
        </w:rPr>
      </w:pPr>
      <w:bookmarkStart w:id="71" w:name="_Toc13280"/>
      <w:bookmarkStart w:id="72" w:name="_Toc3827"/>
      <w:bookmarkStart w:id="73" w:name="_Toc14408"/>
      <w:bookmarkEnd w:id="70"/>
      <w:r>
        <w:rPr>
          <w:rFonts w:ascii="黑体" w:eastAsia="黑体" w:cs="黑体" w:hint="eastAsia"/>
          <w:b/>
          <w:bCs/>
          <w:color w:val="000000"/>
          <w:spacing w:val="34"/>
          <w:sz w:val="32"/>
          <w:szCs w:val="32"/>
          <w:lang w:val="zh-CN"/>
        </w:rPr>
        <w:t>二、部门财政资金收支情况</w:t>
      </w:r>
      <w:bookmarkEnd w:id="71"/>
      <w:bookmarkEnd w:id="72"/>
      <w:bookmarkEnd w:id="73"/>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74" w:name="_Toc912"/>
      <w:r>
        <w:rPr>
          <w:rFonts w:ascii="楷体" w:eastAsia="楷体" w:cs="楷体" w:hint="eastAsia"/>
          <w:b/>
          <w:bCs/>
          <w:color w:val="000000"/>
          <w:spacing w:val="34"/>
          <w:sz w:val="32"/>
          <w:szCs w:val="32"/>
          <w:lang w:val="zh-CN"/>
        </w:rPr>
        <w:t>（一）部门财政资金收入情况</w:t>
      </w:r>
      <w:bookmarkEnd w:id="74"/>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rPr>
      </w:pPr>
      <w:r>
        <w:rPr>
          <w:rFonts w:ascii="仿宋" w:eastAsia="仿宋" w:cs="Times New Roman" w:hint="eastAsia"/>
          <w:color w:val="000000"/>
          <w:sz w:val="32"/>
          <w:szCs w:val="32"/>
        </w:rPr>
        <w:t>2021年度财政拨款收入1622.90万元，上年结转</w:t>
      </w:r>
      <w:r>
        <w:rPr>
          <w:rFonts w:ascii="仿宋" w:eastAsia="仿宋" w:cs="Times New Roman" w:hint="eastAsia"/>
          <w:color w:val="000000"/>
          <w:sz w:val="32"/>
          <w:szCs w:val="32"/>
          <w:lang w:val="en-US" w:eastAsia="zh-CN"/>
        </w:rPr>
        <w:t>0.63</w:t>
      </w:r>
      <w:r>
        <w:rPr>
          <w:rFonts w:ascii="仿宋" w:eastAsia="仿宋" w:cs="Times New Roman" w:hint="eastAsia"/>
          <w:color w:val="000000"/>
          <w:sz w:val="32"/>
          <w:szCs w:val="32"/>
        </w:rPr>
        <w:t xml:space="preserve">万元，其他收入 0万元。相应安排支出预算1623.53万元。 </w:t>
      </w:r>
    </w:p>
    <w:p>
      <w:pPr>
        <w:spacing w:line="600" w:lineRule="exact"/>
        <w:ind w:firstLine="645"/>
        <w:rPr>
          <w:rFonts w:ascii="仿宋_GB2312" w:cs="宋体" w:hAnsi="仿宋_GB2312" w:hint="eastAsia"/>
          <w:color w:val="000000"/>
          <w:spacing w:val="34"/>
          <w:sz w:val="32"/>
          <w:szCs w:val="32"/>
          <w:lang w:val="zh-CN"/>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r>
    </w:p>
    <w:p>
      <w:pPr>
        <w:widowControl/>
        <w:kinsoku w:val="0"/>
        <w:overflowPunct w:val="0"/>
        <w:autoSpaceDE w:val="0"/>
        <w:autoSpaceDN w:val="0"/>
        <w:spacing w:line="576" w:lineRule="exact"/>
        <w:ind w:firstLineChars="200" w:firstLine="556"/>
        <w:jc w:val="left"/>
        <w:rPr>
          <w:rFonts w:ascii="仿宋" w:eastAsia="仿宋" w:cs="Times New Roman" w:hint="eastAsia"/>
          <w:color w:val="000000"/>
          <w:sz w:val="32"/>
          <w:szCs w:val="32"/>
        </w:rPr>
      </w:pPr>
      <w:r>
        <w:rPr>
          <w:rFonts w:ascii="仿宋_GB2312" w:cs="宋体" w:hAnsi="仿宋_GB2312" w:hint="eastAsia"/>
          <w:color w:val="000000"/>
          <w:spacing w:val="34"/>
          <w:szCs w:val="32"/>
          <w:lang w:val="zh-CN"/>
        </w:rPr>
        <w:t>　</w:t>
      </w:r>
      <w:r>
        <w:rPr>
          <w:rFonts w:ascii="仿宋" w:eastAsia="仿宋" w:cs="Times New Roman" w:hint="eastAsia"/>
          <w:color w:val="000000"/>
          <w:sz w:val="32"/>
          <w:szCs w:val="32"/>
          <w:lang w:val="zh-CN"/>
        </w:rPr>
        <w:t xml:space="preserve"> </w:t>
      </w:r>
      <w:r>
        <w:rPr>
          <w:rFonts w:ascii="仿宋" w:eastAsia="仿宋" w:cs="Times New Roman" w:hint="eastAsia"/>
          <w:color w:val="000000"/>
          <w:sz w:val="32"/>
          <w:szCs w:val="32"/>
        </w:rPr>
        <w:t>2021年一般公共预算财政拨款支出1623.53万元</w:t>
      </w:r>
      <w:r>
        <w:rPr>
          <w:rFonts w:ascii="仿宋" w:eastAsia="仿宋" w:cs="Times New Roman" w:hint="eastAsia"/>
          <w:color w:val="000000"/>
          <w:sz w:val="32"/>
          <w:szCs w:val="32"/>
          <w:lang w:eastAsia="zh-CN"/>
        </w:rPr>
        <w:t>，</w:t>
      </w:r>
      <w:r>
        <w:rPr>
          <w:rFonts w:ascii="仿宋" w:eastAsia="仿宋" w:cs="Times New Roman" w:hint="eastAsia"/>
          <w:color w:val="000000"/>
          <w:sz w:val="32"/>
          <w:szCs w:val="32"/>
        </w:rPr>
        <w:t>其中：基本支出732.97万元，基本支出中人员经费支出为535.38万元，主要包括：基本工资132.34万元、津贴补贴167.64万元、奖金10.48万元、绩效工资56.18万元、机关事业单位基本养老保险缴费52.16万元、职业年金缴费24.92万元、其他社会保障缴费1.94万元、住房公积金55.38万元、职工基本医疗保险缴费25.82万元、公务员医疗补助8.53万元、生活补助14.64万元、奖励金140.72万元。</w:t>
      </w:r>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rPr>
      </w:pPr>
      <w:r>
        <w:rPr>
          <w:rFonts w:ascii="仿宋" w:eastAsia="仿宋" w:cs="Times New Roman" w:hint="eastAsia"/>
          <w:color w:val="000000"/>
          <w:sz w:val="32"/>
          <w:szCs w:val="32"/>
        </w:rPr>
        <w:t>公用经费支出为42.23万元，主要包括：办公费8.62万元、印刷费3.18万元、手续费1万元、电费2万元、邮电费3万元、取暖费1万元、差旅费6万元、劳务费7.32万元、其他交通1万元，公务用车运行维护费10万元。</w:t>
      </w:r>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lang w:val="zh-CN"/>
        </w:rPr>
      </w:pPr>
      <w:r>
        <w:rPr>
          <w:rFonts w:ascii="仿宋" w:eastAsia="仿宋" w:cs="Times New Roman" w:hint="eastAsia"/>
          <w:color w:val="000000"/>
          <w:sz w:val="32"/>
          <w:szCs w:val="32"/>
        </w:rPr>
        <w:t>项目支出890.56万元，主要包括：人大会议费0.2万元</w:t>
      </w:r>
      <w:r>
        <w:rPr>
          <w:rFonts w:ascii="仿宋" w:eastAsia="仿宋" w:cs="Times New Roman" w:hint="eastAsia"/>
          <w:color w:val="000000"/>
          <w:sz w:val="32"/>
          <w:szCs w:val="32"/>
          <w:lang w:eastAsia="zh-CN"/>
        </w:rPr>
        <w:t>，</w:t>
      </w:r>
      <w:r>
        <w:rPr>
          <w:rFonts w:ascii="仿宋" w:eastAsia="仿宋" w:cs="Times New Roman" w:hint="eastAsia"/>
          <w:color w:val="000000"/>
          <w:sz w:val="32"/>
          <w:szCs w:val="32"/>
        </w:rPr>
        <w:t>对村干部生活补助支出97.17万元，村级维护费办公费55万元（其中公共运行维护费35万元、基层党组织活动经费10万元、办公费10万元），基层政权和社区治理的维修（护）费3.4万元，基层政权和社区治理的劳务费3.6万元，其他文化和旅游支出的办公费2万元，其他文化和旅游支出的印刷费3万元，马奈镇磨子沟河堤建设项目94.32万元，马奈镇水泥桥建设项目102.56万元，马奈镇八角塘村先不冷沟排洪道建设项目15万元，马奈镇卡卡足村甲嫫山庄及附属建设实施项目509.98万元，马奈镇汛期应急抢险资金2.5万元，三老干部生活补助4.06万元，浙江援建资金0.63万元，村干部生活补助93万元。</w:t>
      </w: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32"/>
          <w:lang w:val="zh-CN"/>
        </w:rPr>
      </w:pPr>
      <w:bookmarkStart w:id="75" w:name="_Toc9555"/>
      <w:bookmarkStart w:id="76" w:name="_Toc31292"/>
      <w:bookmarkStart w:id="77" w:name="_Toc18927"/>
      <w:r>
        <w:rPr>
          <w:rFonts w:ascii="黑体" w:eastAsia="黑体" w:cs="黑体" w:hint="eastAsia"/>
          <w:b/>
          <w:bCs/>
          <w:color w:val="000000"/>
          <w:spacing w:val="34"/>
          <w:sz w:val="32"/>
          <w:szCs w:val="32"/>
          <w:lang w:val="en-US" w:eastAsia="zh-CN"/>
        </w:rPr>
        <w:t>三、</w:t>
      </w:r>
      <w:r>
        <w:rPr>
          <w:rFonts w:ascii="黑体" w:eastAsia="黑体" w:cs="黑体" w:hint="eastAsia"/>
          <w:b/>
          <w:bCs/>
          <w:color w:val="000000"/>
          <w:spacing w:val="34"/>
          <w:sz w:val="32"/>
          <w:szCs w:val="32"/>
          <w:lang w:val="zh-CN"/>
        </w:rPr>
        <w:t>部门整体预算绩效管理情况</w:t>
      </w:r>
      <w:bookmarkEnd w:id="75"/>
      <w:bookmarkEnd w:id="76"/>
      <w:bookmarkEnd w:id="77"/>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78" w:name="_Toc6429"/>
      <w:r>
        <w:rPr>
          <w:rFonts w:ascii="楷体" w:eastAsia="楷体" w:cs="楷体" w:hint="eastAsia"/>
          <w:b/>
          <w:bCs/>
          <w:color w:val="000000"/>
          <w:spacing w:val="34"/>
          <w:sz w:val="32"/>
          <w:szCs w:val="32"/>
          <w:lang w:val="zh-CN"/>
        </w:rPr>
        <w:t>（一）部门预算管理</w:t>
      </w:r>
      <w:bookmarkEnd w:id="78"/>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rPr>
      </w:pPr>
      <w:r>
        <w:rPr>
          <w:rFonts w:ascii="仿宋" w:eastAsia="仿宋" w:cs="Times New Roman" w:hint="eastAsia"/>
          <w:color w:val="000000"/>
          <w:sz w:val="32"/>
          <w:szCs w:val="32"/>
        </w:rPr>
        <w:t>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79" w:name="_Toc22499"/>
      <w:r>
        <w:rPr>
          <w:rFonts w:ascii="楷体" w:eastAsia="楷体" w:cs="楷体" w:hint="eastAsia"/>
          <w:b/>
          <w:bCs/>
          <w:color w:val="000000"/>
          <w:spacing w:val="34"/>
          <w:sz w:val="32"/>
          <w:szCs w:val="32"/>
          <w:lang w:val="zh-CN"/>
        </w:rPr>
        <w:t>（二）执行管理情况</w:t>
      </w:r>
      <w:bookmarkEnd w:id="79"/>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rPr>
      </w:pPr>
      <w:r>
        <w:rPr>
          <w:rFonts w:ascii="仿宋" w:eastAsia="仿宋" w:cs="Times New Roman" w:hint="eastAsia"/>
          <w:color w:val="000000"/>
          <w:sz w:val="32"/>
          <w:szCs w:val="32"/>
        </w:rPr>
        <w:t>三公经费：2021年“三公”经费财政拨款支出决算为</w:t>
      </w:r>
      <w:r>
        <w:rPr>
          <w:rFonts w:ascii="仿宋" w:eastAsia="仿宋" w:cs="Times New Roman" w:hint="eastAsia"/>
          <w:color w:val="000000"/>
          <w:sz w:val="32"/>
          <w:szCs w:val="32"/>
          <w:lang w:val="en-US" w:eastAsia="zh-CN"/>
        </w:rPr>
        <w:t>10</w:t>
      </w:r>
      <w:r>
        <w:rPr>
          <w:rFonts w:ascii="仿宋" w:eastAsia="仿宋" w:cs="Times New Roman" w:hint="eastAsia"/>
          <w:color w:val="000000"/>
          <w:sz w:val="32"/>
          <w:szCs w:val="32"/>
        </w:rPr>
        <w:t>万元（公务用车运行维护费），完成预算100%.</w:t>
      </w:r>
    </w:p>
    <w:p>
      <w:pPr>
        <w:widowControl/>
        <w:kinsoku w:val="0"/>
        <w:overflowPunct w:val="0"/>
        <w:autoSpaceDE w:val="0"/>
        <w:autoSpaceDN w:val="0"/>
        <w:spacing w:line="576" w:lineRule="exact"/>
        <w:ind w:firstLineChars="200" w:firstLine="640"/>
        <w:jc w:val="left"/>
        <w:rPr>
          <w:rFonts w:ascii="仿宋" w:eastAsia="仿宋" w:cs="Times New Roman" w:hint="eastAsia"/>
          <w:color w:val="000000"/>
          <w:sz w:val="32"/>
          <w:szCs w:val="32"/>
        </w:rPr>
      </w:pPr>
      <w:r>
        <w:rPr>
          <w:rFonts w:ascii="仿宋" w:eastAsia="仿宋" w:cs="Times New Roman" w:hint="eastAsia"/>
          <w:color w:val="000000"/>
          <w:sz w:val="32"/>
          <w:szCs w:val="32"/>
        </w:rPr>
        <w:t>2021年“三公”经费预算</w:t>
      </w:r>
      <w:r>
        <w:rPr>
          <w:rFonts w:ascii="仿宋" w:eastAsia="仿宋" w:cs="Times New Roman" w:hint="eastAsia"/>
          <w:color w:val="000000"/>
          <w:sz w:val="32"/>
          <w:szCs w:val="32"/>
          <w:lang w:val="en-US" w:eastAsia="zh-CN"/>
        </w:rPr>
        <w:t>10</w:t>
      </w:r>
      <w:r>
        <w:rPr>
          <w:rFonts w:ascii="仿宋" w:eastAsia="仿宋" w:cs="Times New Roman" w:hint="eastAsia"/>
          <w:color w:val="000000"/>
          <w:sz w:val="32"/>
          <w:szCs w:val="32"/>
        </w:rPr>
        <w:t>万元，其中公务接待费0万元，严格执行厉行节约的要求，认真贯彻落实中央八项规定及省委省政府十项规定要求，严格控制接待规模及接待标准。</w:t>
      </w:r>
    </w:p>
    <w:p>
      <w:pPr>
        <w:widowControl/>
        <w:wordWrap w:val="0"/>
        <w:topLinePunct/>
        <w:adjustRightInd w:val="0"/>
        <w:snapToGrid w:val="0"/>
        <w:ind w:firstLineChars="200" w:firstLine="776"/>
        <w:jc w:val="left"/>
        <w:outlineLvl w:val="2"/>
        <w:rPr>
          <w:rFonts w:ascii="楷体" w:eastAsia="楷体" w:cs="楷体" w:hint="eastAsia"/>
          <w:b/>
          <w:bCs/>
          <w:color w:val="000000"/>
          <w:spacing w:val="34"/>
          <w:sz w:val="32"/>
          <w:szCs w:val="48"/>
          <w:lang w:val="zh-CN"/>
        </w:rPr>
      </w:pPr>
      <w:bookmarkStart w:id="80" w:name="_Toc7445"/>
      <w:r>
        <w:rPr>
          <w:rFonts w:ascii="楷体" w:eastAsia="楷体" w:cs="楷体" w:hint="eastAsia"/>
          <w:b/>
          <w:bCs/>
          <w:color w:val="000000"/>
          <w:spacing w:val="34"/>
          <w:sz w:val="32"/>
          <w:szCs w:val="48"/>
          <w:lang w:val="zh-CN"/>
        </w:rPr>
        <w:t>（三）综合管理情况</w:t>
      </w:r>
      <w:bookmarkEnd w:id="80"/>
    </w:p>
    <w:p>
      <w:pPr>
        <w:widowControl/>
        <w:wordWrap w:val="0"/>
        <w:topLinePunct/>
        <w:adjustRightInd w:val="0"/>
        <w:snapToGrid w:val="0"/>
        <w:spacing w:line="576" w:lineRule="exact"/>
        <w:ind w:firstLineChars="200" w:firstLine="776"/>
        <w:jc w:val="left"/>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cs="Times New Roman" w:hint="eastAsia"/>
          <w:color w:val="000000"/>
          <w:sz w:val="32"/>
          <w:szCs w:val="32"/>
        </w:rPr>
        <w:t>所有国有资产纳</w:t>
      </w:r>
      <w:r>
        <w:rPr>
          <w:rFonts w:ascii="仿宋" w:eastAsia="仿宋" w:hint="eastAsia"/>
          <w:color w:val="000000"/>
          <w:sz w:val="32"/>
          <w:szCs w:val="32"/>
        </w:rPr>
        <w:t>入资产管理系统，及时准确上报并做好资产的管理工作。根据相关要求，单位使用预算资金基本符合相关的预算财务管理制度。我</w:t>
      </w:r>
      <w:r>
        <w:rPr>
          <w:rFonts w:ascii="仿宋" w:eastAsia="仿宋" w:hint="eastAsia"/>
          <w:color w:val="000000"/>
          <w:sz w:val="32"/>
          <w:szCs w:val="32"/>
          <w:lang w:eastAsia="zh-CN"/>
        </w:rPr>
        <w:t>镇</w:t>
      </w:r>
      <w:r>
        <w:rPr>
          <w:rFonts w:ascii="仿宋" w:eastAsia="仿宋" w:hint="eastAsia"/>
          <w:color w:val="000000"/>
          <w:sz w:val="32"/>
          <w:szCs w:val="32"/>
        </w:rPr>
        <w:t>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9"/>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2021年度我</w:t>
      </w:r>
      <w:r>
        <w:rPr>
          <w:rFonts w:ascii="仿宋" w:eastAsia="仿宋" w:hint="eastAsia"/>
          <w:color w:val="000000"/>
          <w:sz w:val="32"/>
          <w:szCs w:val="32"/>
          <w:lang w:eastAsia="zh-CN"/>
        </w:rPr>
        <w:t>镇</w:t>
      </w:r>
      <w:r>
        <w:rPr>
          <w:rFonts w:ascii="仿宋" w:eastAsia="仿宋" w:hint="eastAsia"/>
          <w:color w:val="000000"/>
          <w:sz w:val="32"/>
          <w:szCs w:val="32"/>
        </w:rPr>
        <w:t>债务合计0万元。</w:t>
      </w:r>
    </w:p>
    <w:p>
      <w:pPr>
        <w:widowControl/>
        <w:numPr>
          <w:ilvl w:val="0"/>
          <w:numId w:val="9"/>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2021年度我</w:t>
      </w:r>
      <w:r>
        <w:rPr>
          <w:rFonts w:ascii="仿宋" w:eastAsia="仿宋" w:hint="eastAsia"/>
          <w:color w:val="000000"/>
          <w:sz w:val="32"/>
          <w:szCs w:val="32"/>
          <w:lang w:eastAsia="zh-CN"/>
        </w:rPr>
        <w:t>镇</w:t>
      </w:r>
      <w:r>
        <w:rPr>
          <w:rFonts w:ascii="仿宋" w:eastAsia="仿宋" w:hint="eastAsia"/>
          <w:color w:val="000000"/>
          <w:sz w:val="32"/>
          <w:szCs w:val="32"/>
        </w:rPr>
        <w:t xml:space="preserve">非税收入合计0元，上缴财政0万元。 </w:t>
      </w:r>
    </w:p>
    <w:p>
      <w:pPr>
        <w:widowControl/>
        <w:numPr>
          <w:ilvl w:val="0"/>
          <w:numId w:val="9"/>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2021年未制定年度政府采购计划。</w:t>
      </w:r>
    </w:p>
    <w:p>
      <w:pPr>
        <w:widowControl/>
        <w:numPr>
          <w:ilvl w:val="0"/>
          <w:numId w:val="9"/>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已将国有资产纳入资产信息系统管理，并落实专人负责管理维护系统，资产变动已及时把资产变动情况录入系统</w:t>
      </w:r>
    </w:p>
    <w:p>
      <w:pPr>
        <w:widowControl/>
        <w:wordWrap w:val="0"/>
        <w:topLinePunct/>
        <w:adjustRightInd w:val="0"/>
        <w:snapToGrid w:val="0"/>
        <w:spacing w:line="576" w:lineRule="exact"/>
        <w:ind w:left="840"/>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widowControl/>
        <w:wordWrap w:val="0"/>
        <w:topLinePunct/>
        <w:adjustRightInd w:val="0"/>
        <w:snapToGrid w:val="0"/>
        <w:spacing w:line="576" w:lineRule="exact"/>
        <w:ind w:firstLineChars="200" w:firstLine="776"/>
        <w:jc w:val="left"/>
        <w:rPr>
          <w:rFonts w:ascii="仿宋" w:eastAsia="仿宋" w:hint="eastAsia"/>
          <w:color w:val="000000"/>
          <w:sz w:val="32"/>
          <w:szCs w:val="32"/>
        </w:rPr>
      </w:pPr>
      <w:r>
        <w:rPr>
          <w:rFonts w:ascii="仿宋_GB2312" w:eastAsia="仿宋_GB2312" w:cs="仿宋_GB2312" w:hint="eastAsia"/>
          <w:spacing w:val="34"/>
          <w:sz w:val="32"/>
          <w:szCs w:val="32"/>
          <w:lang w:val="zh-CN"/>
        </w:rPr>
        <w:t xml:space="preserve"> </w:t>
      </w: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2021年的预、决算编制说明、“三公”经费预、决算情况；按县财政要求由县财政统一公开，2022年的预算编制说明、“三公”经费预算情况在政府网站上已公开。</w:t>
      </w:r>
    </w:p>
    <w:p>
      <w:pPr>
        <w:numPr>
          <w:ilvl w:val="0"/>
          <w:numId w:val="5"/>
        </w:numPr>
        <w:spacing w:line="560" w:lineRule="exact"/>
        <w:ind w:left="0" w:firstLine="640"/>
        <w:outlineLvl w:val="2"/>
        <w:rPr>
          <w:rFonts w:ascii="楷体_GB2312" w:eastAsia="楷体_GB2312" w:cs="楷体_GB2312" w:hint="eastAsia"/>
          <w:b/>
          <w:bCs/>
          <w:color w:val="000000"/>
          <w:spacing w:val="34"/>
          <w:sz w:val="32"/>
          <w:szCs w:val="48"/>
          <w:lang w:val="zh-CN"/>
        </w:rPr>
      </w:pPr>
      <w:bookmarkStart w:id="81" w:name="_Toc30116"/>
      <w:r>
        <w:rPr>
          <w:rFonts w:ascii="楷体_GB2312" w:eastAsia="楷体_GB2312" w:cs="楷体_GB2312" w:hint="eastAsia"/>
          <w:b/>
          <w:bCs/>
          <w:color w:val="000000"/>
          <w:spacing w:val="34"/>
          <w:sz w:val="32"/>
          <w:szCs w:val="48"/>
          <w:lang w:val="zh-CN"/>
        </w:rPr>
        <w:t>整体绩效 </w:t>
      </w:r>
      <w:bookmarkEnd w:id="81"/>
    </w:p>
    <w:p>
      <w:pPr>
        <w:tabs>
          <w:tab w:val="left" w:pos="0"/>
        </w:tabs>
        <w:spacing w:line="560" w:lineRule="exact"/>
        <w:ind w:firstLineChars="200" w:firstLine="640"/>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对本部门实施了整体支出绩效评价 ，按照要求向金川县财政局按时报送自评报告，财政资金支出主要用于保障本部门机构正常运转、更好完成各项日常工作，社会群众对我</w:t>
      </w:r>
      <w:r>
        <w:rPr>
          <w:rFonts w:ascii="仿宋" w:eastAsia="仿宋" w:hint="eastAsia"/>
          <w:color w:val="000000"/>
          <w:sz w:val="32"/>
          <w:szCs w:val="32"/>
          <w:lang w:eastAsia="zh-CN"/>
        </w:rPr>
        <w:t>镇</w:t>
      </w:r>
      <w:r>
        <w:rPr>
          <w:rFonts w:ascii="仿宋" w:eastAsia="仿宋" w:hint="eastAsia"/>
          <w:color w:val="000000"/>
          <w:sz w:val="32"/>
          <w:szCs w:val="32"/>
        </w:rPr>
        <w:t>的工作总体较满意。</w:t>
      </w:r>
    </w:p>
    <w:p>
      <w:pPr>
        <w:widowControl/>
        <w:wordWrap w:val="0"/>
        <w:topLinePunct/>
        <w:adjustRightInd w:val="0"/>
        <w:snapToGrid w:val="0"/>
        <w:spacing w:line="576" w:lineRule="exact"/>
        <w:ind w:firstLineChars="200" w:firstLine="776"/>
        <w:jc w:val="left"/>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zh-CN"/>
        </w:rPr>
        <w:t>（二）绩效管理工作开展情况 </w:t>
      </w:r>
    </w:p>
    <w:p>
      <w:pPr>
        <w:widowControl/>
        <w:wordWrap w:val="0"/>
        <w:topLinePunct/>
        <w:adjustRightInd w:val="0"/>
        <w:snapToGrid w:val="0"/>
        <w:spacing w:line="576" w:lineRule="exact"/>
        <w:ind w:firstLineChars="200" w:firstLine="556"/>
        <w:jc w:val="left"/>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根据金财监绩〔2022〕22号文件要求，我</w:t>
      </w:r>
      <w:r>
        <w:rPr>
          <w:rFonts w:ascii="仿宋" w:eastAsia="仿宋" w:hint="eastAsia"/>
          <w:color w:val="000000"/>
          <w:sz w:val="32"/>
          <w:szCs w:val="32"/>
          <w:lang w:eastAsia="zh-CN"/>
        </w:rPr>
        <w:t>镇</w:t>
      </w:r>
      <w:r>
        <w:rPr>
          <w:rFonts w:ascii="仿宋" w:eastAsia="仿宋" w:hint="eastAsia"/>
          <w:color w:val="000000"/>
          <w:sz w:val="32"/>
          <w:szCs w:val="32"/>
        </w:rPr>
        <w:t>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widowControl/>
        <w:wordWrap w:val="0"/>
        <w:topLinePunct/>
        <w:adjustRightInd w:val="0"/>
        <w:snapToGrid w:val="0"/>
        <w:spacing w:line="576" w:lineRule="exact"/>
        <w:ind w:firstLineChars="200" w:firstLine="776"/>
        <w:jc w:val="left"/>
        <w:outlineLvl w:val="1"/>
        <w:rPr>
          <w:rFonts w:ascii="仿宋_GB2312" w:cs="宋体" w:hAnsi="仿宋_GB2312" w:hint="eastAsia"/>
          <w:color w:val="000000"/>
          <w:spacing w:val="34"/>
          <w:sz w:val="32"/>
          <w:szCs w:val="48"/>
          <w:lang w:val="zh-CN"/>
        </w:rPr>
      </w:pPr>
      <w:bookmarkStart w:id="82" w:name="_Toc11636"/>
      <w:bookmarkStart w:id="83" w:name="_Toc21502"/>
      <w:bookmarkStart w:id="84" w:name="_Toc23708"/>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82"/>
      <w:bookmarkEnd w:id="83"/>
      <w:bookmarkEnd w:id="84"/>
    </w:p>
    <w:p>
      <w:pPr>
        <w:snapToGrid w:val="0"/>
        <w:spacing w:line="560" w:lineRule="exact"/>
        <w:ind w:firstLineChars="200" w:firstLine="640"/>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本次自评总分82。</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w:t>
      </w:r>
      <w:r>
        <w:rPr>
          <w:rFonts w:ascii="仿宋" w:eastAsia="仿宋" w:hint="eastAsia"/>
          <w:color w:val="000000"/>
          <w:sz w:val="32"/>
          <w:szCs w:val="32"/>
          <w:lang w:eastAsia="zh-CN"/>
        </w:rPr>
        <w:t>镇</w:t>
      </w:r>
      <w:r>
        <w:rPr>
          <w:rFonts w:ascii="仿宋" w:eastAsia="仿宋" w:hint="eastAsia"/>
          <w:color w:val="000000"/>
          <w:sz w:val="32"/>
          <w:szCs w:val="32"/>
        </w:rPr>
        <w:t>2021年部门支出与年初预算基本一致，达到预期绩效目标。但预算编制还需进一步细化，针对我会预算存在的问题，提出以下建议：</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Chars="200" w:firstLine="640"/>
        <w:jc w:val="left"/>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35"/>
        <w:keepNext w:val="0"/>
        <w:keepLines w:val="0"/>
        <w:pageBreakBefore w:val="0"/>
        <w:widowControl w:val="0"/>
        <w:kinsoku/>
        <w:wordWrap/>
        <w:overflowPunct/>
        <w:topLinePunct w:val="0"/>
        <w:autoSpaceDE/>
        <w:autoSpaceDN/>
        <w:bidi w:val="0"/>
        <w:adjustRightInd/>
        <w:snapToGrid/>
        <w:spacing w:line="360" w:lineRule="auto"/>
        <w:ind w:leftChars="0" w:left="0" w:right="641" w:firstLineChars="0" w:firstLine="0"/>
        <w:jc w:val="right"/>
        <w:textAlignment w:val="auto"/>
        <w:rPr>
          <w:rFonts w:ascii="仿宋" w:eastAsia="仿宋" w:cs="Times New Roman" w:hint="eastAsia"/>
          <w:color w:val="000000"/>
          <w:kern w:val="2"/>
          <w:sz w:val="32"/>
          <w:szCs w:val="32"/>
          <w:lang w:val="en-US" w:eastAsia="zh-CN" w:bidi="ar-SA"/>
        </w:rPr>
      </w:pPr>
    </w:p>
    <w:p>
      <w:pPr>
        <w:pStyle w:val="35"/>
        <w:keepNext w:val="0"/>
        <w:keepLines w:val="0"/>
        <w:pageBreakBefore w:val="0"/>
        <w:widowControl w:val="0"/>
        <w:kinsoku/>
        <w:wordWrap/>
        <w:overflowPunct/>
        <w:topLinePunct w:val="0"/>
        <w:autoSpaceDE/>
        <w:autoSpaceDN/>
        <w:bidi w:val="0"/>
        <w:adjustRightInd/>
        <w:snapToGrid/>
        <w:spacing w:line="360" w:lineRule="auto"/>
        <w:ind w:leftChars="0" w:left="0" w:right="641" w:firstLineChars="0" w:firstLine="0"/>
        <w:jc w:val="right"/>
        <w:textAlignment w:val="auto"/>
        <w:rPr>
          <w:rFonts w:ascii="仿宋" w:eastAsia="仿宋" w:cs="Times New Roman" w:hint="eastAsia"/>
          <w:color w:val="000000"/>
          <w:kern w:val="2"/>
          <w:sz w:val="32"/>
          <w:szCs w:val="32"/>
          <w:lang w:val="en-US" w:eastAsia="zh-CN" w:bidi="ar-SA"/>
        </w:rPr>
      </w:pPr>
    </w:p>
    <w:p>
      <w:pPr>
        <w:pStyle w:val="35"/>
        <w:keepNext w:val="0"/>
        <w:keepLines w:val="0"/>
        <w:pageBreakBefore w:val="0"/>
        <w:widowControl w:val="0"/>
        <w:kinsoku/>
        <w:wordWrap/>
        <w:overflowPunct/>
        <w:topLinePunct w:val="0"/>
        <w:autoSpaceDE/>
        <w:autoSpaceDN/>
        <w:bidi w:val="0"/>
        <w:adjustRightInd/>
        <w:snapToGrid/>
        <w:spacing w:line="360" w:lineRule="auto"/>
        <w:ind w:leftChars="0" w:left="0" w:right="641" w:firstLineChars="0" w:firstLine="0"/>
        <w:jc w:val="right"/>
        <w:textAlignment w:val="auto"/>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金川县马奈镇人民政府</w:t>
      </w:r>
    </w:p>
    <w:p>
      <w:pPr>
        <w:pStyle w:val="35"/>
        <w:keepNext w:val="0"/>
        <w:keepLines w:val="0"/>
        <w:pageBreakBefore w:val="0"/>
        <w:widowControl w:val="0"/>
        <w:kinsoku/>
        <w:wordWrap/>
        <w:overflowPunct/>
        <w:topLinePunct w:val="0"/>
        <w:autoSpaceDE/>
        <w:autoSpaceDN/>
        <w:bidi w:val="0"/>
        <w:adjustRightInd/>
        <w:snapToGrid/>
        <w:spacing w:line="360" w:lineRule="auto"/>
        <w:ind w:leftChars="0" w:left="0" w:right="641" w:firstLineChars="0" w:firstLine="0"/>
        <w:jc w:val="right"/>
        <w:textAlignment w:val="auto"/>
        <w:rPr>
          <w:rFonts w:ascii="仿宋" w:eastAsia="仿宋" w:cs="Times New Roman"/>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 xml:space="preserve">   2022年8月25日</w:t>
      </w:r>
    </w:p>
    <w:p>
      <w:pPr>
        <w:rPr>
          <w:rFonts w:ascii="仿宋" w:eastAsia="仿宋" w:cs="Times New Roman" w:hint="eastAsia"/>
          <w:color w:val="000000"/>
          <w:kern w:val="2"/>
          <w:sz w:val="32"/>
          <w:szCs w:val="32"/>
          <w:lang w:val="en-US" w:eastAsia="zh-CN" w:bidi="ar-SA"/>
        </w:rPr>
      </w:pPr>
    </w:p>
    <w:p>
      <w:pPr>
        <w:pStyle w:val="35"/>
        <w:ind w:leftChars="47" w:left="403" w:hangingChars="95" w:hanging="304"/>
        <w:jc w:val="right"/>
        <w:rPr>
          <w:rFonts w:ascii="仿宋" w:eastAsia="仿宋" w:hint="eastAsia"/>
          <w:color w:val="000000"/>
          <w:sz w:val="32"/>
          <w:szCs w:val="32"/>
        </w:rPr>
      </w:pPr>
    </w:p>
    <w:p>
      <w:pPr>
        <w:pStyle w:val="15"/>
        <w:rPr>
          <w:rFonts w:hint="eastAsia"/>
          <w:lang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_GB2312">
    <w:altName w:val="DejaVu Sans"/>
    <w:panose1 w:val="00000000000000000000"/>
    <w:charset w:val="00"/>
    <w:family w:val="auto"/>
    <w:pitch w:val="variable"/>
    <w:sig w:usb0="00000000" w:usb1="00000000" w:usb2="00000000" w:usb3="00000000" w:csb0="00000001"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Times New Roman">
    <w:altName w:val="DejaVu Sans"/>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A00002EF" w:usb1="4000004B" w:usb2="00000000" w:usb3="00000000" w:csb0="200000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30859229"/>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747B1FF4"/>
    <w:multiLevelType w:val="singleLevel"/>
    <w:tmpl w:val="747B1FF4"/>
    <w:lvl w:ilvl="0">
      <w:start w:val="2"/>
      <w:numFmt w:val="decimal"/>
      <w:lvlRestart w:val="0"/>
      <w:lvlText w:val="%1."/>
      <w:lvlJc w:val="left"/>
      <w:pPr>
        <w:tabs>
          <w:tab w:val="num" w:pos="0"/>
        </w:tabs>
        <w:ind w:left="0" w:hanging="0"/>
      </w:pPr>
    </w:lvl>
  </w:abstractNum>
  <w:abstractNum w:abstractNumId="6">
    <w:nsid w:val="386D6DF3"/>
    <w:multiLevelType w:val="singleLevel"/>
    <w:tmpl w:val="386D6DF3"/>
    <w:lvl w:ilvl="0">
      <w:start w:val="3"/>
      <w:numFmt w:val="decimal"/>
      <w:lvlRestart w:val="0"/>
      <w:lvlText w:val="%1."/>
      <w:lvlJc w:val="left"/>
      <w:pPr>
        <w:tabs>
          <w:tab w:val="num" w:pos="0"/>
        </w:tabs>
        <w:ind w:left="0" w:hanging="0"/>
      </w:pPr>
    </w:lvl>
  </w:abstractNum>
  <w:abstractNum w:abstractNumId="7">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8">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zQwNGI1MmNkM2FkMGMxMTZiZmZlNzE3ZDE5YmIz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Autospacing="1" w:afterAutospacing="1"/>
      <w:jc w:val="left"/>
    </w:pPr>
    <w:rPr>
      <w:rFonts w:ascii="宋体"/>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1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 w:type="character" w:customStyle="1" w:styleId="34">
    <w:name w:val="NormalCharacter"/>
    <w:rPr>
      <w:rFonts w:eastAsia="宋体"/>
      <w:kern w:val="2"/>
      <w:sz w:val="21"/>
      <w:szCs w:val="24"/>
      <w:lang w:val="en-US" w:eastAsia="zh-CN" w:bidi="ar-SA"/>
    </w:rPr>
  </w:style>
  <w:style w:type="paragraph" w:customStyle="1" w:styleId="35">
    <w:name w:val="table of figures"/>
    <w:basedOn w:val="0"/>
    <w:next w:val="0"/>
    <w:pPr>
      <w:spacing w:before="100" w:beforeAutospacing="1" w:after="100" w:afterAutospacing="1"/>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'Sheet1'!$B$2:$B$3</c:f>
              <c:numCache>
                <c:formatCode>General</c:formatCode>
                <c:ptCount val="2"/>
                <c:pt idx="0">
                  <c:v>1622.9</c:v>
                </c:pt>
                <c:pt idx="1">
                  <c:v>906.81</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'Sheet1'!$C$2:$C$3</c:f>
              <c:numCache>
                <c:formatCode>General</c:formatCode>
                <c:ptCount val="2"/>
                <c:pt idx="0">
                  <c:v>1623.53</c:v>
                </c:pt>
                <c:pt idx="1">
                  <c:v>907.53</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a:t>
                    </a:r>
                    <a:r>
                      <a:rPr lang="zh-CN" sz="1000" b="0" i="0" u="none" strike="noStrike" baseline="0">
                        <a:solidFill>
                          <a:srgbClr val="000000"/>
                        </a:solidFill>
                        <a:latin typeface="AR PL UKai CN"/>
                        <a:ea typeface="AR PL UKai CN"/>
                        <a:cs typeface="Lucida Sans"/>
                      </a:rPr>
                      <a:t>0</a:t>
                    </a:r>
                    <a:r>
                      <a:rPr lang="zh-CN" sz="1000" b="0" i="0" u="none" strike="noStrike" baseline="0">
                        <a:solidFill>
                          <a:srgbClr val="000000"/>
                        </a:solidFill>
                        <a:latin typeface="AR PL UKai CN"/>
                        <a:ea typeface="AR PL UKai CN"/>
                        <a:cs typeface="Lucida Sans"/>
                      </a:rPr>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1622.9</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889.93</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(3)'!$A$2:$A$4</c:f>
              <c:strCache>
                <c:ptCount val="3"/>
                <c:pt idx="0">
                  <c:v>基本支出</c:v>
                </c:pt>
                <c:pt idx="1">
                  <c:v>项目支出</c:v>
                </c:pt>
                <c:pt idx="2">
                  <c:v>项目支出结余和结转</c:v>
                </c:pt>
              </c:strCache>
            </c:strRef>
          </c:cat>
          <c:val>
            <c:numRef>
              <c:f>'Sheet1 (3)'!$B$2:$B$4</c:f>
              <c:numCache>
                <c:formatCode>General</c:formatCode>
                <c:ptCount val="3"/>
                <c:pt idx="0">
                  <c:v>732.97</c:v>
                </c:pt>
                <c:pt idx="1">
                  <c:v>889.93</c:v>
                </c:pt>
                <c:pt idx="2">
                  <c:v>0.63</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1622.9</c:v>
                </c:pt>
                <c:pt idx="1">
                  <c:v>1623.53</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906.81</c:v>
                </c:pt>
                <c:pt idx="1">
                  <c:v>907.53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772C2A"/>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(5)'!$A$2:$A$9</c:f>
              <c:strCache>
                <c:ptCount val="8"/>
                <c:pt idx="0">
                  <c:v>一般公共服务支出</c:v>
                </c:pt>
                <c:pt idx="1">
                  <c:v>社会保障和就业支出</c:v>
                </c:pt>
                <c:pt idx="2">
                  <c:v>卫生健康支出</c:v>
                </c:pt>
                <c:pt idx="3">
                  <c:v>节能环保支出</c:v>
                </c:pt>
                <c:pt idx="4">
                  <c:v>农林水支出</c:v>
                </c:pt>
                <c:pt idx="5">
                  <c:v>灾害防治及应急管理支出</c:v>
                </c:pt>
                <c:pt idx="6">
                  <c:v>住房保障支出</c:v>
                </c:pt>
                <c:pt idx="7">
                  <c:v>其他支出</c:v>
                </c:pt>
              </c:strCache>
            </c:strRef>
          </c:cat>
          <c:val>
            <c:numRef>
              <c:f>'Sheet1 (5)'!$B$2:$B$9</c:f>
              <c:numCache>
                <c:formatCode>General</c:formatCode>
                <c:ptCount val="8"/>
                <c:pt idx="0">
                  <c:v>400.85</c:v>
                </c:pt>
                <c:pt idx="1">
                  <c:v>84.08</c:v>
                </c:pt>
                <c:pt idx="2">
                  <c:v>34.35</c:v>
                </c:pt>
                <c:pt idx="3">
                  <c:v>94.32</c:v>
                </c:pt>
                <c:pt idx="4">
                  <c:v>942.35</c:v>
                </c:pt>
                <c:pt idx="5">
                  <c:v>2.5</c:v>
                </c:pt>
                <c:pt idx="6">
                  <c:v>55.38</c:v>
                </c:pt>
                <c:pt idx="7">
                  <c:v>4.69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TotalTime>
  <Application>Yozo_Office27021597764231179</Application>
  <Pages>34</Pages>
  <Words>11024</Words>
  <Characters>12181</Characters>
  <Lines>1064</Lines>
  <Paragraphs>531</Paragraphs>
  <CharactersWithSpaces>12463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1</cp:revision>
  <cp:lastPrinted>2022-08-29T02:41:13Z</cp:lastPrinted>
  <dcterms:created xsi:type="dcterms:W3CDTF">2022-08-26T02:52:00Z</dcterms:created>
  <dcterms:modified xsi:type="dcterms:W3CDTF">2022-08-29T08:21:45Z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5DC62B32955E47CBAEDDA12CBFC13C27</vt:lpwstr>
  </property>
</Properties>
</file>