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黑体" w:eastAsia="黑体"/>
          <w:color w:val="000000"/>
          <w:sz w:val="72"/>
          <w:szCs w:val="72"/>
          <w:lang w:val="en-US" w:eastAsia="zh-CN"/>
        </w:rPr>
      </w:pPr>
      <w:bookmarkStart w:id="1" w:name="_Toc15396475"/>
      <w:bookmarkStart w:id="2" w:name="_Toc15378441"/>
      <w:bookmarkStart w:id="3" w:name="_Toc15377193"/>
      <w:bookmarkStart w:id="4" w:name="_Toc15396597"/>
      <w:bookmarkStart w:id="5" w:name="_Toc15377425"/>
      <w:r>
        <w:rPr>
          <w:rFonts w:hint="eastAsia" w:ascii="黑体" w:eastAsia="黑体"/>
          <w:color w:val="000000"/>
          <w:sz w:val="72"/>
          <w:szCs w:val="72"/>
          <w:lang w:val="en-US" w:eastAsia="zh-CN"/>
        </w:rPr>
        <w:t>2020年度</w:t>
      </w:r>
      <w:bookmarkEnd w:id="1"/>
      <w:bookmarkEnd w:id="2"/>
      <w:bookmarkEnd w:id="3"/>
      <w:bookmarkEnd w:id="4"/>
      <w:bookmarkEnd w:id="5"/>
    </w:p>
    <w:bookmarkEnd w:id="0"/>
    <w:p>
      <w:pPr>
        <w:adjustRightInd w:val="0"/>
        <w:snapToGrid w:val="0"/>
        <w:spacing w:line="360" w:lineRule="auto"/>
        <w:jc w:val="center"/>
        <w:outlineLvl w:val="0"/>
        <w:rPr>
          <w:rFonts w:hint="eastAsia" w:ascii="黑体" w:eastAsia="黑体"/>
          <w:color w:val="000000"/>
          <w:sz w:val="72"/>
          <w:szCs w:val="72"/>
          <w:lang w:val="en-US" w:eastAsia="zh-CN"/>
        </w:rPr>
      </w:pPr>
      <w:r>
        <w:rPr>
          <w:rFonts w:hint="eastAsia" w:ascii="黑体" w:eastAsia="黑体"/>
          <w:color w:val="000000"/>
          <w:sz w:val="72"/>
          <w:szCs w:val="72"/>
          <w:lang w:val="en-US" w:eastAsia="zh-CN"/>
        </w:rPr>
        <w:t>四川省阿坝州金川县马奈镇人民政府部门决算</w:t>
      </w:r>
    </w:p>
    <w:p>
      <w:pPr>
        <w:adjustRightInd w:val="0"/>
        <w:snapToGrid w:val="0"/>
        <w:spacing w:line="360" w:lineRule="auto"/>
        <w:jc w:val="center"/>
        <w:outlineLvl w:val="0"/>
        <w:rPr>
          <w:rFonts w:hint="eastAsia" w:ascii="黑体" w:eastAsia="黑体"/>
          <w:color w:val="000000"/>
          <w:sz w:val="72"/>
          <w:szCs w:val="72"/>
          <w:lang w:val="en-US" w:eastAsia="zh-CN"/>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w:t>
      </w:r>
      <w:r>
        <w:rPr>
          <w:rFonts w:hint="eastAsia"/>
          <w:lang w:val="en-US" w:eastAsia="zh-CN"/>
        </w:rPr>
        <w:t>2021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hint="eastAsia" w:ascii="仿宋" w:eastAsia="仿宋"/>
          <w:sz w:val="28"/>
          <w:szCs w:val="28"/>
        </w:rPr>
      </w:pPr>
      <w:r>
        <w:rPr>
          <w:rStyle w:val="17"/>
          <w:rFonts w:hint="eastAsia" w:ascii="仿宋" w:eastAsia="仿宋" w:cs="Times New Roman"/>
          <w:bCs/>
          <w:kern w:val="2"/>
          <w:sz w:val="28"/>
          <w:szCs w:val="28"/>
          <w:lang w:val="en-US" w:eastAsia="zh-CN" w:bidi="ar-SA"/>
        </w:rPr>
        <w:t xml:space="preserve"> 十、预算绩效情况说明..................................15</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3</w:t>
      </w:r>
    </w:p>
    <w:p>
      <w:pPr>
        <w:pStyle w:val="11"/>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pPr>
        <w:pStyle w:val="11"/>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6" w:name="_Toc15396599"/>
      <w:bookmarkStart w:id="7"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6"/>
      <w:bookmarkEnd w:id="7"/>
    </w:p>
    <w:p>
      <w:pPr>
        <w:spacing w:line="600" w:lineRule="exact"/>
        <w:ind w:firstLine="640" w:firstLineChars="200"/>
        <w:rPr>
          <w:rFonts w:hint="eastAsia" w:ascii="黑体" w:eastAsia="黑体"/>
          <w:color w:val="000000"/>
          <w:sz w:val="32"/>
          <w:szCs w:val="32"/>
        </w:rPr>
      </w:pPr>
      <w:bookmarkStart w:id="8" w:name="_Toc15396602"/>
      <w:bookmarkStart w:id="9" w:name="_Toc15377204"/>
      <w:r>
        <w:rPr>
          <w:rFonts w:hint="eastAsia" w:ascii="黑体" w:eastAsia="黑体"/>
          <w:color w:val="000000"/>
          <w:sz w:val="32"/>
          <w:szCs w:val="32"/>
        </w:rPr>
        <w:t>一、基本职能及主要工作</w:t>
      </w:r>
    </w:p>
    <w:p>
      <w:pPr>
        <w:pStyle w:val="6"/>
        <w:adjustRightInd w:val="0"/>
        <w:snapToGrid w:val="0"/>
        <w:spacing w:line="600" w:lineRule="exact"/>
        <w:ind w:firstLine="672" w:firstLineChars="210"/>
        <w:rPr>
          <w:rFonts w:hint="eastAsia"/>
          <w:bCs/>
          <w:color w:val="000000"/>
          <w:sz w:val="32"/>
          <w:szCs w:val="32"/>
          <w:highlight w:val="yellow"/>
        </w:rPr>
      </w:pPr>
      <w:r>
        <w:rPr>
          <w:rFonts w:hint="eastAsia"/>
          <w:bCs/>
          <w:color w:val="000000"/>
          <w:sz w:val="32"/>
          <w:szCs w:val="32"/>
        </w:rPr>
        <w:t>（一）主要职能。</w:t>
      </w:r>
    </w:p>
    <w:p>
      <w:pPr>
        <w:widowControl/>
        <w:spacing w:line="560" w:lineRule="exact"/>
        <w:ind w:firstLine="800" w:firstLineChars="250"/>
        <w:jc w:val="left"/>
        <w:rPr>
          <w:rFonts w:hint="eastAsia" w:ascii="仿宋_GB2312" w:hAnsi="仿宋" w:eastAsia="仿宋_GB2312"/>
          <w:sz w:val="32"/>
          <w:szCs w:val="32"/>
        </w:rPr>
      </w:pPr>
      <w:r>
        <w:rPr>
          <w:rFonts w:hint="eastAsia" w:ascii="仿宋_GB2312" w:hAnsi="仿宋" w:eastAsia="仿宋_GB2312"/>
          <w:sz w:val="32"/>
          <w:szCs w:val="32"/>
        </w:rPr>
        <w:t>1．根据党章和《地方组织法》的规定，</w:t>
      </w:r>
      <w:r>
        <w:rPr>
          <w:rFonts w:hint="eastAsia" w:ascii="仿宋_GB2312" w:hAnsi="仿宋" w:eastAsia="仿宋_GB2312"/>
          <w:sz w:val="32"/>
          <w:szCs w:val="32"/>
          <w:lang w:eastAsia="zh-CN"/>
        </w:rPr>
        <w:t>镇</w:t>
      </w:r>
      <w:r>
        <w:rPr>
          <w:rFonts w:hint="eastAsia" w:ascii="仿宋_GB2312" w:hAnsi="仿宋" w:eastAsia="仿宋_GB2312"/>
          <w:sz w:val="32"/>
          <w:szCs w:val="32"/>
        </w:rPr>
        <w:t>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（1）、贯彻落实党和政府各项路线方针政策。深入贯彻党的十</w:t>
      </w:r>
      <w:r>
        <w:rPr>
          <w:rFonts w:hint="eastAsia" w:ascii="仿宋_GB2312" w:hAnsi="仿宋" w:eastAsia="仿宋_GB2312"/>
          <w:sz w:val="32"/>
          <w:szCs w:val="32"/>
          <w:lang w:eastAsia="zh-CN"/>
        </w:rPr>
        <w:t>九</w:t>
      </w:r>
      <w:r>
        <w:rPr>
          <w:rFonts w:hint="eastAsia" w:ascii="仿宋_GB2312" w:hAnsi="仿宋" w:eastAsia="仿宋_GB2312"/>
          <w:sz w:val="32"/>
          <w:szCs w:val="32"/>
        </w:rPr>
        <w:t>大、十八届四中、五中全会精神，宣传和贯彻执行党的路线、方针、政策和国家的</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rFonts w:hint="eastAsia"/>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6"/>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（二）</w:t>
      </w:r>
      <w:r>
        <w:rPr>
          <w:rFonts w:hint="eastAsia"/>
          <w:bCs/>
          <w:color w:val="000000"/>
          <w:sz w:val="32"/>
          <w:szCs w:val="32"/>
          <w:lang w:eastAsia="zh-CN"/>
        </w:rPr>
        <w:t>20</w:t>
      </w:r>
      <w:r>
        <w:rPr>
          <w:rFonts w:hint="eastAsia"/>
          <w:bCs/>
          <w:color w:val="000000"/>
          <w:sz w:val="32"/>
          <w:szCs w:val="32"/>
          <w:lang w:val="en-US" w:eastAsia="zh-CN"/>
        </w:rPr>
        <w:t>20</w:t>
      </w:r>
      <w:r>
        <w:rPr>
          <w:rFonts w:hint="eastAsia"/>
          <w:bCs/>
          <w:color w:val="000000"/>
          <w:sz w:val="32"/>
          <w:szCs w:val="32"/>
        </w:rPr>
        <w:t>年重点工作完成情况。</w:t>
      </w:r>
    </w:p>
    <w:p>
      <w:pPr>
        <w:spacing w:line="576" w:lineRule="exact"/>
        <w:ind w:firstLine="960" w:firstLineChars="300"/>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年，我</w:t>
      </w:r>
      <w:r>
        <w:rPr>
          <w:rFonts w:hint="eastAsia" w:ascii="仿宋_GB2312" w:eastAsia="仿宋_GB2312"/>
          <w:sz w:val="32"/>
          <w:szCs w:val="32"/>
          <w:lang w:eastAsia="zh-CN"/>
        </w:rPr>
        <w:t>镇</w:t>
      </w:r>
      <w:r>
        <w:rPr>
          <w:rFonts w:hint="eastAsia" w:ascii="仿宋_GB2312" w:eastAsia="仿宋_GB2312"/>
          <w:sz w:val="32"/>
          <w:szCs w:val="32"/>
        </w:rPr>
        <w:t>在县委、县政府的正确领导下，在州双联单位、县级联系部门的关怀下，在</w:t>
      </w:r>
      <w:r>
        <w:rPr>
          <w:rFonts w:hint="eastAsia" w:ascii="仿宋_GB2312" w:eastAsia="仿宋_GB2312"/>
          <w:sz w:val="32"/>
          <w:szCs w:val="32"/>
          <w:lang w:eastAsia="zh-CN"/>
        </w:rPr>
        <w:t>镇</w:t>
      </w:r>
      <w:r>
        <w:rPr>
          <w:rFonts w:hint="eastAsia" w:ascii="仿宋_GB2312" w:eastAsia="仿宋_GB2312"/>
          <w:sz w:val="32"/>
          <w:szCs w:val="32"/>
        </w:rPr>
        <w:t>党委的指导下，在</w:t>
      </w:r>
      <w:r>
        <w:rPr>
          <w:rFonts w:hint="eastAsia" w:ascii="仿宋_GB2312" w:eastAsia="仿宋_GB2312"/>
          <w:sz w:val="32"/>
          <w:szCs w:val="32"/>
          <w:lang w:eastAsia="zh-CN"/>
        </w:rPr>
        <w:t>镇</w:t>
      </w:r>
      <w:r>
        <w:rPr>
          <w:rFonts w:hint="eastAsia" w:ascii="仿宋_GB2312" w:eastAsia="仿宋_GB2312"/>
          <w:sz w:val="32"/>
          <w:szCs w:val="32"/>
        </w:rPr>
        <w:t>人大的监督支持下，在各村两委的密切配合下，紧紧团结依靠全</w:t>
      </w:r>
      <w:r>
        <w:rPr>
          <w:rFonts w:hint="eastAsia" w:ascii="仿宋_GB2312" w:eastAsia="仿宋_GB2312"/>
          <w:sz w:val="32"/>
          <w:szCs w:val="32"/>
          <w:lang w:eastAsia="zh-CN"/>
        </w:rPr>
        <w:t>镇</w:t>
      </w:r>
      <w:r>
        <w:rPr>
          <w:rFonts w:hint="eastAsia" w:ascii="仿宋_GB2312" w:eastAsia="仿宋_GB2312"/>
          <w:sz w:val="32"/>
          <w:szCs w:val="32"/>
        </w:rPr>
        <w:t>人民，健全完善了相关管理制度，认真贯彻落实科学发展观、党的十八大及十八届四中、五中全会及</w:t>
      </w:r>
      <w:r>
        <w:rPr>
          <w:rFonts w:hint="eastAsia" w:ascii="仿宋_GB2312" w:hAnsi="仿宋_GB2312" w:eastAsia="仿宋_GB2312" w:cs="仿宋_GB2312"/>
          <w:sz w:val="32"/>
          <w:szCs w:val="32"/>
        </w:rPr>
        <w:t>十九大</w:t>
      </w:r>
      <w:r>
        <w:rPr>
          <w:rFonts w:hint="eastAsia" w:ascii="仿宋_GB2312" w:eastAsia="仿宋_GB2312"/>
          <w:sz w:val="32"/>
          <w:szCs w:val="32"/>
        </w:rPr>
        <w:t>精神和习近平总书记系列重要讲话精神。按照省委</w:t>
      </w:r>
      <w:r>
        <w:rPr>
          <w:rFonts w:ascii="仿宋_GB2312" w:eastAsia="仿宋_GB2312"/>
          <w:sz w:val="32"/>
          <w:szCs w:val="32"/>
        </w:rPr>
        <w:t>“</w:t>
      </w:r>
      <w:r>
        <w:rPr>
          <w:rFonts w:hint="eastAsia" w:ascii="仿宋_GB2312" w:eastAsia="仿宋_GB2312"/>
          <w:sz w:val="32"/>
          <w:szCs w:val="32"/>
        </w:rPr>
        <w:t>三大发展战略</w:t>
      </w:r>
      <w:r>
        <w:rPr>
          <w:rFonts w:ascii="仿宋_GB2312" w:eastAsia="仿宋_GB2312"/>
          <w:sz w:val="32"/>
          <w:szCs w:val="32"/>
        </w:rPr>
        <w:t>”</w:t>
      </w:r>
      <w:r>
        <w:rPr>
          <w:rFonts w:hint="eastAsia" w:ascii="仿宋_GB2312" w:eastAsia="仿宋_GB2312"/>
          <w:sz w:val="32"/>
          <w:szCs w:val="32"/>
        </w:rPr>
        <w:t>、州委</w:t>
      </w:r>
      <w:r>
        <w:rPr>
          <w:rFonts w:ascii="仿宋_GB2312" w:eastAsia="仿宋_GB2312"/>
          <w:sz w:val="32"/>
          <w:szCs w:val="32"/>
        </w:rPr>
        <w:t>“</w:t>
      </w:r>
      <w:r>
        <w:rPr>
          <w:rFonts w:hint="eastAsia" w:ascii="仿宋_GB2312" w:eastAsia="仿宋_GB2312"/>
          <w:sz w:val="32"/>
          <w:szCs w:val="32"/>
        </w:rPr>
        <w:t>五为</w:t>
      </w:r>
      <w:r>
        <w:rPr>
          <w:rFonts w:ascii="仿宋_GB2312" w:eastAsia="仿宋_GB2312"/>
          <w:sz w:val="32"/>
          <w:szCs w:val="32"/>
        </w:rPr>
        <w:t>”</w:t>
      </w:r>
      <w:r>
        <w:rPr>
          <w:rFonts w:hint="eastAsia" w:ascii="仿宋_GB2312" w:eastAsia="仿宋_GB2312"/>
          <w:sz w:val="32"/>
          <w:szCs w:val="32"/>
        </w:rPr>
        <w:t>总体工作要求，把握</w:t>
      </w:r>
      <w:r>
        <w:rPr>
          <w:rFonts w:ascii="仿宋_GB2312" w:eastAsia="仿宋_GB2312"/>
          <w:sz w:val="32"/>
          <w:szCs w:val="32"/>
        </w:rPr>
        <w:t>“</w:t>
      </w:r>
      <w:r>
        <w:rPr>
          <w:rFonts w:hint="eastAsia" w:ascii="仿宋_GB2312" w:eastAsia="仿宋_GB2312"/>
          <w:sz w:val="32"/>
          <w:szCs w:val="32"/>
        </w:rPr>
        <w:t>夯实基础、增量提质、跨越发展</w:t>
      </w:r>
      <w:r>
        <w:rPr>
          <w:rFonts w:ascii="仿宋_GB2312" w:eastAsia="仿宋_GB2312"/>
          <w:sz w:val="32"/>
          <w:szCs w:val="32"/>
        </w:rPr>
        <w:t>”</w:t>
      </w:r>
      <w:r>
        <w:rPr>
          <w:rFonts w:hint="eastAsia" w:ascii="仿宋_GB2312" w:eastAsia="仿宋_GB2312"/>
          <w:sz w:val="32"/>
          <w:szCs w:val="32"/>
        </w:rPr>
        <w:t>的工作基调，紧紧围绕县委县政府</w:t>
      </w:r>
      <w:r>
        <w:rPr>
          <w:rFonts w:ascii="仿宋_GB2312" w:eastAsia="仿宋_GB2312"/>
          <w:sz w:val="32"/>
          <w:szCs w:val="32"/>
        </w:rPr>
        <w:t>“</w:t>
      </w:r>
      <w:r>
        <w:rPr>
          <w:rFonts w:hint="eastAsia" w:ascii="仿宋_GB2312" w:eastAsia="仿宋_GB2312"/>
          <w:sz w:val="32"/>
          <w:szCs w:val="32"/>
        </w:rPr>
        <w:t>一二三四五</w:t>
      </w:r>
      <w:r>
        <w:rPr>
          <w:rFonts w:ascii="仿宋_GB2312" w:eastAsia="仿宋_GB2312"/>
          <w:sz w:val="32"/>
          <w:szCs w:val="32"/>
        </w:rPr>
        <w:t>”</w:t>
      </w:r>
      <w:r>
        <w:rPr>
          <w:rFonts w:hint="eastAsia" w:ascii="仿宋_GB2312" w:eastAsia="仿宋_GB2312"/>
          <w:sz w:val="32"/>
          <w:szCs w:val="32"/>
        </w:rPr>
        <w:t>发展战略、</w:t>
      </w:r>
      <w:r>
        <w:rPr>
          <w:rFonts w:ascii="仿宋_GB2312" w:eastAsia="仿宋_GB2312"/>
          <w:sz w:val="32"/>
          <w:szCs w:val="32"/>
        </w:rPr>
        <w:t>“</w:t>
      </w:r>
      <w:r>
        <w:rPr>
          <w:rFonts w:hint="eastAsia" w:ascii="仿宋_GB2312" w:eastAsia="仿宋_GB2312"/>
          <w:sz w:val="32"/>
          <w:szCs w:val="32"/>
        </w:rPr>
        <w:t>一四三四</w:t>
      </w:r>
      <w:r>
        <w:rPr>
          <w:rFonts w:ascii="仿宋_GB2312" w:eastAsia="仿宋_GB2312"/>
          <w:sz w:val="32"/>
          <w:szCs w:val="32"/>
        </w:rPr>
        <w:t>”</w:t>
      </w:r>
      <w:r>
        <w:rPr>
          <w:rFonts w:hint="eastAsia" w:ascii="仿宋_GB2312" w:eastAsia="仿宋_GB2312"/>
          <w:sz w:val="32"/>
          <w:szCs w:val="32"/>
        </w:rPr>
        <w:t>治县方略，为加快“四地三县”建设，牢牢抓住中央和省州支持民族地区跨越发展的大好机遇，攻坚克难、乘势而上，全面完成了年初既定确定的各项任务。</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年以来，班子成员以“四个全面”为主线、以脱贫攻坚为主战场，以“党建引领，和谐稳定，补齐短板，调整产业，脱贫奔康，发展旅游，凝心聚力”为思路，以“发展特色产业，拓宽致富渠道，建设生态小康</w:t>
      </w:r>
      <w:r>
        <w:rPr>
          <w:rFonts w:hint="eastAsia" w:ascii="仿宋_GB2312" w:eastAsia="仿宋_GB2312"/>
          <w:sz w:val="32"/>
          <w:szCs w:val="32"/>
          <w:lang w:eastAsia="zh-CN"/>
        </w:rPr>
        <w:t>马奈镇</w:t>
      </w:r>
      <w:r>
        <w:rPr>
          <w:rFonts w:hint="eastAsia" w:ascii="仿宋_GB2312" w:eastAsia="仿宋_GB2312"/>
          <w:sz w:val="32"/>
          <w:szCs w:val="32"/>
        </w:rPr>
        <w:t>；发展公益事业，提升民生水平，建设民主和谐</w:t>
      </w:r>
      <w:r>
        <w:rPr>
          <w:rFonts w:hint="eastAsia" w:ascii="仿宋_GB2312" w:eastAsia="仿宋_GB2312"/>
          <w:sz w:val="32"/>
          <w:szCs w:val="32"/>
          <w:lang w:eastAsia="zh-CN"/>
        </w:rPr>
        <w:t>马奈镇</w:t>
      </w:r>
      <w:r>
        <w:rPr>
          <w:rFonts w:hint="eastAsia" w:ascii="仿宋_GB2312" w:eastAsia="仿宋_GB2312"/>
          <w:sz w:val="32"/>
          <w:szCs w:val="32"/>
        </w:rPr>
        <w:t>；弘扬孝德文化，壮大旅游产业，建设孝德美丽</w:t>
      </w:r>
      <w:r>
        <w:rPr>
          <w:rFonts w:hint="eastAsia" w:ascii="仿宋_GB2312" w:eastAsia="仿宋_GB2312"/>
          <w:sz w:val="32"/>
          <w:szCs w:val="32"/>
          <w:lang w:eastAsia="zh-CN"/>
        </w:rPr>
        <w:t>马奈镇</w:t>
      </w:r>
      <w:r>
        <w:rPr>
          <w:rFonts w:hint="eastAsia" w:ascii="仿宋_GB2312" w:eastAsia="仿宋_GB2312"/>
          <w:sz w:val="32"/>
          <w:szCs w:val="32"/>
        </w:rPr>
        <w:t>；依托资源优势，加快小康进程，建设幸福安康</w:t>
      </w:r>
      <w:r>
        <w:rPr>
          <w:rFonts w:hint="eastAsia" w:ascii="仿宋_GB2312" w:eastAsia="仿宋_GB2312"/>
          <w:sz w:val="32"/>
          <w:szCs w:val="32"/>
          <w:lang w:eastAsia="zh-CN"/>
        </w:rPr>
        <w:t>马奈镇</w:t>
      </w:r>
      <w:r>
        <w:rPr>
          <w:rFonts w:hint="eastAsia" w:ascii="仿宋_GB2312" w:eastAsia="仿宋_GB2312"/>
          <w:sz w:val="32"/>
          <w:szCs w:val="32"/>
        </w:rPr>
        <w:t>”的工作目标，进一步理清工作思路，创新工作方式、振奋精神，抢抓机遇、攻坚破难，继续夯实基础设施，大力发展特色优势产业，积极培育壮大集体经济，奋力推进旅游强</w:t>
      </w:r>
      <w:r>
        <w:rPr>
          <w:rFonts w:hint="eastAsia" w:ascii="仿宋_GB2312" w:eastAsia="仿宋_GB2312"/>
          <w:sz w:val="32"/>
          <w:szCs w:val="32"/>
          <w:lang w:eastAsia="zh-CN"/>
        </w:rPr>
        <w:t>镇</w:t>
      </w:r>
      <w:r>
        <w:rPr>
          <w:rFonts w:hint="eastAsia" w:ascii="仿宋_GB2312" w:eastAsia="仿宋_GB2312"/>
          <w:sz w:val="32"/>
          <w:szCs w:val="32"/>
        </w:rPr>
        <w:t>工作基调，带动群众增收致富。</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lang w:val="en-US"/>
        </w:rPr>
        <w:t>2020</w:t>
      </w:r>
      <w:r>
        <w:rPr>
          <w:rStyle w:val="18"/>
          <w:rFonts w:hint="eastAsia" w:ascii="黑体" w:eastAsia="黑体"/>
          <w:b w:val="0"/>
          <w:bCs w:val="0"/>
        </w:rPr>
        <w:t>年度部门决算情况说明</w:t>
      </w:r>
      <w:bookmarkEnd w:id="8"/>
      <w:bookmarkEnd w:id="9"/>
    </w:p>
    <w:p>
      <w:pPr>
        <w:pStyle w:val="24"/>
        <w:numPr>
          <w:ilvl w:val="0"/>
          <w:numId w:val="1"/>
        </w:numPr>
        <w:spacing w:line="240" w:lineRule="auto"/>
        <w:ind w:left="0" w:firstLine="0" w:firstLineChars="0"/>
        <w:outlineLvl w:val="1"/>
        <w:rPr>
          <w:rStyle w:val="19"/>
          <w:rFonts w:ascii="黑体" w:eastAsia="黑体"/>
          <w:b w:val="0"/>
        </w:rPr>
      </w:pPr>
      <w:bookmarkStart w:id="10" w:name="_Toc15377205"/>
      <w:bookmarkStart w:id="11"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10"/>
      <w:bookmarkEnd w:id="11"/>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马奈镇</w:t>
      </w:r>
      <w:r>
        <w:rPr>
          <w:rFonts w:hint="eastAsia" w:ascii="仿宋_GB2312" w:eastAsia="仿宋_GB2312"/>
          <w:color w:val="000000"/>
          <w:sz w:val="32"/>
          <w:szCs w:val="32"/>
        </w:rPr>
        <w:t>本年收入合计</w:t>
      </w:r>
      <w:r>
        <w:rPr>
          <w:rFonts w:hint="eastAsia" w:ascii="仿宋_GB2312" w:eastAsia="仿宋_GB2312"/>
          <w:color w:val="000000"/>
          <w:sz w:val="32"/>
          <w:szCs w:val="32"/>
          <w:lang w:val="en-US" w:eastAsia="zh-CN"/>
        </w:rPr>
        <w:t>906.81</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906.81</w:t>
      </w:r>
      <w:r>
        <w:rPr>
          <w:rFonts w:hint="eastAsia" w:ascii="仿宋_GB2312" w:eastAsia="仿宋_GB2312"/>
          <w:color w:val="000000"/>
          <w:sz w:val="32"/>
          <w:szCs w:val="32"/>
        </w:rPr>
        <w:t>万元，占100%；政府性基金预算财政拨款收入0万元，占0%；国有资本经营预算财政拨款收入0万元，占0%；事业收入0万元，占0%；经营收入0万元，占0%；附属单位上缴收入0万元，占0%；其他收入0万元，占0%。</w:t>
      </w:r>
    </w:p>
    <w:p>
      <w:pPr>
        <w:snapToGrid w:val="0"/>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马奈镇</w:t>
      </w:r>
      <w:r>
        <w:rPr>
          <w:rFonts w:hint="eastAsia" w:ascii="仿宋_GB2312" w:eastAsia="仿宋_GB2312"/>
          <w:color w:val="000000"/>
          <w:sz w:val="32"/>
          <w:szCs w:val="32"/>
        </w:rPr>
        <w:t>本年支出合计</w:t>
      </w:r>
      <w:r>
        <w:rPr>
          <w:rFonts w:hint="eastAsia" w:ascii="仿宋_GB2312" w:eastAsia="仿宋_GB2312"/>
          <w:color w:val="000000"/>
          <w:sz w:val="32"/>
          <w:szCs w:val="32"/>
          <w:lang w:val="en-US" w:eastAsia="zh-CN"/>
        </w:rPr>
        <w:t>907.53</w:t>
      </w:r>
      <w:r>
        <w:rPr>
          <w:rFonts w:hint="eastAsia" w:ascii="仿宋_GB2312" w:eastAsia="仿宋_GB2312"/>
          <w:color w:val="000000"/>
          <w:sz w:val="32"/>
          <w:szCs w:val="32"/>
        </w:rPr>
        <w:t>万元，基本支出</w:t>
      </w:r>
      <w:r>
        <w:rPr>
          <w:rFonts w:hint="eastAsia" w:ascii="仿宋_GB2312" w:eastAsia="仿宋_GB2312"/>
          <w:color w:val="000000"/>
          <w:sz w:val="32"/>
          <w:szCs w:val="32"/>
          <w:lang w:val="en-US" w:eastAsia="zh-CN"/>
        </w:rPr>
        <w:t>562.96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62.03</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344.57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37.9735</w:t>
      </w:r>
      <w:r>
        <w:rPr>
          <w:rFonts w:hint="eastAsia" w:ascii="仿宋_GB2312" w:eastAsia="仿宋_GB2312"/>
          <w:color w:val="000000"/>
          <w:sz w:val="32"/>
          <w:szCs w:val="32"/>
        </w:rPr>
        <w:t>%，上缴上级支出0万元，占0%；经营支出0万元，占0%；对附属单位补助支出0万元，占0%。</w:t>
      </w:r>
    </w:p>
    <w:p>
      <w:pPr>
        <w:spacing w:line="600" w:lineRule="exact"/>
        <w:ind w:firstLine="960" w:firstLineChars="300"/>
        <w:rPr>
          <w:rFonts w:hint="eastAsia" w:ascii="仿宋_GB2312" w:eastAsia="仿宋_GB2312"/>
          <w:color w:val="auto"/>
          <w:spacing w:val="-2"/>
          <w:kern w:val="2"/>
          <w:sz w:val="32"/>
          <w:szCs w:val="32"/>
          <w:lang w:val="en-US" w:eastAsia="zh-CN" w:bidi="ar-SA"/>
        </w:rPr>
      </w:pPr>
      <w:r>
        <w:rPr>
          <w:rFonts w:hint="eastAsia" w:ascii="仿宋_GB2312" w:eastAsia="仿宋_GB2312"/>
          <w:color w:val="000000"/>
          <w:sz w:val="32"/>
          <w:szCs w:val="32"/>
        </w:rPr>
        <w:t>2</w:t>
      </w:r>
      <w:r>
        <w:rPr>
          <w:rFonts w:hint="eastAsia" w:ascii="仿宋_GB2312" w:eastAsia="仿宋_GB2312"/>
          <w:sz w:val="32"/>
        </w:rPr>
        <w:t>01</w:t>
      </w:r>
      <w:r>
        <w:rPr>
          <w:rFonts w:hint="eastAsia" w:ascii="仿宋_GB2312" w:eastAsia="仿宋_GB2312"/>
          <w:sz w:val="32"/>
          <w:lang w:val="en-US" w:eastAsia="zh-CN"/>
        </w:rPr>
        <w:t>9</w:t>
      </w:r>
      <w:r>
        <w:rPr>
          <w:rFonts w:hint="eastAsia" w:ascii="仿宋_GB2312" w:eastAsia="仿宋_GB2312"/>
          <w:sz w:val="32"/>
        </w:rPr>
        <w:t>年财政拨款收入</w:t>
      </w:r>
      <w:r>
        <w:rPr>
          <w:rFonts w:hint="eastAsia" w:ascii="仿宋_GB2312" w:hAnsi="宋体" w:eastAsia="仿宋_GB2312"/>
          <w:bCs/>
          <w:sz w:val="32"/>
          <w:lang w:val="en-US" w:eastAsia="zh-CN"/>
        </w:rPr>
        <w:t>684.54</w:t>
      </w:r>
      <w:r>
        <w:rPr>
          <w:rFonts w:hint="eastAsia" w:ascii="仿宋_GB2312" w:eastAsia="仿宋_GB2312"/>
          <w:sz w:val="32"/>
        </w:rPr>
        <w:t>万元，财政拨款支出</w:t>
      </w:r>
      <w:r>
        <w:rPr>
          <w:rFonts w:hint="eastAsia" w:ascii="仿宋_GB2312" w:eastAsia="仿宋_GB2312"/>
          <w:color w:val="000000"/>
          <w:sz w:val="32"/>
          <w:szCs w:val="32"/>
          <w:lang w:val="en-US" w:eastAsia="zh-CN"/>
        </w:rPr>
        <w:t>911.9</w:t>
      </w:r>
      <w:r>
        <w:rPr>
          <w:rFonts w:hint="eastAsia" w:ascii="仿宋_GB2312" w:eastAsia="仿宋_GB2312"/>
          <w:sz w:val="32"/>
        </w:rPr>
        <w:t>万元，与</w:t>
      </w: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年相比，财政拨款收入</w:t>
      </w:r>
      <w:r>
        <w:rPr>
          <w:rFonts w:hint="eastAsia" w:ascii="仿宋_GB2312" w:eastAsia="仿宋_GB2312"/>
          <w:color w:val="000000"/>
          <w:sz w:val="32"/>
          <w:szCs w:val="32"/>
          <w:lang w:val="en-US" w:eastAsia="zh-CN"/>
        </w:rPr>
        <w:t>增加222.27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32.46</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4.37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 0.47</w:t>
      </w:r>
      <w:r>
        <w:rPr>
          <w:rFonts w:hint="eastAsia" w:ascii="仿宋_GB2312" w:eastAsia="仿宋_GB2312"/>
          <w:color w:val="000000"/>
          <w:sz w:val="32"/>
          <w:szCs w:val="32"/>
        </w:rPr>
        <w:t>%。</w:t>
      </w:r>
      <w:r>
        <w:rPr>
          <w:rFonts w:hint="eastAsia" w:ascii="仿宋_GB2312" w:eastAsia="仿宋_GB2312"/>
          <w:color w:val="auto"/>
          <w:spacing w:val="-2"/>
          <w:kern w:val="2"/>
          <w:sz w:val="32"/>
          <w:szCs w:val="32"/>
          <w:lang w:val="en-US" w:eastAsia="zh-CN" w:bidi="ar-SA"/>
        </w:rPr>
        <w:t>主要原因一是2020年撤乡并镇，马奈乡、马尔邦乡合并为马奈镇，人员经费有所增加。</w:t>
      </w:r>
    </w:p>
    <w:p>
      <w:pPr>
        <w:spacing w:line="600" w:lineRule="exact"/>
        <w:ind w:firstLine="630" w:firstLineChars="300"/>
        <w:rPr>
          <w:rFonts w:hint="default" w:ascii="仿宋_GB2312" w:eastAsia="仿宋_GB2312"/>
          <w:color w:val="auto"/>
          <w:spacing w:val="-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164465</wp:posOffset>
            </wp:positionH>
            <wp:positionV relativeFrom="paragraph">
              <wp:posOffset>271145</wp:posOffset>
            </wp:positionV>
            <wp:extent cx="4381500" cy="2971800"/>
            <wp:effectExtent l="4445" t="4445" r="18415" b="10795"/>
            <wp:wrapTopAndBottom/>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Style w:val="19"/>
          <w:rFonts w:ascii="黑体" w:eastAsia="黑体"/>
          <w:b w:val="0"/>
        </w:rPr>
      </w:pPr>
      <w:bookmarkStart w:id="12" w:name="_Toc15377206"/>
      <w:bookmarkStart w:id="13" w:name="_Toc15396604"/>
      <w:r>
        <w:rPr>
          <w:rFonts w:hint="eastAsia" w:ascii="黑体" w:eastAsia="黑体" w:cs="Times New Roman"/>
          <w:color w:val="000000"/>
          <w:kern w:val="2"/>
          <w:sz w:val="32"/>
          <w:szCs w:val="32"/>
          <w:lang w:val="en-US" w:eastAsia="zh-CN" w:bidi="ar-SA"/>
        </w:rPr>
        <w:t>二、收入决</w:t>
      </w:r>
      <w:r>
        <w:rPr>
          <w:rStyle w:val="19"/>
          <w:rFonts w:hint="eastAsia" w:ascii="黑体" w:eastAsia="黑体"/>
          <w:b w:val="0"/>
        </w:rPr>
        <w:t>算情况说明</w:t>
      </w:r>
      <w:bookmarkEnd w:id="12"/>
      <w:bookmarkEnd w:id="13"/>
    </w:p>
    <w:p>
      <w:pPr>
        <w:spacing w:line="600" w:lineRule="exact"/>
        <w:ind w:firstLine="640"/>
        <w:rPr>
          <w:rFonts w:hint="eastAsia" w:ascii="宋体" w:hAnsi="宋体" w:cs="宋体"/>
          <w:color w:val="000000"/>
          <w:kern w:val="0"/>
          <w:sz w:val="24"/>
          <w:lang w:eastAsia="zh-CN" w:bidi="ar"/>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马奈镇</w:t>
      </w:r>
      <w:r>
        <w:rPr>
          <w:rFonts w:hint="eastAsia" w:ascii="仿宋_GB2312" w:eastAsia="仿宋_GB2312"/>
          <w:color w:val="000000"/>
          <w:sz w:val="32"/>
          <w:szCs w:val="32"/>
        </w:rPr>
        <w:t>本年收入合计</w:t>
      </w:r>
      <w:r>
        <w:rPr>
          <w:rFonts w:hint="eastAsia" w:ascii="仿宋_GB2312" w:eastAsia="仿宋_GB2312"/>
          <w:color w:val="000000"/>
          <w:sz w:val="32"/>
          <w:szCs w:val="32"/>
          <w:lang w:val="en-US" w:eastAsia="zh-CN"/>
        </w:rPr>
        <w:t>906.81</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906.81</w:t>
      </w:r>
      <w:r>
        <w:rPr>
          <w:rFonts w:hint="eastAsia" w:ascii="仿宋_GB2312" w:eastAsia="仿宋_GB2312"/>
          <w:color w:val="000000"/>
          <w:sz w:val="32"/>
          <w:szCs w:val="32"/>
        </w:rPr>
        <w:t>万元，占100%；政府性基金预算财政拨款收入0万元，占0%；国有资本经营预算财政拨款收入0万元，占0%；事业收入0万元，占0%；经营收入0万元，占0%；附属单位上缴收入0万元，占0%；其他收入0万元，占0%。</w:t>
      </w:r>
      <w:r>
        <w:rPr>
          <w:rFonts w:hint="eastAsia" w:ascii="仿宋_GB2312" w:eastAsia="仿宋_GB2312"/>
          <w:color w:val="000000"/>
          <w:sz w:val="32"/>
          <w:szCs w:val="32"/>
          <w:lang w:val="en-US" w:eastAsia="zh-CN"/>
        </w:rPr>
        <w:t>2</w:t>
      </w:r>
      <w:r>
        <w:rPr>
          <w:rFonts w:hint="eastAsia" w:ascii="仿宋_GB2312" w:eastAsia="仿宋_GB2312"/>
          <w:sz w:val="32"/>
        </w:rPr>
        <w:t>019年财政拨款收入</w:t>
      </w:r>
      <w:r>
        <w:rPr>
          <w:rFonts w:hint="eastAsia" w:ascii="仿宋_GB2312" w:hAnsi="宋体" w:eastAsia="仿宋_GB2312"/>
          <w:bCs/>
          <w:sz w:val="32"/>
        </w:rPr>
        <w:t>684.54</w:t>
      </w:r>
      <w:r>
        <w:rPr>
          <w:rFonts w:hint="eastAsia" w:ascii="仿宋_GB2312" w:eastAsia="仿宋_GB2312"/>
          <w:sz w:val="32"/>
        </w:rPr>
        <w:t>万元，与</w:t>
      </w:r>
      <w:r>
        <w:rPr>
          <w:rFonts w:hint="eastAsia" w:ascii="仿宋_GB2312" w:eastAsia="仿宋_GB2312"/>
          <w:color w:val="000000"/>
          <w:sz w:val="32"/>
          <w:szCs w:val="32"/>
        </w:rPr>
        <w:t>2019年相比，财政拨款收入增加222.27万元</w:t>
      </w:r>
      <w:r>
        <w:rPr>
          <w:rFonts w:hint="eastAsia" w:ascii="宋体" w:hAnsi="宋体" w:cs="宋体"/>
          <w:color w:val="000000"/>
          <w:kern w:val="0"/>
          <w:sz w:val="24"/>
          <w:lang w:eastAsia="zh-CN" w:bidi="ar"/>
        </w:rPr>
        <w:t>。</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eastAsia="宋体"/>
          <w:color w:val="000000"/>
          <w:sz w:val="32"/>
          <w:szCs w:val="32"/>
          <w:lang w:val="en-US" w:eastAsia="zh-CN"/>
        </w:rPr>
      </w:pPr>
      <w:r>
        <w:rPr>
          <w:rFonts w:hint="eastAsia" w:ascii="宋体" w:hAnsi="宋体" w:cs="宋体"/>
          <w:color w:val="000000"/>
          <w:kern w:val="0"/>
          <w:sz w:val="24"/>
          <w:lang w:bidi="ar"/>
        </w:rPr>
        <w:drawing>
          <wp:inline distT="0" distB="0" distL="114300" distR="114300">
            <wp:extent cx="4793615" cy="3260090"/>
            <wp:effectExtent l="0" t="0" r="6985" b="1270"/>
            <wp:docPr id="22" name="图片 22" descr="{K5_4(0XP4@}QP3N3F%YJ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K5_4(0XP4@}QP3N3F%YJ2A"/>
                    <pic:cNvPicPr>
                      <a:picLocks noChangeAspect="1"/>
                    </pic:cNvPicPr>
                  </pic:nvPicPr>
                  <pic:blipFill>
                    <a:blip r:embed="rId7"/>
                    <a:stretch>
                      <a:fillRect/>
                    </a:stretch>
                  </pic:blipFill>
                  <pic:spPr>
                    <a:xfrm>
                      <a:off x="0" y="0"/>
                      <a:ext cx="4793615" cy="3260090"/>
                    </a:xfrm>
                    <a:prstGeom prst="rect">
                      <a:avLst/>
                    </a:prstGeom>
                  </pic:spPr>
                </pic:pic>
              </a:graphicData>
            </a:graphic>
          </wp:inline>
        </w:drawing>
      </w:r>
      <w:r>
        <w:rPr>
          <w:rFonts w:hint="eastAsia" w:ascii="宋体" w:hAnsi="宋体" w:cs="宋体"/>
          <w:color w:val="000000"/>
          <w:kern w:val="0"/>
          <w:sz w:val="24"/>
          <w:lang w:bidi="ar"/>
        </w:rPr>
        <w:drawing>
          <wp:anchor distT="0" distB="0" distL="114300" distR="114300" simplePos="0" relativeHeight="251660288" behindDoc="0" locked="0" layoutInCell="1" allowOverlap="1">
            <wp:simplePos x="0" y="0"/>
            <wp:positionH relativeFrom="column">
              <wp:posOffset>1385570</wp:posOffset>
            </wp:positionH>
            <wp:positionV relativeFrom="paragraph">
              <wp:posOffset>7226300</wp:posOffset>
            </wp:positionV>
            <wp:extent cx="4381500" cy="2962910"/>
            <wp:effectExtent l="0" t="0" r="7620" b="8890"/>
            <wp:wrapNone/>
            <wp:docPr id="12" name="图表_7"/>
            <wp:cNvGraphicFramePr/>
            <a:graphic xmlns:a="http://schemas.openxmlformats.org/drawingml/2006/main">
              <a:graphicData uri="http://schemas.openxmlformats.org/drawingml/2006/picture">
                <pic:pic xmlns:pic="http://schemas.openxmlformats.org/drawingml/2006/picture">
                  <pic:nvPicPr>
                    <pic:cNvPr id="12" name="图表_7"/>
                    <pic:cNvPicPr/>
                  </pic:nvPicPr>
                  <pic:blipFill>
                    <a:blip r:embed="rId8"/>
                    <a:stretch>
                      <a:fillRect/>
                    </a:stretch>
                  </pic:blipFill>
                  <pic:spPr>
                    <a:xfrm>
                      <a:off x="0" y="0"/>
                      <a:ext cx="4381500" cy="2962910"/>
                    </a:xfrm>
                    <a:prstGeom prst="rect">
                      <a:avLst/>
                    </a:prstGeom>
                    <a:noFill/>
                    <a:ln>
                      <a:noFill/>
                    </a:ln>
                  </pic:spPr>
                </pic:pic>
              </a:graphicData>
            </a:graphic>
          </wp:anchor>
        </w:drawing>
      </w:r>
    </w:p>
    <w:p>
      <w:pPr>
        <w:spacing w:line="600" w:lineRule="exact"/>
        <w:ind w:firstLine="640" w:firstLineChars="200"/>
        <w:outlineLvl w:val="1"/>
        <w:rPr>
          <w:rStyle w:val="19"/>
          <w:rFonts w:ascii="黑体" w:eastAsia="黑体"/>
          <w:b w:val="0"/>
        </w:rPr>
      </w:pPr>
      <w:bookmarkStart w:id="14" w:name="_Toc15377207"/>
      <w:bookmarkStart w:id="15" w:name="_Toc15396605"/>
      <w:r>
        <w:rPr>
          <w:rFonts w:hint="eastAsia" w:ascii="黑体" w:eastAsia="黑体" w:cs="Times New Roman"/>
          <w:color w:val="000000"/>
          <w:kern w:val="2"/>
          <w:sz w:val="32"/>
          <w:szCs w:val="32"/>
          <w:lang w:val="en-US" w:eastAsia="zh-CN" w:bidi="ar-SA"/>
        </w:rPr>
        <w:t>三、支出决</w:t>
      </w:r>
      <w:r>
        <w:rPr>
          <w:rStyle w:val="19"/>
          <w:rFonts w:hint="eastAsia" w:ascii="黑体" w:eastAsia="黑体"/>
          <w:b w:val="0"/>
        </w:rPr>
        <w:t>算情况说明</w:t>
      </w:r>
      <w:bookmarkEnd w:id="14"/>
      <w:bookmarkEnd w:id="15"/>
    </w:p>
    <w:p>
      <w:pPr>
        <w:spacing w:line="600" w:lineRule="exact"/>
        <w:ind w:firstLine="960" w:firstLineChars="30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马奈镇</w:t>
      </w:r>
      <w:r>
        <w:rPr>
          <w:rFonts w:hint="eastAsia" w:ascii="仿宋_GB2312" w:eastAsia="仿宋_GB2312"/>
          <w:color w:val="000000"/>
          <w:sz w:val="32"/>
          <w:szCs w:val="32"/>
        </w:rPr>
        <w:t>本年支出合计</w:t>
      </w:r>
      <w:r>
        <w:rPr>
          <w:rFonts w:hint="eastAsia" w:ascii="仿宋_GB2312" w:eastAsia="仿宋_GB2312"/>
          <w:color w:val="000000"/>
          <w:sz w:val="32"/>
          <w:szCs w:val="32"/>
          <w:lang w:val="en-US" w:eastAsia="zh-CN"/>
        </w:rPr>
        <w:t>907.53</w:t>
      </w:r>
      <w:r>
        <w:rPr>
          <w:rFonts w:hint="eastAsia" w:ascii="仿宋_GB2312" w:eastAsia="仿宋_GB2312"/>
          <w:color w:val="000000"/>
          <w:sz w:val="32"/>
          <w:szCs w:val="32"/>
        </w:rPr>
        <w:t>万元，基本支出</w:t>
      </w:r>
      <w:r>
        <w:rPr>
          <w:rFonts w:hint="eastAsia" w:ascii="仿宋_GB2312" w:eastAsia="仿宋_GB2312"/>
          <w:color w:val="000000"/>
          <w:sz w:val="32"/>
          <w:szCs w:val="32"/>
          <w:lang w:val="en-US" w:eastAsia="zh-CN"/>
        </w:rPr>
        <w:t>562.96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62.03</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344.57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37.9735</w:t>
      </w:r>
      <w:r>
        <w:rPr>
          <w:rFonts w:hint="eastAsia" w:ascii="仿宋_GB2312" w:eastAsia="仿宋_GB2312"/>
          <w:color w:val="000000"/>
          <w:sz w:val="32"/>
          <w:szCs w:val="32"/>
        </w:rPr>
        <w:t>%，上缴上级支出0万元，占0%；经营支出0万元，占0%；对附属单位补助支出0万元，占0%。</w:t>
      </w:r>
      <w:r>
        <w:rPr>
          <w:rFonts w:hint="eastAsia" w:ascii="仿宋_GB2312" w:eastAsia="仿宋_GB2312"/>
          <w:color w:val="000000"/>
          <w:sz w:val="32"/>
          <w:szCs w:val="32"/>
          <w:lang w:val="en-US" w:eastAsia="zh-CN"/>
        </w:rPr>
        <w:t>2019</w:t>
      </w:r>
      <w:r>
        <w:rPr>
          <w:rFonts w:hint="eastAsia" w:ascii="仿宋_GB2312" w:eastAsia="仿宋_GB2312"/>
          <w:sz w:val="32"/>
        </w:rPr>
        <w:t>财政拨款支出</w:t>
      </w:r>
      <w:r>
        <w:rPr>
          <w:rFonts w:hint="eastAsia" w:ascii="仿宋_GB2312" w:eastAsia="仿宋_GB2312"/>
          <w:color w:val="000000"/>
          <w:sz w:val="32"/>
          <w:szCs w:val="32"/>
          <w:lang w:val="en-US" w:eastAsia="zh-CN"/>
        </w:rPr>
        <w:t>911.9</w:t>
      </w:r>
      <w:r>
        <w:rPr>
          <w:rFonts w:hint="eastAsia" w:ascii="仿宋_GB2312" w:eastAsia="仿宋_GB2312"/>
          <w:sz w:val="32"/>
        </w:rPr>
        <w:t>万元，与</w:t>
      </w: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年相比，支出</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4.37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 0.47</w:t>
      </w:r>
      <w:r>
        <w:rPr>
          <w:rFonts w:hint="eastAsia" w:ascii="仿宋_GB2312" w:eastAsia="仿宋_GB2312"/>
          <w:color w:val="000000"/>
          <w:sz w:val="32"/>
          <w:szCs w:val="32"/>
        </w:rPr>
        <w:t>%。</w:t>
      </w:r>
    </w:p>
    <w:p>
      <w:pPr>
        <w:spacing w:line="600" w:lineRule="exact"/>
        <w:ind w:firstLine="720" w:firstLineChars="300"/>
        <w:rPr>
          <w:rFonts w:hint="eastAsia" w:ascii="仿宋_GB2312" w:eastAsia="仿宋_GB2312"/>
          <w:color w:val="000000"/>
          <w:sz w:val="32"/>
          <w:szCs w:val="32"/>
        </w:rPr>
      </w:pPr>
      <w:r>
        <w:rPr>
          <w:rFonts w:hint="eastAsia" w:ascii="宋体" w:hAnsi="宋体" w:cs="宋体"/>
          <w:color w:val="000000"/>
          <w:kern w:val="0"/>
          <w:sz w:val="24"/>
          <w:lang w:bidi="ar"/>
        </w:rPr>
        <w:drawing>
          <wp:anchor distT="0" distB="0" distL="114300" distR="114300" simplePos="0" relativeHeight="251661312" behindDoc="0" locked="0" layoutInCell="1" allowOverlap="1">
            <wp:simplePos x="0" y="0"/>
            <wp:positionH relativeFrom="column">
              <wp:posOffset>295275</wp:posOffset>
            </wp:positionH>
            <wp:positionV relativeFrom="paragraph">
              <wp:posOffset>-4587240</wp:posOffset>
            </wp:positionV>
            <wp:extent cx="4381500" cy="2962910"/>
            <wp:effectExtent l="0" t="0" r="7620" b="8890"/>
            <wp:wrapTopAndBottom/>
            <wp:docPr id="23" name="图表_7"/>
            <wp:cNvGraphicFramePr/>
            <a:graphic xmlns:a="http://schemas.openxmlformats.org/drawingml/2006/main">
              <a:graphicData uri="http://schemas.openxmlformats.org/drawingml/2006/picture">
                <pic:pic xmlns:pic="http://schemas.openxmlformats.org/drawingml/2006/picture">
                  <pic:nvPicPr>
                    <pic:cNvPr id="23" name="图表_7"/>
                    <pic:cNvPicPr/>
                  </pic:nvPicPr>
                  <pic:blipFill>
                    <a:blip r:embed="rId9"/>
                    <a:stretch>
                      <a:fillRect/>
                    </a:stretch>
                  </pic:blipFill>
                  <pic:spPr>
                    <a:xfrm>
                      <a:off x="0" y="0"/>
                      <a:ext cx="4381500" cy="2962910"/>
                    </a:xfrm>
                    <a:prstGeom prst="rect">
                      <a:avLst/>
                    </a:prstGeom>
                    <a:noFill/>
                    <a:ln>
                      <a:noFill/>
                    </a:ln>
                  </pic:spPr>
                </pic:pic>
              </a:graphicData>
            </a:graphic>
          </wp:anchor>
        </w:drawing>
      </w:r>
    </w:p>
    <w:p>
      <w:pPr>
        <w:spacing w:line="600" w:lineRule="exact"/>
        <w:ind w:firstLine="640" w:firstLineChars="200"/>
        <w:rPr>
          <w:rFonts w:hint="eastAsia" w:ascii="仿宋_GB2312" w:eastAsia="仿宋_GB2312"/>
          <w:color w:val="000000"/>
          <w:sz w:val="32"/>
          <w:szCs w:val="32"/>
        </w:rPr>
      </w:pPr>
    </w:p>
    <w:p>
      <w:pPr>
        <w:spacing w:line="600" w:lineRule="exact"/>
        <w:ind w:firstLine="320" w:firstLineChars="100"/>
        <w:outlineLvl w:val="1"/>
        <w:rPr>
          <w:rStyle w:val="19"/>
          <w:rFonts w:ascii="黑体" w:eastAsia="黑体"/>
          <w:b w:val="0"/>
        </w:rPr>
      </w:pPr>
      <w:bookmarkStart w:id="16" w:name="_Toc15396606"/>
      <w:bookmarkStart w:id="17"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16"/>
      <w:bookmarkEnd w:id="17"/>
    </w:p>
    <w:p>
      <w:pPr>
        <w:spacing w:line="600" w:lineRule="exact"/>
        <w:ind w:firstLine="960" w:firstLineChars="30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年度财政拨款收入总计</w:t>
      </w:r>
      <w:r>
        <w:rPr>
          <w:rFonts w:hint="eastAsia" w:ascii="仿宋_GB2312" w:eastAsia="仿宋_GB2312"/>
          <w:color w:val="000000"/>
          <w:sz w:val="32"/>
          <w:szCs w:val="32"/>
          <w:lang w:val="en-US" w:eastAsia="zh-CN"/>
        </w:rPr>
        <w:t>906.81</w:t>
      </w:r>
      <w:r>
        <w:rPr>
          <w:rFonts w:hint="eastAsia" w:ascii="仿宋_GB2312" w:eastAsia="仿宋_GB2312"/>
          <w:color w:val="000000"/>
          <w:sz w:val="32"/>
          <w:szCs w:val="32"/>
        </w:rPr>
        <w:t>万元，财政拨款支出</w:t>
      </w:r>
      <w:r>
        <w:rPr>
          <w:rFonts w:hint="eastAsia" w:ascii="仿宋_GB2312" w:eastAsia="仿宋_GB2312"/>
          <w:color w:val="000000"/>
          <w:sz w:val="32"/>
          <w:szCs w:val="32"/>
          <w:lang w:val="en-US" w:eastAsia="zh-CN"/>
        </w:rPr>
        <w:t>907.53</w:t>
      </w:r>
      <w:r>
        <w:rPr>
          <w:rFonts w:hint="eastAsia" w:ascii="仿宋_GB2312" w:eastAsia="仿宋_GB2312"/>
          <w:color w:val="000000"/>
          <w:sz w:val="32"/>
          <w:szCs w:val="32"/>
        </w:rPr>
        <w:t>万元。2</w:t>
      </w:r>
      <w:r>
        <w:rPr>
          <w:rFonts w:hint="eastAsia" w:ascii="仿宋_GB2312" w:eastAsia="仿宋_GB2312"/>
          <w:sz w:val="32"/>
        </w:rPr>
        <w:t>01</w:t>
      </w:r>
      <w:r>
        <w:rPr>
          <w:rFonts w:hint="eastAsia" w:ascii="仿宋_GB2312" w:eastAsia="仿宋_GB2312"/>
          <w:sz w:val="32"/>
          <w:lang w:val="en-US" w:eastAsia="zh-CN"/>
        </w:rPr>
        <w:t>9</w:t>
      </w:r>
      <w:r>
        <w:rPr>
          <w:rFonts w:hint="eastAsia" w:ascii="仿宋_GB2312" w:eastAsia="仿宋_GB2312"/>
          <w:sz w:val="32"/>
        </w:rPr>
        <w:t>年财政拨款收入</w:t>
      </w:r>
      <w:r>
        <w:rPr>
          <w:rFonts w:hint="eastAsia" w:ascii="仿宋_GB2312" w:hAnsi="宋体" w:eastAsia="仿宋_GB2312"/>
          <w:bCs/>
          <w:sz w:val="32"/>
          <w:lang w:val="en-US" w:eastAsia="zh-CN"/>
        </w:rPr>
        <w:t>684.54</w:t>
      </w:r>
      <w:r>
        <w:rPr>
          <w:rFonts w:hint="eastAsia" w:ascii="仿宋_GB2312" w:eastAsia="仿宋_GB2312"/>
          <w:sz w:val="32"/>
        </w:rPr>
        <w:t>万元，财政拨款支出</w:t>
      </w:r>
      <w:r>
        <w:rPr>
          <w:rFonts w:hint="eastAsia" w:ascii="仿宋_GB2312" w:eastAsia="仿宋_GB2312"/>
          <w:color w:val="000000"/>
          <w:sz w:val="32"/>
          <w:szCs w:val="32"/>
          <w:lang w:val="en-US" w:eastAsia="zh-CN"/>
        </w:rPr>
        <w:t>911.9</w:t>
      </w:r>
      <w:r>
        <w:rPr>
          <w:rFonts w:hint="eastAsia" w:ascii="仿宋_GB2312" w:eastAsia="仿宋_GB2312"/>
          <w:sz w:val="32"/>
        </w:rPr>
        <w:t>万元，与</w:t>
      </w: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年相比，财政拨款收入</w:t>
      </w:r>
      <w:r>
        <w:rPr>
          <w:rFonts w:hint="eastAsia" w:ascii="仿宋_GB2312" w:eastAsia="仿宋_GB2312"/>
          <w:color w:val="000000"/>
          <w:sz w:val="32"/>
          <w:szCs w:val="32"/>
          <w:lang w:val="en-US" w:eastAsia="zh-CN"/>
        </w:rPr>
        <w:t>增加222.27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32.46</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4.37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 0.47</w:t>
      </w:r>
      <w:r>
        <w:rPr>
          <w:rFonts w:hint="eastAsia" w:ascii="仿宋_GB2312" w:eastAsia="仿宋_GB2312"/>
          <w:color w:val="000000"/>
          <w:sz w:val="32"/>
          <w:szCs w:val="32"/>
        </w:rPr>
        <w:t>%。</w:t>
      </w:r>
    </w:p>
    <w:p>
      <w:pPr>
        <w:spacing w:line="600" w:lineRule="exact"/>
        <w:ind w:firstLine="630" w:firstLineChars="300"/>
        <w:rPr>
          <w:rFonts w:ascii="仿宋" w:eastAsia="仿宋"/>
          <w:color w:val="FF0000"/>
          <w:sz w:val="32"/>
          <w:szCs w:val="32"/>
          <w:lang w:val="en-US" w:eastAsia="zh-CN"/>
        </w:rPr>
      </w:pPr>
      <w:r>
        <w:drawing>
          <wp:anchor distT="0" distB="0" distL="114300" distR="114300" simplePos="0" relativeHeight="251659264" behindDoc="0" locked="0" layoutInCell="1" allowOverlap="1">
            <wp:simplePos x="0" y="0"/>
            <wp:positionH relativeFrom="column">
              <wp:posOffset>469265</wp:posOffset>
            </wp:positionH>
            <wp:positionV relativeFrom="paragraph">
              <wp:posOffset>73660</wp:posOffset>
            </wp:positionV>
            <wp:extent cx="4381500" cy="2971800"/>
            <wp:effectExtent l="4445" t="4445" r="18415" b="10795"/>
            <wp:wrapTopAndBottom/>
            <wp:docPr id="9" name="图表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Style w:val="19"/>
          <w:rFonts w:ascii="黑体" w:eastAsia="黑体"/>
          <w:b w:val="0"/>
        </w:rPr>
      </w:pPr>
      <w:bookmarkStart w:id="18" w:name="_Toc15377209"/>
      <w:bookmarkStart w:id="19" w:name="_Toc15396607"/>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18"/>
      <w:bookmarkEnd w:id="19"/>
    </w:p>
    <w:p>
      <w:pPr>
        <w:spacing w:line="600" w:lineRule="exact"/>
        <w:ind w:firstLine="640" w:firstLineChars="200"/>
        <w:rPr>
          <w:rFonts w:hint="eastAsia" w:ascii="仿宋_GB2312" w:eastAsia="仿宋_GB2312"/>
          <w:color w:val="000000"/>
          <w:sz w:val="32"/>
          <w:szCs w:val="32"/>
        </w:rPr>
      </w:pPr>
      <w:bookmarkStart w:id="20" w:name="_Toc15377214"/>
      <w:bookmarkStart w:id="21" w:name="_Toc15396608"/>
      <w:r>
        <w:rPr>
          <w:rFonts w:hint="eastAsia" w:ascii="仿宋_GB2312" w:eastAsia="仿宋_GB2312"/>
          <w:color w:val="000000"/>
          <w:sz w:val="32"/>
          <w:szCs w:val="32"/>
        </w:rPr>
        <w:t>（一）一般公共预算财政拨款支出决算总体情况</w:t>
      </w:r>
    </w:p>
    <w:p>
      <w:pPr>
        <w:spacing w:line="600" w:lineRule="exact"/>
        <w:ind w:firstLine="960" w:firstLineChars="30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年度一般公共预算财政拨款支出</w:t>
      </w:r>
      <w:r>
        <w:rPr>
          <w:rFonts w:hint="eastAsia" w:ascii="仿宋_GB2312" w:eastAsia="仿宋_GB2312"/>
          <w:color w:val="000000"/>
          <w:sz w:val="32"/>
          <w:szCs w:val="32"/>
          <w:lang w:val="en-US" w:eastAsia="zh-CN"/>
        </w:rPr>
        <w:t>907.53</w:t>
      </w:r>
      <w:r>
        <w:rPr>
          <w:rFonts w:hint="eastAsia" w:ascii="仿宋_GB2312" w:eastAsia="仿宋_GB2312"/>
          <w:color w:val="000000"/>
          <w:sz w:val="32"/>
          <w:szCs w:val="32"/>
        </w:rPr>
        <w:t>万元，占本年支出合计的100%。与201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年相比一般公共预算财政拨款支出</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4.37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 0.47</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（二）一般公共预算财政拨款支出决算结构情况</w:t>
      </w:r>
    </w:p>
    <w:p>
      <w:pPr>
        <w:spacing w:line="360" w:lineRule="auto"/>
        <w:ind w:firstLine="800" w:firstLineChars="250"/>
        <w:rPr>
          <w:rFonts w:hint="eastAsia" w:ascii="仿宋_GB2312" w:eastAsia="仿宋_GB2312"/>
          <w:color w:val="000000"/>
          <w:sz w:val="32"/>
          <w:szCs w:val="32"/>
          <w:highlight w:val="yellow"/>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907.53</w:t>
      </w:r>
      <w:r>
        <w:rPr>
          <w:rFonts w:hint="eastAsia" w:ascii="仿宋_GB2312" w:eastAsia="仿宋_GB2312"/>
          <w:color w:val="000000"/>
          <w:sz w:val="32"/>
          <w:szCs w:val="32"/>
        </w:rPr>
        <w:t>万元，主要用于以下方面</w:t>
      </w:r>
      <w:r>
        <w:rPr>
          <w:rFonts w:hint="eastAsia" w:ascii="仿宋_GB2312" w:eastAsia="仿宋_GB2312"/>
          <w:color w:val="000000"/>
          <w:sz w:val="32"/>
          <w:szCs w:val="32"/>
          <w:lang w:eastAsia="zh-CN"/>
        </w:rPr>
        <w:t>：</w:t>
      </w:r>
      <w:bookmarkStart w:id="34" w:name="_GoBack"/>
      <w:bookmarkEnd w:id="34"/>
      <w:r>
        <w:rPr>
          <w:rFonts w:hint="eastAsia" w:ascii="仿宋_GB2312" w:eastAsia="仿宋_GB2312"/>
          <w:color w:val="000000"/>
          <w:sz w:val="32"/>
          <w:szCs w:val="32"/>
        </w:rPr>
        <w:t>一般公共服务支出</w:t>
      </w:r>
      <w:r>
        <w:rPr>
          <w:rFonts w:hint="eastAsia" w:ascii="仿宋_GB2312" w:eastAsia="仿宋_GB2312"/>
          <w:color w:val="000000"/>
          <w:sz w:val="32"/>
          <w:szCs w:val="32"/>
          <w:lang w:val="en-US" w:eastAsia="zh-CN"/>
        </w:rPr>
        <w:t>358.54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占39.51%，文化旅游体育与传媒支出2.14万元，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0.23</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87.00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9.59</w:t>
      </w:r>
      <w:r>
        <w:rPr>
          <w:rFonts w:hint="eastAsia" w:ascii="仿宋_GB2312" w:eastAsia="仿宋_GB2312"/>
          <w:color w:val="000000"/>
          <w:sz w:val="32"/>
          <w:szCs w:val="32"/>
        </w:rPr>
        <w:t xml:space="preserve"> %；医疗卫生支出</w:t>
      </w:r>
      <w:r>
        <w:rPr>
          <w:rFonts w:hint="eastAsia" w:ascii="仿宋_GB2312" w:eastAsia="仿宋_GB2312"/>
          <w:color w:val="000000"/>
          <w:sz w:val="32"/>
          <w:szCs w:val="32"/>
          <w:lang w:val="en-US" w:eastAsia="zh-CN"/>
        </w:rPr>
        <w:t>38.44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3.95</w:t>
      </w:r>
      <w:r>
        <w:rPr>
          <w:rFonts w:hint="eastAsia" w:ascii="仿宋_GB2312" w:eastAsia="仿宋_GB2312"/>
          <w:color w:val="000000"/>
          <w:sz w:val="32"/>
          <w:szCs w:val="32"/>
        </w:rPr>
        <w:t>%；农林水支出</w:t>
      </w:r>
      <w:r>
        <w:rPr>
          <w:rFonts w:hint="eastAsia" w:ascii="仿宋_GB2312" w:eastAsia="仿宋_GB2312"/>
          <w:color w:val="000000"/>
          <w:sz w:val="32"/>
          <w:szCs w:val="32"/>
          <w:lang w:val="en-US" w:eastAsia="zh-CN"/>
        </w:rPr>
        <w:t>211.38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23.29</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39.77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4.38</w:t>
      </w:r>
      <w:r>
        <w:rPr>
          <w:rFonts w:hint="eastAsia" w:ascii="仿宋_GB2312" w:eastAsia="仿宋_GB2312"/>
          <w:color w:val="000000"/>
          <w:sz w:val="32"/>
          <w:szCs w:val="32"/>
        </w:rPr>
        <w:t>%；其他支出</w:t>
      </w:r>
      <w:r>
        <w:rPr>
          <w:rFonts w:hint="eastAsia" w:ascii="仿宋_GB2312" w:eastAsia="仿宋_GB2312"/>
          <w:color w:val="000000"/>
          <w:sz w:val="32"/>
          <w:szCs w:val="32"/>
          <w:lang w:val="en-US" w:eastAsia="zh-CN"/>
        </w:rPr>
        <w:t>170.26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18.76</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（三）一般公共预算财政拨款支出决算具体情况</w:t>
      </w:r>
    </w:p>
    <w:p>
      <w:pPr>
        <w:numPr>
          <w:ilvl w:val="0"/>
          <w:numId w:val="2"/>
        </w:numPr>
        <w:spacing w:line="600" w:lineRule="exact"/>
        <w:ind w:firstLine="643" w:firstLineChars="200"/>
        <w:rPr>
          <w:rStyle w:val="16"/>
          <w:rFonts w:hint="eastAsia" w:ascii="仿宋_GB2312" w:eastAsia="仿宋_GB2312"/>
          <w:b w:val="0"/>
          <w:color w:val="000000"/>
          <w:sz w:val="32"/>
          <w:szCs w:val="32"/>
        </w:rPr>
      </w:pPr>
      <w:r>
        <w:rPr>
          <w:rStyle w:val="16"/>
          <w:rFonts w:hint="eastAsia" w:ascii="仿宋_GB2312" w:eastAsia="仿宋_GB2312"/>
          <w:color w:val="000000"/>
          <w:sz w:val="32"/>
          <w:szCs w:val="32"/>
        </w:rPr>
        <w:t>一般公共服务（类）201（款）:</w:t>
      </w:r>
      <w:r>
        <w:rPr>
          <w:rStyle w:val="16"/>
          <w:rFonts w:hint="eastAsia" w:ascii="仿宋_GB2312" w:eastAsia="仿宋_GB2312"/>
          <w:b w:val="0"/>
          <w:color w:val="000000"/>
          <w:sz w:val="32"/>
          <w:szCs w:val="32"/>
        </w:rPr>
        <w:t xml:space="preserve"> 支出决算为</w:t>
      </w:r>
      <w:r>
        <w:rPr>
          <w:rFonts w:hint="eastAsia" w:ascii="仿宋_GB2312" w:eastAsia="仿宋_GB2312"/>
          <w:color w:val="000000"/>
          <w:sz w:val="32"/>
          <w:szCs w:val="32"/>
          <w:lang w:val="en-US" w:eastAsia="zh-CN"/>
        </w:rPr>
        <w:t>358.54</w:t>
      </w:r>
      <w:r>
        <w:rPr>
          <w:rStyle w:val="16"/>
          <w:rFonts w:hint="eastAsia" w:ascii="仿宋_GB2312" w:eastAsia="仿宋_GB2312"/>
          <w:b w:val="0"/>
          <w:color w:val="000000"/>
          <w:sz w:val="32"/>
          <w:szCs w:val="32"/>
        </w:rPr>
        <w:t>万元，完成预算100%。</w:t>
      </w:r>
    </w:p>
    <w:p>
      <w:pPr>
        <w:spacing w:line="600" w:lineRule="exact"/>
        <w:ind w:firstLine="643" w:firstLineChars="200"/>
        <w:rPr>
          <w:rFonts w:hint="eastAsia" w:ascii="仿宋_GB2312" w:eastAsia="仿宋_GB2312"/>
          <w:b/>
          <w:color w:val="000000"/>
          <w:sz w:val="32"/>
          <w:szCs w:val="32"/>
        </w:rPr>
      </w:pPr>
      <w:r>
        <w:rPr>
          <w:rStyle w:val="16"/>
          <w:rFonts w:hint="eastAsia" w:ascii="仿宋_GB2312" w:eastAsia="仿宋_GB2312"/>
          <w:color w:val="000000"/>
          <w:sz w:val="32"/>
          <w:szCs w:val="32"/>
        </w:rPr>
        <w:t>2.教育（类）***（款）:</w:t>
      </w:r>
      <w:r>
        <w:rPr>
          <w:rStyle w:val="16"/>
          <w:rFonts w:hint="eastAsia" w:ascii="仿宋_GB2312" w:eastAsia="仿宋_GB2312"/>
          <w:b w:val="0"/>
          <w:color w:val="000000"/>
          <w:sz w:val="32"/>
          <w:szCs w:val="32"/>
        </w:rPr>
        <w:t xml:space="preserve"> 支出决算为0万元，完成预算0%，决算数大于/小于预算数的主要原因是…。</w:t>
      </w:r>
    </w:p>
    <w:p>
      <w:pPr>
        <w:spacing w:line="600" w:lineRule="exact"/>
        <w:ind w:firstLine="643" w:firstLineChars="200"/>
        <w:rPr>
          <w:rFonts w:hint="eastAsia" w:ascii="仿宋_GB2312" w:eastAsia="仿宋_GB2312"/>
          <w:b/>
          <w:color w:val="000000"/>
          <w:sz w:val="32"/>
          <w:szCs w:val="32"/>
        </w:rPr>
      </w:pPr>
      <w:r>
        <w:rPr>
          <w:rStyle w:val="16"/>
          <w:rFonts w:hint="eastAsia" w:ascii="仿宋_GB2312" w:eastAsia="仿宋_GB2312"/>
          <w:color w:val="000000"/>
          <w:sz w:val="32"/>
          <w:szCs w:val="32"/>
        </w:rPr>
        <w:t>3.科学技术（类）***（款）:</w:t>
      </w:r>
      <w:r>
        <w:rPr>
          <w:rStyle w:val="16"/>
          <w:rFonts w:hint="eastAsia" w:ascii="仿宋_GB2312" w:eastAsia="仿宋_GB2312"/>
          <w:b w:val="0"/>
          <w:color w:val="000000"/>
          <w:sz w:val="32"/>
          <w:szCs w:val="32"/>
        </w:rPr>
        <w:t xml:space="preserve"> 支出决算为0万元，完成预算0%，决算数大于/小于预算数的主要原因是…。</w:t>
      </w:r>
    </w:p>
    <w:p>
      <w:pPr>
        <w:spacing w:line="600" w:lineRule="exact"/>
        <w:ind w:firstLine="643" w:firstLineChars="200"/>
        <w:rPr>
          <w:rStyle w:val="16"/>
          <w:rFonts w:hint="eastAsia" w:ascii="仿宋_GB2312" w:eastAsia="仿宋_GB2312"/>
          <w:b w:val="0"/>
          <w:color w:val="000000"/>
          <w:sz w:val="32"/>
          <w:szCs w:val="32"/>
        </w:rPr>
      </w:pPr>
      <w:r>
        <w:rPr>
          <w:rStyle w:val="16"/>
          <w:rFonts w:hint="eastAsia" w:ascii="仿宋_GB2312" w:eastAsia="仿宋_GB2312"/>
          <w:color w:val="000000"/>
          <w:sz w:val="32"/>
          <w:szCs w:val="32"/>
        </w:rPr>
        <w:t>4.文化体育与传媒（类）***（款）:</w:t>
      </w:r>
      <w:r>
        <w:rPr>
          <w:rStyle w:val="16"/>
          <w:rFonts w:hint="eastAsia" w:ascii="仿宋_GB2312" w:eastAsia="仿宋_GB2312"/>
          <w:b w:val="0"/>
          <w:color w:val="000000"/>
          <w:sz w:val="32"/>
          <w:szCs w:val="32"/>
        </w:rPr>
        <w:t xml:space="preserve"> 支出决算为</w:t>
      </w:r>
      <w:r>
        <w:rPr>
          <w:rFonts w:hint="eastAsia" w:ascii="仿宋_GB2312" w:eastAsia="仿宋_GB2312"/>
          <w:color w:val="000000"/>
          <w:sz w:val="32"/>
          <w:szCs w:val="32"/>
          <w:lang w:val="en-US" w:eastAsia="zh-CN"/>
        </w:rPr>
        <w:t>2.14</w:t>
      </w:r>
      <w:r>
        <w:rPr>
          <w:rStyle w:val="16"/>
          <w:rFonts w:hint="eastAsia" w:ascii="仿宋_GB2312" w:eastAsia="仿宋_GB2312"/>
          <w:b w:val="0"/>
          <w:color w:val="000000"/>
          <w:sz w:val="32"/>
          <w:szCs w:val="32"/>
        </w:rPr>
        <w:t>万元，完成预算100%。</w:t>
      </w:r>
    </w:p>
    <w:p>
      <w:pPr>
        <w:spacing w:line="600" w:lineRule="exact"/>
        <w:ind w:firstLine="643" w:firstLineChars="200"/>
        <w:rPr>
          <w:rStyle w:val="16"/>
          <w:rFonts w:hint="eastAsia" w:ascii="仿宋_GB2312" w:eastAsia="仿宋_GB2312"/>
          <w:b w:val="0"/>
          <w:color w:val="000000"/>
          <w:sz w:val="32"/>
          <w:szCs w:val="32"/>
        </w:rPr>
      </w:pPr>
      <w:r>
        <w:rPr>
          <w:rStyle w:val="16"/>
          <w:rFonts w:hint="eastAsia" w:ascii="仿宋_GB2312" w:eastAsia="仿宋_GB2312"/>
          <w:color w:val="000000"/>
          <w:sz w:val="32"/>
          <w:szCs w:val="32"/>
        </w:rPr>
        <w:t xml:space="preserve"> 5.社会保障和就业（类）208（款）:</w:t>
      </w:r>
      <w:r>
        <w:rPr>
          <w:rStyle w:val="16"/>
          <w:rFonts w:hint="eastAsia" w:ascii="仿宋_GB2312" w:eastAsia="仿宋_GB2312"/>
          <w:b w:val="0"/>
          <w:color w:val="000000"/>
          <w:sz w:val="32"/>
          <w:szCs w:val="32"/>
        </w:rPr>
        <w:t xml:space="preserve"> 支出决算为</w:t>
      </w:r>
      <w:r>
        <w:rPr>
          <w:rFonts w:hint="eastAsia" w:ascii="仿宋_GB2312" w:eastAsia="仿宋_GB2312"/>
          <w:color w:val="000000"/>
          <w:sz w:val="32"/>
          <w:szCs w:val="32"/>
          <w:lang w:val="en-US" w:eastAsia="zh-CN"/>
        </w:rPr>
        <w:t>87.00</w:t>
      </w:r>
      <w:r>
        <w:rPr>
          <w:rStyle w:val="16"/>
          <w:rFonts w:hint="eastAsia" w:ascii="仿宋_GB2312" w:eastAsia="仿宋_GB2312"/>
          <w:b w:val="0"/>
          <w:color w:val="000000"/>
          <w:sz w:val="32"/>
          <w:szCs w:val="32"/>
        </w:rPr>
        <w:t>万元，完成预算100%。</w:t>
      </w:r>
    </w:p>
    <w:p>
      <w:pPr>
        <w:spacing w:line="600" w:lineRule="exact"/>
        <w:ind w:firstLine="643" w:firstLineChars="200"/>
        <w:rPr>
          <w:rStyle w:val="16"/>
          <w:rFonts w:hint="eastAsia" w:ascii="仿宋_GB2312" w:eastAsia="仿宋_GB2312"/>
          <w:b w:val="0"/>
          <w:color w:val="000000"/>
          <w:sz w:val="32"/>
          <w:szCs w:val="32"/>
        </w:rPr>
      </w:pPr>
      <w:r>
        <w:rPr>
          <w:rStyle w:val="16"/>
          <w:rFonts w:hint="eastAsia" w:ascii="仿宋_GB2312" w:eastAsia="仿宋_GB2312"/>
          <w:color w:val="000000"/>
          <w:sz w:val="32"/>
          <w:szCs w:val="32"/>
        </w:rPr>
        <w:t>6.医疗卫生与计划生育（类）210（款）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w:t>
      </w:r>
      <w:r>
        <w:rPr>
          <w:rFonts w:hint="eastAsia" w:ascii="仿宋_GB2312" w:eastAsia="仿宋_GB2312"/>
          <w:color w:val="000000"/>
          <w:sz w:val="32"/>
          <w:szCs w:val="32"/>
          <w:lang w:val="en-US" w:eastAsia="zh-CN"/>
        </w:rPr>
        <w:t>38.44</w:t>
      </w:r>
      <w:r>
        <w:rPr>
          <w:rStyle w:val="16"/>
          <w:rFonts w:hint="eastAsia" w:ascii="仿宋_GB2312" w:eastAsia="仿宋_GB2312"/>
          <w:b w:val="0"/>
          <w:color w:val="000000"/>
          <w:sz w:val="32"/>
          <w:szCs w:val="32"/>
        </w:rPr>
        <w:t>万元，完成预算100%。</w:t>
      </w:r>
    </w:p>
    <w:p>
      <w:pPr>
        <w:spacing w:line="600" w:lineRule="exact"/>
        <w:ind w:firstLine="643" w:firstLineChars="200"/>
        <w:rPr>
          <w:rStyle w:val="16"/>
          <w:rFonts w:hint="eastAsia" w:ascii="仿宋_GB2312" w:eastAsia="仿宋_GB2312"/>
          <w:b w:val="0"/>
          <w:color w:val="000000"/>
          <w:sz w:val="32"/>
          <w:szCs w:val="32"/>
        </w:rPr>
      </w:pPr>
      <w:r>
        <w:rPr>
          <w:rStyle w:val="16"/>
          <w:rFonts w:hint="eastAsia" w:ascii="仿宋_GB2312" w:eastAsia="仿宋_GB2312"/>
          <w:color w:val="000000"/>
          <w:sz w:val="32"/>
          <w:szCs w:val="32"/>
        </w:rPr>
        <w:t>7.农林水支出（类）213（款）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w:t>
      </w:r>
      <w:r>
        <w:rPr>
          <w:rFonts w:hint="eastAsia" w:ascii="仿宋_GB2312" w:eastAsia="仿宋_GB2312"/>
          <w:color w:val="000000"/>
          <w:sz w:val="32"/>
          <w:szCs w:val="32"/>
          <w:lang w:val="en-US" w:eastAsia="zh-CN"/>
        </w:rPr>
        <w:t>211.38</w:t>
      </w:r>
      <w:r>
        <w:rPr>
          <w:rStyle w:val="16"/>
          <w:rFonts w:hint="eastAsia" w:ascii="仿宋_GB2312" w:eastAsia="仿宋_GB2312"/>
          <w:b w:val="0"/>
          <w:color w:val="000000"/>
          <w:sz w:val="32"/>
          <w:szCs w:val="32"/>
        </w:rPr>
        <w:t>万元，完成预算100%。</w:t>
      </w:r>
    </w:p>
    <w:p>
      <w:pPr>
        <w:spacing w:line="600" w:lineRule="exact"/>
        <w:ind w:firstLine="643" w:firstLineChars="200"/>
        <w:rPr>
          <w:rStyle w:val="16"/>
          <w:rFonts w:hint="eastAsia" w:ascii="仿宋_GB2312" w:eastAsia="仿宋_GB2312"/>
          <w:b w:val="0"/>
          <w:color w:val="000000"/>
          <w:sz w:val="32"/>
          <w:szCs w:val="32"/>
        </w:rPr>
      </w:pPr>
      <w:r>
        <w:rPr>
          <w:rStyle w:val="16"/>
          <w:rFonts w:hint="eastAsia" w:ascii="仿宋_GB2312" w:eastAsia="仿宋_GB2312"/>
          <w:color w:val="000000"/>
          <w:sz w:val="32"/>
          <w:szCs w:val="32"/>
        </w:rPr>
        <w:t>8.住房保障支出（类）221（款）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w:t>
      </w:r>
      <w:r>
        <w:rPr>
          <w:rFonts w:hint="eastAsia" w:ascii="仿宋_GB2312" w:eastAsia="仿宋_GB2312"/>
          <w:color w:val="000000"/>
          <w:sz w:val="32"/>
          <w:szCs w:val="32"/>
          <w:lang w:val="en-US" w:eastAsia="zh-CN"/>
        </w:rPr>
        <w:t>39.77</w:t>
      </w:r>
      <w:r>
        <w:rPr>
          <w:rStyle w:val="16"/>
          <w:rFonts w:hint="eastAsia" w:ascii="仿宋_GB2312" w:eastAsia="仿宋_GB2312"/>
          <w:b w:val="0"/>
          <w:color w:val="000000"/>
          <w:sz w:val="32"/>
          <w:szCs w:val="32"/>
        </w:rPr>
        <w:t>万元，完成预算100%。</w:t>
      </w:r>
    </w:p>
    <w:p>
      <w:pPr>
        <w:spacing w:line="600" w:lineRule="exact"/>
        <w:ind w:firstLine="643" w:firstLineChars="200"/>
        <w:rPr>
          <w:rStyle w:val="16"/>
          <w:rFonts w:hint="eastAsia" w:ascii="仿宋_GB2312" w:eastAsia="仿宋_GB2312"/>
          <w:b w:val="0"/>
          <w:color w:val="000000"/>
          <w:sz w:val="32"/>
          <w:szCs w:val="32"/>
        </w:rPr>
      </w:pPr>
      <w:r>
        <w:rPr>
          <w:rStyle w:val="16"/>
          <w:rFonts w:hint="eastAsia" w:ascii="仿宋_GB2312" w:eastAsia="仿宋_GB2312"/>
          <w:color w:val="000000"/>
          <w:sz w:val="32"/>
          <w:szCs w:val="32"/>
        </w:rPr>
        <w:t>9.其他支出（类）229（款）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w:t>
      </w:r>
      <w:r>
        <w:rPr>
          <w:rFonts w:hint="eastAsia" w:ascii="仿宋_GB2312" w:eastAsia="仿宋_GB2312"/>
          <w:color w:val="000000"/>
          <w:sz w:val="32"/>
          <w:szCs w:val="32"/>
          <w:lang w:val="en-US" w:eastAsia="zh-CN"/>
        </w:rPr>
        <w:t>170.26</w:t>
      </w:r>
      <w:r>
        <w:rPr>
          <w:rStyle w:val="16"/>
          <w:rFonts w:hint="eastAsia" w:ascii="仿宋_GB2312" w:eastAsia="仿宋_GB2312"/>
          <w:b w:val="0"/>
          <w:color w:val="000000"/>
          <w:sz w:val="32"/>
          <w:szCs w:val="32"/>
        </w:rPr>
        <w:t>万元，完成预算100%。</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20"/>
      <w:bookmarkEnd w:id="21"/>
      <w:r>
        <w:rPr>
          <w:rStyle w:val="19"/>
          <w:rFonts w:ascii="黑体" w:eastAsia="黑体"/>
          <w:b w:val="0"/>
        </w:rPr>
        <w:tab/>
      </w:r>
    </w:p>
    <w:p>
      <w:pPr>
        <w:spacing w:line="600" w:lineRule="exact"/>
        <w:ind w:firstLine="645"/>
        <w:rPr>
          <w:rFonts w:hint="eastAsia" w:ascii="仿宋_GB2312" w:eastAsia="仿宋_GB2312"/>
          <w:color w:val="000000"/>
          <w:sz w:val="32"/>
          <w:szCs w:val="32"/>
          <w:lang w:eastAsia="zh-CN"/>
        </w:rPr>
      </w:pPr>
      <w:bookmarkStart w:id="22" w:name="_Toc15396609"/>
      <w:bookmarkStart w:id="23" w:name="_Toc15377215"/>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529.88</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95.37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138.92</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7.65</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29.47</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35.86</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19.15</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5.25</w:t>
      </w:r>
      <w:r>
        <w:rPr>
          <w:rFonts w:hint="eastAsia" w:ascii="仿宋_GB2312" w:eastAsia="仿宋_GB2312"/>
          <w:color w:val="000000"/>
          <w:sz w:val="32"/>
          <w:szCs w:val="32"/>
        </w:rPr>
        <w:t>元，职工医疗保险</w:t>
      </w:r>
      <w:r>
        <w:rPr>
          <w:rFonts w:hint="eastAsia" w:ascii="仿宋_GB2312" w:eastAsia="仿宋_GB2312"/>
          <w:color w:val="000000"/>
          <w:sz w:val="32"/>
          <w:szCs w:val="32"/>
          <w:lang w:val="en-US" w:eastAsia="zh-CN"/>
        </w:rPr>
        <w:t>20.40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公务员医疗补助4.53万元，</w:t>
      </w:r>
      <w:r>
        <w:rPr>
          <w:rFonts w:hint="eastAsia" w:ascii="仿宋_GB2312" w:eastAsia="仿宋_GB2312"/>
          <w:color w:val="000000"/>
          <w:sz w:val="32"/>
          <w:szCs w:val="32"/>
        </w:rPr>
        <w:t>其他工资福利支出0万元，离休费0万元，退休费0万元，抚恤金</w:t>
      </w:r>
      <w:r>
        <w:rPr>
          <w:rFonts w:hint="eastAsia" w:ascii="仿宋_GB2312" w:eastAsia="仿宋_GB2312"/>
          <w:color w:val="000000"/>
          <w:sz w:val="32"/>
          <w:szCs w:val="32"/>
          <w:lang w:val="en-US" w:eastAsia="zh-CN"/>
        </w:rPr>
        <w:t>26.10</w:t>
      </w:r>
      <w:r>
        <w:rPr>
          <w:rFonts w:hint="eastAsia" w:ascii="仿宋_GB2312" w:eastAsia="仿宋_GB2312"/>
          <w:color w:val="000000"/>
          <w:sz w:val="32"/>
          <w:szCs w:val="32"/>
        </w:rPr>
        <w:t>万元，生活补助</w:t>
      </w:r>
      <w:r>
        <w:rPr>
          <w:rFonts w:hint="eastAsia" w:ascii="仿宋_GB2312" w:eastAsia="仿宋_GB2312"/>
          <w:color w:val="000000"/>
          <w:sz w:val="32"/>
          <w:szCs w:val="32"/>
          <w:lang w:val="en-US" w:eastAsia="zh-CN"/>
        </w:rPr>
        <w:t>11.37</w:t>
      </w:r>
      <w:r>
        <w:rPr>
          <w:rFonts w:hint="eastAsia" w:ascii="仿宋_GB2312" w:eastAsia="仿宋_GB2312"/>
          <w:color w:val="000000"/>
          <w:sz w:val="32"/>
          <w:szCs w:val="32"/>
        </w:rPr>
        <w:t>万元，医疗费</w:t>
      </w:r>
      <w:r>
        <w:rPr>
          <w:rFonts w:hint="eastAsia" w:ascii="仿宋_GB2312" w:eastAsia="仿宋_GB2312"/>
          <w:color w:val="000000"/>
          <w:sz w:val="32"/>
          <w:szCs w:val="32"/>
          <w:lang w:eastAsia="zh-CN"/>
        </w:rPr>
        <w:t>，</w:t>
      </w:r>
      <w:r>
        <w:rPr>
          <w:rFonts w:hint="eastAsia" w:ascii="仿宋_GB2312" w:eastAsia="仿宋_GB2312"/>
          <w:color w:val="000000"/>
          <w:sz w:val="32"/>
          <w:szCs w:val="32"/>
        </w:rPr>
        <w:t>0万元，奖励金</w:t>
      </w:r>
      <w:r>
        <w:rPr>
          <w:rFonts w:hint="eastAsia" w:ascii="仿宋_GB2312" w:eastAsia="仿宋_GB2312"/>
          <w:color w:val="000000"/>
          <w:sz w:val="32"/>
          <w:szCs w:val="32"/>
          <w:lang w:val="en-US" w:eastAsia="zh-CN"/>
        </w:rPr>
        <w:t>96.05万元</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39.77万元</w:t>
      </w:r>
      <w:r>
        <w:rPr>
          <w:rFonts w:hint="eastAsia" w:ascii="仿宋_GB2312" w:eastAsia="仿宋_GB2312"/>
          <w:color w:val="000000"/>
          <w:sz w:val="32"/>
          <w:szCs w:val="32"/>
        </w:rPr>
        <w:t>，提租补贴0万元、购房补贴0万元、其他对个人和家庭的补助支出等。</w:t>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　　公用经费</w:t>
      </w:r>
      <w:r>
        <w:rPr>
          <w:rFonts w:hint="eastAsia" w:ascii="仿宋_GB2312" w:eastAsia="仿宋_GB2312"/>
          <w:color w:val="000000"/>
          <w:sz w:val="32"/>
          <w:szCs w:val="32"/>
          <w:lang w:val="en-US" w:eastAsia="zh-CN"/>
        </w:rPr>
        <w:t>33.08</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4.68</w:t>
      </w:r>
      <w:r>
        <w:rPr>
          <w:rFonts w:hint="eastAsia" w:ascii="仿宋_GB2312" w:eastAsia="仿宋_GB2312"/>
          <w:color w:val="000000"/>
          <w:sz w:val="32"/>
          <w:szCs w:val="32"/>
        </w:rPr>
        <w:t>万元，印刷</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万元，咨询费、手续费、水费、电费</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3.16</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万元，物业管理费0万元，差旅</w:t>
      </w:r>
      <w:r>
        <w:rPr>
          <w:rFonts w:hint="eastAsia" w:ascii="仿宋_GB2312" w:eastAsia="仿宋_GB2312"/>
          <w:color w:val="000000"/>
          <w:sz w:val="32"/>
          <w:szCs w:val="32"/>
          <w:lang w:val="en-US" w:eastAsia="zh-CN"/>
        </w:rPr>
        <w:t>3.84</w:t>
      </w:r>
      <w:r>
        <w:rPr>
          <w:rFonts w:hint="eastAsia" w:ascii="仿宋_GB2312" w:eastAsia="仿宋_GB2312"/>
          <w:color w:val="000000"/>
          <w:sz w:val="32"/>
          <w:szCs w:val="32"/>
        </w:rPr>
        <w:t>万元，因公出国（境）费用0万元，维修（护）费0万元，租赁费0万元，会议费0万元，培训费0万元，公务接待费0万元，劳务费</w:t>
      </w:r>
      <w:r>
        <w:rPr>
          <w:rFonts w:hint="eastAsia" w:ascii="仿宋_GB2312" w:eastAsia="仿宋_GB2312"/>
          <w:color w:val="000000"/>
          <w:sz w:val="32"/>
          <w:szCs w:val="32"/>
          <w:lang w:val="en-US" w:eastAsia="zh-CN"/>
        </w:rPr>
        <w:t>7.32</w:t>
      </w:r>
      <w:r>
        <w:rPr>
          <w:rFonts w:hint="eastAsia" w:ascii="仿宋_GB2312" w:eastAsia="仿宋_GB2312"/>
          <w:color w:val="000000"/>
          <w:sz w:val="32"/>
          <w:szCs w:val="32"/>
        </w:rPr>
        <w:t>万元，委托业务费0万元工会经费0万元，福利费0万元，公务用车运行维护费</w:t>
      </w:r>
      <w:r>
        <w:rPr>
          <w:rFonts w:hint="eastAsia" w:ascii="仿宋_GB2312" w:eastAsia="仿宋_GB2312"/>
          <w:color w:val="000000"/>
          <w:sz w:val="32"/>
          <w:szCs w:val="32"/>
          <w:lang w:val="en-US" w:eastAsia="zh-CN"/>
        </w:rPr>
        <w:t>6.17</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万元，税金及附加费用0万元，其他商品和服务支出0</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万元，办公设备购置0万元，公务用车购置</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万元，信息网络及软件购置更新0万元，其他资本性支出0万元。</w:t>
      </w:r>
    </w:p>
    <w:p>
      <w:pPr>
        <w:spacing w:line="600" w:lineRule="exact"/>
        <w:ind w:firstLine="645"/>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项目支出</w:t>
      </w:r>
      <w:r>
        <w:rPr>
          <w:rFonts w:hint="eastAsia" w:ascii="仿宋_GB2312" w:eastAsia="仿宋_GB2312"/>
          <w:color w:val="000000"/>
          <w:sz w:val="32"/>
          <w:szCs w:val="32"/>
          <w:lang w:val="en-US" w:eastAsia="zh-CN"/>
        </w:rPr>
        <w:t>344.56万元，</w:t>
      </w:r>
      <w:r>
        <w:rPr>
          <w:rFonts w:hint="eastAsia" w:ascii="仿宋_GB2312" w:eastAsia="仿宋_GB2312"/>
          <w:color w:val="000000"/>
          <w:sz w:val="32"/>
          <w:szCs w:val="32"/>
        </w:rPr>
        <w:t>主要包括</w:t>
      </w:r>
      <w:r>
        <w:rPr>
          <w:rFonts w:hint="eastAsia" w:ascii="仿宋_GB2312" w:eastAsia="仿宋_GB2312"/>
          <w:color w:val="000000"/>
          <w:sz w:val="32"/>
          <w:szCs w:val="32"/>
          <w:lang w:eastAsia="zh-CN"/>
        </w:rPr>
        <w:t>：人大会议经费</w:t>
      </w:r>
      <w:r>
        <w:rPr>
          <w:rFonts w:hint="eastAsia" w:ascii="仿宋_GB2312" w:eastAsia="仿宋_GB2312"/>
          <w:color w:val="000000"/>
          <w:sz w:val="32"/>
          <w:szCs w:val="32"/>
          <w:lang w:val="en-US" w:eastAsia="zh-CN"/>
        </w:rPr>
        <w:t>0.58万元</w:t>
      </w:r>
      <w:r>
        <w:rPr>
          <w:rFonts w:hint="eastAsia" w:ascii="仿宋_GB2312" w:eastAsia="仿宋_GB2312"/>
          <w:color w:val="000000"/>
          <w:sz w:val="32"/>
          <w:szCs w:val="32"/>
          <w:lang w:eastAsia="zh-CN"/>
        </w:rPr>
        <w:t>，人大代表经费</w:t>
      </w:r>
      <w:r>
        <w:rPr>
          <w:rFonts w:hint="eastAsia" w:ascii="仿宋_GB2312" w:eastAsia="仿宋_GB2312"/>
          <w:color w:val="000000"/>
          <w:sz w:val="32"/>
          <w:szCs w:val="32"/>
          <w:lang w:val="en-US" w:eastAsia="zh-CN"/>
        </w:rPr>
        <w:t>2.8万元，放映元生活补助2.14万元，基层政权建设和社区治理32万元，突发公共卫生事件应急处理13.5万元，对村民委员会和村党支部的补助123.86万元（其中：生活补助68.86万元，公务费55万元），其他支出170.26（其中：三老干补助4.54万元，项目支出165.72万元）。</w:t>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22"/>
      <w:bookmarkEnd w:id="23"/>
    </w:p>
    <w:p>
      <w:pPr>
        <w:spacing w:line="600" w:lineRule="exact"/>
        <w:ind w:firstLine="640"/>
        <w:rPr>
          <w:rFonts w:hint="eastAsia" w:ascii="仿宋_GB2312" w:eastAsia="仿宋_GB2312"/>
          <w:b/>
          <w:color w:val="000000"/>
          <w:sz w:val="32"/>
          <w:szCs w:val="32"/>
        </w:rPr>
      </w:pPr>
      <w:bookmarkStart w:id="24" w:name="_Toc15377218"/>
      <w:bookmarkStart w:id="25" w:name="_Toc15396610"/>
      <w:r>
        <w:rPr>
          <w:rFonts w:hint="eastAsia" w:ascii="仿宋_GB2312" w:eastAsia="仿宋_GB2312"/>
          <w:b/>
          <w:color w:val="000000"/>
          <w:sz w:val="32"/>
          <w:szCs w:val="32"/>
        </w:rPr>
        <w:t>（一）“三公”经费财政拨款支出决算总体情况说明</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年度“三公”经费财政拨款支出决算为</w:t>
      </w:r>
      <w:r>
        <w:rPr>
          <w:rFonts w:hint="eastAsia" w:ascii="仿宋_GB2312" w:eastAsia="仿宋_GB2312"/>
          <w:color w:val="000000"/>
          <w:sz w:val="32"/>
          <w:szCs w:val="32"/>
          <w:lang w:val="en-US" w:eastAsia="zh-CN"/>
        </w:rPr>
        <w:t>6.17</w:t>
      </w:r>
      <w:r>
        <w:rPr>
          <w:rFonts w:hint="eastAsia" w:ascii="仿宋_GB2312" w:eastAsia="仿宋_GB2312"/>
          <w:color w:val="000000"/>
          <w:sz w:val="32"/>
          <w:szCs w:val="32"/>
        </w:rPr>
        <w:t>万元，完成预算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%，节约开支公务接待费未开支。</w:t>
      </w:r>
    </w:p>
    <w:p>
      <w:pPr>
        <w:spacing w:line="60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（二）“三公”经费财政拨款支出决算具体情况说明</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年度“三公”经费财政拨款支出决算中，因公出国（境）费支出决算0万元，占0%；公务用车购置及运行维护费支出决算</w:t>
      </w:r>
      <w:r>
        <w:rPr>
          <w:rFonts w:hint="eastAsia" w:ascii="仿宋_GB2312" w:eastAsia="仿宋_GB2312"/>
          <w:color w:val="000000"/>
          <w:sz w:val="32"/>
          <w:szCs w:val="32"/>
          <w:lang w:val="en-US" w:eastAsia="zh-CN"/>
        </w:rPr>
        <w:t>6.17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%；公务接待费支出决算0万元，占0%。具体情况如下：</w:t>
      </w:r>
    </w:p>
    <w:p>
      <w:pPr>
        <w:spacing w:line="60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0万元，全年安排因公出国（境）团组0次，出国（境）0人。因公出国（境）支出决算20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年0万元</w:t>
      </w:r>
    </w:p>
    <w:p>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b/>
          <w:color w:val="000000"/>
          <w:sz w:val="32"/>
          <w:szCs w:val="32"/>
          <w:lang w:val="en-US" w:eastAsia="zh-CN"/>
        </w:rPr>
        <w:t>6.17</w:t>
      </w:r>
      <w:r>
        <w:rPr>
          <w:rFonts w:hint="eastAsia" w:ascii="仿宋_GB2312" w:eastAsia="仿宋_GB2312"/>
          <w:color w:val="000000"/>
          <w:sz w:val="32"/>
          <w:szCs w:val="32"/>
        </w:rPr>
        <w:t>万元。其中：</w:t>
      </w:r>
    </w:p>
    <w:p>
      <w:pPr>
        <w:spacing w:line="600" w:lineRule="exact"/>
        <w:ind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辆，其中：轿车0辆、金额0万元，越野车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万元，载客汽车0辆、金额0万元，主要用于下村公务派车。截至2018年12月底，单位共有公务用车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辆，其中：轿车0辆、越野车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辆、载客汽0辆。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6.17</w:t>
      </w:r>
      <w:r>
        <w:rPr>
          <w:rFonts w:hint="eastAsia" w:ascii="仿宋_GB2312" w:eastAsia="仿宋_GB2312"/>
          <w:color w:val="000000"/>
          <w:sz w:val="32"/>
          <w:szCs w:val="32"/>
        </w:rPr>
        <w:t>万元。主要用于下村</w:t>
      </w:r>
      <w:r>
        <w:rPr>
          <w:rFonts w:hint="eastAsia" w:ascii="仿宋_GB2312" w:eastAsia="仿宋_GB2312"/>
          <w:color w:val="000000"/>
          <w:sz w:val="32"/>
          <w:szCs w:val="32"/>
          <w:lang w:eastAsia="zh-CN"/>
        </w:rPr>
        <w:t>、开展精准脱贫工作、防汛、畜牧</w:t>
      </w:r>
      <w:r>
        <w:rPr>
          <w:rFonts w:hint="eastAsia" w:ascii="仿宋_GB2312" w:eastAsia="仿宋_GB2312"/>
          <w:color w:val="000000"/>
          <w:sz w:val="32"/>
          <w:szCs w:val="32"/>
        </w:rPr>
        <w:t>（具体工作）等所需的公务用车燃料费、维修费、过路过桥费、保险费等支出。</w:t>
      </w:r>
    </w:p>
    <w:p>
      <w:pPr>
        <w:spacing w:line="240" w:lineRule="auto"/>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公务用车购置及运行维护费支出决算比20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减少0.33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减少5.07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节约开支。</w:t>
      </w:r>
      <w:r>
        <w:rPr>
          <w:rFonts w:hint="eastAsia" w:ascii="宋体" w:hAnsi="宋体" w:cs="宋体"/>
          <w:color w:val="000000"/>
          <w:kern w:val="0"/>
          <w:sz w:val="24"/>
          <w:lang w:bidi="ar"/>
        </w:rPr>
        <w:drawing>
          <wp:anchor distT="0" distB="0" distL="114300" distR="114300" simplePos="0" relativeHeight="251664384" behindDoc="0" locked="0" layoutInCell="1" allowOverlap="1">
            <wp:simplePos x="0" y="0"/>
            <wp:positionH relativeFrom="column">
              <wp:posOffset>1309370</wp:posOffset>
            </wp:positionH>
            <wp:positionV relativeFrom="paragraph">
              <wp:posOffset>7075170</wp:posOffset>
            </wp:positionV>
            <wp:extent cx="4381500" cy="2887345"/>
            <wp:effectExtent l="0" t="0" r="7620" b="8255"/>
            <wp:wrapNone/>
            <wp:docPr id="3" name="图表_9"/>
            <wp:cNvGraphicFramePr/>
            <a:graphic xmlns:a="http://schemas.openxmlformats.org/drawingml/2006/main">
              <a:graphicData uri="http://schemas.openxmlformats.org/drawingml/2006/picture">
                <pic:pic xmlns:pic="http://schemas.openxmlformats.org/drawingml/2006/picture">
                  <pic:nvPicPr>
                    <pic:cNvPr id="3" name="图表_9"/>
                    <pic:cNvPicPr/>
                  </pic:nvPicPr>
                  <pic:blipFill>
                    <a:blip r:embed="rId11"/>
                    <a:stretch>
                      <a:fillRect/>
                    </a:stretch>
                  </pic:blipFill>
                  <pic:spPr>
                    <a:xfrm>
                      <a:off x="0" y="0"/>
                      <a:ext cx="4381500" cy="2887345"/>
                    </a:xfrm>
                    <a:prstGeom prst="rect">
                      <a:avLst/>
                    </a:prstGeom>
                    <a:noFill/>
                    <a:ln>
                      <a:noFill/>
                    </a:ln>
                  </pic:spPr>
                </pic:pic>
              </a:graphicData>
            </a:graphic>
          </wp:anchor>
        </w:drawing>
      </w:r>
    </w:p>
    <w:p>
      <w:pPr>
        <w:spacing w:line="600" w:lineRule="exact"/>
        <w:ind w:firstLine="640"/>
        <w:rPr>
          <w:rFonts w:hint="default" w:ascii="仿宋_GB2312" w:eastAsia="仿宋_GB2312"/>
          <w:b/>
          <w:color w:val="000000"/>
          <w:sz w:val="32"/>
          <w:szCs w:val="32"/>
          <w:lang w:val="en-US" w:eastAsia="zh-CN"/>
        </w:rPr>
      </w:pPr>
      <w:r>
        <w:rPr>
          <w:rFonts w:hint="eastAsia" w:ascii="宋体" w:hAnsi="宋体" w:cs="宋体"/>
          <w:color w:val="000000"/>
          <w:kern w:val="0"/>
          <w:sz w:val="24"/>
          <w:lang w:bidi="ar"/>
        </w:rPr>
        <w:drawing>
          <wp:anchor distT="0" distB="0" distL="114300" distR="114300" simplePos="0" relativeHeight="251665408" behindDoc="0" locked="0" layoutInCell="1" allowOverlap="1">
            <wp:simplePos x="0" y="0"/>
            <wp:positionH relativeFrom="column">
              <wp:posOffset>480060</wp:posOffset>
            </wp:positionH>
            <wp:positionV relativeFrom="paragraph">
              <wp:posOffset>289560</wp:posOffset>
            </wp:positionV>
            <wp:extent cx="4413250" cy="2901950"/>
            <wp:effectExtent l="0" t="0" r="6350" b="8890"/>
            <wp:wrapSquare wrapText="bothSides"/>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4413250" cy="2901950"/>
                    </a:xfrm>
                    <a:prstGeom prst="rect">
                      <a:avLst/>
                    </a:prstGeom>
                  </pic:spPr>
                </pic:pic>
              </a:graphicData>
            </a:graphic>
          </wp:anchor>
        </w:drawing>
      </w:r>
      <w:r>
        <w:rPr>
          <w:rFonts w:hint="eastAsia" w:ascii="宋体" w:hAnsi="宋体" w:cs="宋体"/>
          <w:color w:val="000000"/>
          <w:kern w:val="0"/>
          <w:sz w:val="24"/>
          <w:lang w:bidi="ar"/>
        </w:rPr>
        <w:drawing>
          <wp:anchor distT="0" distB="0" distL="114300" distR="114300" simplePos="0" relativeHeight="251663360" behindDoc="0" locked="0" layoutInCell="1" allowOverlap="1">
            <wp:simplePos x="0" y="0"/>
            <wp:positionH relativeFrom="column">
              <wp:posOffset>1461770</wp:posOffset>
            </wp:positionH>
            <wp:positionV relativeFrom="paragraph">
              <wp:posOffset>7227570</wp:posOffset>
            </wp:positionV>
            <wp:extent cx="4381500" cy="2887345"/>
            <wp:effectExtent l="0" t="0" r="7620" b="8255"/>
            <wp:wrapNone/>
            <wp:docPr id="2" name="图表_9"/>
            <wp:cNvGraphicFramePr/>
            <a:graphic xmlns:a="http://schemas.openxmlformats.org/drawingml/2006/main">
              <a:graphicData uri="http://schemas.openxmlformats.org/drawingml/2006/picture">
                <pic:pic xmlns:pic="http://schemas.openxmlformats.org/drawingml/2006/picture">
                  <pic:nvPicPr>
                    <pic:cNvPr id="2" name="图表_9"/>
                    <pic:cNvPicPr/>
                  </pic:nvPicPr>
                  <pic:blipFill>
                    <a:blip r:embed="rId11"/>
                    <a:stretch>
                      <a:fillRect/>
                    </a:stretch>
                  </pic:blipFill>
                  <pic:spPr>
                    <a:xfrm>
                      <a:off x="0" y="0"/>
                      <a:ext cx="4381500" cy="2887345"/>
                    </a:xfrm>
                    <a:prstGeom prst="rect">
                      <a:avLst/>
                    </a:prstGeom>
                    <a:noFill/>
                    <a:ln>
                      <a:noFill/>
                    </a:ln>
                  </pic:spPr>
                </pic:pic>
              </a:graphicData>
            </a:graphic>
          </wp:anchor>
        </w:drawing>
      </w:r>
      <w:r>
        <w:rPr>
          <w:rFonts w:hint="eastAsia" w:ascii="宋体" w:hAnsi="宋体" w:cs="宋体"/>
          <w:color w:val="000000"/>
          <w:kern w:val="0"/>
          <w:sz w:val="24"/>
          <w:lang w:bidi="ar"/>
        </w:rPr>
        <w:drawing>
          <wp:anchor distT="0" distB="0" distL="114300" distR="114300" simplePos="0" relativeHeight="251662336" behindDoc="0" locked="0" layoutInCell="1" allowOverlap="1">
            <wp:simplePos x="0" y="0"/>
            <wp:positionH relativeFrom="column">
              <wp:posOffset>1309370</wp:posOffset>
            </wp:positionH>
            <wp:positionV relativeFrom="paragraph">
              <wp:posOffset>7075170</wp:posOffset>
            </wp:positionV>
            <wp:extent cx="4381500" cy="2887345"/>
            <wp:effectExtent l="0" t="0" r="7620" b="8255"/>
            <wp:wrapNone/>
            <wp:docPr id="1" name="图表_9"/>
            <wp:cNvGraphicFramePr/>
            <a:graphic xmlns:a="http://schemas.openxmlformats.org/drawingml/2006/main">
              <a:graphicData uri="http://schemas.openxmlformats.org/drawingml/2006/picture">
                <pic:pic xmlns:pic="http://schemas.openxmlformats.org/drawingml/2006/picture">
                  <pic:nvPicPr>
                    <pic:cNvPr id="1" name="图表_9"/>
                    <pic:cNvPicPr/>
                  </pic:nvPicPr>
                  <pic:blipFill>
                    <a:blip r:embed="rId11"/>
                    <a:stretch>
                      <a:fillRect/>
                    </a:stretch>
                  </pic:blipFill>
                  <pic:spPr>
                    <a:xfrm>
                      <a:off x="0" y="0"/>
                      <a:ext cx="4381500" cy="2887345"/>
                    </a:xfrm>
                    <a:prstGeom prst="rect">
                      <a:avLst/>
                    </a:prstGeom>
                    <a:noFill/>
                    <a:ln>
                      <a:noFill/>
                    </a:ln>
                  </pic:spPr>
                </pic:pic>
              </a:graphicData>
            </a:graphic>
          </wp:anchor>
        </w:drawing>
      </w:r>
    </w:p>
    <w:p>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3.公务接待费支出0</w:t>
      </w:r>
      <w:r>
        <w:rPr>
          <w:rFonts w:hint="eastAsia" w:ascii="仿宋_GB2312" w:eastAsia="仿宋_GB2312"/>
          <w:color w:val="000000"/>
          <w:sz w:val="32"/>
          <w:szCs w:val="32"/>
        </w:rPr>
        <w:t>万元。主要用于执行公务、开展业务活动开支的交通费、住宿费、用餐费等。国内公务接待0批次，0人次（不包括陪同人员），共计支出0万元，具体内容包括：（接待具体项目、金额）。其中：外事接待0批次，0人，共计支出0万元，主要用于接待</w:t>
      </w:r>
      <w:r>
        <w:rPr>
          <w:rFonts w:ascii="仿宋_GB2312" w:eastAsia="仿宋_GB2312"/>
          <w:color w:val="000000"/>
          <w:sz w:val="32"/>
          <w:szCs w:val="32"/>
        </w:rPr>
        <w:t>…</w:t>
      </w:r>
      <w:r>
        <w:rPr>
          <w:rFonts w:hint="eastAsia" w:ascii="仿宋_GB2312" w:eastAsia="仿宋_GB2312"/>
          <w:color w:val="000000"/>
          <w:sz w:val="32"/>
          <w:szCs w:val="32"/>
        </w:rPr>
        <w:t>（具体项目）。</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公务接待费支出决算比20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年持平，公务接待费未开支。</w:t>
      </w:r>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24"/>
      <w:bookmarkEnd w:id="2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19"/>
          <w:rFonts w:ascii="黑体" w:eastAsia="黑体"/>
          <w:b w:val="0"/>
        </w:rPr>
      </w:pPr>
      <w:bookmarkStart w:id="26" w:name="_Toc15396611"/>
      <w:bookmarkStart w:id="27" w:name="_Toc15377219"/>
      <w:r>
        <w:rPr>
          <w:rStyle w:val="19"/>
          <w:rFonts w:hint="eastAsia" w:ascii="黑体" w:eastAsia="黑体"/>
          <w:b w:val="0"/>
        </w:rPr>
        <w:t>国有资本经营预算支出决算情况说明</w:t>
      </w:r>
      <w:bookmarkEnd w:id="26"/>
      <w:bookmarkEnd w:id="2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4"/>
        </w:numPr>
        <w:spacing w:line="580" w:lineRule="exact"/>
        <w:ind w:firstLineChars="0"/>
        <w:rPr>
          <w:rStyle w:val="19"/>
          <w:rFonts w:ascii="黑体" w:eastAsia="黑体"/>
          <w:b w:val="0"/>
        </w:rPr>
      </w:pPr>
      <w:r>
        <w:rPr>
          <w:rStyle w:val="19"/>
          <w:rFonts w:hint="eastAsia" w:ascii="黑体" w:eastAsia="黑体"/>
          <w:b w:val="0"/>
        </w:rPr>
        <w:t>预算绩效情况说明</w:t>
      </w:r>
    </w:p>
    <w:p>
      <w:pPr>
        <w:spacing w:line="600" w:lineRule="atLeast"/>
        <w:ind w:firstLine="643" w:firstLineChars="200"/>
        <w:rPr>
          <w:rFonts w:ascii="仿宋_GB2312" w:eastAsia="仿宋_GB2312"/>
          <w:color w:val="000000"/>
          <w:sz w:val="32"/>
          <w:szCs w:val="32"/>
        </w:rPr>
      </w:pPr>
      <w:r>
        <w:rPr>
          <w:rFonts w:hint="eastAsia" w:ascii="仿宋" w:eastAsia="仿宋" w:cs="楷体_GB2312"/>
          <w:b/>
          <w:bCs/>
          <w:sz w:val="32"/>
          <w:szCs w:val="32"/>
        </w:rPr>
        <w:t>预算绩效管理工作开展情况。</w:t>
      </w:r>
      <w:r>
        <w:rPr>
          <w:rFonts w:hint="eastAsia" w:ascii="仿宋_GB2312" w:eastAsia="仿宋_GB2312"/>
          <w:color w:val="000000"/>
          <w:sz w:val="32"/>
          <w:szCs w:val="32"/>
        </w:rPr>
        <w:t>1.绩效目标管理情况。</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年一般公共预算项目支出开展了绩效目标管理，共编制绩效目标0个，涉及财政资金0元，覆盖率达到0%。</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2.部门整体支出绩效自评开展情况。</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整体支出开展绩效自评，自评得分81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ind w:firstLine="1280" w:firstLineChars="400"/>
        <w:jc w:val="both"/>
        <w:rPr>
          <w:rFonts w:hint="eastAsia" w:ascii="黑体" w:hAnsi="黑体" w:eastAsia="黑体"/>
          <w:color w:val="000000"/>
          <w:sz w:val="32"/>
          <w:szCs w:val="32"/>
        </w:rPr>
      </w:pPr>
      <w:r>
        <w:rPr>
          <w:rFonts w:hint="eastAsia" w:ascii="黑体" w:hAnsi="黑体" w:eastAsia="黑体"/>
          <w:color w:val="000000"/>
          <w:sz w:val="32"/>
          <w:szCs w:val="32"/>
        </w:rPr>
        <w:t>20</w:t>
      </w:r>
      <w:r>
        <w:rPr>
          <w:rFonts w:hint="eastAsia" w:ascii="黑体" w:hAnsi="黑体" w:eastAsia="黑体"/>
          <w:color w:val="000000"/>
          <w:sz w:val="32"/>
          <w:szCs w:val="32"/>
          <w:lang w:val="en-US" w:eastAsia="zh-CN"/>
        </w:rPr>
        <w:t>20</w:t>
      </w:r>
      <w:r>
        <w:rPr>
          <w:rFonts w:hint="eastAsia" w:ascii="黑体" w:hAnsi="黑体" w:eastAsia="黑体"/>
          <w:color w:val="000000"/>
          <w:sz w:val="32"/>
          <w:szCs w:val="32"/>
        </w:rPr>
        <w:t>年部门整体支出绩效评价得分表</w:t>
      </w:r>
    </w:p>
    <w:p>
      <w:pPr>
        <w:jc w:val="both"/>
        <w:rPr>
          <w:rFonts w:hint="eastAsia" w:ascii="黑体" w:hAnsi="黑体" w:eastAsia="黑体"/>
          <w:color w:val="000000"/>
          <w:sz w:val="32"/>
          <w:szCs w:val="32"/>
        </w:rPr>
      </w:pPr>
    </w:p>
    <w:tbl>
      <w:tblPr>
        <w:tblStyle w:val="14"/>
        <w:tblW w:w="0" w:type="auto"/>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8</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bl>
    <w:p>
      <w:pPr>
        <w:rPr>
          <w:rFonts w:hint="eastAsia"/>
          <w:color w:val="000000"/>
        </w:rPr>
      </w:pPr>
    </w:p>
    <w:p>
      <w:pPr>
        <w:spacing w:line="600" w:lineRule="atLeast"/>
        <w:ind w:firstLine="643" w:firstLineChars="200"/>
        <w:rPr>
          <w:rFonts w:hint="eastAsia" w:ascii="仿宋_GB2312" w:eastAsia="仿宋_GB2312"/>
          <w:b/>
          <w:color w:val="000000"/>
          <w:sz w:val="32"/>
          <w:szCs w:val="32"/>
        </w:rPr>
      </w:pP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3.部门自行组织绩效评价开展情况。</w:t>
      </w:r>
    </w:p>
    <w:p>
      <w:pPr>
        <w:spacing w:line="600" w:lineRule="atLeast"/>
        <w:ind w:firstLine="800" w:firstLineChars="250"/>
        <w:rPr>
          <w:rFonts w:hint="eastAsia" w:ascii="仿宋_GB2312" w:eastAsia="仿宋_GB2312"/>
          <w:color w:val="000000"/>
          <w:sz w:val="32"/>
          <w:szCs w:val="32"/>
        </w:rPr>
      </w:pPr>
      <w:r>
        <w:rPr>
          <w:rFonts w:hint="eastAsia" w:ascii="仿宋_GB2312" w:eastAsia="仿宋_GB2312"/>
          <w:color w:val="000000"/>
          <w:sz w:val="32"/>
          <w:szCs w:val="32"/>
          <w:lang w:eastAsia="zh-CN"/>
        </w:rPr>
        <w:t>马奈镇镇</w:t>
      </w:r>
      <w:r>
        <w:rPr>
          <w:rFonts w:hint="eastAsia" w:ascii="仿宋_GB2312" w:eastAsia="仿宋_GB2312"/>
          <w:color w:val="000000"/>
          <w:sz w:val="32"/>
          <w:szCs w:val="32"/>
        </w:rPr>
        <w:t>开展了整体支出绩效评价，本部门对20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81</w:t>
      </w:r>
      <w:r>
        <w:rPr>
          <w:rFonts w:hint="eastAsia" w:ascii="仿宋_GB2312" w:eastAsia="仿宋_GB2312"/>
          <w:color w:val="000000"/>
          <w:sz w:val="32"/>
          <w:szCs w:val="32"/>
        </w:rPr>
        <w:t>分，存在的问题：一是履职成效不高，二是内部控制管理不健全，三是目标任务不明确。下一步改进措施：一是改进工作方式，明确预算目标任务，做到相关性、合理性；二是加大对内部控制的管理，建立健全内部控制度，提高绩效管理履职成效。本部门对公共运行维护费项目开展了绩效评价，得分为</w:t>
      </w:r>
      <w:r>
        <w:rPr>
          <w:rFonts w:hint="eastAsia" w:ascii="仿宋_GB2312" w:eastAsia="仿宋_GB2312"/>
          <w:color w:val="000000"/>
          <w:sz w:val="32"/>
          <w:szCs w:val="32"/>
          <w:lang w:val="en-US" w:eastAsia="zh-CN"/>
        </w:rPr>
        <w:t>81</w:t>
      </w:r>
      <w:r>
        <w:rPr>
          <w:rFonts w:hint="eastAsia" w:ascii="仿宋_GB2312" w:eastAsia="仿宋_GB2312"/>
          <w:color w:val="000000"/>
          <w:sz w:val="32"/>
          <w:szCs w:val="32"/>
        </w:rPr>
        <w:t>分，存在的问题：一是项目决策的可行性、明确性不够，二是项目管理中执行不够规范，三是项目进展缓慢，完成情况低，项目没有达到相应的效益。下一步改进措施：一是提高资金的使用率，加大项目的实施进度提高质量管理，达到最高的效益。二是对项目进行政策依据、完善，提高明确性和合理性。</w:t>
      </w:r>
    </w:p>
    <w:p>
      <w:pPr>
        <w:jc w:val="center"/>
        <w:rPr>
          <w:rFonts w:hint="eastAsia" w:ascii="黑体" w:hAnsi="黑体" w:eastAsia="黑体"/>
          <w:color w:val="000000"/>
          <w:sz w:val="32"/>
          <w:szCs w:val="32"/>
        </w:rPr>
      </w:pPr>
      <w:r>
        <w:rPr>
          <w:rFonts w:hint="eastAsia" w:ascii="黑体" w:hAnsi="黑体" w:eastAsia="黑体"/>
          <w:color w:val="000000"/>
          <w:sz w:val="32"/>
          <w:szCs w:val="32"/>
        </w:rPr>
        <w:t>20</w:t>
      </w:r>
      <w:r>
        <w:rPr>
          <w:rFonts w:hint="eastAsia" w:ascii="黑体" w:hAnsi="黑体" w:eastAsia="黑体"/>
          <w:color w:val="000000"/>
          <w:sz w:val="32"/>
          <w:szCs w:val="32"/>
          <w:lang w:val="en-US" w:eastAsia="zh-CN"/>
        </w:rPr>
        <w:t>20</w:t>
      </w:r>
      <w:r>
        <w:rPr>
          <w:rFonts w:hint="eastAsia" w:ascii="黑体" w:hAnsi="黑体" w:eastAsia="黑体"/>
          <w:color w:val="000000"/>
          <w:sz w:val="32"/>
          <w:szCs w:val="32"/>
        </w:rPr>
        <w:t>年项目支出绩效评价得分表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noWrap w:val="0"/>
            <w:vAlign w:val="center"/>
          </w:tcPr>
          <w:p>
            <w:pPr>
              <w:widowControl/>
              <w:spacing w:line="260" w:lineRule="exact"/>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noWrap w:val="0"/>
            <w:vAlign w:val="center"/>
          </w:tcPr>
          <w:p>
            <w:pPr>
              <w:widowControl/>
              <w:spacing w:line="26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金川县</w:t>
            </w:r>
            <w:r>
              <w:rPr>
                <w:rFonts w:hint="eastAsia" w:ascii="宋体" w:hAnsi="宋体" w:cs="宋体"/>
                <w:b/>
                <w:bCs/>
                <w:color w:val="000000"/>
                <w:kern w:val="0"/>
                <w:sz w:val="18"/>
                <w:szCs w:val="18"/>
                <w:lang w:eastAsia="zh-CN"/>
              </w:rPr>
              <w:t>马奈镇镇</w:t>
            </w:r>
            <w:r>
              <w:rPr>
                <w:rFonts w:hint="eastAsia" w:ascii="宋体" w:hAnsi="宋体" w:cs="宋体"/>
                <w:b/>
                <w:bCs/>
                <w:color w:val="000000"/>
                <w:kern w:val="0"/>
                <w:sz w:val="18"/>
                <w:szCs w:val="1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113"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535"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311" w:type="dxa"/>
            <w:noWrap w:val="0"/>
            <w:vAlign w:val="center"/>
          </w:tcPr>
          <w:p>
            <w:pPr>
              <w:widowControl/>
              <w:spacing w:line="26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必要性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（政策依据</w:t>
            </w:r>
            <w:r>
              <w:rPr>
                <w:rFonts w:hint="eastAsia" w:ascii="宋体" w:hAnsi="宋体" w:cs="宋体"/>
                <w:color w:val="000000"/>
                <w:kern w:val="0"/>
                <w:sz w:val="20"/>
                <w:szCs w:val="20"/>
                <w:lang w:eastAsia="zh-CN"/>
              </w:rPr>
              <w:t>）</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可行性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绩效目标    </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（7分）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textDirection w:val="tbRlV"/>
            <w:vAlign w:val="center"/>
          </w:tcPr>
          <w:p>
            <w:pPr>
              <w:widowControl/>
              <w:spacing w:line="260" w:lineRule="exact"/>
              <w:jc w:val="center"/>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（特性指标70分）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项目绩效  </w:t>
            </w: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noWrap w:val="0"/>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270" w:type="dxa"/>
            <w:gridSpan w:val="4"/>
            <w:noWrap w:val="0"/>
            <w:vAlign w:val="center"/>
          </w:tcPr>
          <w:p>
            <w:pPr>
              <w:widowControl/>
              <w:spacing w:line="260" w:lineRule="exact"/>
              <w:jc w:val="center"/>
              <w:rPr>
                <w:rFonts w:hint="eastAsia" w:ascii="宋体" w:hAnsi="宋体" w:cs="宋体"/>
                <w:color w:val="000000"/>
                <w:kern w:val="0"/>
                <w:sz w:val="15"/>
                <w:szCs w:val="15"/>
              </w:rPr>
            </w:pPr>
          </w:p>
        </w:tc>
      </w:tr>
    </w:tbl>
    <w:p>
      <w:pPr>
        <w:spacing w:line="580" w:lineRule="exact"/>
        <w:ind w:firstLine="640" w:firstLineChars="200"/>
        <w:rPr>
          <w:rFonts w:ascii="仿宋_GB2312" w:eastAsia="仿宋_GB2312" w:cs="仿宋_GB2312"/>
          <w:sz w:val="32"/>
          <w:szCs w:val="32"/>
        </w:rPr>
      </w:pPr>
    </w:p>
    <w:p>
      <w:pPr>
        <w:spacing w:line="600" w:lineRule="exact"/>
        <w:ind w:firstLine="640" w:firstLineChars="200"/>
        <w:outlineLvl w:val="1"/>
        <w:rPr>
          <w:rStyle w:val="19"/>
          <w:rFonts w:ascii="黑体" w:eastAsia="黑体"/>
        </w:rPr>
      </w:pPr>
      <w:bookmarkStart w:id="28" w:name="_Toc15396612"/>
      <w:bookmarkStart w:id="29" w:name="_Toc15377221"/>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28"/>
      <w:bookmarkEnd w:id="29"/>
    </w:p>
    <w:p>
      <w:pPr>
        <w:spacing w:line="600" w:lineRule="exact"/>
        <w:ind w:firstLine="643" w:firstLineChars="200"/>
        <w:rPr>
          <w:rFonts w:hint="eastAsia" w:ascii="仿宋_GB2312" w:eastAsia="仿宋_GB2312"/>
          <w:color w:val="000000"/>
          <w:sz w:val="32"/>
          <w:szCs w:val="32"/>
        </w:rPr>
      </w:pPr>
      <w:bookmarkStart w:id="30" w:name="_Toc15396613"/>
      <w:bookmarkStart w:id="31" w:name="_Toc15377225"/>
      <w:r>
        <w:rPr>
          <w:rFonts w:hint="eastAsia" w:ascii="仿宋_GB2312" w:eastAsia="仿宋_GB2312"/>
          <w:b/>
          <w:color w:val="000000"/>
          <w:sz w:val="32"/>
          <w:szCs w:val="32"/>
        </w:rPr>
        <w:t>（一）机关运行经费支出情况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w:t>
      </w:r>
      <w:r>
        <w:rPr>
          <w:rFonts w:hint="eastAsia" w:ascii="仿宋_GB2312" w:eastAsia="仿宋_GB2312"/>
          <w:color w:val="000000"/>
          <w:sz w:val="32"/>
          <w:szCs w:val="32"/>
          <w:lang w:eastAsia="zh-CN"/>
        </w:rPr>
        <w:t>马奈镇</w:t>
      </w:r>
      <w:r>
        <w:rPr>
          <w:rFonts w:hint="eastAsia" w:ascii="仿宋_GB2312" w:eastAsia="仿宋_GB2312"/>
          <w:color w:val="000000"/>
          <w:sz w:val="32"/>
          <w:szCs w:val="32"/>
        </w:rPr>
        <w:t>机关运行经费支出0万元， 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年0万元，与201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年持平。</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w:t>
      </w:r>
      <w:r>
        <w:rPr>
          <w:rFonts w:hint="eastAsia" w:ascii="仿宋_GB2312" w:eastAsia="仿宋_GB2312"/>
          <w:color w:val="000000"/>
          <w:sz w:val="32"/>
          <w:szCs w:val="32"/>
          <w:lang w:eastAsia="zh-CN"/>
        </w:rPr>
        <w:t>马奈镇镇</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0万元、政府采购服务支出0万元。主要用于日常下村（具体工作）。授予中小企业合同金额0万元，占政府采购支出总额的0%，其中：授予小微企业合同金额0万元，占政府采购支出总额的0%。</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马奈镇</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辆，其中：部级领导干部用车0辆、一般公务用车1辆、一般执法执勤用车0辆、特种专业技术用车0辆、其他用车0辆；单价50万元以上通用设备0台（套），单价100万元以上专用设备0台（套）。</w:t>
      </w:r>
    </w:p>
    <w:p>
      <w:pPr>
        <w:numPr>
          <w:ilvl w:val="0"/>
          <w:numId w:val="5"/>
        </w:numPr>
        <w:spacing w:line="600" w:lineRule="exact"/>
        <w:ind w:left="0" w:firstLine="663" w:firstLineChars="150"/>
        <w:jc w:val="center"/>
        <w:outlineLvl w:val="0"/>
        <w:rPr>
          <w:rStyle w:val="18"/>
          <w:rFonts w:ascii="黑体" w:eastAsia="黑体"/>
          <w:b w:val="0"/>
        </w:rPr>
      </w:pPr>
      <w:r>
        <w:rPr>
          <w:rFonts w:hint="eastAsia" w:ascii="黑体" w:eastAsia="黑体"/>
          <w:b/>
          <w:color w:val="000000"/>
          <w:sz w:val="44"/>
          <w:szCs w:val="44"/>
        </w:rPr>
        <w:t>名</w:t>
      </w:r>
      <w:r>
        <w:rPr>
          <w:rStyle w:val="18"/>
          <w:rFonts w:hint="eastAsia" w:ascii="黑体" w:eastAsia="黑体"/>
          <w:b w:val="0"/>
        </w:rPr>
        <w:t>词解释</w:t>
      </w:r>
      <w:bookmarkEnd w:id="30"/>
      <w:bookmarkEnd w:id="31"/>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60" w:lineRule="atLeast"/>
        <w:jc w:val="center"/>
        <w:rPr>
          <w:rFonts w:ascii="仿宋_GB2312" w:hAnsi="仿宋"/>
          <w:color w:val="000000"/>
          <w:kern w:val="0"/>
          <w:shd w:val="clear" w:color="auto" w:fill="FFFFFF"/>
        </w:rPr>
      </w:pPr>
      <w:r>
        <w:rPr>
          <w:rFonts w:hint="eastAsia" w:ascii="黑体" w:hAnsi="Times New Roman" w:eastAsia="黑体" w:cs="Times New Roman"/>
          <w:b/>
          <w:color w:val="000000"/>
          <w:sz w:val="44"/>
          <w:szCs w:val="44"/>
          <w:lang w:val="en-US" w:eastAsia="zh-CN"/>
        </w:rPr>
        <w:tab/>
      </w:r>
      <w:r>
        <w:rPr>
          <w:rFonts w:hint="eastAsia" w:ascii="黑体" w:hAnsi="Times New Roman" w:eastAsia="黑体" w:cs="Times New Roman"/>
          <w:b/>
          <w:color w:val="000000"/>
          <w:sz w:val="44"/>
          <w:szCs w:val="44"/>
          <w:lang w:val="en-US" w:eastAsia="zh-CN"/>
        </w:rPr>
        <w:t xml:space="preserve">第四部分 </w:t>
      </w:r>
      <w:r>
        <w:rPr>
          <w:rFonts w:hint="eastAsia" w:ascii="宋体" w:hAnsi="宋体" w:cs="宋体"/>
          <w:b/>
          <w:sz w:val="44"/>
          <w:szCs w:val="44"/>
        </w:rPr>
        <w:t>部门整体支出绩效评价报告</w:t>
      </w:r>
    </w:p>
    <w:p>
      <w:pPr>
        <w:numPr>
          <w:ilvl w:val="0"/>
          <w:numId w:val="0"/>
        </w:numPr>
        <w:tabs>
          <w:tab w:val="left" w:pos="0"/>
          <w:tab w:val="left" w:pos="3421"/>
          <w:tab w:val="center" w:pos="5756"/>
        </w:tabs>
        <w:spacing w:line="600" w:lineRule="exact"/>
        <w:ind w:leftChars="150"/>
        <w:jc w:val="left"/>
        <w:outlineLvl w:val="0"/>
        <w:rPr>
          <w:rFonts w:hint="default" w:ascii="黑体" w:hAnsi="Times New Roman" w:eastAsia="黑体" w:cs="Times New Roman"/>
          <w:b/>
          <w:color w:val="000000"/>
          <w:sz w:val="44"/>
          <w:szCs w:val="44"/>
          <w:lang w:val="en-US" w:eastAsia="zh-CN"/>
        </w:rPr>
      </w:pPr>
      <w:r>
        <w:rPr>
          <w:rFonts w:hint="eastAsia" w:ascii="黑体" w:hAnsi="Times New Roman" w:eastAsia="黑体" w:cs="Times New Roman"/>
          <w:b/>
          <w:color w:val="000000"/>
          <w:sz w:val="44"/>
          <w:szCs w:val="44"/>
          <w:lang w:val="en-US" w:eastAsia="zh-CN"/>
        </w:rPr>
        <w:tab/>
      </w:r>
      <w:r>
        <w:rPr>
          <w:rFonts w:hint="eastAsia" w:ascii="黑体" w:hAnsi="Times New Roman" w:eastAsia="黑体" w:cs="Times New Roman"/>
          <w:b/>
          <w:color w:val="000000"/>
          <w:sz w:val="44"/>
          <w:szCs w:val="44"/>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（一）马奈镇人民政府下设“一办四中心一所”：具体组成为：党政综合办公室、综合文化发展中心、社会保障综合服务中心、经济发展中心、马奈镇财政所。</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ind w:firstLine="640" w:firstLineChars="200"/>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000000"/>
          <w:sz w:val="32"/>
          <w:szCs w:val="32"/>
          <w:lang w:eastAsia="zh-CN"/>
        </w:rPr>
        <w:t>马奈镇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年年初在职</w:t>
      </w: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人，事业人员</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人；20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年年末在职</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人，事业人员</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年1-6月独立编制单位机构数为1个，财政供养人员编制为</w:t>
      </w:r>
      <w:r>
        <w:rPr>
          <w:rFonts w:hint="eastAsia" w:ascii="仿宋_GB2312" w:hAnsi="仿宋_GB2312" w:eastAsia="仿宋_GB2312" w:cs="仿宋_GB2312"/>
          <w:color w:val="000000"/>
          <w:sz w:val="32"/>
          <w:szCs w:val="32"/>
          <w:lang w:val="en-US" w:eastAsia="zh-CN"/>
        </w:rPr>
        <w:t>42</w:t>
      </w:r>
      <w:r>
        <w:rPr>
          <w:rFonts w:hint="eastAsia" w:ascii="仿宋_GB2312" w:hAnsi="仿宋_GB2312" w:eastAsia="仿宋_GB2312" w:cs="仿宋_GB2312"/>
          <w:color w:val="000000"/>
          <w:sz w:val="32"/>
          <w:szCs w:val="32"/>
        </w:rPr>
        <w:t>名，其中行政编制</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名，行政工勤编制</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名，事业编制</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名（其中参照公务员法管理人员编制0人）；20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 xml:space="preserve">年1-6月实际财政供养人员 </w:t>
      </w:r>
      <w:r>
        <w:rPr>
          <w:rFonts w:hint="eastAsia" w:ascii="仿宋_GB2312" w:hAnsi="仿宋_GB2312" w:eastAsia="仿宋_GB2312" w:cs="仿宋_GB2312"/>
          <w:color w:val="000000"/>
          <w:sz w:val="32"/>
          <w:szCs w:val="32"/>
          <w:lang w:val="en-US" w:eastAsia="zh-CN"/>
        </w:rPr>
        <w:t>37</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其中：行政</w:t>
      </w:r>
      <w:r>
        <w:rPr>
          <w:rFonts w:hint="eastAsia" w:ascii="仿宋_GB2312" w:hAnsi="仿宋_GB2312" w:eastAsia="仿宋_GB2312" w:cs="仿宋_GB2312"/>
          <w:b w:val="0"/>
          <w:bCs w:val="0"/>
          <w:color w:val="000000"/>
          <w:sz w:val="32"/>
          <w:szCs w:val="32"/>
          <w:lang w:val="en-US" w:eastAsia="zh-CN"/>
        </w:rPr>
        <w:t>16</w:t>
      </w:r>
      <w:r>
        <w:rPr>
          <w:rFonts w:hint="eastAsia" w:ascii="仿宋_GB2312" w:hAnsi="仿宋_GB2312" w:eastAsia="仿宋_GB2312" w:cs="仿宋_GB2312"/>
          <w:b w:val="0"/>
          <w:bCs w:val="0"/>
          <w:color w:val="000000"/>
          <w:sz w:val="32"/>
          <w:szCs w:val="32"/>
        </w:rPr>
        <w:t>人，行政工勤</w:t>
      </w:r>
      <w:r>
        <w:rPr>
          <w:rFonts w:hint="eastAsia"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rPr>
        <w:t>人， 事业</w:t>
      </w:r>
      <w:r>
        <w:rPr>
          <w:rFonts w:hint="eastAsia" w:ascii="仿宋_GB2312" w:hAnsi="仿宋_GB2312" w:eastAsia="仿宋_GB2312" w:cs="仿宋_GB2312"/>
          <w:b w:val="0"/>
          <w:bCs w:val="0"/>
          <w:color w:val="000000"/>
          <w:sz w:val="32"/>
          <w:szCs w:val="32"/>
          <w:lang w:val="en-US" w:eastAsia="zh-CN"/>
        </w:rPr>
        <w:t>18</w:t>
      </w:r>
      <w:r>
        <w:rPr>
          <w:rFonts w:hint="eastAsia" w:ascii="仿宋_GB2312" w:hAnsi="仿宋_GB2312" w:eastAsia="仿宋_GB2312" w:cs="仿宋_GB2312"/>
          <w:b w:val="0"/>
          <w:bCs w:val="0"/>
          <w:color w:val="000000"/>
          <w:sz w:val="32"/>
          <w:szCs w:val="32"/>
        </w:rPr>
        <w:t>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color w:val="000000"/>
          <w:sz w:val="32"/>
          <w:szCs w:val="32"/>
        </w:rPr>
        <w:t>较上年</w:t>
      </w:r>
      <w:r>
        <w:rPr>
          <w:rFonts w:hint="eastAsia" w:ascii="仿宋_GB2312" w:hAnsi="仿宋_GB2312" w:eastAsia="仿宋_GB2312" w:cs="仿宋_GB2312"/>
          <w:color w:val="000000"/>
          <w:sz w:val="32"/>
          <w:szCs w:val="32"/>
          <w:lang w:val="en-US" w:eastAsia="zh-CN"/>
        </w:rPr>
        <w:t>增加8</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 xml:space="preserve">， </w:t>
      </w:r>
      <w:r>
        <w:rPr>
          <w:rFonts w:hint="eastAsia" w:ascii="仿宋_GB2312" w:hAnsi="仿宋" w:eastAsia="仿宋_GB2312"/>
          <w:sz w:val="32"/>
          <w:szCs w:val="32"/>
          <w:lang w:val="en-US" w:eastAsia="zh-CN"/>
        </w:rPr>
        <w:t>主要原因是机构改革，人员增加，三站人员编制下划给乡镇</w:t>
      </w:r>
      <w:r>
        <w:rPr>
          <w:rFonts w:hint="eastAsia" w:ascii="仿宋_GB2312" w:hAnsi="仿宋" w:eastAsia="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马奈镇</w:t>
      </w:r>
      <w:r>
        <w:rPr>
          <w:rFonts w:hint="eastAsia" w:ascii="仿宋_GB2312" w:hAnsi="仿宋_GB2312" w:eastAsia="仿宋_GB2312" w:cs="仿宋_GB2312"/>
          <w:bCs/>
          <w:sz w:val="32"/>
          <w:szCs w:val="32"/>
        </w:rPr>
        <w:t>本年收入合计</w:t>
      </w:r>
      <w:r>
        <w:rPr>
          <w:rFonts w:hint="eastAsia" w:ascii="仿宋_GB2312" w:eastAsia="仿宋_GB2312"/>
          <w:color w:val="000000"/>
          <w:sz w:val="32"/>
          <w:szCs w:val="32"/>
          <w:lang w:val="en-US" w:eastAsia="zh-CN"/>
        </w:rPr>
        <w:t>906.81</w:t>
      </w:r>
      <w:r>
        <w:rPr>
          <w:rFonts w:hint="eastAsia" w:ascii="仿宋_GB2312" w:hAnsi="仿宋_GB2312" w:eastAsia="仿宋_GB2312" w:cs="仿宋_GB2312"/>
          <w:bCs/>
          <w:sz w:val="32"/>
          <w:szCs w:val="32"/>
        </w:rPr>
        <w:t>万元，其中：一般公共预算财政拨款收入</w:t>
      </w:r>
      <w:r>
        <w:rPr>
          <w:rFonts w:hint="eastAsia" w:ascii="仿宋_GB2312" w:eastAsia="仿宋_GB2312"/>
          <w:color w:val="000000"/>
          <w:sz w:val="32"/>
          <w:szCs w:val="32"/>
          <w:lang w:val="en-US" w:eastAsia="zh-CN"/>
        </w:rPr>
        <w:t>906.81</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年1-6月收入合计</w:t>
      </w:r>
      <w:r>
        <w:rPr>
          <w:rFonts w:hint="eastAsia" w:ascii="仿宋_GB2312" w:hAnsi="仿宋_GB2312" w:eastAsia="仿宋_GB2312" w:cs="仿宋_GB2312"/>
          <w:bCs/>
          <w:color w:val="auto"/>
          <w:sz w:val="32"/>
          <w:szCs w:val="32"/>
          <w:lang w:val="en-US" w:eastAsia="zh-CN"/>
        </w:rPr>
        <w:t>401.19</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401.20</w:t>
      </w:r>
      <w:r>
        <w:rPr>
          <w:rFonts w:hint="eastAsia" w:ascii="仿宋_GB2312" w:hAnsi="仿宋_GB2312" w:eastAsia="仿宋_GB2312" w:cs="仿宋_GB2312"/>
          <w:bCs/>
          <w:color w:val="auto"/>
          <w:sz w:val="32"/>
          <w:szCs w:val="32"/>
        </w:rPr>
        <w:t>万元。</w:t>
      </w:r>
    </w:p>
    <w:p>
      <w:pPr>
        <w:spacing w:line="360" w:lineRule="auto"/>
        <w:ind w:firstLine="800" w:firstLineChars="250"/>
        <w:rPr>
          <w:rFonts w:hint="eastAsia" w:ascii="仿宋_GB2312" w:eastAsia="仿宋_GB2312"/>
          <w:color w:val="000000"/>
          <w:sz w:val="32"/>
          <w:szCs w:val="32"/>
          <w:highlight w:val="yellow"/>
        </w:rPr>
      </w:pPr>
      <w:r>
        <w:rPr>
          <w:rFonts w:hint="eastAsia" w:ascii="仿宋_GB2312" w:hAnsi="仿宋_GB2312" w:eastAsia="仿宋_GB2312" w:cs="仿宋_GB2312"/>
          <w:color w:val="000000"/>
          <w:sz w:val="32"/>
          <w:szCs w:val="32"/>
          <w:lang w:val="zh-CN"/>
        </w:rPr>
        <w:t>（二）</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年一般公共预算财政拨款支出</w:t>
      </w:r>
      <w:r>
        <w:rPr>
          <w:rFonts w:hint="eastAsia" w:ascii="仿宋_GB2312" w:eastAsia="仿宋_GB2312"/>
          <w:color w:val="000000"/>
          <w:sz w:val="32"/>
          <w:szCs w:val="32"/>
          <w:lang w:val="en-US" w:eastAsia="zh-CN"/>
        </w:rPr>
        <w:t>907.53</w:t>
      </w:r>
      <w:r>
        <w:rPr>
          <w:rFonts w:hint="eastAsia" w:ascii="仿宋_GB2312" w:hAnsi="仿宋_GB2312" w:eastAsia="仿宋_GB2312" w:cs="仿宋_GB2312"/>
          <w:bCs/>
          <w:sz w:val="32"/>
          <w:szCs w:val="32"/>
        </w:rPr>
        <w:t>万元，主要用于以下方面</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其中</w:t>
      </w:r>
      <w:r>
        <w:rPr>
          <w:rFonts w:hint="eastAsia" w:ascii="仿宋_GB2312" w:hAnsi="仿宋" w:eastAsia="仿宋_GB2312"/>
          <w:color w:val="000000"/>
          <w:sz w:val="32"/>
          <w:szCs w:val="32"/>
          <w:lang w:val="en-US" w:eastAsia="zh-CN"/>
        </w:rPr>
        <w:t>一般公共服务支出为</w:t>
      </w:r>
      <w:r>
        <w:rPr>
          <w:rFonts w:hint="eastAsia" w:ascii="仿宋_GB2312" w:eastAsia="仿宋_GB2312"/>
          <w:color w:val="000000"/>
          <w:sz w:val="32"/>
          <w:szCs w:val="32"/>
          <w:lang w:val="en-US" w:eastAsia="zh-CN"/>
        </w:rPr>
        <w:t>358.54</w:t>
      </w:r>
      <w:r>
        <w:rPr>
          <w:rFonts w:hint="eastAsia" w:ascii="仿宋_GB2312" w:hAnsi="仿宋" w:eastAsia="仿宋_GB2312"/>
          <w:color w:val="000000"/>
          <w:sz w:val="32"/>
          <w:szCs w:val="32"/>
          <w:lang w:val="en-US" w:eastAsia="zh-CN"/>
        </w:rPr>
        <w:t>万元，占</w:t>
      </w:r>
      <w:r>
        <w:rPr>
          <w:rFonts w:hint="eastAsia" w:ascii="仿宋_GB2312" w:eastAsia="仿宋_GB2312"/>
          <w:color w:val="000000"/>
          <w:sz w:val="32"/>
          <w:szCs w:val="32"/>
          <w:lang w:val="en-US" w:eastAsia="zh-CN"/>
        </w:rPr>
        <w:t>39.51%</w:t>
      </w:r>
      <w:r>
        <w:rPr>
          <w:rFonts w:hint="eastAsia" w:ascii="仿宋_GB2312" w:hAnsi="仿宋" w:eastAsia="仿宋_GB2312"/>
          <w:color w:val="000000"/>
          <w:sz w:val="32"/>
          <w:szCs w:val="32"/>
          <w:lang w:val="en-US" w:eastAsia="zh-CN"/>
        </w:rPr>
        <w:t>；</w:t>
      </w:r>
      <w:r>
        <w:rPr>
          <w:rFonts w:hint="eastAsia" w:ascii="仿宋_GB2312" w:eastAsia="仿宋_GB2312"/>
          <w:color w:val="000000"/>
          <w:sz w:val="32"/>
          <w:szCs w:val="32"/>
          <w:lang w:val="en-US" w:eastAsia="zh-CN"/>
        </w:rPr>
        <w:t>文化旅游体育与传媒支出2.14万元，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0.23</w:t>
      </w:r>
      <w:r>
        <w:rPr>
          <w:rFonts w:hint="eastAsia" w:ascii="仿宋_GB2312" w:eastAsia="仿宋_GB2312"/>
          <w:color w:val="000000"/>
          <w:sz w:val="32"/>
          <w:szCs w:val="32"/>
        </w:rPr>
        <w:t>%；</w:t>
      </w:r>
      <w:r>
        <w:rPr>
          <w:rFonts w:hint="eastAsia" w:ascii="仿宋_GB2312" w:hAnsi="仿宋" w:eastAsia="仿宋_GB2312"/>
          <w:color w:val="000000"/>
          <w:sz w:val="32"/>
          <w:szCs w:val="32"/>
          <w:lang w:val="en-US" w:eastAsia="zh-CN"/>
        </w:rPr>
        <w:t>社会保障和就业支出为</w:t>
      </w:r>
      <w:r>
        <w:rPr>
          <w:rFonts w:hint="eastAsia" w:ascii="仿宋_GB2312" w:eastAsia="仿宋_GB2312"/>
          <w:color w:val="000000"/>
          <w:sz w:val="32"/>
          <w:szCs w:val="32"/>
          <w:lang w:val="en-US" w:eastAsia="zh-CN"/>
        </w:rPr>
        <w:t>87.00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9.59</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w:t>
      </w:r>
      <w:r>
        <w:rPr>
          <w:rFonts w:hint="eastAsia" w:ascii="仿宋_GB2312" w:hAnsi="仿宋" w:eastAsia="仿宋_GB2312"/>
          <w:color w:val="000000"/>
          <w:sz w:val="32"/>
          <w:szCs w:val="32"/>
          <w:lang w:val="en-US" w:eastAsia="zh-CN"/>
        </w:rPr>
        <w:t>医疗卫生与计划生育支出为</w:t>
      </w:r>
      <w:r>
        <w:rPr>
          <w:rFonts w:hint="eastAsia" w:ascii="仿宋_GB2312" w:eastAsia="仿宋_GB2312"/>
          <w:color w:val="000000"/>
          <w:sz w:val="32"/>
          <w:szCs w:val="32"/>
          <w:lang w:val="en-US" w:eastAsia="zh-CN"/>
        </w:rPr>
        <w:t>38.44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3.95</w:t>
      </w:r>
      <w:r>
        <w:rPr>
          <w:rFonts w:hint="eastAsia" w:ascii="仿宋_GB2312" w:eastAsia="仿宋_GB2312"/>
          <w:color w:val="000000"/>
          <w:sz w:val="32"/>
          <w:szCs w:val="32"/>
        </w:rPr>
        <w:t>%</w:t>
      </w:r>
      <w:r>
        <w:rPr>
          <w:rFonts w:hint="eastAsia" w:ascii="仿宋_GB2312" w:hAnsi="仿宋" w:eastAsia="仿宋_GB2312"/>
          <w:color w:val="000000"/>
          <w:sz w:val="32"/>
          <w:szCs w:val="32"/>
          <w:lang w:val="en-US" w:eastAsia="zh-CN"/>
        </w:rPr>
        <w:t>；</w:t>
      </w:r>
      <w:r>
        <w:rPr>
          <w:rFonts w:hint="eastAsia" w:ascii="仿宋_GB2312" w:eastAsia="仿宋_GB2312"/>
          <w:color w:val="000000"/>
          <w:sz w:val="32"/>
          <w:szCs w:val="32"/>
        </w:rPr>
        <w:t>农林水支出</w:t>
      </w:r>
      <w:r>
        <w:rPr>
          <w:rFonts w:hint="eastAsia" w:ascii="仿宋_GB2312" w:eastAsia="仿宋_GB2312"/>
          <w:color w:val="000000"/>
          <w:sz w:val="32"/>
          <w:szCs w:val="32"/>
          <w:lang w:val="en-US" w:eastAsia="zh-CN"/>
        </w:rPr>
        <w:t>211.38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23.29</w:t>
      </w:r>
      <w:r>
        <w:rPr>
          <w:rFonts w:hint="eastAsia" w:ascii="仿宋_GB2312" w:eastAsia="仿宋_GB2312"/>
          <w:color w:val="000000"/>
          <w:sz w:val="32"/>
          <w:szCs w:val="32"/>
        </w:rPr>
        <w:t>%</w:t>
      </w:r>
      <w:r>
        <w:rPr>
          <w:rFonts w:hint="eastAsia" w:ascii="仿宋_GB2312" w:hAnsi="仿宋" w:eastAsia="仿宋_GB2312"/>
          <w:color w:val="000000"/>
          <w:sz w:val="32"/>
          <w:szCs w:val="32"/>
          <w:lang w:val="en-US" w:eastAsia="zh-CN"/>
        </w:rPr>
        <w:t>；</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39.77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4.38</w:t>
      </w:r>
      <w:r>
        <w:rPr>
          <w:rFonts w:hint="eastAsia" w:ascii="仿宋_GB2312" w:eastAsia="仿宋_GB2312"/>
          <w:color w:val="000000"/>
          <w:sz w:val="32"/>
          <w:szCs w:val="32"/>
        </w:rPr>
        <w:t>%；其他支出</w:t>
      </w:r>
      <w:r>
        <w:rPr>
          <w:rFonts w:hint="eastAsia" w:ascii="仿宋_GB2312" w:eastAsia="仿宋_GB2312"/>
          <w:color w:val="000000"/>
          <w:sz w:val="32"/>
          <w:szCs w:val="32"/>
          <w:lang w:val="en-US" w:eastAsia="zh-CN"/>
        </w:rPr>
        <w:t>170.26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18.76</w:t>
      </w:r>
      <w:r>
        <w:rPr>
          <w:rFonts w:hint="eastAsia" w:ascii="仿宋_GB2312" w:eastAsia="仿宋_GB2312"/>
          <w:color w:val="000000"/>
          <w:sz w:val="32"/>
          <w:szCs w:val="32"/>
        </w:rPr>
        <w:t>%。</w:t>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529.88</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95.37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138.92</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7.65</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29.47</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35.86</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19.15</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5.25</w:t>
      </w:r>
      <w:r>
        <w:rPr>
          <w:rFonts w:hint="eastAsia" w:ascii="仿宋_GB2312" w:eastAsia="仿宋_GB2312"/>
          <w:color w:val="000000"/>
          <w:sz w:val="32"/>
          <w:szCs w:val="32"/>
        </w:rPr>
        <w:t>元，职工医疗保险</w:t>
      </w:r>
      <w:r>
        <w:rPr>
          <w:rFonts w:hint="eastAsia" w:ascii="仿宋_GB2312" w:eastAsia="仿宋_GB2312"/>
          <w:color w:val="000000"/>
          <w:sz w:val="32"/>
          <w:szCs w:val="32"/>
          <w:lang w:val="en-US" w:eastAsia="zh-CN"/>
        </w:rPr>
        <w:t>20.40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公务员医疗补助4.53万元，</w:t>
      </w:r>
      <w:r>
        <w:rPr>
          <w:rFonts w:hint="eastAsia" w:ascii="仿宋_GB2312" w:eastAsia="仿宋_GB2312"/>
          <w:color w:val="000000"/>
          <w:sz w:val="32"/>
          <w:szCs w:val="32"/>
        </w:rPr>
        <w:t>抚恤金</w:t>
      </w:r>
      <w:r>
        <w:rPr>
          <w:rFonts w:hint="eastAsia" w:ascii="仿宋_GB2312" w:eastAsia="仿宋_GB2312"/>
          <w:color w:val="000000"/>
          <w:sz w:val="32"/>
          <w:szCs w:val="32"/>
          <w:lang w:val="en-US" w:eastAsia="zh-CN"/>
        </w:rPr>
        <w:t>26.10</w:t>
      </w:r>
      <w:r>
        <w:rPr>
          <w:rFonts w:hint="eastAsia" w:ascii="仿宋_GB2312" w:eastAsia="仿宋_GB2312"/>
          <w:color w:val="000000"/>
          <w:sz w:val="32"/>
          <w:szCs w:val="32"/>
        </w:rPr>
        <w:t>万元，生活补助</w:t>
      </w:r>
      <w:r>
        <w:rPr>
          <w:rFonts w:hint="eastAsia" w:ascii="仿宋_GB2312" w:eastAsia="仿宋_GB2312"/>
          <w:color w:val="000000"/>
          <w:sz w:val="32"/>
          <w:szCs w:val="32"/>
          <w:lang w:val="en-US" w:eastAsia="zh-CN"/>
        </w:rPr>
        <w:t>11.37</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96.05万元</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39.77万元</w:t>
      </w:r>
      <w:r>
        <w:rPr>
          <w:rFonts w:hint="eastAsia" w:ascii="仿宋_GB2312" w:eastAsia="仿宋_GB2312"/>
          <w:color w:val="000000"/>
          <w:sz w:val="32"/>
          <w:szCs w:val="32"/>
        </w:rPr>
        <w:t>，其他对个人和家庭的补助支出等。</w:t>
      </w:r>
    </w:p>
    <w:p>
      <w:pPr>
        <w:snapToGrid w:val="0"/>
        <w:spacing w:line="52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33.08</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4.68</w:t>
      </w:r>
      <w:r>
        <w:rPr>
          <w:rFonts w:hint="eastAsia" w:ascii="仿宋_GB2312" w:eastAsia="仿宋_GB2312"/>
          <w:color w:val="000000"/>
          <w:sz w:val="32"/>
          <w:szCs w:val="32"/>
        </w:rPr>
        <w:t>万元，印刷</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3.16</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万元，差旅</w:t>
      </w:r>
      <w:r>
        <w:rPr>
          <w:rFonts w:hint="eastAsia" w:ascii="仿宋_GB2312" w:eastAsia="仿宋_GB2312"/>
          <w:color w:val="000000"/>
          <w:sz w:val="32"/>
          <w:szCs w:val="32"/>
          <w:lang w:val="en-US" w:eastAsia="zh-CN"/>
        </w:rPr>
        <w:t>3.84</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7.32</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6.17</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5"/>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项目支出</w:t>
      </w:r>
      <w:r>
        <w:rPr>
          <w:rFonts w:hint="eastAsia" w:ascii="仿宋_GB2312" w:eastAsia="仿宋_GB2312"/>
          <w:color w:val="000000"/>
          <w:sz w:val="32"/>
          <w:szCs w:val="32"/>
          <w:lang w:val="en-US" w:eastAsia="zh-CN"/>
        </w:rPr>
        <w:t>344.56万元，</w:t>
      </w:r>
      <w:r>
        <w:rPr>
          <w:rFonts w:hint="eastAsia" w:ascii="仿宋_GB2312" w:eastAsia="仿宋_GB2312"/>
          <w:color w:val="000000"/>
          <w:sz w:val="32"/>
          <w:szCs w:val="32"/>
        </w:rPr>
        <w:t>主要包括</w:t>
      </w:r>
      <w:r>
        <w:rPr>
          <w:rFonts w:hint="eastAsia" w:ascii="仿宋_GB2312" w:eastAsia="仿宋_GB2312"/>
          <w:color w:val="000000"/>
          <w:sz w:val="32"/>
          <w:szCs w:val="32"/>
          <w:lang w:eastAsia="zh-CN"/>
        </w:rPr>
        <w:t>：人大会议经费</w:t>
      </w:r>
      <w:r>
        <w:rPr>
          <w:rFonts w:hint="eastAsia" w:ascii="仿宋_GB2312" w:eastAsia="仿宋_GB2312"/>
          <w:color w:val="000000"/>
          <w:sz w:val="32"/>
          <w:szCs w:val="32"/>
          <w:lang w:val="en-US" w:eastAsia="zh-CN"/>
        </w:rPr>
        <w:t>0.58万元</w:t>
      </w:r>
      <w:r>
        <w:rPr>
          <w:rFonts w:hint="eastAsia" w:ascii="仿宋_GB2312" w:eastAsia="仿宋_GB2312"/>
          <w:color w:val="000000"/>
          <w:sz w:val="32"/>
          <w:szCs w:val="32"/>
          <w:lang w:eastAsia="zh-CN"/>
        </w:rPr>
        <w:t>，人大代表经费</w:t>
      </w:r>
      <w:r>
        <w:rPr>
          <w:rFonts w:hint="eastAsia" w:ascii="仿宋_GB2312" w:eastAsia="仿宋_GB2312"/>
          <w:color w:val="000000"/>
          <w:sz w:val="32"/>
          <w:szCs w:val="32"/>
          <w:lang w:val="en-US" w:eastAsia="zh-CN"/>
        </w:rPr>
        <w:t>2.8万元，放映员生活补助2.14万元，基层政权建设和社区治理32万元，突发公共卫生事件应急处理13.5万元，对村民委员会和村党支部的补助123.86万元（其中：生活补助68.86万元，公务费55万元），其他支出170.26（其中：三老干补助4.54万元，项目支出165.72万元）。</w:t>
      </w:r>
    </w:p>
    <w:p>
      <w:pPr>
        <w:keepNext w:val="0"/>
        <w:keepLines w:val="0"/>
        <w:pageBreakBefore w:val="0"/>
        <w:kinsoku/>
        <w:wordWrap/>
        <w:overflowPunct/>
        <w:topLinePunct w:val="0"/>
        <w:autoSpaceDE/>
        <w:autoSpaceDN/>
        <w:bidi w:val="0"/>
        <w:spacing w:line="540" w:lineRule="exact"/>
        <w:ind w:firstLine="960" w:firstLineChars="3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color w:val="auto"/>
          <w:sz w:val="32"/>
          <w:szCs w:val="32"/>
          <w:lang w:val="en-US" w:eastAsia="zh-CN"/>
        </w:rPr>
        <w:t>401.19</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372.20</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65.38</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79.89</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20.19</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26.29</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12.24</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13.83</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4.17</w:t>
      </w:r>
      <w:r>
        <w:rPr>
          <w:rFonts w:hint="eastAsia" w:ascii="仿宋_GB2312" w:hAnsi="仿宋_GB2312" w:eastAsia="仿宋_GB2312" w:cs="仿宋_GB2312"/>
          <w:color w:val="auto"/>
          <w:sz w:val="32"/>
          <w:szCs w:val="32"/>
        </w:rPr>
        <w:t>万元、其他社会保障缴费0.</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25.60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、奖励金124.39万元，其他支出0.2万元。</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23.56</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7.82</w:t>
      </w:r>
      <w:r>
        <w:rPr>
          <w:rFonts w:hint="eastAsia" w:ascii="仿宋_GB2312" w:hAnsi="仿宋_GB2312" w:eastAsia="仿宋_GB2312" w:cs="仿宋_GB2312"/>
          <w:color w:val="auto"/>
          <w:sz w:val="32"/>
          <w:szCs w:val="32"/>
        </w:rPr>
        <w:t>万元、电费0.</w:t>
      </w:r>
      <w:r>
        <w:rPr>
          <w:rFonts w:hint="eastAsia" w:ascii="仿宋_GB2312" w:hAnsi="仿宋_GB2312" w:eastAsia="仿宋_GB2312" w:cs="仿宋_GB2312"/>
          <w:color w:val="auto"/>
          <w:sz w:val="32"/>
          <w:szCs w:val="32"/>
          <w:lang w:val="en-US" w:eastAsia="zh-CN"/>
        </w:rPr>
        <w:t>08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邮电费0.17，</w:t>
      </w:r>
      <w:r>
        <w:rPr>
          <w:rFonts w:hint="eastAsia" w:ascii="仿宋_GB2312" w:hAnsi="仿宋_GB2312" w:eastAsia="仿宋_GB2312" w:cs="仿宋_GB2312"/>
          <w:color w:val="auto"/>
          <w:sz w:val="32"/>
          <w:szCs w:val="32"/>
        </w:rPr>
        <w:t>差旅费</w:t>
      </w:r>
      <w:r>
        <w:rPr>
          <w:rFonts w:hint="eastAsia" w:ascii="仿宋_GB2312" w:hAnsi="仿宋_GB2312" w:eastAsia="仿宋_GB2312" w:cs="仿宋_GB2312"/>
          <w:color w:val="auto"/>
          <w:sz w:val="32"/>
          <w:szCs w:val="32"/>
          <w:lang w:val="en-US" w:eastAsia="zh-CN"/>
        </w:rPr>
        <w:t>1.37</w:t>
      </w:r>
      <w:r>
        <w:rPr>
          <w:rFonts w:hint="eastAsia" w:ascii="仿宋_GB2312" w:hAnsi="仿宋_GB2312" w:eastAsia="仿宋_GB2312" w:cs="仿宋_GB2312"/>
          <w:color w:val="auto"/>
          <w:sz w:val="32"/>
          <w:szCs w:val="32"/>
        </w:rPr>
        <w:t>万元、劳务费</w:t>
      </w:r>
      <w:r>
        <w:rPr>
          <w:rFonts w:hint="eastAsia" w:ascii="仿宋_GB2312" w:hAnsi="仿宋_GB2312" w:eastAsia="仿宋_GB2312" w:cs="仿宋_GB2312"/>
          <w:color w:val="auto"/>
          <w:sz w:val="32"/>
          <w:szCs w:val="32"/>
          <w:lang w:val="en-US" w:eastAsia="zh-CN"/>
        </w:rPr>
        <w:t>2.57</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4.9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、其他</w:t>
      </w:r>
      <w:r>
        <w:rPr>
          <w:rFonts w:hint="eastAsia" w:ascii="仿宋_GB2312" w:hAnsi="仿宋_GB2312" w:eastAsia="仿宋_GB2312" w:cs="仿宋_GB2312"/>
          <w:color w:val="auto"/>
          <w:sz w:val="32"/>
          <w:szCs w:val="32"/>
          <w:lang w:val="en-US" w:eastAsia="zh-CN"/>
        </w:rPr>
        <w:t>交通费0.47万元，委托业务费6.17万元。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4.43</w:t>
      </w:r>
      <w:r>
        <w:rPr>
          <w:rFonts w:hint="eastAsia" w:ascii="仿宋_GB2312" w:hAnsi="仿宋_GB2312" w:eastAsia="仿宋_GB2312" w:cs="仿宋_GB2312"/>
          <w:color w:val="auto"/>
          <w:sz w:val="32"/>
          <w:szCs w:val="32"/>
        </w:rPr>
        <w:t>万元，主要包括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卡卡足乡村提升项目</w:t>
      </w:r>
      <w:r>
        <w:rPr>
          <w:rFonts w:hint="eastAsia" w:ascii="仿宋_GB2312" w:hAnsi="仿宋_GB2312" w:eastAsia="仿宋_GB2312" w:cs="仿宋_GB2312"/>
          <w:color w:val="auto"/>
          <w:sz w:val="32"/>
          <w:szCs w:val="32"/>
          <w:lang w:val="en-US" w:eastAsia="zh-CN"/>
        </w:rPr>
        <w:t>审计费0.63万元。</w:t>
      </w:r>
      <w:r>
        <w:rPr>
          <w:rFonts w:hint="eastAsia" w:ascii="仿宋_GB2312" w:hAnsi="仿宋_GB2312" w:eastAsia="仿宋_GB2312" w:cs="仿宋_GB2312"/>
          <w:color w:val="auto"/>
          <w:sz w:val="32"/>
          <w:szCs w:val="32"/>
        </w:rPr>
        <w:t>其他政府办公厅（室）及相关机构事务支出</w:t>
      </w:r>
      <w:r>
        <w:rPr>
          <w:rFonts w:hint="eastAsia" w:ascii="仿宋_GB2312" w:hAnsi="仿宋_GB2312" w:eastAsia="仿宋_GB2312" w:cs="仿宋_GB2312"/>
          <w:color w:val="auto"/>
          <w:sz w:val="32"/>
          <w:szCs w:val="32"/>
          <w:lang w:val="en-US" w:eastAsia="zh-CN"/>
        </w:rPr>
        <w:t>1.3万元，应急救援2.5万元。</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年预算</w:t>
      </w:r>
      <w:r>
        <w:rPr>
          <w:rFonts w:hint="eastAsia" w:ascii="仿宋_GB2312" w:hAnsi="仿宋" w:eastAsia="仿宋_GB2312"/>
          <w:sz w:val="32"/>
          <w:szCs w:val="32"/>
        </w:rPr>
        <w:t>600.23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年部门收入预算总额为</w:t>
      </w:r>
      <w:r>
        <w:rPr>
          <w:rFonts w:hint="eastAsia" w:ascii="仿宋" w:hAnsi="仿宋" w:eastAsia="仿宋" w:cs="仿宋"/>
          <w:color w:val="000000"/>
          <w:spacing w:val="-14"/>
          <w:kern w:val="0"/>
          <w:sz w:val="32"/>
          <w:szCs w:val="32"/>
        </w:rPr>
        <w:t>689.96万元</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89.73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增加13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机构改革三站人员编制下划给乡镇。</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万元，其中公务接待费0万元，公务用车运行维护费</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万元，实际支出</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万元，公务接待费0万元，公务用车运行维护费</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zh-CN"/>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公务用车运行维护费</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万元，1-6月实际支出公务接待费0万元，公务用车运行维护费</w:t>
      </w:r>
      <w:r>
        <w:rPr>
          <w:rFonts w:hint="eastAsia" w:ascii="仿宋_GB2312" w:hAnsi="仿宋_GB2312" w:eastAsia="仿宋_GB2312" w:cs="仿宋_GB2312"/>
          <w:color w:val="auto"/>
          <w:sz w:val="32"/>
          <w:szCs w:val="32"/>
          <w:lang w:val="en-US" w:eastAsia="zh-CN"/>
        </w:rPr>
        <w:t>4.9</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（三）综合管理情况。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w:t>
      </w:r>
      <w:r>
        <w:rPr>
          <w:rFonts w:hint="eastAsia" w:ascii="仿宋_GB2312" w:hAnsi="仿宋_GB2312" w:eastAsia="仿宋_GB2312" w:cs="仿宋_GB2312"/>
          <w:color w:val="000000"/>
          <w:sz w:val="32"/>
          <w:szCs w:val="32"/>
          <w:lang w:val="en-US" w:eastAsia="zh-CN"/>
        </w:rPr>
        <w:t>镇</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23"/>
        <w:spacing w:line="560" w:lineRule="exact"/>
        <w:ind w:firstLine="640" w:firstLineChars="200"/>
        <w:rPr>
          <w:rFonts w:ascii="仿宋_GB2312" w:eastAsia="仿宋_GB2312"/>
          <w:sz w:val="32"/>
          <w:szCs w:val="32"/>
        </w:rPr>
      </w:pPr>
    </w:p>
    <w:p>
      <w:pPr>
        <w:spacing w:line="600" w:lineRule="exact"/>
        <w:jc w:val="center"/>
        <w:outlineLvl w:val="0"/>
        <w:rPr>
          <w:rFonts w:hint="eastAsia" w:ascii="黑体" w:eastAsia="黑体"/>
          <w:color w:val="000000"/>
          <w:sz w:val="44"/>
          <w:szCs w:val="44"/>
        </w:rPr>
      </w:pPr>
      <w:bookmarkStart w:id="32" w:name="_Toc15396614"/>
      <w:bookmarkStart w:id="33"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bookmarkEnd w:id="32"/>
    <w:bookmarkEnd w:id="33"/>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57C7A041"/>
    <w:multiLevelType w:val="singleLevel"/>
    <w:tmpl w:val="57C7A041"/>
    <w:lvl w:ilvl="0" w:tentative="0">
      <w:start w:val="1"/>
      <w:numFmt w:val="decimal"/>
      <w:lvlText w:val="%1."/>
      <w:lvlJc w:val="left"/>
      <w:pPr>
        <w:tabs>
          <w:tab w:val="left" w:pos="312"/>
        </w:tabs>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374870"/>
    <w:rsid w:val="1D095254"/>
    <w:rsid w:val="37AF79F5"/>
    <w:rsid w:val="456811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99"/>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39532;&#22856;&#38215;\Desktop\&#22270;&#2663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39532;&#22856;&#38215;\Desktop\&#22270;&#2663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0889855072463768"/>
          <c:y val="0.224052257890841"/>
          <c:w val="0.74988801399825"/>
          <c:h val="0.678939195100612"/>
        </c:manualLayout>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[图标.xls]Sheet1!$A$2:$A$3</c:f>
              <c:strCache>
                <c:ptCount val="2"/>
                <c:pt idx="0">
                  <c:v>2019年</c:v>
                </c:pt>
                <c:pt idx="1">
                  <c:v>2020年</c:v>
                </c:pt>
              </c:strCache>
            </c:strRef>
          </c:cat>
          <c:val>
            <c:numRef>
              <c:f>[图标.xls]Sheet1!$B$2:$B$3</c:f>
              <c:numCache>
                <c:formatCode>General</c:formatCode>
                <c:ptCount val="2"/>
                <c:pt idx="0">
                  <c:v>684.54</c:v>
                </c:pt>
                <c:pt idx="1">
                  <c:v>906.81</c:v>
                </c:pt>
              </c:numCache>
            </c:numRef>
          </c:val>
        </c:ser>
        <c:ser>
          <c:idx val="1"/>
          <c:order val="1"/>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[图标.xls]Sheet1!$A$2:$A$3</c:f>
              <c:strCache>
                <c:ptCount val="2"/>
                <c:pt idx="0">
                  <c:v>2019年</c:v>
                </c:pt>
                <c:pt idx="1">
                  <c:v>2020年</c:v>
                </c:pt>
              </c:strCache>
            </c:strRef>
          </c:cat>
          <c:val>
            <c:numRef>
              <c:f>[图标.xls]Sheet1!$C$2:$C$3</c:f>
              <c:numCache>
                <c:formatCode>General</c:formatCode>
                <c:ptCount val="2"/>
                <c:pt idx="0">
                  <c:v>911.9</c:v>
                </c:pt>
                <c:pt idx="1">
                  <c:v>907.53</c:v>
                </c:pt>
              </c:numCache>
            </c:numRef>
          </c:val>
        </c:ser>
        <c:dLbls>
          <c:showLegendKey val="0"/>
          <c:showVal val="0"/>
          <c:showCatName val="0"/>
          <c:showSerName val="0"/>
          <c:showPercent val="0"/>
          <c:showBubbleSize val="0"/>
        </c:dLbls>
        <c:gapWidth val="150"/>
        <c:overlap val="0"/>
        <c:axId val="334352193"/>
        <c:axId val="673508188"/>
      </c:barChart>
      <c:catAx>
        <c:axId val="334352193"/>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73508188"/>
        <c:crosses val="autoZero"/>
        <c:auto val="1"/>
        <c:lblAlgn val="ctr"/>
        <c:lblOffset val="100"/>
        <c:noMultiLvlLbl val="0"/>
      </c:catAx>
      <c:valAx>
        <c:axId val="67350818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34352193"/>
        <c:crosses val="autoZero"/>
        <c:crossBetween val="between"/>
      </c:valAx>
      <c:spPr>
        <a:noFill/>
        <a:ln w="3175">
          <a:noFill/>
        </a:ln>
      </c:spPr>
    </c:plotArea>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0889855072463768"/>
          <c:y val="0.224052257890841"/>
          <c:w val="0.74988801399825"/>
          <c:h val="0.678939195100612"/>
        </c:manualLayout>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[图标.xls]Sheet1!$A$2:$A$3</c:f>
              <c:strCache>
                <c:ptCount val="2"/>
                <c:pt idx="0">
                  <c:v>2019年</c:v>
                </c:pt>
                <c:pt idx="1">
                  <c:v>2020年</c:v>
                </c:pt>
              </c:strCache>
            </c:strRef>
          </c:cat>
          <c:val>
            <c:numRef>
              <c:f>[图标.xls]Sheet1!$B$2:$B$3</c:f>
              <c:numCache>
                <c:formatCode>General</c:formatCode>
                <c:ptCount val="2"/>
                <c:pt idx="0">
                  <c:v>684.54</c:v>
                </c:pt>
                <c:pt idx="1">
                  <c:v>906.81</c:v>
                </c:pt>
              </c:numCache>
            </c:numRef>
          </c:val>
        </c:ser>
        <c:ser>
          <c:idx val="1"/>
          <c:order val="1"/>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[图标.xls]Sheet1!$A$2:$A$3</c:f>
              <c:strCache>
                <c:ptCount val="2"/>
                <c:pt idx="0">
                  <c:v>2019年</c:v>
                </c:pt>
                <c:pt idx="1">
                  <c:v>2020年</c:v>
                </c:pt>
              </c:strCache>
            </c:strRef>
          </c:cat>
          <c:val>
            <c:numRef>
              <c:f>[图标.xls]Sheet1!$C$2:$C$3</c:f>
              <c:numCache>
                <c:formatCode>General</c:formatCode>
                <c:ptCount val="2"/>
                <c:pt idx="0">
                  <c:v>911.9</c:v>
                </c:pt>
                <c:pt idx="1">
                  <c:v>907.53</c:v>
                </c:pt>
              </c:numCache>
            </c:numRef>
          </c:val>
        </c:ser>
        <c:dLbls>
          <c:showLegendKey val="0"/>
          <c:showVal val="0"/>
          <c:showCatName val="0"/>
          <c:showSerName val="0"/>
          <c:showPercent val="0"/>
          <c:showBubbleSize val="0"/>
        </c:dLbls>
        <c:gapWidth val="150"/>
        <c:overlap val="0"/>
        <c:axId val="334352193"/>
        <c:axId val="673508188"/>
      </c:barChart>
      <c:catAx>
        <c:axId val="334352193"/>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73508188"/>
        <c:crosses val="autoZero"/>
        <c:auto val="1"/>
        <c:lblAlgn val="ctr"/>
        <c:lblOffset val="100"/>
        <c:noMultiLvlLbl val="0"/>
      </c:catAx>
      <c:valAx>
        <c:axId val="67350818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34352193"/>
        <c:crosses val="autoZero"/>
        <c:crossBetween val="between"/>
      </c:valAx>
      <c:spPr>
        <a:noFill/>
        <a:ln w="3175">
          <a:noFill/>
        </a:ln>
      </c:spPr>
    </c:plotArea>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1</TotalTime>
  <ScaleCrop>false</ScaleCrop>
  <LinksUpToDate>false</LinksUpToDate>
  <CharactersWithSpaces>12923</CharactersWithSpaces>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2020-09-29T10:36:00Z</cp:lastPrinted>
  <dcterms:modified xsi:type="dcterms:W3CDTF">2021-09-27T03:17:38Z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