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tblLayout w:type="fixed"/>
        <w:tblCellMar>
          <w:left w:w="0" w:type="dxa"/>
          <w:right w:w="0" w:type="dxa"/>
        </w:tblCellMar>
        <w:tblLook w:val="04A0"/>
      </w:tblPr>
      <w:tblGrid>
        <w:gridCol w:w="12000"/>
      </w:tblGrid>
      <w:tr w:rsidR="00056E7E">
        <w:trPr>
          <w:tblCellSpacing w:w="0" w:type="dxa"/>
          <w:jc w:val="center"/>
        </w:trPr>
        <w:tc>
          <w:tcPr>
            <w:tcW w:w="12000" w:type="dxa"/>
            <w:shd w:val="clear" w:color="auto" w:fill="FFFFFF"/>
          </w:tcPr>
          <w:tbl>
            <w:tblPr>
              <w:tblW w:w="12000" w:type="dxa"/>
              <w:tblCellSpacing w:w="0" w:type="dxa"/>
              <w:tblLayout w:type="fixed"/>
              <w:tblCellMar>
                <w:left w:w="0" w:type="dxa"/>
                <w:right w:w="0" w:type="dxa"/>
              </w:tblCellMar>
              <w:tblLook w:val="04A0"/>
            </w:tblPr>
            <w:tblGrid>
              <w:gridCol w:w="12000"/>
            </w:tblGrid>
            <w:tr w:rsidR="00056E7E">
              <w:trPr>
                <w:tblCellSpacing w:w="0" w:type="dxa"/>
              </w:trPr>
              <w:tc>
                <w:tcPr>
                  <w:tcW w:w="12000" w:type="dxa"/>
                </w:tcPr>
                <w:tbl>
                  <w:tblPr>
                    <w:tblW w:w="12000" w:type="dxa"/>
                    <w:tblCellSpacing w:w="0" w:type="dxa"/>
                    <w:tblLayout w:type="fixed"/>
                    <w:tblCellMar>
                      <w:left w:w="0" w:type="dxa"/>
                      <w:right w:w="0" w:type="dxa"/>
                    </w:tblCellMar>
                    <w:tblLook w:val="04A0"/>
                  </w:tblPr>
                  <w:tblGrid>
                    <w:gridCol w:w="10650"/>
                    <w:gridCol w:w="1350"/>
                  </w:tblGrid>
                  <w:tr w:rsidR="00056E7E">
                    <w:trPr>
                      <w:tblCellSpacing w:w="0" w:type="dxa"/>
                    </w:trPr>
                    <w:tc>
                      <w:tcPr>
                        <w:tcW w:w="10650" w:type="dxa"/>
                        <w:tcMar>
                          <w:top w:w="0" w:type="dxa"/>
                          <w:left w:w="30" w:type="dxa"/>
                          <w:bottom w:w="30" w:type="dxa"/>
                          <w:right w:w="30" w:type="dxa"/>
                        </w:tcMar>
                      </w:tcPr>
                      <w:tbl>
                        <w:tblPr>
                          <w:tblW w:w="10590" w:type="dxa"/>
                          <w:tblCellSpacing w:w="0" w:type="dxa"/>
                          <w:shd w:val="clear" w:color="auto" w:fill="FFFFFF"/>
                          <w:tblLayout w:type="fixed"/>
                          <w:tblCellMar>
                            <w:left w:w="0" w:type="dxa"/>
                            <w:right w:w="0" w:type="dxa"/>
                          </w:tblCellMar>
                          <w:tblLook w:val="04A0"/>
                        </w:tblPr>
                        <w:tblGrid>
                          <w:gridCol w:w="10590"/>
                        </w:tblGrid>
                        <w:tr w:rsidR="00056E7E">
                          <w:trPr>
                            <w:tblCellSpacing w:w="0" w:type="dxa"/>
                          </w:trPr>
                          <w:tc>
                            <w:tcPr>
                              <w:tcW w:w="10590" w:type="dxa"/>
                              <w:shd w:val="clear" w:color="auto" w:fill="FFFFFF"/>
                            </w:tcPr>
                            <w:tbl>
                              <w:tblPr>
                                <w:tblW w:w="8775" w:type="dxa"/>
                                <w:jc w:val="center"/>
                                <w:tblCellSpacing w:w="0" w:type="dxa"/>
                                <w:tblLayout w:type="fixed"/>
                                <w:tblCellMar>
                                  <w:left w:w="0" w:type="dxa"/>
                                  <w:right w:w="0" w:type="dxa"/>
                                </w:tblCellMar>
                                <w:tblLook w:val="04A0"/>
                              </w:tblPr>
                              <w:tblGrid>
                                <w:gridCol w:w="8775"/>
                              </w:tblGrid>
                              <w:tr w:rsidR="00056E7E">
                                <w:trPr>
                                  <w:tblCellSpacing w:w="0" w:type="dxa"/>
                                  <w:jc w:val="center"/>
                                </w:trPr>
                                <w:tc>
                                  <w:tcPr>
                                    <w:tcW w:w="8775" w:type="dxa"/>
                                    <w:tcMar>
                                      <w:top w:w="150" w:type="dxa"/>
                                      <w:left w:w="75" w:type="dxa"/>
                                      <w:bottom w:w="0" w:type="dxa"/>
                                      <w:right w:w="0" w:type="dxa"/>
                                    </w:tcMar>
                                  </w:tcPr>
                                  <w:p w:rsidR="00056E7E" w:rsidRDefault="00902E22">
                                    <w:pPr>
                                      <w:widowControl/>
                                      <w:spacing w:before="100" w:beforeAutospacing="1" w:after="100" w:afterAutospacing="1" w:line="560" w:lineRule="exact"/>
                                      <w:jc w:val="center"/>
                                      <w:rPr>
                                        <w:rFonts w:ascii="黑体" w:eastAsia="黑体" w:hAnsi="宋体" w:cs="宋体"/>
                                        <w:b/>
                                        <w:bCs/>
                                        <w:color w:val="333333"/>
                                        <w:kern w:val="0"/>
                                        <w:sz w:val="44"/>
                                        <w:szCs w:val="44"/>
                                      </w:rPr>
                                    </w:pPr>
                                    <w:r>
                                      <w:rPr>
                                        <w:rFonts w:ascii="方正小标宋简体" w:eastAsia="方正小标宋简体" w:hAnsi="宋体" w:cs="宋体" w:hint="eastAsia"/>
                                        <w:color w:val="333333"/>
                                        <w:kern w:val="0"/>
                                        <w:sz w:val="36"/>
                                        <w:szCs w:val="36"/>
                                      </w:rPr>
                                      <w:t xml:space="preserve">　</w:t>
                                    </w:r>
                                    <w:r>
                                      <w:rPr>
                                        <w:rFonts w:ascii="黑体" w:eastAsia="黑体" w:hAnsi="宋体" w:cs="宋体" w:hint="eastAsia"/>
                                        <w:b/>
                                        <w:bCs/>
                                        <w:color w:val="333333"/>
                                        <w:kern w:val="0"/>
                                        <w:sz w:val="44"/>
                                        <w:szCs w:val="44"/>
                                      </w:rPr>
                                      <w:t>金川县马奈镇人民政府</w:t>
                                    </w:r>
                                  </w:p>
                                  <w:p w:rsidR="00056E7E" w:rsidRDefault="00902E22">
                                    <w:pPr>
                                      <w:widowControl/>
                                      <w:spacing w:before="100" w:beforeAutospacing="1" w:after="100" w:afterAutospacing="1" w:line="560" w:lineRule="exact"/>
                                      <w:jc w:val="center"/>
                                      <w:rPr>
                                        <w:rFonts w:ascii="仿宋" w:eastAsia="仿宋" w:hAnsi="仿宋" w:cs="仿宋"/>
                                        <w:b/>
                                        <w:bCs/>
                                        <w:color w:val="333333"/>
                                        <w:kern w:val="0"/>
                                        <w:sz w:val="32"/>
                                        <w:szCs w:val="32"/>
                                      </w:rPr>
                                    </w:pPr>
                                    <w:r>
                                      <w:rPr>
                                        <w:rFonts w:ascii="黑体" w:eastAsia="黑体" w:hAnsi="宋体" w:cs="宋体" w:hint="eastAsia"/>
                                        <w:b/>
                                        <w:bCs/>
                                        <w:color w:val="333333"/>
                                        <w:kern w:val="0"/>
                                        <w:sz w:val="44"/>
                                        <w:szCs w:val="44"/>
                                      </w:rPr>
                                      <w:t>关于2021年部门预算编制情况说明</w:t>
                                    </w:r>
                                  </w:p>
                                  <w:p w:rsidR="00056E7E" w:rsidRDefault="00902E22">
                                    <w:pPr>
                                      <w:spacing w:line="560" w:lineRule="exact"/>
                                      <w:ind w:firstLineChars="200" w:firstLine="560"/>
                                      <w:rPr>
                                        <w:rFonts w:ascii="仿宋" w:eastAsia="仿宋" w:hAnsi="仿宋" w:cs="仿宋"/>
                                        <w:color w:val="000000"/>
                                        <w:spacing w:val="-14"/>
                                        <w:kern w:val="0"/>
                                        <w:sz w:val="32"/>
                                        <w:szCs w:val="32"/>
                                      </w:rPr>
                                    </w:pPr>
                                    <w:r>
                                      <w:rPr>
                                        <w:rFonts w:ascii="黑体" w:eastAsia="黑体" w:hAnsi="宋体" w:cs="宋体" w:hint="eastAsia"/>
                                        <w:color w:val="333333"/>
                                        <w:kern w:val="0"/>
                                        <w:sz w:val="28"/>
                                        <w:szCs w:val="28"/>
                                      </w:rPr>
                                      <w:t xml:space="preserve">　　</w:t>
                                    </w:r>
                                    <w:r>
                                      <w:rPr>
                                        <w:rFonts w:ascii="黑体" w:eastAsia="黑体" w:hAnsi="宋体" w:cs="宋体" w:hint="eastAsia"/>
                                        <w:color w:val="333333"/>
                                        <w:kern w:val="0"/>
                                        <w:sz w:val="28"/>
                                        <w:szCs w:val="28"/>
                                      </w:rPr>
                                      <w:br/>
                                      <w:t xml:space="preserve">　　一、基本职能及主要工作</w:t>
                                    </w:r>
                                    <w:r>
                                      <w:rPr>
                                        <w:rFonts w:ascii="黑体" w:eastAsia="黑体" w:hAnsi="宋体" w:cs="宋体" w:hint="eastAsia"/>
                                        <w:color w:val="333333"/>
                                        <w:kern w:val="0"/>
                                        <w:sz w:val="28"/>
                                        <w:szCs w:val="28"/>
                                      </w:rPr>
                                      <w:br/>
                                    </w:r>
                                    <w:r>
                                      <w:rPr>
                                        <w:rFonts w:ascii="楷体_GB2312" w:eastAsia="楷体_GB2312" w:hAnsi="宋体" w:cs="宋体" w:hint="eastAsia"/>
                                        <w:b/>
                                        <w:bCs/>
                                        <w:color w:val="333333"/>
                                        <w:kern w:val="0"/>
                                        <w:sz w:val="28"/>
                                      </w:rPr>
                                      <w:t xml:space="preserve">　　（一）我镇职能简介。</w:t>
                                    </w:r>
                                    <w:r>
                                      <w:rPr>
                                        <w:rFonts w:ascii="楷体_GB2312" w:eastAsia="楷体_GB2312" w:hAnsi="宋体" w:cs="宋体" w:hint="eastAsia"/>
                                        <w:b/>
                                        <w:bCs/>
                                        <w:color w:val="333333"/>
                                        <w:kern w:val="0"/>
                                        <w:sz w:val="28"/>
                                        <w:szCs w:val="28"/>
                                      </w:rPr>
                                      <w:br/>
                                      <w:t xml:space="preserve">    </w:t>
                                    </w:r>
                                    <w:r>
                                      <w:rPr>
                                        <w:rFonts w:ascii="仿宋" w:eastAsia="仿宋" w:hAnsi="仿宋" w:cs="仿宋" w:hint="eastAsia"/>
                                        <w:color w:val="000000"/>
                                        <w:spacing w:val="-14"/>
                                        <w:kern w:val="0"/>
                                        <w:sz w:val="32"/>
                                        <w:szCs w:val="32"/>
                                      </w:rPr>
                                      <w:t>1、贯彻执行国家有关财政管理等方面的法律、法规和规章;负责草拟本镇农业产业结构调整规划，建立健全合作组织的组织制度、民主管理制度、利益分配制度等；</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2、编制镇年度财政预算草案并组织执行；向镇人大报告财政决算；管理和监督镇镇各项财政收支；</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3、负责本镇涉农及社会保障等专户资金的管理和核算；</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4、负责村级资金专户存储、核拨和监督管理；</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5、负责对各类专项资金、涉农资金的监管，提高财政资金使用效率，严格按规定做好财务管理工作；</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6、提出加强财政管理的政策建议；负责财政、税收政策法规的宣传工作；</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7、执行会计集中核算，落实“镇财县管、村帐镇监”、“农村三资代理服务”等管理制度，严格按照上级财政部门规定的工作程序开展工作，充分发挥财政资金效益；</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8、负责本镇行政事业单位的国有资产监督管理工作；</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9、负责做好农村综合改革和社会主义新农村建设相关工作；</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10、承办镇党委、政府及上级财政部门交办的其他事项。</w:t>
                                    </w:r>
                                  </w:p>
                                  <w:p w:rsidR="00056E7E" w:rsidRDefault="00902E22">
                                    <w:pPr>
                                      <w:rPr>
                                        <w:rFonts w:ascii="仿宋" w:eastAsia="仿宋" w:hAnsi="仿宋" w:cs="仿宋"/>
                                        <w:sz w:val="32"/>
                                        <w:szCs w:val="32"/>
                                      </w:rPr>
                                    </w:pPr>
                                    <w:r>
                                      <w:rPr>
                                        <w:rFonts w:ascii="楷体_GB2312" w:eastAsia="楷体_GB2312" w:hAnsi="宋体" w:cs="宋体" w:hint="eastAsia"/>
                                        <w:b/>
                                        <w:bCs/>
                                        <w:color w:val="333333"/>
                                        <w:kern w:val="0"/>
                                        <w:sz w:val="28"/>
                                      </w:rPr>
                                      <w:t>（二）我镇2021年重点工作。</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lastRenderedPageBreak/>
                                      <w:t xml:space="preserve">　　</w:t>
                                    </w:r>
                                    <w:r>
                                      <w:rPr>
                                        <w:rFonts w:ascii="仿宋" w:eastAsia="仿宋" w:hAnsi="仿宋" w:cs="仿宋" w:hint="eastAsia"/>
                                        <w:sz w:val="32"/>
                                        <w:szCs w:val="32"/>
                                      </w:rPr>
                                      <w:t>1、认真开展好学习实践科学发展观的学习活动，不断提高全所干部职工的政策理论水平和实际工作能力，不断完善内部管理制度，加强政府自身建设、人员的管理和监督，不断改善服务态度，打造为民高效政府；</w:t>
                                    </w:r>
                                  </w:p>
                                  <w:p w:rsidR="00056E7E" w:rsidRDefault="00902E22">
                                    <w:pPr>
                                      <w:ind w:firstLineChars="200" w:firstLine="640"/>
                                      <w:rPr>
                                        <w:rFonts w:ascii="仿宋" w:eastAsia="仿宋" w:hAnsi="仿宋" w:cs="仿宋"/>
                                        <w:sz w:val="32"/>
                                        <w:szCs w:val="32"/>
                                      </w:rPr>
                                    </w:pPr>
                                    <w:r>
                                      <w:rPr>
                                        <w:rFonts w:ascii="仿宋" w:eastAsia="仿宋" w:hAnsi="仿宋" w:cs="仿宋" w:hint="eastAsia"/>
                                        <w:sz w:val="32"/>
                                        <w:szCs w:val="32"/>
                                      </w:rPr>
                                      <w:t>2、加大各项惠农政策的落实力度，把任务落实到人，力争做到各项惠农资金及时、准确、公平、合理地落实到位，让人民群众满意，让政策更加透明；</w:t>
                                    </w:r>
                                  </w:p>
                                  <w:p w:rsidR="00056E7E" w:rsidRDefault="00902E22">
                                    <w:pPr>
                                      <w:ind w:firstLineChars="200" w:firstLine="640"/>
                                      <w:rPr>
                                        <w:rFonts w:ascii="仿宋" w:eastAsia="仿宋" w:hAnsi="仿宋" w:cs="仿宋"/>
                                        <w:sz w:val="32"/>
                                        <w:szCs w:val="32"/>
                                      </w:rPr>
                                    </w:pPr>
                                    <w:r>
                                      <w:rPr>
                                        <w:rFonts w:ascii="仿宋" w:eastAsia="仿宋" w:hAnsi="仿宋" w:cs="仿宋" w:hint="eastAsia"/>
                                        <w:sz w:val="32"/>
                                        <w:szCs w:val="32"/>
                                      </w:rPr>
                                      <w:t>3、继续加强财务管理，推进财务公开，不断完善管理制度，使村级财务和行政事业单位的财务走上规范化、制度化；</w:t>
                                    </w:r>
                                  </w:p>
                                  <w:p w:rsidR="00056E7E" w:rsidRDefault="00902E22">
                                    <w:pPr>
                                      <w:ind w:firstLineChars="200" w:firstLine="640"/>
                                      <w:rPr>
                                        <w:rFonts w:ascii="仿宋" w:eastAsia="仿宋" w:hAnsi="仿宋" w:cs="仿宋"/>
                                        <w:sz w:val="32"/>
                                        <w:szCs w:val="32"/>
                                      </w:rPr>
                                    </w:pPr>
                                    <w:r>
                                      <w:rPr>
                                        <w:rFonts w:ascii="仿宋" w:eastAsia="仿宋" w:hAnsi="仿宋" w:cs="仿宋" w:hint="eastAsia"/>
                                        <w:sz w:val="32"/>
                                        <w:szCs w:val="32"/>
                                      </w:rPr>
                                      <w:t>4、认真执行政府采购制度，不断完善民主管理办法，逐步推行政务公开，接受人民群众的监督；</w:t>
                                    </w:r>
                                  </w:p>
                                  <w:p w:rsidR="00056E7E" w:rsidRDefault="00902E22">
                                    <w:pPr>
                                      <w:ind w:firstLineChars="200" w:firstLine="640"/>
                                      <w:rPr>
                                        <w:rFonts w:ascii="仿宋" w:eastAsia="仿宋" w:hAnsi="仿宋" w:cs="仿宋"/>
                                        <w:sz w:val="32"/>
                                        <w:szCs w:val="32"/>
                                      </w:rPr>
                                    </w:pPr>
                                    <w:r>
                                      <w:rPr>
                                        <w:rFonts w:ascii="仿宋" w:eastAsia="仿宋" w:hAnsi="仿宋" w:cs="仿宋" w:hint="eastAsia"/>
                                        <w:sz w:val="32"/>
                                        <w:szCs w:val="32"/>
                                      </w:rPr>
                                      <w:t>5、进一步加强预算管理，为领导科学决策提供真实的科学的依据，为各级政府领导当好发展农村经济的参谋；</w:t>
                                    </w:r>
                                  </w:p>
                                  <w:p w:rsidR="00056E7E" w:rsidRDefault="00902E22">
                                    <w:pPr>
                                      <w:ind w:firstLineChars="200" w:firstLine="640"/>
                                      <w:rPr>
                                        <w:rFonts w:ascii="仿宋" w:eastAsia="仿宋" w:hAnsi="仿宋" w:cs="仿宋"/>
                                        <w:sz w:val="32"/>
                                        <w:szCs w:val="32"/>
                                      </w:rPr>
                                    </w:pPr>
                                    <w:r>
                                      <w:rPr>
                                        <w:rFonts w:ascii="仿宋" w:eastAsia="仿宋" w:hAnsi="仿宋" w:cs="仿宋" w:hint="eastAsia"/>
                                        <w:sz w:val="32"/>
                                        <w:szCs w:val="32"/>
                                      </w:rPr>
                                      <w:t>6、努力做好财政预决算工作，严格执行年初预算，确保全年收支平衡；</w:t>
                                    </w:r>
                                  </w:p>
                                  <w:p w:rsidR="00056E7E" w:rsidRDefault="00902E22">
                                    <w:pPr>
                                      <w:ind w:firstLineChars="200" w:firstLine="640"/>
                                      <w:rPr>
                                        <w:rFonts w:ascii="仿宋" w:eastAsia="仿宋" w:hAnsi="仿宋" w:cs="仿宋"/>
                                        <w:sz w:val="32"/>
                                        <w:szCs w:val="32"/>
                                      </w:rPr>
                                    </w:pPr>
                                    <w:r>
                                      <w:rPr>
                                        <w:rFonts w:ascii="仿宋" w:eastAsia="仿宋" w:hAnsi="仿宋" w:cs="仿宋" w:hint="eastAsia"/>
                                        <w:sz w:val="32"/>
                                        <w:szCs w:val="32"/>
                                      </w:rPr>
                                      <w:t>7、加强专项资金的规范管理和使用。</w:t>
                                    </w:r>
                                  </w:p>
                                  <w:p w:rsidR="00056E7E" w:rsidRDefault="00902E22">
                                    <w:pPr>
                                      <w:spacing w:line="560" w:lineRule="exact"/>
                                      <w:ind w:firstLineChars="200" w:firstLine="560"/>
                                      <w:rPr>
                                        <w:rFonts w:ascii="仿宋" w:eastAsia="仿宋" w:hAnsi="仿宋" w:cs="仿宋"/>
                                        <w:color w:val="000000"/>
                                        <w:spacing w:val="-14"/>
                                        <w:kern w:val="0"/>
                                        <w:sz w:val="32"/>
                                        <w:szCs w:val="32"/>
                                      </w:rPr>
                                    </w:pP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 xml:space="preserve">　二、部门预算单位构成</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sz w:val="32"/>
                                        <w:szCs w:val="32"/>
                                      </w:rPr>
                                      <w:t>2021年本部门预算单位1个，2021年实际编制数42人，较上年编制数增加</w:t>
                                    </w:r>
                                    <w:bookmarkStart w:id="0" w:name="_GoBack"/>
                                    <w:bookmarkEnd w:id="0"/>
                                    <w:r>
                                      <w:rPr>
                                        <w:rFonts w:ascii="仿宋" w:eastAsia="仿宋" w:hAnsi="仿宋" w:cs="仿宋" w:hint="eastAsia"/>
                                        <w:color w:val="000000"/>
                                        <w:spacing w:val="-14"/>
                                        <w:sz w:val="32"/>
                                        <w:szCs w:val="32"/>
                                      </w:rPr>
                                      <w:t>24人，变动原因为2020年撤乡并镇机构改革后原马尔邦乡、马奈乡合并为马奈镇，所有人员合并至马奈镇 ，农技站、畜牧站以及社保股人员编制下发至马奈镇（不含退休人员），其中：行政编制21人，行政工勤4人，</w:t>
                                    </w:r>
                                    <w:r>
                                      <w:rPr>
                                        <w:rStyle w:val="apple-converted-space"/>
                                        <w:rFonts w:ascii="仿宋" w:eastAsia="仿宋" w:hAnsi="仿宋" w:cs="仿宋" w:hint="eastAsia"/>
                                        <w:color w:val="000000"/>
                                        <w:spacing w:val="-14"/>
                                        <w:sz w:val="32"/>
                                        <w:szCs w:val="32"/>
                                      </w:rPr>
                                      <w:t> </w:t>
                                    </w:r>
                                    <w:r>
                                      <w:rPr>
                                        <w:rFonts w:ascii="仿宋" w:eastAsia="仿宋" w:hAnsi="仿宋" w:cs="仿宋" w:hint="eastAsia"/>
                                        <w:color w:val="000000"/>
                                        <w:spacing w:val="-14"/>
                                        <w:sz w:val="32"/>
                                        <w:szCs w:val="32"/>
                                      </w:rPr>
                                      <w:t>事业编制17人。</w:t>
                                    </w:r>
                                  </w:p>
                                  <w:p w:rsidR="00056E7E" w:rsidRDefault="00902E22">
                                    <w:pPr>
                                      <w:widowControl/>
                                      <w:spacing w:line="480" w:lineRule="atLeast"/>
                                      <w:ind w:firstLine="60"/>
                                      <w:rPr>
                                        <w:rFonts w:ascii="仿宋" w:eastAsia="仿宋" w:hAnsi="仿宋" w:cs="仿宋"/>
                                        <w:color w:val="000000"/>
                                        <w:spacing w:val="-14"/>
                                        <w:kern w:val="0"/>
                                        <w:sz w:val="32"/>
                                        <w:szCs w:val="32"/>
                                      </w:rPr>
                                    </w:pPr>
                                    <w:r>
                                      <w:rPr>
                                        <w:rFonts w:ascii="仿宋_GB2312" w:eastAsia="仿宋_GB2312" w:hAnsi="宋体" w:cs="宋体" w:hint="eastAsia"/>
                                        <w:color w:val="333333"/>
                                        <w:kern w:val="0"/>
                                        <w:sz w:val="28"/>
                                        <w:szCs w:val="28"/>
                                      </w:rPr>
                                      <w:lastRenderedPageBreak/>
                                      <w:t xml:space="preserve">　　</w:t>
                                    </w:r>
                                    <w:r>
                                      <w:rPr>
                                        <w:rFonts w:ascii="黑体" w:eastAsia="黑体" w:hAnsi="宋体" w:cs="宋体" w:hint="eastAsia"/>
                                        <w:color w:val="333333"/>
                                        <w:kern w:val="0"/>
                                        <w:sz w:val="28"/>
                                        <w:szCs w:val="28"/>
                                      </w:rPr>
                                      <w:t>三、收支预算情况说明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按照综合预算的原则，我镇所有收入和支出均纳入部门预算管理。收入包括：一般公共预算拨款收入、上年结转；支出包括：一般公共服务支出、教育支出、社会保障和就业支出、医疗卫生与计划生育支出、住房保障支出。我镇2021年收支总预算689.96万元,比2020年收支预算总数增加402.17万元，主要是</w:t>
                                    </w:r>
                                    <w:r>
                                      <w:rPr>
                                        <w:rFonts w:ascii="仿宋" w:eastAsia="仿宋" w:hAnsi="仿宋" w:cs="仿宋" w:hint="eastAsia"/>
                                        <w:color w:val="000000"/>
                                        <w:spacing w:val="-14"/>
                                        <w:sz w:val="32"/>
                                        <w:szCs w:val="32"/>
                                      </w:rPr>
                                      <w:t>撤乡并镇人员增加及三站人员编制下发人员经费及公用经费均有增加</w:t>
                                    </w:r>
                                    <w:r>
                                      <w:rPr>
                                        <w:rFonts w:ascii="仿宋" w:eastAsia="仿宋" w:hAnsi="仿宋" w:cs="仿宋" w:hint="eastAsia"/>
                                        <w:color w:val="000000"/>
                                        <w:spacing w:val="-14"/>
                                        <w:kern w:val="0"/>
                                        <w:sz w:val="32"/>
                                        <w:szCs w:val="32"/>
                                      </w:rPr>
                                      <w:t>。</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（一）收入预算情况。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我镇2021年收入预算689.96万元，其中：一般公共预算拨款收入689.96万元，占100%。</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（二）支出预算情况。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我镇2021年支出预算689.96万元，其中：基本支出689.96万元，占100%。</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四、财政拨款收支预算情况说明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我镇2021年财政拨款收支总预算689.96万元,比2020年财政拨款收支总预算增加402.17万元，主要是</w:t>
                                    </w:r>
                                    <w:r>
                                      <w:rPr>
                                        <w:rFonts w:ascii="仿宋" w:eastAsia="仿宋" w:hAnsi="仿宋" w:cs="仿宋" w:hint="eastAsia"/>
                                        <w:color w:val="000000"/>
                                        <w:spacing w:val="-14"/>
                                        <w:sz w:val="32"/>
                                        <w:szCs w:val="32"/>
                                      </w:rPr>
                                      <w:t>撤乡并镇人员增加及三站人员编制下发人员经费及公用经费均有增加</w:t>
                                    </w:r>
                                    <w:r>
                                      <w:rPr>
                                        <w:rFonts w:ascii="仿宋" w:eastAsia="仿宋" w:hAnsi="仿宋" w:cs="仿宋" w:hint="eastAsia"/>
                                        <w:color w:val="000000"/>
                                        <w:spacing w:val="-14"/>
                                        <w:kern w:val="0"/>
                                        <w:sz w:val="32"/>
                                        <w:szCs w:val="32"/>
                                      </w:rPr>
                                      <w:t xml:space="preserve">。　</w:t>
                                    </w:r>
                                  </w:p>
                                  <w:p w:rsidR="00056E7E" w:rsidRDefault="00902E22">
                                    <w:pPr>
                                      <w:widowControl/>
                                      <w:spacing w:line="480" w:lineRule="atLeast"/>
                                      <w:ind w:firstLine="60"/>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 xml:space="preserve">　收入包括：本年一般公共预算拨款收入689.96万元、支出包括：一般公共服务支出234.70万元、社会保障和就业支出82.83万元、卫生健康支出32.</w:t>
                                    </w:r>
                                    <w:r w:rsidR="00610B98">
                                      <w:rPr>
                                        <w:rFonts w:ascii="仿宋" w:eastAsia="仿宋" w:hAnsi="仿宋" w:cs="仿宋" w:hint="eastAsia"/>
                                        <w:color w:val="000000"/>
                                        <w:spacing w:val="-14"/>
                                        <w:kern w:val="0"/>
                                        <w:sz w:val="32"/>
                                        <w:szCs w:val="32"/>
                                      </w:rPr>
                                      <w:t>29</w:t>
                                    </w:r>
                                    <w:r>
                                      <w:rPr>
                                        <w:rFonts w:ascii="仿宋" w:eastAsia="仿宋" w:hAnsi="仿宋" w:cs="仿宋" w:hint="eastAsia"/>
                                        <w:color w:val="000000"/>
                                        <w:spacing w:val="-14"/>
                                        <w:kern w:val="0"/>
                                        <w:sz w:val="32"/>
                                        <w:szCs w:val="32"/>
                                      </w:rPr>
                                      <w:t>万元、农林水支出294.65万元、住房保障支出41.42万元、其他支出4.06万元。</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五、一般公共预算当年拨款情况说明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lastRenderedPageBreak/>
                                      <w:t xml:space="preserve">　　</w:t>
                                    </w:r>
                                    <w:r>
                                      <w:rPr>
                                        <w:rFonts w:ascii="楷体_GB2312" w:eastAsia="楷体_GB2312" w:hAnsi="宋体" w:cs="宋体" w:hint="eastAsia"/>
                                        <w:b/>
                                        <w:bCs/>
                                        <w:color w:val="333333"/>
                                        <w:kern w:val="0"/>
                                        <w:sz w:val="28"/>
                                      </w:rPr>
                                      <w:t>（一）一般公共预算当年拨款规模变化情况。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 xml:space="preserve">　我镇2021年一般公共预算当年拨款689.96万元，比2020年预算数增加402.17万元，主要是</w:t>
                                    </w:r>
                                    <w:r>
                                      <w:rPr>
                                        <w:rFonts w:ascii="仿宋" w:eastAsia="仿宋" w:hAnsi="仿宋" w:cs="仿宋" w:hint="eastAsia"/>
                                        <w:color w:val="000000"/>
                                        <w:spacing w:val="-14"/>
                                        <w:sz w:val="32"/>
                                        <w:szCs w:val="32"/>
                                      </w:rPr>
                                      <w:t>撤乡并镇人员增加及三站人员编制下发人员经费及公用经费均有增加</w:t>
                                    </w:r>
                                    <w:r>
                                      <w:rPr>
                                        <w:rFonts w:ascii="仿宋" w:eastAsia="仿宋" w:hAnsi="仿宋" w:cs="仿宋" w:hint="eastAsia"/>
                                        <w:color w:val="000000"/>
                                        <w:spacing w:val="-14"/>
                                        <w:kern w:val="0"/>
                                        <w:sz w:val="32"/>
                                        <w:szCs w:val="32"/>
                                      </w:rPr>
                                      <w:t>。</w:t>
                                    </w:r>
                                  </w:p>
                                  <w:p w:rsidR="00056E7E" w:rsidRDefault="00902E22">
                                    <w:pPr>
                                      <w:widowControl/>
                                      <w:spacing w:line="480" w:lineRule="atLeast"/>
                                      <w:ind w:firstLine="60"/>
                                      <w:rPr>
                                        <w:rFonts w:ascii="楷体_GB2312" w:eastAsia="楷体_GB2312" w:hAnsi="宋体" w:cs="宋体"/>
                                        <w:b/>
                                        <w:bCs/>
                                        <w:color w:val="333333"/>
                                        <w:kern w:val="0"/>
                                        <w:sz w:val="28"/>
                                      </w:rPr>
                                    </w:pP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（二）一般公共预算当年拨款结构情况。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一</w:t>
                                    </w:r>
                                    <w:r>
                                      <w:rPr>
                                        <w:rFonts w:ascii="仿宋" w:eastAsia="仿宋" w:hAnsi="仿宋" w:cs="仿宋" w:hint="eastAsia"/>
                                        <w:color w:val="000000"/>
                                        <w:spacing w:val="-14"/>
                                        <w:kern w:val="0"/>
                                        <w:sz w:val="32"/>
                                        <w:szCs w:val="32"/>
                                      </w:rPr>
                                      <w:t>般公共服务支出234.70万元，占34.02%；社会保障和就业支出82.83万元，占12.%；卫生健康支出</w:t>
                                    </w:r>
                                    <w:r w:rsidR="00610B98">
                                      <w:rPr>
                                        <w:rFonts w:ascii="仿宋" w:eastAsia="仿宋" w:hAnsi="仿宋" w:cs="仿宋" w:hint="eastAsia"/>
                                        <w:color w:val="000000"/>
                                        <w:spacing w:val="-14"/>
                                        <w:kern w:val="0"/>
                                        <w:sz w:val="32"/>
                                        <w:szCs w:val="32"/>
                                      </w:rPr>
                                      <w:t>23.29</w:t>
                                    </w:r>
                                    <w:r>
                                      <w:rPr>
                                        <w:rFonts w:ascii="仿宋" w:eastAsia="仿宋" w:hAnsi="仿宋" w:cs="仿宋" w:hint="eastAsia"/>
                                        <w:color w:val="000000"/>
                                        <w:spacing w:val="-14"/>
                                        <w:kern w:val="0"/>
                                        <w:sz w:val="32"/>
                                        <w:szCs w:val="32"/>
                                      </w:rPr>
                                      <w:t>万元，占3.38%；农林水支出294.65万元、占42.70%；住房保障支出41.42万元，占6%：其他支出4.06万元，占0.59%。</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（三）一般公共预算当年拨款具体使用情况。</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1.201一般公共服务(类）：234.70万元。</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（1）01人大事务（款）01行政运行（项）:日常人员经费11.12万元，公用经费</w:t>
                                    </w:r>
                                    <w:r>
                                      <w:rPr>
                                        <w:rFonts w:ascii="仿宋" w:eastAsia="仿宋" w:hAnsi="仿宋" w:cs="仿宋"/>
                                        <w:color w:val="000000"/>
                                        <w:spacing w:val="-14"/>
                                        <w:kern w:val="0"/>
                                        <w:sz w:val="32"/>
                                        <w:szCs w:val="32"/>
                                      </w:rPr>
                                      <w:t>0</w:t>
                                    </w:r>
                                    <w:r>
                                      <w:rPr>
                                        <w:rFonts w:ascii="仿宋" w:eastAsia="仿宋" w:hAnsi="仿宋" w:cs="仿宋" w:hint="eastAsia"/>
                                        <w:color w:val="000000"/>
                                        <w:spacing w:val="-14"/>
                                        <w:kern w:val="0"/>
                                        <w:sz w:val="32"/>
                                        <w:szCs w:val="32"/>
                                      </w:rPr>
                                      <w:t>万元,04人大会议（项）0.20万元。</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（2）03政府机构事务（款）01行政运行（项）：日常人员经费148.31万元，公用经费43.05万元, 对个人和家庭补助10.75万元。</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（3）31党委事务（款）01行政运行（项）：日常人员经费21.26万元，公用经费</w:t>
                                    </w:r>
                                    <w:r>
                                      <w:rPr>
                                        <w:rFonts w:ascii="仿宋" w:eastAsia="仿宋" w:hAnsi="仿宋" w:cs="仿宋"/>
                                        <w:color w:val="000000"/>
                                        <w:spacing w:val="-14"/>
                                        <w:kern w:val="0"/>
                                        <w:sz w:val="32"/>
                                        <w:szCs w:val="32"/>
                                      </w:rPr>
                                      <w:t>0</w:t>
                                    </w:r>
                                    <w:r>
                                      <w:rPr>
                                        <w:rFonts w:ascii="仿宋" w:eastAsia="仿宋" w:hAnsi="仿宋" w:cs="仿宋" w:hint="eastAsia"/>
                                        <w:color w:val="000000"/>
                                        <w:spacing w:val="-14"/>
                                        <w:kern w:val="0"/>
                                        <w:sz w:val="32"/>
                                        <w:szCs w:val="32"/>
                                      </w:rPr>
                                      <w:t>万元，对个人和家庭补助0.01万元。</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2.208社会保障和就业(类）：82.83万元。</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（1）05行政事业单位离退休（款）05机关事业养老保险支出（项）：55.22万元。</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（2）05行政事业单位离退休（款）06机关事业职业年金（项）：27.61万元。</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3.221住房保障支出（类）02住房改革支出</w:t>
                                    </w:r>
                                    <w:r>
                                      <w:rPr>
                                        <w:rFonts w:ascii="仿宋_GB2312" w:eastAsia="仿宋_GB2312" w:hAnsi="宋体" w:cs="宋体" w:hint="eastAsia"/>
                                        <w:color w:val="333333"/>
                                        <w:kern w:val="0"/>
                                        <w:sz w:val="28"/>
                                        <w:szCs w:val="28"/>
                                      </w:rPr>
                                      <w:t>41.42</w:t>
                                    </w:r>
                                    <w:r>
                                      <w:rPr>
                                        <w:rFonts w:ascii="仿宋" w:eastAsia="仿宋" w:hAnsi="仿宋" w:cs="仿宋" w:hint="eastAsia"/>
                                        <w:color w:val="000000"/>
                                        <w:spacing w:val="-14"/>
                                        <w:kern w:val="0"/>
                                        <w:sz w:val="32"/>
                                        <w:szCs w:val="32"/>
                                      </w:rPr>
                                      <w:t>万元</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lastRenderedPageBreak/>
                                      <w:t>（款）01住房公积金（项）：全镇职工住房公积金</w:t>
                                    </w:r>
                                    <w:r>
                                      <w:rPr>
                                        <w:rFonts w:ascii="仿宋_GB2312" w:eastAsia="仿宋_GB2312" w:hAnsi="宋体" w:cs="宋体" w:hint="eastAsia"/>
                                        <w:color w:val="333333"/>
                                        <w:kern w:val="0"/>
                                        <w:sz w:val="28"/>
                                        <w:szCs w:val="28"/>
                                      </w:rPr>
                                      <w:t>41.42</w:t>
                                    </w:r>
                                    <w:r>
                                      <w:rPr>
                                        <w:rFonts w:ascii="仿宋" w:eastAsia="仿宋" w:hAnsi="仿宋" w:cs="仿宋" w:hint="eastAsia"/>
                                        <w:color w:val="000000"/>
                                        <w:spacing w:val="-14"/>
                                        <w:kern w:val="0"/>
                                        <w:sz w:val="32"/>
                                        <w:szCs w:val="32"/>
                                      </w:rPr>
                                      <w:t>万元。</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4、213农林水事务（类）：294.65万元。</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（1）01林业（款）04事业运行（项）：工资福利支出170.45万元，公用经费0万元，对个人和家庭的补助0.01万元。</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（2）01农业（款）52 对高校毕业生到基层任职补助（项）：工资福利支出 0万元。</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（3）07农村综合改革（款）05对村民委员会和党支部补助（项）：124.19万元。</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5、229其他支出（类）99其他支出（款）01其他支出（项）：4.06万元。</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6、210</w:t>
                                    </w:r>
                                    <w:r>
                                      <w:rPr>
                                        <w:rFonts w:ascii="仿宋_GB2312" w:eastAsia="仿宋_GB2312" w:hAnsi="宋体" w:cs="宋体" w:hint="eastAsia"/>
                                        <w:color w:val="333333"/>
                                        <w:kern w:val="0"/>
                                        <w:sz w:val="28"/>
                                        <w:szCs w:val="28"/>
                                      </w:rPr>
                                      <w:t>卫生健康支出</w:t>
                                    </w:r>
                                    <w:r>
                                      <w:rPr>
                                        <w:rFonts w:ascii="仿宋" w:eastAsia="仿宋" w:hAnsi="仿宋" w:cs="仿宋" w:hint="eastAsia"/>
                                        <w:color w:val="000000"/>
                                        <w:spacing w:val="-14"/>
                                        <w:kern w:val="0"/>
                                        <w:sz w:val="32"/>
                                        <w:szCs w:val="32"/>
                                      </w:rPr>
                                      <w:t>医疗卫生与计划生育（类）（款）01行政单位医疗（项）:医疗保障费用</w:t>
                                    </w:r>
                                    <w:r w:rsidR="00F616F0">
                                      <w:rPr>
                                        <w:rFonts w:ascii="仿宋" w:eastAsia="仿宋" w:hAnsi="仿宋" w:cs="仿宋" w:hint="eastAsia"/>
                                        <w:color w:val="000000"/>
                                        <w:spacing w:val="-14"/>
                                        <w:kern w:val="0"/>
                                        <w:sz w:val="32"/>
                                        <w:szCs w:val="32"/>
                                      </w:rPr>
                                      <w:t>23.29</w:t>
                                    </w:r>
                                    <w:r>
                                      <w:rPr>
                                        <w:rFonts w:ascii="仿宋" w:eastAsia="仿宋" w:hAnsi="仿宋" w:cs="仿宋" w:hint="eastAsia"/>
                                        <w:color w:val="000000"/>
                                        <w:spacing w:val="-14"/>
                                        <w:kern w:val="0"/>
                                        <w:sz w:val="32"/>
                                        <w:szCs w:val="32"/>
                                      </w:rPr>
                                      <w:t>万元。</w:t>
                                    </w:r>
                                  </w:p>
                                  <w:p w:rsidR="00056E7E" w:rsidRDefault="00902E22">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（1）11行政事业单位医疗（款）01行政单位医疗（项）：24.16万元。</w:t>
                                    </w:r>
                                  </w:p>
                                  <w:p w:rsidR="00056E7E" w:rsidRDefault="00902E22">
                                    <w:pPr>
                                      <w:spacing w:line="560" w:lineRule="exact"/>
                                      <w:ind w:firstLineChars="200" w:firstLine="584"/>
                                      <w:rPr>
                                        <w:rFonts w:ascii="仿宋_GB2312" w:eastAsia="仿宋_GB2312" w:hAnsi="宋体" w:cs="宋体"/>
                                        <w:color w:val="333333"/>
                                        <w:kern w:val="0"/>
                                        <w:sz w:val="28"/>
                                        <w:szCs w:val="28"/>
                                      </w:rPr>
                                    </w:pPr>
                                    <w:r>
                                      <w:rPr>
                                        <w:rFonts w:ascii="仿宋" w:eastAsia="仿宋" w:hAnsi="仿宋" w:cs="仿宋" w:hint="eastAsia"/>
                                        <w:color w:val="000000"/>
                                        <w:spacing w:val="-14"/>
                                        <w:kern w:val="0"/>
                                        <w:sz w:val="32"/>
                                        <w:szCs w:val="32"/>
                                      </w:rPr>
                                      <w:t>（2）11行政事业单位医疗（款）03公务员医疗补助（项）：8.13万元。</w:t>
                                    </w:r>
                                    <w:r>
                                      <w:rPr>
                                        <w:rFonts w:ascii="仿宋_GB2312" w:eastAsia="仿宋_GB2312" w:hAnsi="宋体" w:cs="宋体" w:hint="eastAsia"/>
                                        <w:color w:val="333333"/>
                                        <w:kern w:val="0"/>
                                        <w:sz w:val="28"/>
                                        <w:szCs w:val="28"/>
                                      </w:rPr>
                                      <w:t xml:space="preserve">　　　　　</w:t>
                                    </w:r>
                                  </w:p>
                                  <w:p w:rsidR="00056E7E" w:rsidRDefault="00902E22">
                                    <w:pPr>
                                      <w:widowControl/>
                                      <w:numPr>
                                        <w:ilvl w:val="0"/>
                                        <w:numId w:val="1"/>
                                      </w:numPr>
                                      <w:spacing w:line="480" w:lineRule="atLeast"/>
                                      <w:rPr>
                                        <w:rFonts w:ascii="仿宋" w:eastAsia="仿宋" w:hAnsi="仿宋" w:cs="仿宋"/>
                                        <w:color w:val="000000"/>
                                        <w:spacing w:val="-14"/>
                                        <w:kern w:val="0"/>
                                        <w:sz w:val="32"/>
                                        <w:szCs w:val="32"/>
                                      </w:rPr>
                                    </w:pPr>
                                    <w:r>
                                      <w:rPr>
                                        <w:rFonts w:ascii="黑体" w:eastAsia="黑体" w:hAnsi="宋体" w:cs="宋体" w:hint="eastAsia"/>
                                        <w:color w:val="333333"/>
                                        <w:kern w:val="0"/>
                                        <w:sz w:val="28"/>
                                        <w:szCs w:val="28"/>
                                      </w:rPr>
                                      <w:t>一般公共预算基本支出情况说明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我镇2021年一般公共预算基本支出689.96万元，其中：</w:t>
                                    </w:r>
                                    <w:r>
                                      <w:rPr>
                                        <w:rFonts w:ascii="仿宋" w:eastAsia="仿宋" w:hAnsi="仿宋" w:cs="仿宋" w:hint="eastAsia"/>
                                        <w:color w:val="000000"/>
                                        <w:spacing w:val="-14"/>
                                        <w:kern w:val="0"/>
                                        <w:sz w:val="32"/>
                                        <w:szCs w:val="32"/>
                                      </w:rPr>
                                      <w:br/>
                                      <w:t xml:space="preserve">    人员经费591.72万元，主要包括：基本工资、津贴补贴、奖金、社会保险缴费等支出。</w:t>
                                    </w:r>
                                    <w:r>
                                      <w:rPr>
                                        <w:rFonts w:ascii="仿宋" w:eastAsia="仿宋" w:hAnsi="仿宋" w:cs="仿宋" w:hint="eastAsia"/>
                                        <w:color w:val="000000"/>
                                        <w:spacing w:val="-14"/>
                                        <w:kern w:val="0"/>
                                        <w:sz w:val="32"/>
                                        <w:szCs w:val="32"/>
                                      </w:rPr>
                                      <w:br/>
                                      <w:t xml:space="preserve">　　公用经费98.24万元，主要包括：办公费、水费、电费、邮电费、印刷费、差旅费、维修（护）费、劳务费等支出。</w:t>
                                    </w:r>
                                  </w:p>
                                  <w:p w:rsidR="00056E7E" w:rsidRDefault="00902E22">
                                    <w:pPr>
                                      <w:widowControl/>
                                      <w:spacing w:line="480" w:lineRule="atLeast"/>
                                      <w:ind w:left="620"/>
                                      <w:rPr>
                                        <w:rFonts w:ascii="仿宋" w:eastAsia="仿宋" w:hAnsi="仿宋" w:cs="仿宋"/>
                                        <w:color w:val="000000"/>
                                        <w:spacing w:val="-14"/>
                                        <w:kern w:val="0"/>
                                        <w:sz w:val="32"/>
                                        <w:szCs w:val="32"/>
                                      </w:rPr>
                                    </w:pPr>
                                    <w:r>
                                      <w:rPr>
                                        <w:rFonts w:ascii="黑体" w:eastAsia="黑体"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 xml:space="preserve">   </w:t>
                                    </w:r>
                                  </w:p>
                                  <w:p w:rsidR="00056E7E" w:rsidRDefault="00902E22">
                                    <w:pPr>
                                      <w:spacing w:line="560" w:lineRule="exact"/>
                                      <w:ind w:firstLineChars="200" w:firstLine="560"/>
                                      <w:rPr>
                                        <w:rFonts w:ascii="方正小标宋简体" w:eastAsia="仿宋_GB2312" w:hAnsi="宋体" w:cs="宋体"/>
                                        <w:spacing w:val="-14"/>
                                        <w:kern w:val="0"/>
                                        <w:sz w:val="32"/>
                                        <w:szCs w:val="34"/>
                                      </w:rPr>
                                    </w:pPr>
                                    <w:r>
                                      <w:rPr>
                                        <w:rFonts w:ascii="黑体" w:eastAsia="黑体" w:hAnsi="宋体" w:cs="宋体" w:hint="eastAsia"/>
                                        <w:color w:val="333333"/>
                                        <w:kern w:val="0"/>
                                        <w:sz w:val="28"/>
                                        <w:szCs w:val="28"/>
                                      </w:rPr>
                                      <w:lastRenderedPageBreak/>
                                      <w:t>“三公”经费财政拨款预算安排情况说明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我镇2020年“三公”经费财政拨款预算数10万元，其中：因公出国（境）经费0万元，公务接待费0万元，公务用车购置及运行维护费10万元。</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（一）公务接待费较2020年预算持平。</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我</w:t>
                                    </w:r>
                                    <w:r>
                                      <w:rPr>
                                        <w:rFonts w:ascii="仿宋" w:eastAsia="仿宋" w:hAnsi="仿宋" w:cs="仿宋" w:hint="eastAsia"/>
                                        <w:color w:val="000000"/>
                                        <w:spacing w:val="-14"/>
                                        <w:kern w:val="0"/>
                                        <w:sz w:val="32"/>
                                        <w:szCs w:val="32"/>
                                      </w:rPr>
                                      <w:t>镇2021年公务接待费将严格执行厉行节约的要求，认真贯彻落实中央八项规定及省委省政府十项规定要求，严格控制接待规模及接待标准。</w:t>
                                    </w:r>
                                    <w:r>
                                      <w:rPr>
                                        <w:rFonts w:ascii="仿宋_GB2312" w:eastAsia="仿宋_GB2312" w:hAnsi="宋体" w:cs="宋体" w:hint="eastAsia"/>
                                        <w:color w:val="333333"/>
                                        <w:kern w:val="0"/>
                                        <w:sz w:val="28"/>
                                        <w:szCs w:val="28"/>
                                      </w:rPr>
                                      <w:br/>
                                      <w:t xml:space="preserve">　　</w:t>
                                    </w:r>
                                    <w:r>
                                      <w:rPr>
                                        <w:rFonts w:ascii="楷体_GB2312" w:eastAsia="楷体_GB2312" w:hAnsi="宋体" w:cs="宋体" w:hint="eastAsia"/>
                                        <w:b/>
                                        <w:bCs/>
                                        <w:color w:val="333333"/>
                                        <w:kern w:val="0"/>
                                        <w:sz w:val="28"/>
                                      </w:rPr>
                                      <w:t>（三）公务用车运行维护费与2020年预算增加6.2万元。</w:t>
                                    </w:r>
                                    <w:r>
                                      <w:rPr>
                                        <w:rFonts w:ascii="楷体_GB2312" w:eastAsia="楷体_GB2312" w:hAnsi="宋体" w:cs="宋体" w:hint="eastAsia"/>
                                        <w:b/>
                                        <w:bCs/>
                                        <w:color w:val="333333"/>
                                        <w:kern w:val="0"/>
                                        <w:sz w:val="28"/>
                                        <w:szCs w:val="28"/>
                                      </w:rPr>
                                      <w:br/>
                                    </w:r>
                                    <w:r>
                                      <w:rPr>
                                        <w:rFonts w:ascii="仿宋" w:eastAsia="仿宋" w:hAnsi="仿宋" w:cs="仿宋" w:hint="eastAsia"/>
                                        <w:color w:val="000000"/>
                                        <w:spacing w:val="-14"/>
                                        <w:kern w:val="0"/>
                                        <w:sz w:val="32"/>
                                        <w:szCs w:val="32"/>
                                      </w:rPr>
                                      <w:t xml:space="preserve">　　　　我镇2021年安排公务用车运行维护费10万元，与2020年预算增加6.2万元，</w:t>
                                    </w:r>
                                    <w:r>
                                      <w:rPr>
                                        <w:rFonts w:ascii="仿宋_GB2312" w:eastAsia="仿宋_GB2312" w:hAnsi="仿宋_GB2312" w:cs="仿宋_GB2312" w:hint="eastAsia"/>
                                        <w:color w:val="333333"/>
                                        <w:kern w:val="0"/>
                                        <w:sz w:val="32"/>
                                        <w:szCs w:val="32"/>
                                      </w:rPr>
                                      <w:t>用于3辆公务用车燃油、维修、保险等方面支出。原因为：实行撤乡并镇后原马尔邦乡、马奈乡车辆划归马奈镇所有且2020年五粮液集团捐赠1辆车，我镇实有车为3辆，加之车辆运行年限越长维修运行成本增加，合镇后工作量增加，故2021年公车运行维护费较上年增加值较大。</w:t>
                                    </w:r>
                                    <w:r>
                                      <w:rPr>
                                        <w:rFonts w:ascii="仿宋_GB2312" w:eastAsia="仿宋_GB2312" w:hAnsi="仿宋_GB2312" w:cs="仿宋_GB2312" w:hint="eastAsia"/>
                                        <w:color w:val="333333"/>
                                        <w:kern w:val="0"/>
                                        <w:sz w:val="32"/>
                                        <w:szCs w:val="32"/>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 xml:space="preserve">　八、政府性基金预算支出情况说明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 xml:space="preserve"> 我镇2021年没有使用政府性基金预算拨款安排的支出。</w:t>
                                    </w:r>
                                    <w:r>
                                      <w:rPr>
                                        <w:rFonts w:ascii="仿宋_GB2312" w:eastAsia="仿宋_GB2312" w:hAnsi="宋体" w:cs="宋体" w:hint="eastAsia"/>
                                        <w:color w:val="333333"/>
                                        <w:kern w:val="0"/>
                                        <w:sz w:val="28"/>
                                        <w:szCs w:val="28"/>
                                      </w:rPr>
                                      <w:br/>
                                      <w:t xml:space="preserve">　　</w:t>
                                    </w:r>
                                    <w:r>
                                      <w:rPr>
                                        <w:rFonts w:ascii="黑体" w:eastAsia="黑体" w:hAnsi="宋体" w:cs="宋体" w:hint="eastAsia"/>
                                        <w:color w:val="333333"/>
                                        <w:kern w:val="0"/>
                                        <w:sz w:val="28"/>
                                        <w:szCs w:val="28"/>
                                      </w:rPr>
                                      <w:t>九、国有资本经营预算支出情况说明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我镇2021年没有使用国有资本经营预算拨款安排的支出。</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十、其他重要事项的情况说明</w:t>
                                    </w:r>
                                    <w:r>
                                      <w:rPr>
                                        <w:rFonts w:ascii="黑体" w:eastAsia="黑体" w:hAnsi="宋体" w:cs="宋体" w:hint="eastAsia"/>
                                        <w:color w:val="333333"/>
                                        <w:kern w:val="0"/>
                                        <w:sz w:val="28"/>
                                        <w:szCs w:val="28"/>
                                      </w:rPr>
                                      <w:br/>
                                    </w:r>
                                    <w:r>
                                      <w:rPr>
                                        <w:rFonts w:ascii="楷体_GB2312" w:eastAsia="楷体_GB2312" w:hAnsi="宋体" w:cs="宋体" w:hint="eastAsia"/>
                                        <w:b/>
                                        <w:bCs/>
                                        <w:color w:val="333333"/>
                                        <w:kern w:val="0"/>
                                        <w:sz w:val="28"/>
                                      </w:rPr>
                                      <w:t>（一）机关运行经费。</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spacing w:val="-14"/>
                                        <w:kern w:val="0"/>
                                        <w:sz w:val="32"/>
                                        <w:szCs w:val="32"/>
                                      </w:rPr>
                                      <w:t>2021</w:t>
                                    </w:r>
                                    <w:r>
                                      <w:rPr>
                                        <w:rFonts w:ascii="仿宋" w:eastAsia="仿宋" w:hAnsi="仿宋" w:cs="仿宋" w:hint="eastAsia"/>
                                        <w:color w:val="000000"/>
                                        <w:spacing w:val="-14"/>
                                        <w:kern w:val="0"/>
                                        <w:sz w:val="32"/>
                                        <w:szCs w:val="32"/>
                                      </w:rPr>
                                      <w:t>年度，我镇机关运行经费支出0万元。</w:t>
                                    </w:r>
                                  </w:p>
                                  <w:p w:rsidR="00056E7E" w:rsidRDefault="00902E22">
                                    <w:pPr>
                                      <w:widowControl/>
                                      <w:numPr>
                                        <w:ilvl w:val="0"/>
                                        <w:numId w:val="2"/>
                                      </w:numPr>
                                      <w:spacing w:line="480" w:lineRule="atLeast"/>
                                      <w:rPr>
                                        <w:rFonts w:ascii="仿宋" w:eastAsia="仿宋" w:hAnsi="仿宋" w:cs="仿宋"/>
                                        <w:color w:val="000000"/>
                                        <w:spacing w:val="-14"/>
                                        <w:kern w:val="0"/>
                                        <w:sz w:val="32"/>
                                        <w:szCs w:val="32"/>
                                      </w:rPr>
                                    </w:pPr>
                                    <w:r>
                                      <w:rPr>
                                        <w:rFonts w:ascii="楷体_GB2312" w:eastAsia="楷体_GB2312" w:hAnsi="宋体" w:cs="宋体" w:hint="eastAsia"/>
                                        <w:b/>
                                        <w:bCs/>
                                        <w:color w:val="333333"/>
                                        <w:kern w:val="0"/>
                                        <w:sz w:val="28"/>
                                      </w:rPr>
                                      <w:t>政府采购情况。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2021年我镇无政府采购</w:t>
                                    </w:r>
                                  </w:p>
                                  <w:p w:rsidR="00056E7E" w:rsidRDefault="00902E22">
                                    <w:pPr>
                                      <w:widowControl/>
                                      <w:spacing w:line="480" w:lineRule="atLeast"/>
                                      <w:rPr>
                                        <w:rFonts w:ascii="方正小标宋简体" w:eastAsia="仿宋_GB2312" w:hAnsi="宋体" w:cs="宋体"/>
                                        <w:color w:val="000000"/>
                                        <w:spacing w:val="-14"/>
                                        <w:kern w:val="0"/>
                                        <w:sz w:val="32"/>
                                        <w:szCs w:val="34"/>
                                      </w:rPr>
                                    </w:pPr>
                                    <w:r>
                                      <w:rPr>
                                        <w:rFonts w:ascii="楷体_GB2312" w:eastAsia="楷体_GB2312" w:hAnsi="宋体" w:cs="宋体" w:hint="eastAsia"/>
                                        <w:b/>
                                        <w:bCs/>
                                        <w:color w:val="333333"/>
                                        <w:kern w:val="0"/>
                                        <w:sz w:val="28"/>
                                      </w:rPr>
                                      <w:lastRenderedPageBreak/>
                                      <w:t>（三）国有资产占有使用情况。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截至2020年底，我镇共有车辆3辆，其中公务用车3辆。</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（四）绩效目标设置情况。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绩效目标是预算编制的前提和基础，从项目完成、项目效益、满意度等方面设置了绩效指标，综合反映项目预期完成的数量、成本、时效、质量，预期达到的社会效益、经济效益、生态效益、可持续影响以及服务对象满意度等情况。</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十一、名词解释</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000000"/>
                                        <w:spacing w:val="-14"/>
                                        <w:kern w:val="0"/>
                                        <w:sz w:val="32"/>
                                        <w:szCs w:val="32"/>
                                      </w:rPr>
                                      <w:t>1.财政拨款收入：指县级财政当年拨付的资金。</w:t>
                                    </w:r>
                                  </w:p>
                                  <w:p w:rsidR="00056E7E" w:rsidRDefault="00902E22">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2.事业收入：指事业单位开展专业业务活动及辅助活动所取得的收入。</w:t>
                                    </w:r>
                                  </w:p>
                                  <w:p w:rsidR="00056E7E" w:rsidRDefault="00902E22">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3.经营收入：指事业单位在专业业务活动及其辅助活动之外开展非独立核算经营活动取得的收入。</w:t>
                                    </w:r>
                                  </w:p>
                                  <w:p w:rsidR="00056E7E" w:rsidRDefault="00902E22">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4.其他收入：指除上述“财政拨款收入”、“事业收入”、“经营收入”等以外的收入。</w:t>
                                    </w:r>
                                  </w:p>
                                  <w:p w:rsidR="00056E7E" w:rsidRDefault="00902E22">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056E7E" w:rsidRDefault="00902E22">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6.年初结转和结余：指以前年度尚未完成、结转到本年按有关规定继续使用的资金。</w:t>
                                    </w:r>
                                  </w:p>
                                  <w:p w:rsidR="00056E7E" w:rsidRDefault="00902E22">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7.一般公共服务201：指基本工资、津贴补贴、奖金、伙食补助</w:t>
                                    </w:r>
                                    <w:r>
                                      <w:rPr>
                                        <w:rFonts w:ascii="仿宋_GB2312" w:eastAsia="仿宋_GB2312" w:hAnsi="宋体" w:cs="宋体" w:hint="eastAsia"/>
                                        <w:color w:val="000000"/>
                                        <w:spacing w:val="-14"/>
                                        <w:kern w:val="0"/>
                                        <w:sz w:val="32"/>
                                        <w:szCs w:val="32"/>
                                      </w:rPr>
                                      <w:lastRenderedPageBreak/>
                                      <w:t>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rsidR="00056E7E" w:rsidRDefault="00902E22">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8.医疗卫生与计划生育2100501:指职工的医疗保险。</w:t>
                                    </w:r>
                                  </w:p>
                                  <w:p w:rsidR="00056E7E" w:rsidRDefault="00902E22">
                                    <w:pPr>
                                      <w:spacing w:line="560" w:lineRule="exact"/>
                                      <w:ind w:firstLineChars="200" w:firstLine="584"/>
                                      <w:rPr>
                                        <w:rFonts w:ascii="仿宋_GB2312" w:eastAsia="仿宋_GB2312" w:hAnsi="宋体" w:cs="宋体"/>
                                        <w:color w:val="000000"/>
                                        <w:spacing w:val="-14"/>
                                        <w:kern w:val="0"/>
                                        <w:sz w:val="32"/>
                                        <w:szCs w:val="32"/>
                                      </w:rPr>
                                    </w:pPr>
                                    <w:r>
                                      <w:rPr>
                                        <w:rFonts w:ascii="仿宋_GB2312" w:eastAsia="仿宋_GB2312" w:hAnsi="宋体" w:cs="宋体" w:hint="eastAsia"/>
                                        <w:color w:val="000000"/>
                                        <w:spacing w:val="-14"/>
                                        <w:kern w:val="0"/>
                                        <w:sz w:val="32"/>
                                        <w:szCs w:val="32"/>
                                      </w:rPr>
                                      <w:t>9.住房保障支出2210201：指职工的住房公积金。</w:t>
                                    </w:r>
                                  </w:p>
                                  <w:p w:rsidR="00056E7E" w:rsidRDefault="00902E22">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10、其他支出2299901：指退休干部春节慰问金、三老干部生活补助。</w:t>
                                    </w:r>
                                  </w:p>
                                  <w:p w:rsidR="00056E7E" w:rsidRDefault="00902E22">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11.结余分配：指事业单位按规定提取的职工福利基金、事业基金和缴纳的所得税，以及建设单位按规定应交回的基本建设竣工项目结余资金。</w:t>
                                    </w:r>
                                  </w:p>
                                  <w:p w:rsidR="00056E7E" w:rsidRDefault="00902E22">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12.年末结转和结余：指本年度或以前年度预算安排、因客观条件发生变化无法按原计划实施，需延迟到以后年度按有关规定继续使用的资金。</w:t>
                                    </w:r>
                                  </w:p>
                                  <w:p w:rsidR="00056E7E" w:rsidRDefault="00902E22">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13.基本支出：指为保障机构正常运转、完成日常工作任务而发生的人员支出和公用支出。</w:t>
                                    </w:r>
                                  </w:p>
                                  <w:p w:rsidR="00056E7E" w:rsidRDefault="00902E22">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14.项目支出：指在基本支出之外为完成特定行政任务和事业发展目标所发生的支出。</w:t>
                                    </w:r>
                                  </w:p>
                                  <w:p w:rsidR="00056E7E" w:rsidRDefault="00902E22">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15.经营支出：指事业单位在专业业务活动及其辅助活动之外开展非独立核算经营活动发生的支出。</w:t>
                                    </w:r>
                                  </w:p>
                                  <w:p w:rsidR="00056E7E" w:rsidRDefault="00902E22">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lastRenderedPageBreak/>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056E7E" w:rsidRDefault="00902E22">
                                    <w:pPr>
                                      <w:spacing w:line="560" w:lineRule="exact"/>
                                      <w:ind w:firstLineChars="200" w:firstLine="584"/>
                                      <w:rPr>
                                        <w:rFonts w:hint="eastAsia"/>
                                      </w:rPr>
                                    </w:pPr>
                                    <w:r>
                                      <w:rPr>
                                        <w:rFonts w:ascii="仿宋_GB2312" w:eastAsia="仿宋_GB2312" w:hAnsi="宋体" w:cs="宋体" w:hint="eastAsia"/>
                                        <w:color w:val="000000"/>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056E7E" w:rsidRDefault="00902E22">
                                    <w:pPr>
                                      <w:widowControl/>
                                      <w:spacing w:line="480" w:lineRule="atLeast"/>
                                      <w:ind w:leftChars="200" w:left="42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p>
                                </w:tc>
                              </w:tr>
                            </w:tbl>
                            <w:p w:rsidR="00056E7E" w:rsidRDefault="00056E7E">
                              <w:pPr>
                                <w:widowControl/>
                                <w:spacing w:after="240"/>
                                <w:jc w:val="center"/>
                                <w:rPr>
                                  <w:rFonts w:ascii="宋体" w:eastAsia="宋体" w:hAnsi="宋体" w:cs="宋体"/>
                                  <w:kern w:val="0"/>
                                  <w:szCs w:val="21"/>
                                </w:rPr>
                              </w:pPr>
                            </w:p>
                          </w:tc>
                        </w:tr>
                        <w:tr w:rsidR="00056E7E">
                          <w:trPr>
                            <w:tblCellSpacing w:w="0" w:type="dxa"/>
                          </w:trPr>
                          <w:tc>
                            <w:tcPr>
                              <w:tcW w:w="10590" w:type="dxa"/>
                              <w:shd w:val="clear" w:color="auto" w:fill="FFFFFF"/>
                            </w:tcPr>
                            <w:tbl>
                              <w:tblPr>
                                <w:tblW w:w="8685" w:type="dxa"/>
                                <w:jc w:val="center"/>
                                <w:tblCellSpacing w:w="0" w:type="dxa"/>
                                <w:tblLayout w:type="fixed"/>
                                <w:tblCellMar>
                                  <w:left w:w="0" w:type="dxa"/>
                                  <w:right w:w="0" w:type="dxa"/>
                                </w:tblCellMar>
                                <w:tblLook w:val="04A0"/>
                              </w:tblPr>
                              <w:tblGrid>
                                <w:gridCol w:w="1200"/>
                                <w:gridCol w:w="7485"/>
                              </w:tblGrid>
                              <w:tr w:rsidR="00056E7E">
                                <w:trPr>
                                  <w:tblCellSpacing w:w="0" w:type="dxa"/>
                                  <w:jc w:val="center"/>
                                </w:trPr>
                                <w:tc>
                                  <w:tcPr>
                                    <w:tcW w:w="1200" w:type="dxa"/>
                                  </w:tcPr>
                                  <w:p w:rsidR="00056E7E" w:rsidRDefault="00056E7E">
                                    <w:pPr>
                                      <w:widowControl/>
                                      <w:spacing w:line="390" w:lineRule="atLeast"/>
                                      <w:ind w:firstLine="60"/>
                                      <w:jc w:val="right"/>
                                      <w:rPr>
                                        <w:rFonts w:ascii="宋体" w:eastAsia="宋体" w:hAnsi="宋体" w:cs="宋体"/>
                                        <w:color w:val="333333"/>
                                        <w:kern w:val="0"/>
                                        <w:szCs w:val="21"/>
                                      </w:rPr>
                                    </w:pPr>
                                  </w:p>
                                </w:tc>
                                <w:tc>
                                  <w:tcPr>
                                    <w:tcW w:w="7485" w:type="dxa"/>
                                    <w:vAlign w:val="center"/>
                                  </w:tcPr>
                                  <w:tbl>
                                    <w:tblPr>
                                      <w:tblW w:w="7485" w:type="dxa"/>
                                      <w:tblCellSpacing w:w="0" w:type="dxa"/>
                                      <w:tblLayout w:type="fixed"/>
                                      <w:tblCellMar>
                                        <w:left w:w="0" w:type="dxa"/>
                                        <w:right w:w="0" w:type="dxa"/>
                                      </w:tblCellMar>
                                      <w:tblLook w:val="04A0"/>
                                    </w:tblPr>
                                    <w:tblGrid>
                                      <w:gridCol w:w="7485"/>
                                    </w:tblGrid>
                                    <w:tr w:rsidR="00056E7E">
                                      <w:trPr>
                                        <w:tblCellSpacing w:w="0" w:type="dxa"/>
                                      </w:trPr>
                                      <w:tc>
                                        <w:tcPr>
                                          <w:tcW w:w="7485" w:type="dxa"/>
                                          <w:vAlign w:val="center"/>
                                        </w:tcPr>
                                        <w:p w:rsidR="00056E7E" w:rsidRDefault="00056E7E">
                                          <w:pPr>
                                            <w:widowControl/>
                                            <w:jc w:val="left"/>
                                            <w:rPr>
                                              <w:rFonts w:ascii="宋体" w:eastAsia="宋体" w:hAnsi="宋体" w:cs="宋体"/>
                                              <w:kern w:val="0"/>
                                              <w:szCs w:val="21"/>
                                            </w:rPr>
                                          </w:pPr>
                                        </w:p>
                                      </w:tc>
                                    </w:tr>
                                  </w:tbl>
                                  <w:p w:rsidR="00056E7E" w:rsidRDefault="00056E7E">
                                    <w:pPr>
                                      <w:widowControl/>
                                      <w:spacing w:line="390" w:lineRule="atLeast"/>
                                      <w:ind w:firstLine="60"/>
                                      <w:jc w:val="left"/>
                                      <w:rPr>
                                        <w:rFonts w:ascii="宋体" w:eastAsia="宋体" w:hAnsi="宋体" w:cs="宋体"/>
                                        <w:color w:val="333333"/>
                                        <w:kern w:val="0"/>
                                        <w:szCs w:val="21"/>
                                      </w:rPr>
                                    </w:pPr>
                                  </w:p>
                                </w:tc>
                              </w:tr>
                            </w:tbl>
                            <w:p w:rsidR="00056E7E" w:rsidRDefault="00056E7E">
                              <w:pPr>
                                <w:widowControl/>
                                <w:spacing w:after="240"/>
                                <w:jc w:val="center"/>
                                <w:rPr>
                                  <w:rFonts w:ascii="宋体" w:eastAsia="宋体" w:hAnsi="宋体" w:cs="宋体"/>
                                  <w:kern w:val="0"/>
                                  <w:szCs w:val="21"/>
                                </w:rPr>
                              </w:pPr>
                            </w:p>
                          </w:tc>
                        </w:tr>
                      </w:tbl>
                      <w:p w:rsidR="00056E7E" w:rsidRDefault="00056E7E">
                        <w:pPr>
                          <w:widowControl/>
                          <w:jc w:val="left"/>
                          <w:rPr>
                            <w:rFonts w:ascii="宋体" w:eastAsia="宋体" w:hAnsi="宋体" w:cs="宋体"/>
                            <w:kern w:val="0"/>
                            <w:szCs w:val="21"/>
                          </w:rPr>
                        </w:pPr>
                      </w:p>
                    </w:tc>
                    <w:tc>
                      <w:tcPr>
                        <w:tcW w:w="1350" w:type="dxa"/>
                        <w:vAlign w:val="center"/>
                      </w:tcPr>
                      <w:p w:rsidR="00056E7E" w:rsidRDefault="00902E22">
                        <w:pPr>
                          <w:widowControl/>
                          <w:jc w:val="left"/>
                          <w:rPr>
                            <w:rFonts w:ascii="宋体" w:eastAsia="宋体" w:hAnsi="宋体" w:cs="宋体"/>
                            <w:kern w:val="0"/>
                            <w:szCs w:val="21"/>
                          </w:rPr>
                        </w:pPr>
                        <w:r>
                          <w:rPr>
                            <w:rFonts w:ascii="宋体" w:eastAsia="宋体" w:hAnsi="宋体" w:cs="宋体"/>
                            <w:kern w:val="0"/>
                            <w:szCs w:val="21"/>
                          </w:rPr>
                          <w:lastRenderedPageBreak/>
                          <w:t> </w:t>
                        </w:r>
                      </w:p>
                    </w:tc>
                  </w:tr>
                  <w:tr w:rsidR="00056E7E">
                    <w:trPr>
                      <w:trHeight w:val="450"/>
                      <w:tblCellSpacing w:w="0" w:type="dxa"/>
                    </w:trPr>
                    <w:tc>
                      <w:tcPr>
                        <w:tcW w:w="12000" w:type="dxa"/>
                        <w:gridSpan w:val="2"/>
                        <w:tcMar>
                          <w:top w:w="0" w:type="dxa"/>
                          <w:left w:w="0" w:type="dxa"/>
                          <w:bottom w:w="0" w:type="dxa"/>
                          <w:right w:w="1950" w:type="dxa"/>
                        </w:tcMar>
                        <w:vAlign w:val="center"/>
                      </w:tcPr>
                      <w:tbl>
                        <w:tblPr>
                          <w:tblW w:w="10050" w:type="dxa"/>
                          <w:jc w:val="right"/>
                          <w:tblCellSpacing w:w="0" w:type="dxa"/>
                          <w:tblLayout w:type="fixed"/>
                          <w:tblCellMar>
                            <w:left w:w="0" w:type="dxa"/>
                            <w:right w:w="0" w:type="dxa"/>
                          </w:tblCellMar>
                          <w:tblLook w:val="04A0"/>
                        </w:tblPr>
                        <w:tblGrid>
                          <w:gridCol w:w="10050"/>
                        </w:tblGrid>
                        <w:tr w:rsidR="00056E7E">
                          <w:trPr>
                            <w:tblCellSpacing w:w="0" w:type="dxa"/>
                            <w:jc w:val="right"/>
                          </w:trPr>
                          <w:tc>
                            <w:tcPr>
                              <w:tcW w:w="10050" w:type="dxa"/>
                              <w:vAlign w:val="center"/>
                            </w:tcPr>
                            <w:p w:rsidR="00056E7E" w:rsidRDefault="00056E7E">
                              <w:pPr>
                                <w:widowControl/>
                                <w:ind w:right="105"/>
                                <w:jc w:val="right"/>
                                <w:rPr>
                                  <w:rFonts w:ascii="宋体" w:eastAsia="宋体" w:hAnsi="宋体" w:cs="宋体"/>
                                  <w:kern w:val="0"/>
                                  <w:szCs w:val="21"/>
                                </w:rPr>
                              </w:pPr>
                            </w:p>
                          </w:tc>
                        </w:tr>
                      </w:tbl>
                      <w:p w:rsidR="00056E7E" w:rsidRDefault="00056E7E">
                        <w:pPr>
                          <w:widowControl/>
                          <w:jc w:val="right"/>
                          <w:rPr>
                            <w:rFonts w:ascii="宋体" w:eastAsia="宋体" w:hAnsi="宋体" w:cs="宋体"/>
                            <w:kern w:val="0"/>
                            <w:szCs w:val="21"/>
                          </w:rPr>
                        </w:pPr>
                      </w:p>
                    </w:tc>
                  </w:tr>
                </w:tbl>
                <w:p w:rsidR="00056E7E" w:rsidRDefault="00056E7E">
                  <w:pPr>
                    <w:widowControl/>
                    <w:jc w:val="left"/>
                    <w:rPr>
                      <w:rFonts w:ascii="宋体" w:eastAsia="宋体" w:hAnsi="宋体" w:cs="宋体"/>
                      <w:kern w:val="0"/>
                      <w:szCs w:val="21"/>
                    </w:rPr>
                  </w:pPr>
                </w:p>
              </w:tc>
            </w:tr>
          </w:tbl>
          <w:p w:rsidR="00056E7E" w:rsidRDefault="00056E7E">
            <w:pPr>
              <w:widowControl/>
              <w:jc w:val="left"/>
              <w:rPr>
                <w:rFonts w:ascii="宋体" w:eastAsia="宋体" w:hAnsi="宋体" w:cs="宋体"/>
                <w:kern w:val="0"/>
                <w:szCs w:val="21"/>
              </w:rPr>
            </w:pPr>
          </w:p>
        </w:tc>
      </w:tr>
      <w:tr w:rsidR="00056E7E">
        <w:trPr>
          <w:trHeight w:val="75"/>
          <w:tblCellSpacing w:w="0" w:type="dxa"/>
          <w:jc w:val="center"/>
        </w:trPr>
        <w:tc>
          <w:tcPr>
            <w:tcW w:w="12000" w:type="dxa"/>
            <w:vAlign w:val="center"/>
          </w:tcPr>
          <w:p w:rsidR="00056E7E" w:rsidRDefault="00056E7E">
            <w:pPr>
              <w:widowControl/>
              <w:jc w:val="left"/>
              <w:rPr>
                <w:rFonts w:ascii="宋体" w:eastAsia="宋体" w:hAnsi="宋体" w:cs="宋体"/>
                <w:kern w:val="0"/>
                <w:sz w:val="8"/>
                <w:szCs w:val="21"/>
              </w:rPr>
            </w:pPr>
          </w:p>
        </w:tc>
      </w:tr>
    </w:tbl>
    <w:p w:rsidR="00056E7E" w:rsidRDefault="00056E7E">
      <w:pPr>
        <w:rPr>
          <w:rFonts w:hint="eastAsia"/>
        </w:rPr>
      </w:pPr>
    </w:p>
    <w:sectPr w:rsidR="00056E7E" w:rsidSect="00056E7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E7E" w:rsidRDefault="00056E7E" w:rsidP="00056E7E">
      <w:pPr>
        <w:rPr>
          <w:rFonts w:hint="eastAsia"/>
        </w:rPr>
      </w:pPr>
      <w:r>
        <w:separator/>
      </w:r>
    </w:p>
  </w:endnote>
  <w:endnote w:type="continuationSeparator" w:id="0">
    <w:p w:rsidR="00056E7E" w:rsidRDefault="00056E7E" w:rsidP="00056E7E">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MT Extra">
    <w:panose1 w:val="05050102010205020202"/>
    <w:charset w:val="02"/>
    <w:family w:val="roman"/>
    <w:pitch w:val="variable"/>
    <w:sig w:usb0="8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hakuyoxingshu7000"/>
    <w:charset w:val="86"/>
    <w:family w:val="auto"/>
    <w:pitch w:val="default"/>
    <w:sig w:usb0="00000000" w:usb1="080E0000" w:usb2="00000000" w:usb3="00000000" w:csb0="00040000" w:csb1="00000000"/>
  </w:font>
  <w:font w:name="仿宋">
    <w:altName w:val="宋体"/>
    <w:charset w:val="86"/>
    <w:family w:val="modern"/>
    <w:pitch w:val="default"/>
    <w:sig w:usb0="00000000"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E7E" w:rsidRDefault="00056E7E">
    <w:pPr>
      <w:pStyle w:val="a3"/>
      <w:rPr>
        <w:rFonts w:hint="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E7E" w:rsidRDefault="00056E7E">
    <w:pPr>
      <w:pStyle w:val="a3"/>
      <w:rPr>
        <w:rFonts w:hint="eastAsi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E7E" w:rsidRDefault="00056E7E">
    <w:pPr>
      <w:pStyle w:val="a3"/>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E7E" w:rsidRDefault="00056E7E" w:rsidP="00056E7E">
      <w:pPr>
        <w:rPr>
          <w:rFonts w:hint="eastAsia"/>
        </w:rPr>
      </w:pPr>
      <w:r>
        <w:separator/>
      </w:r>
    </w:p>
  </w:footnote>
  <w:footnote w:type="continuationSeparator" w:id="0">
    <w:p w:rsidR="00056E7E" w:rsidRDefault="00056E7E" w:rsidP="00056E7E">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E7E" w:rsidRDefault="00056E7E">
    <w:pPr>
      <w:pStyle w:val="a4"/>
      <w:rPr>
        <w:rFonts w:hint="eastAsi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E7E" w:rsidRDefault="00056E7E">
    <w:pPr>
      <w:pStyle w:val="a4"/>
      <w:pBdr>
        <w:bottom w:val="none" w:sz="0" w:space="0" w:color="auto"/>
      </w:pBdr>
      <w:rPr>
        <w:rFonts w:hint="eastAsi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E7E" w:rsidRDefault="00056E7E">
    <w:pPr>
      <w:pStyle w:val="a4"/>
      <w:rPr>
        <w:rFonts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75C947"/>
    <w:multiLevelType w:val="singleLevel"/>
    <w:tmpl w:val="5075C947"/>
    <w:lvl w:ilvl="0">
      <w:start w:val="2"/>
      <w:numFmt w:val="chineseCounting"/>
      <w:suff w:val="nothing"/>
      <w:lvlText w:val="（%1）"/>
      <w:lvlJc w:val="left"/>
      <w:rPr>
        <w:rFonts w:hint="eastAsia"/>
      </w:rPr>
    </w:lvl>
  </w:abstractNum>
  <w:abstractNum w:abstractNumId="1">
    <w:nsid w:val="669C9E69"/>
    <w:multiLevelType w:val="singleLevel"/>
    <w:tmpl w:val="669C9E69"/>
    <w:lvl w:ilvl="0">
      <w:start w:val="6"/>
      <w:numFmt w:val="chineseCounting"/>
      <w:suff w:val="nothing"/>
      <w:lvlText w:val="%1、"/>
      <w:lvlJc w:val="left"/>
      <w:pPr>
        <w:ind w:left="620" w:firstLine="0"/>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04CCC"/>
    <w:rsid w:val="00047139"/>
    <w:rsid w:val="0005658F"/>
    <w:rsid w:val="00056E7E"/>
    <w:rsid w:val="000F6BD6"/>
    <w:rsid w:val="004052DB"/>
    <w:rsid w:val="00454305"/>
    <w:rsid w:val="00554CD7"/>
    <w:rsid w:val="00602ADB"/>
    <w:rsid w:val="00610B98"/>
    <w:rsid w:val="006D5E93"/>
    <w:rsid w:val="006F33A4"/>
    <w:rsid w:val="00723044"/>
    <w:rsid w:val="0079144A"/>
    <w:rsid w:val="008C4852"/>
    <w:rsid w:val="00902E22"/>
    <w:rsid w:val="00972B4F"/>
    <w:rsid w:val="00996FC4"/>
    <w:rsid w:val="009A4469"/>
    <w:rsid w:val="00A3068A"/>
    <w:rsid w:val="00AD2D7D"/>
    <w:rsid w:val="00BA75F5"/>
    <w:rsid w:val="00D04CCC"/>
    <w:rsid w:val="00E44648"/>
    <w:rsid w:val="00ED4E1C"/>
    <w:rsid w:val="00F616F0"/>
    <w:rsid w:val="04C92DA5"/>
    <w:rsid w:val="05277B5C"/>
    <w:rsid w:val="0732430A"/>
    <w:rsid w:val="08B97176"/>
    <w:rsid w:val="0C4D5BDF"/>
    <w:rsid w:val="131B1759"/>
    <w:rsid w:val="14EB248E"/>
    <w:rsid w:val="15D33A67"/>
    <w:rsid w:val="193F37B8"/>
    <w:rsid w:val="1A022E93"/>
    <w:rsid w:val="23923B85"/>
    <w:rsid w:val="27484E44"/>
    <w:rsid w:val="2A502D49"/>
    <w:rsid w:val="31EA53AA"/>
    <w:rsid w:val="3CBA0C1C"/>
    <w:rsid w:val="3FB90A4D"/>
    <w:rsid w:val="407718B5"/>
    <w:rsid w:val="41ED3C78"/>
    <w:rsid w:val="425518B9"/>
    <w:rsid w:val="434F4B89"/>
    <w:rsid w:val="45454BD1"/>
    <w:rsid w:val="4A526E87"/>
    <w:rsid w:val="4D0F0AD9"/>
    <w:rsid w:val="4DDF6681"/>
    <w:rsid w:val="50C12D8E"/>
    <w:rsid w:val="50CF63A8"/>
    <w:rsid w:val="515A384C"/>
    <w:rsid w:val="56D32AD7"/>
    <w:rsid w:val="59B0529C"/>
    <w:rsid w:val="59DF281D"/>
    <w:rsid w:val="5A653373"/>
    <w:rsid w:val="5EAA5162"/>
    <w:rsid w:val="5FEF38BC"/>
    <w:rsid w:val="6111505F"/>
    <w:rsid w:val="6B890071"/>
    <w:rsid w:val="6CDB5609"/>
    <w:rsid w:val="6F3C0E8C"/>
    <w:rsid w:val="729E1F1C"/>
    <w:rsid w:val="74595420"/>
    <w:rsid w:val="764B11E0"/>
    <w:rsid w:val="7C1C5A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T Extra" w:eastAsia="宋体" w:hAnsi="MT Extra" w:cs="MT Extra"/>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E7E"/>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056E7E"/>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056E7E"/>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056E7E"/>
    <w:rPr>
      <w:b/>
      <w:bCs/>
    </w:rPr>
  </w:style>
  <w:style w:type="character" w:customStyle="1" w:styleId="pagetext0031">
    <w:name w:val="pagetext0031"/>
    <w:basedOn w:val="a0"/>
    <w:qFormat/>
    <w:rsid w:val="00056E7E"/>
    <w:rPr>
      <w:rFonts w:ascii="宋体" w:eastAsia="宋体" w:hAnsi="宋体" w:hint="eastAsia"/>
      <w:color w:val="555555"/>
      <w:sz w:val="21"/>
      <w:szCs w:val="21"/>
    </w:rPr>
  </w:style>
  <w:style w:type="character" w:customStyle="1" w:styleId="apple-converted-space">
    <w:name w:val="apple-converted-space"/>
    <w:basedOn w:val="a0"/>
    <w:qFormat/>
    <w:rsid w:val="00056E7E"/>
  </w:style>
  <w:style w:type="character" w:customStyle="1" w:styleId="Char0">
    <w:name w:val="页眉 Char"/>
    <w:basedOn w:val="a0"/>
    <w:link w:val="a4"/>
    <w:uiPriority w:val="99"/>
    <w:semiHidden/>
    <w:qFormat/>
    <w:rsid w:val="00056E7E"/>
    <w:rPr>
      <w:kern w:val="2"/>
      <w:sz w:val="18"/>
      <w:szCs w:val="18"/>
    </w:rPr>
  </w:style>
  <w:style w:type="character" w:customStyle="1" w:styleId="Char">
    <w:name w:val="页脚 Char"/>
    <w:basedOn w:val="a0"/>
    <w:link w:val="a3"/>
    <w:uiPriority w:val="99"/>
    <w:semiHidden/>
    <w:qFormat/>
    <w:rsid w:val="00056E7E"/>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06B03D-169C-42A4-A413-A9A0DE5A4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4116</Words>
  <Characters>657</Characters>
  <Application>Microsoft Office Word</Application>
  <DocSecurity>0</DocSecurity>
  <Lines>5</Lines>
  <Paragraphs>9</Paragraphs>
  <ScaleCrop>false</ScaleCrop>
  <Company>Lenovo (Beijing) Limited</Company>
  <LinksUpToDate>false</LinksUpToDate>
  <CharactersWithSpaces>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Administrator</cp:lastModifiedBy>
  <cp:revision>15</cp:revision>
  <dcterms:created xsi:type="dcterms:W3CDTF">2018-03-21T07:45:00Z</dcterms:created>
  <dcterms:modified xsi:type="dcterms:W3CDTF">2020-12-22T03:36:00Z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