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2"/>
        <w:keepNext w:val="0"/>
        <w:keepLines w:val="0"/>
        <w:widowControl/>
        <w:suppressLineNumbers w:val="0"/>
        <w:ind w:left="0" w:right="75"/>
        <w:jc w:val="center"/>
      </w:pPr>
      <w:r>
        <w:rPr>
          <w:sz w:val="42"/>
          <w:szCs w:val="42"/>
          <w:shd w:val="clear" w:color="auto" w:fill="FFFFFF"/>
        </w:rPr>
        <w:t>2022年度</w:t>
      </w:r>
    </w:p>
    <w:p>
      <w:pPr>
        <w:pStyle w:val="22"/>
        <w:keepNext w:val="0"/>
        <w:keepLines w:val="0"/>
        <w:widowControl/>
        <w:suppressLineNumbers w:val="0"/>
        <w:ind w:left="0" w:right="75"/>
        <w:jc w:val="center"/>
      </w:pPr>
      <w:r>
        <w:rPr>
          <w:sz w:val="42"/>
          <w:szCs w:val="42"/>
          <w:shd w:val="clear" w:color="auto" w:fill="FFFFFF"/>
        </w:rPr>
        <w:t>阿坝州金川县曾达乡人民政府部门决算</w:t>
      </w:r>
    </w:p>
    <w:p>
      <w:pPr>
        <w:pStyle w:val="22"/>
        <w:keepNext w:val="0"/>
        <w:keepLines w:val="0"/>
        <w:widowControl/>
        <w:suppressLineNumbers w:val="0"/>
        <w:ind w:left="0" w:right="75"/>
        <w:jc w:val="center"/>
      </w:pPr>
      <w:r>
        <w:rPr>
          <w:sz w:val="42"/>
          <w:szCs w:val="42"/>
          <w:shd w:val="clear" w:color="auto" w:fill="FFFFFF"/>
        </w:rPr>
        <w:t>(部门公开范本)</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rPr>
          <w:sz w:val="28"/>
          <w:szCs w:val="28"/>
        </w:rPr>
      </w:pPr>
      <w:r>
        <w:rPr>
          <w:sz w:val="20"/>
          <w:szCs w:val="20"/>
          <w:shd w:val="clear" w:color="auto" w:fill="FFFFFF"/>
        </w:rPr>
        <w:t>已经保密审查、内容审定，同意对外公开</w:t>
      </w:r>
    </w:p>
    <w:p>
      <w:pPr>
        <w:pStyle w:val="22"/>
        <w:keepNext w:val="0"/>
        <w:keepLines w:val="0"/>
        <w:widowControl/>
        <w:suppressLineNumbers w:val="0"/>
        <w:ind w:left="0" w:right="75"/>
      </w:pPr>
      <w:r>
        <w:rPr>
          <w:sz w:val="18"/>
          <w:szCs w:val="18"/>
          <w:shd w:val="clear" w:color="auto" w:fill="FFFFFF"/>
        </w:rPr>
        <w:t> </w:t>
      </w:r>
    </w:p>
    <w:p>
      <w:pPr>
        <w:pStyle w:val="22"/>
        <w:keepNext w:val="0"/>
        <w:keepLines w:val="0"/>
        <w:widowControl/>
        <w:suppressLineNumbers w:val="0"/>
        <w:ind w:left="0" w:right="75"/>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rPr>
          <w:sz w:val="18"/>
          <w:szCs w:val="18"/>
          <w:shd w:val="clear" w:color="auto" w:fill="FFFFFF"/>
        </w:rPr>
      </w:pPr>
    </w:p>
    <w:p>
      <w:pPr>
        <w:pStyle w:val="22"/>
        <w:keepNext w:val="0"/>
        <w:keepLines w:val="0"/>
        <w:widowControl/>
        <w:suppressLineNumbers w:val="0"/>
        <w:ind w:left="0" w:right="75"/>
        <w:jc w:val="center"/>
        <w:rPr>
          <w:sz w:val="18"/>
          <w:szCs w:val="18"/>
          <w:shd w:val="clear" w:color="auto" w:fill="FFFFFF"/>
        </w:rPr>
      </w:pPr>
    </w:p>
    <w:p>
      <w:pPr>
        <w:pStyle w:val="22"/>
        <w:keepNext w:val="0"/>
        <w:keepLines w:val="0"/>
        <w:widowControl/>
        <w:suppressLineNumbers w:val="0"/>
        <w:ind w:left="0" w:right="75"/>
        <w:jc w:val="center"/>
        <w:rPr>
          <w:sz w:val="18"/>
          <w:szCs w:val="18"/>
          <w:shd w:val="clear" w:color="auto" w:fill="FFFFFF"/>
        </w:rPr>
      </w:pP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pPr>
      <w:r>
        <w:rPr>
          <w:sz w:val="18"/>
          <w:szCs w:val="18"/>
          <w:shd w:val="clear" w:color="auto" w:fill="FFFFFF"/>
        </w:rPr>
        <w:t> </w:t>
      </w:r>
    </w:p>
    <w:p>
      <w:pPr>
        <w:pStyle w:val="22"/>
        <w:keepNext w:val="0"/>
        <w:keepLines w:val="0"/>
        <w:widowControl/>
        <w:suppressLineNumbers w:val="0"/>
        <w:ind w:left="0" w:right="75"/>
        <w:jc w:val="center"/>
        <w:rPr>
          <w:rFonts w:eastAsia="宋体" w:hint="eastAsia"/>
          <w:sz w:val="18"/>
          <w:szCs w:val="18"/>
          <w:shd w:val="clear" w:color="auto" w:fill="FFFFFF"/>
          <w:lang w:eastAsia="zh-CN"/>
        </w:rPr>
      </w:pPr>
    </w:p>
    <w:p>
      <w:pPr>
        <w:pStyle w:val="22"/>
        <w:keepNext w:val="0"/>
        <w:keepLines w:val="0"/>
        <w:widowControl/>
        <w:suppressLineNumbers w:val="0"/>
        <w:ind w:left="0" w:right="75"/>
        <w:jc w:val="center"/>
        <w:rPr>
          <w:sz w:val="44"/>
          <w:szCs w:val="44"/>
        </w:rPr>
      </w:pPr>
      <w:r>
        <w:rPr>
          <w:sz w:val="44"/>
          <w:szCs w:val="44"/>
          <w:shd w:val="clear" w:color="auto" w:fill="FFFFFF"/>
        </w:rPr>
        <w:t>目录</w:t>
      </w:r>
    </w:p>
    <w:p>
      <w:pPr>
        <w:pStyle w:val="22"/>
        <w:keepNext w:val="0"/>
        <w:keepLines w:val="0"/>
        <w:widowControl/>
        <w:suppressLineNumbers w:val="0"/>
        <w:ind w:left="0" w:right="75"/>
        <w:jc w:val="center"/>
      </w:pPr>
      <w:r>
        <w:rPr>
          <w:sz w:val="18"/>
          <w:szCs w:val="18"/>
          <w:shd w:val="clear" w:color="auto" w:fill="FFFFFF"/>
        </w:rPr>
        <w:t> </w:t>
      </w:r>
      <w:r>
        <w:rPr>
          <w:sz w:val="28"/>
          <w:szCs w:val="28"/>
          <w:shd w:val="clear" w:color="auto" w:fill="FFFFFF"/>
        </w:rPr>
        <w:t>公开时间：2023年8月</w:t>
      </w:r>
      <w:r>
        <w:rPr>
          <w:rFonts w:hint="eastAsia"/>
          <w:sz w:val="28"/>
          <w:szCs w:val="28"/>
          <w:shd w:val="clear" w:color="auto" w:fill="FFFFFF"/>
          <w:lang w:val="en-US" w:eastAsia="zh-CN"/>
        </w:rPr>
        <w:t>30</w:t>
      </w:r>
      <w:r>
        <w:rPr>
          <w:sz w:val="28"/>
          <w:szCs w:val="28"/>
          <w:shd w:val="clear" w:color="auto" w:fill="FFFFFF"/>
        </w:rPr>
        <w:t>日</w:t>
      </w:r>
    </w:p>
    <w:p>
      <w:pPr>
        <w:pStyle w:val="20"/>
        <w:tabs>
          <w:tab w:val="right" w:leader="dot" w:pos="8296"/>
        </w:tabs>
        <w:rPr>
          <w:rFonts w:ascii="Times New Roman" w:eastAsia="仿宋" w:cs="Times New Roman" w:hAnsi="Times New Roman" w:hint="eastAsia"/>
          <w:lang w:val="en-US" w:eastAsia="zh-CN"/>
        </w:rPr>
      </w:pPr>
      <w:r>
        <w:rPr>
          <w:sz w:val="18"/>
          <w:szCs w:val="18"/>
          <w:shd w:val="clear" w:color="auto" w:fill="FFFFFF"/>
        </w:rPr>
        <w:t> </w:t>
      </w:r>
      <w:r>
        <w:rPr>
          <w:rFonts w:ascii="Times New Roman" w:eastAsia="仿宋" w:cs="Times New Roman" w:hAnsi="Times New Roman"/>
          <w:sz w:val="24"/>
          <w:szCs w:val="28"/>
        </w:rPr>
        <w:fldChar w:fldCharType="begin"/>
      </w:r>
      <w: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eastAsia="仿宋" w:cs="Times New Roman" w:hAnsi="Times New Roman"/>
          <w:sz w:val="24"/>
          <w:szCs w:val="28"/>
        </w:rPr>
        <w:fldChar w:fldCharType="end"/>
      </w:r>
      <w:r>
        <w:rPr>
          <w:rFonts w:ascii="Times New Roman" w:cs="Times New Roman" w:hAnsi="Times New Roman" w:hint="eastAsia"/>
          <w:sz w:val="24"/>
          <w:szCs w:val="28"/>
          <w:lang w:val="en-US" w:eastAsia="zh-CN"/>
        </w:rPr>
        <w:t>4</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ascii="Times New Roman" w:cs="Times New Roman" w:hAnsi="Times New Roman"/>
          <w:sz w:val="24"/>
        </w:rPr>
        <w:fldChar w:fldCharType="end"/>
      </w:r>
      <w:r>
        <w:rPr>
          <w:rFonts w:ascii="Times New Roman" w:cs="Times New Roman" w:hAnsi="Times New Roman" w:hint="eastAsia"/>
          <w:sz w:val="24"/>
          <w:lang w:val="en-US" w:eastAsia="zh-CN"/>
        </w:rPr>
        <w:t>4</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ascii="Times New Roman" w:cs="Times New Roman" w:hAnsi="Times New Roman" w:hint="eastAsia"/>
          <w:sz w:val="24"/>
          <w:lang w:val="en-US" w:eastAsia="zh-CN"/>
        </w:rPr>
        <w:t>6</w:t>
      </w:r>
      <w:r>
        <w:rPr>
          <w:rFonts w:ascii="Times New Roman" w:cs="Times New Roman" w:hAnsi="Times New Roman"/>
          <w:sz w:val="24"/>
        </w:rPr>
        <w:fldChar w:fldCharType="end"/>
      </w:r>
    </w:p>
    <w:p>
      <w:pPr>
        <w:pStyle w:val="20"/>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hint="eastAsia"/>
          <w:sz w:val="24"/>
          <w:lang w:val="en-US" w:eastAsia="zh-CN"/>
        </w:rPr>
        <w:t>8</w:t>
      </w:r>
      <w:r>
        <w:rPr>
          <w:rFonts w:ascii="Times New Roman" w:cs="Times New Roman" w:hAnsi="Times New Roman"/>
          <w:sz w:val="24"/>
        </w:rPr>
        <w:fldChar w:fldCharType="end"/>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"_Toc26843608"</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bCs/>
          <w:sz w:val="24"/>
          <w:lang w:val="en-US" w:eastAsia="zh-CN" w:bidi="ar-SA"/>
        </w:rPr>
        <w:fldChar w:fldCharType="begin"/>
      </w:r>
      <w:r>
        <w:instrText>HYPERLINK  \l "_Toc26843609"</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ascii="Times New Roman" w:cs="Times New Roman" w:hAnsi="Times New Roman" w:hint="eastAsia"/>
          <w:sz w:val="24"/>
          <w:lang w:val="en-US" w:eastAsia="zh-CN"/>
        </w:rPr>
        <w:t>8</w:t>
      </w:r>
      <w:r>
        <w:rPr>
          <w:rFonts w:ascii="Times New Roman" w:cs="Times New Roman" w:hAnsi="Times New Roman"/>
          <w:bCs/>
          <w:sz w:val="24"/>
          <w:lang w:val="en-US" w:eastAsia="zh-CN" w:bidi="ar-SA"/>
        </w:rPr>
        <w:fldChar w:fldCharType="end"/>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"_Toc26843612"</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ascii="Times New Roman" w:cs="Times New Roman" w:hAnsi="Times New Roman" w:hint="eastAsia"/>
          <w:sz w:val="24"/>
          <w:lang w:val="en-US" w:eastAsia="zh-CN"/>
        </w:rPr>
        <w:t>9</w:t>
      </w:r>
      <w:r>
        <w:rPr>
          <w:rFonts w:ascii="Times New Roman" w:cs="Times New Roman" w:hAnsi="Times New Roman"/>
          <w:bCs/>
          <w:sz w:val="24"/>
          <w:lang w:val="en-US" w:eastAsia="zh-CN" w:bidi="ar-SA"/>
        </w:rPr>
        <w:fldChar w:fldCharType="end"/>
      </w:r>
    </w:p>
    <w:p>
      <w:pPr>
        <w:pStyle w:val="21"/>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ascii="Times New Roman" w:cs="Times New Roman" w:hAnsi="Times New Roman"/>
          <w:sz w:val="24"/>
        </w:rPr>
        <w:fldChar w:fldCharType="end"/>
      </w:r>
      <w:r>
        <w:rPr>
          <w:rFonts w:ascii="Times New Roman" w:cs="Times New Roman" w:hAnsi="Times New Roman" w:hint="eastAsia"/>
          <w:sz w:val="24"/>
          <w:lang w:val="en-US" w:eastAsia="zh-CN"/>
        </w:rPr>
        <w:t>10</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1</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3</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4</w:t>
      </w:r>
    </w:p>
    <w:p>
      <w:pPr>
        <w:pStyle w:val="21"/>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rPr>
        <w:fldChar w:fldCharType="begin"/>
      </w:r>
      <w: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ascii="Times New Roman" w:cs="Times New Roman" w:hAnsi="Times New Roman"/>
          <w:sz w:val="24"/>
        </w:rPr>
        <w:fldChar w:fldCharType="end"/>
      </w:r>
      <w:r>
        <w:rPr>
          <w:rFonts w:ascii="Times New Roman" w:cs="Times New Roman" w:hAnsi="Times New Roman" w:hint="eastAsia"/>
          <w:sz w:val="24"/>
          <w:lang w:val="en-US" w:eastAsia="zh-CN"/>
        </w:rPr>
        <w:t>16</w:t>
      </w:r>
    </w:p>
    <w:p>
      <w:pPr>
        <w:pStyle w:val="21"/>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bCs/>
          <w:sz w:val="24"/>
          <w:lang w:val="en-US" w:eastAsia="zh-CN" w:bidi="ar-SA"/>
        </w:rPr>
        <w:fldChar w:fldCharType="begin"/>
      </w:r>
      <w:r>
        <w:instrText>HYPERLINK  \l "_Toc26843620"</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16</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"_Toc26843621"</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6</w:t>
      </w:r>
    </w:p>
    <w:p>
      <w:pPr>
        <w:pStyle w:val="20"/>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eastAsia="仿宋" w:cs="Times New Roman" w:hAnsi="Times New Roman"/>
          <w:bCs/>
          <w:sz w:val="24"/>
          <w:szCs w:val="28"/>
          <w:lang w:val="en-US" w:eastAsia="zh-CN" w:bidi="ar-SA"/>
        </w:rPr>
        <w:fldChar w:fldCharType="begin"/>
      </w:r>
      <w:r>
        <w:instrText>HYPERLINK  \l "_Toc26843622"</w:instrText>
      </w:r>
      <w:r>
        <w:rPr>
          <w:rFonts w:ascii="Times New Roman" w:eastAsia="仿宋" w:cs="Times New Roman" w:hAnsi="Times New Roman"/>
          <w:bCs/>
          <w:sz w:val="24"/>
          <w:szCs w:val="28"/>
          <w:lang w:val="en-US" w:eastAsia="zh-CN" w:bidi="ar-SA"/>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eastAsia="仿宋" w:cs="Times New Roman" w:hAnsi="Times New Roman"/>
          <w:bCs/>
          <w:sz w:val="24"/>
          <w:szCs w:val="28"/>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ind w:leftChars="0" w:left="0" w:firstLine="0"/>
        <w:jc w:val="left"/>
        <w:rPr>
          <w:rFonts w:cs="Times New Roman"/>
          <w:sz w:val="24"/>
          <w:lang w:val="en-US" w:eastAsia="zh-CN"/>
        </w:rPr>
      </w:pPr>
      <w:r>
        <w:rPr>
          <w:rFonts w:ascii="Times New Roman" w:cs="Times New Roman" w:hAnsi="Times New Roman"/>
          <w:sz w:val="24"/>
        </w:rPr>
        <w:fldChar w:fldCharType="begin"/>
      </w:r>
      <w: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2</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"_Toc26843628"</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"_Toc26843629"</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"_Toc26843630"</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"_Toc26843631"</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"_Toc26843632"</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"_Toc26843633"</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"_Toc26843634"</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"_Toc26843635"</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"_Toc26843636"</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十一、</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bCs/>
          <w:sz w:val="24"/>
          <w:lang w:val="en-US" w:eastAsia="zh-CN" w:bidi="ar-SA"/>
        </w:rPr>
        <w:fldChar w:fldCharType="begin"/>
      </w:r>
      <w:r>
        <w:instrText>HYPERLINK  \l "_Toc26843637"</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十二、</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1"/>
        <w:tabs>
          <w:tab w:val="right" w:leader="dot" w:pos="8296"/>
        </w:tabs>
        <w:adjustRightInd w:val="0"/>
        <w:snapToGrid w:val="0"/>
        <w:spacing w:line="440" w:lineRule="exact"/>
        <w:ind w:leftChars="0" w:left="0" w:firstLineChars="200" w:firstLine="480"/>
        <w:jc w:val="left"/>
        <w:rPr>
          <w:rFonts w:eastAsia="宋体" w:hint="eastAsia"/>
          <w:lang w:val="en-US" w:eastAsia="zh-CN"/>
        </w:rPr>
      </w:pPr>
      <w:r>
        <w:rPr>
          <w:rFonts w:ascii="Times New Roman" w:cs="Times New Roman" w:hAnsi="Times New Roman"/>
          <w:bCs/>
          <w:sz w:val="24"/>
          <w:lang w:val="en-US" w:eastAsia="zh-CN" w:bidi="ar-SA"/>
        </w:rPr>
        <w:fldChar w:fldCharType="begin"/>
      </w:r>
      <w:r>
        <w:instrText>HYPERLINK  \l "_Toc26843638"</w:instrText>
      </w:r>
      <w:r>
        <w:rPr>
          <w:rFonts w:ascii="Times New Roman" w:cs="Times New Roman" w:hAnsi="Times New Roman"/>
          <w:bCs/>
          <w:sz w:val="24"/>
          <w:lang w:val="en-US" w:eastAsia="zh-CN" w:bidi="ar-SA"/>
        </w:rPr>
        <w:fldChar w:fldCharType="separate"/>
      </w:r>
      <w:r>
        <w:rPr>
          <w:rFonts w:ascii="Times New Roman" w:cs="Times New Roman" w:hAnsi="Times New Roman"/>
          <w:bCs/>
          <w:sz w:val="24"/>
          <w:lang w:val="en-US" w:eastAsia="zh-CN" w:bidi="ar-SA"/>
        </w:rPr>
        <w:t>十三、</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bCs/>
          <w:sz w:val="24"/>
          <w:lang w:val="en-US" w:eastAsia="zh-CN" w:bidi="ar-SA"/>
        </w:rPr>
        <w:fldChar w:fldCharType="end"/>
      </w:r>
      <w:r>
        <w:rPr>
          <w:rFonts w:ascii="Times New Roman" w:cs="Times New Roman" w:hAnsi="Times New Roman" w:hint="eastAsia"/>
          <w:sz w:val="24"/>
          <w:lang w:val="en-US" w:eastAsia="zh-CN"/>
        </w:rPr>
        <w:t>8</w:t>
      </w: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1"/>
        <w:keepNext w:val="0"/>
        <w:keepLines w:val="0"/>
        <w:widowControl/>
        <w:suppressLineNumbers w:val="0"/>
        <w:ind w:left="0" w:right="75"/>
        <w:jc w:val="center"/>
        <w:rPr>
          <w:shd w:val="clear" w:color="auto" w:fill="FFFFFF"/>
        </w:rPr>
      </w:pPr>
      <w:r>
        <w:rPr>
          <w:shd w:val="clear" w:color="auto" w:fill="FFFFFF"/>
        </w:rPr>
        <w:t>第一部分 部门概况</w:t>
      </w:r>
    </w:p>
    <w:p>
      <w:pPr>
        <w:pStyle w:val="2"/>
        <w:keepNext w:val="0"/>
        <w:keepLines w:val="0"/>
        <w:widowControl/>
        <w:suppressLineNumbers w:val="0"/>
        <w:ind w:left="0" w:right="75"/>
        <w:rPr>
          <w:shd w:val="clear" w:color="auto" w:fill="FFFFFF"/>
        </w:rPr>
      </w:pPr>
    </w:p>
    <w:p>
      <w:pPr>
        <w:pStyle w:val="2"/>
        <w:keepNext w:val="0"/>
        <w:keepLines w:val="0"/>
        <w:widowControl/>
        <w:suppressLineNumbers w:val="0"/>
        <w:ind w:left="0" w:right="75"/>
      </w:pPr>
      <w:r>
        <w:rPr>
          <w:shd w:val="clear" w:color="auto" w:fill="FFFFFF"/>
        </w:rPr>
        <w:t>一、基本职能及主要工作</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楷体" w:cs="Times New Roman" w:hAnsi="Times New Roman"/>
          <w:b/>
          <w:color w:val="000000"/>
          <w:kern w:val="0"/>
          <w:sz w:val="32"/>
          <w:szCs w:val="32"/>
          <w:shd w:val="clear" w:color="auto" w:fill="auto"/>
        </w:rPr>
      </w:pPr>
      <w:bookmarkStart w:id="0" w:name="_Toc15377198"/>
      <w:bookmarkStart w:id="1" w:name="_Toc15378445"/>
      <w:r>
        <w:rPr>
          <w:rFonts w:ascii="Times New Roman" w:eastAsia="楷体" w:cs="Times New Roman" w:hAnsi="Times New Roman"/>
          <w:b/>
          <w:color w:val="000000"/>
          <w:kern w:val="0"/>
          <w:sz w:val="32"/>
          <w:szCs w:val="32"/>
          <w:shd w:val="clear" w:color="auto" w:fill="auto"/>
        </w:rPr>
        <w:t>（一）主要职能。</w:t>
      </w:r>
      <w:bookmarkEnd w:id="0"/>
      <w:bookmarkEnd w:id="1"/>
    </w:p>
    <w:p>
      <w:pPr>
        <w:snapToGrid w:val="0"/>
        <w:spacing w:line="560" w:lineRule="exact"/>
        <w:ind w:firstLineChars="200" w:firstLine="640"/>
        <w:rPr>
          <w:rFonts w:ascii="仿宋_GB2312" w:eastAsia="仿宋_GB2312" w:hint="eastAsia"/>
          <w:sz w:val="32"/>
          <w:szCs w:val="32"/>
        </w:rPr>
      </w:pPr>
      <w:bookmarkStart w:id="2" w:name="_Toc15378446"/>
      <w:bookmarkStart w:id="3" w:name="_Toc15377199"/>
      <w:r>
        <w:rPr>
          <w:rFonts w:ascii="仿宋_GB2312" w:eastAsia="仿宋_GB2312" w:hint="eastAsia"/>
          <w:sz w:val="32"/>
          <w:szCs w:val="32"/>
        </w:rPr>
        <w:t>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（1）、贯彻落实党和政府各项路线方针政策。深入贯彻党的</w:t>
      </w:r>
      <w:r>
        <w:rPr>
          <w:rFonts w:ascii="仿宋_GB2312" w:eastAsia="仿宋_GB2312" w:hint="eastAsia"/>
          <w:sz w:val="32"/>
          <w:szCs w:val="32"/>
          <w:lang w:val="en-US" w:eastAsia="zh-CN"/>
        </w:rPr>
        <w:t>二十</w:t>
      </w:r>
      <w:r>
        <w:rPr>
          <w:rFonts w:ascii="仿宋_GB2312" w:eastAsia="仿宋_GB2312" w:hint="eastAsia"/>
          <w:sz w:val="32"/>
          <w:szCs w:val="32"/>
        </w:rPr>
        <w:t>大、</w:t>
      </w:r>
      <w:r>
        <w:rPr>
          <w:rFonts w:ascii="仿宋_GB2312" w:eastAsia="仿宋_GB2312" w:hint="eastAsia"/>
          <w:sz w:val="32"/>
          <w:szCs w:val="32"/>
          <w:lang w:val="en-US" w:eastAsia="zh-CN"/>
        </w:rPr>
        <w:t>二十</w:t>
      </w:r>
      <w:r>
        <w:rPr>
          <w:rFonts w:ascii="仿宋_GB2312" w:eastAsia="仿宋_GB2312" w:hint="eastAsia"/>
          <w:sz w:val="32"/>
          <w:szCs w:val="32"/>
        </w:rPr>
        <w:t>届</w:t>
      </w:r>
      <w:r>
        <w:rPr>
          <w:rFonts w:ascii="仿宋_GB2312" w:eastAsia="仿宋_GB2312" w:hint="eastAsia"/>
          <w:sz w:val="32"/>
          <w:szCs w:val="32"/>
          <w:lang w:val="en-US" w:eastAsia="zh-CN"/>
        </w:rPr>
        <w:t>二</w:t>
      </w:r>
      <w:r>
        <w:rPr>
          <w:rFonts w:ascii="仿宋_GB2312" w:eastAsia="仿宋_GB2312" w:hint="eastAsia"/>
          <w:sz w:val="32"/>
          <w:szCs w:val="32"/>
        </w:rPr>
        <w:t>中全会精神，宣传和贯彻执行党的路线、方针、政策和国家的法律、法令；宣传和贯彻上级机关的政策、法规、规章、决定等；执行本级党代会和人代会的决定、决议；研究决定辖区内政治、经济、文化等重大问题。</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80"/>
        <w:rPr>
          <w:rFonts w:ascii="仿宋_GB2312" w:eastAsia="仿宋_GB2312" w:hint="eastAsia"/>
          <w:sz w:val="32"/>
          <w:szCs w:val="32"/>
        </w:rPr>
      </w:pPr>
      <w:r>
        <w:rPr>
          <w:rFonts w:ascii="仿宋_GB2312" w:eastAsia="仿宋_GB2312" w:hint="eastAsia"/>
          <w:sz w:val="32"/>
          <w:szCs w:val="32"/>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jc w:val="left"/>
        <w:rPr>
          <w:rFonts w:ascii="仿宋_GB2312" w:eastAsia="仿宋_GB2312" w:cs="仿宋_GB2312" w:hint="eastAsia"/>
          <w:sz w:val="32"/>
          <w:szCs w:val="32"/>
          <w:lang w:eastAsia="zh-CN"/>
        </w:rPr>
      </w:pPr>
      <w:r>
        <w:rPr>
          <w:rFonts w:ascii="仿宋_GB2312" w:eastAsia="仿宋_GB2312" w:hint="eastAsia"/>
          <w:sz w:val="32"/>
          <w:szCs w:val="32"/>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r>
        <w:rPr>
          <w:rFonts w:ascii="仿宋_GB2312" w:eastAsia="仿宋_GB2312" w:hint="eastAsia"/>
          <w:sz w:val="32"/>
          <w:szCs w:val="32"/>
          <w:lang w:eastAsia="zh-CN"/>
        </w:rPr>
        <w:t>。</w:t>
      </w:r>
    </w:p>
    <w:p>
      <w:pPr>
        <w:pStyle w:val="17"/>
        <w:pageBreakBefore w:val="0"/>
        <w:widowControl w:val="0"/>
        <w:kinsoku/>
        <w:wordWrap/>
        <w:overflowPunct/>
        <w:topLinePunct w:val="0"/>
        <w:bidi w:val="0"/>
        <w:adjustRightInd w:val="0"/>
        <w:snapToGrid w:val="0"/>
        <w:spacing w:before="93" w:line="576" w:lineRule="exact"/>
        <w:ind w:left="0" w:firstLineChars="208" w:firstLine="666"/>
        <w:outlineLvl w:val="2"/>
        <w:rPr>
          <w:rFonts w:ascii="Times New Roman" w:eastAsia="方正楷体_GBK" w:cs="Times New Roman" w:hAnsi="Times New Roman"/>
          <w:b/>
          <w:bCs/>
          <w:color w:val="000000"/>
          <w:kern w:val="0"/>
          <w:sz w:val="32"/>
          <w:szCs w:val="32"/>
          <w:shd w:val="clear" w:color="auto" w:fill="auto"/>
        </w:rPr>
      </w:pPr>
      <w:r>
        <w:rPr>
          <w:rFonts w:ascii="Times New Roman" w:eastAsia="方正楷体_GBK" w:cs="Times New Roman" w:hAnsi="Times New Roman"/>
          <w:b/>
          <w:bCs/>
          <w:color w:val="000000"/>
          <w:kern w:val="0"/>
          <w:sz w:val="32"/>
          <w:szCs w:val="32"/>
          <w:shd w:val="clear" w:color="auto" w:fill="auto"/>
        </w:rPr>
        <w:t>（二）202</w:t>
      </w:r>
      <w:r>
        <w:rPr>
          <w:rFonts w:eastAsia="方正楷体_GBK" w:cs="Times New Roman" w:hint="eastAsia"/>
          <w:b/>
          <w:bCs/>
          <w:color w:val="000000"/>
          <w:kern w:val="0"/>
          <w:sz w:val="32"/>
          <w:szCs w:val="32"/>
          <w:shd w:val="clear" w:color="auto" w:fill="auto"/>
          <w:lang w:val="en-US" w:eastAsia="zh-CN"/>
        </w:rPr>
        <w:t>2</w:t>
      </w:r>
      <w:r>
        <w:rPr>
          <w:rFonts w:ascii="Times New Roman" w:eastAsia="方正楷体_GBK" w:cs="Times New Roman" w:hAnsi="Times New Roman"/>
          <w:b/>
          <w:bCs/>
          <w:color w:val="000000"/>
          <w:kern w:val="0"/>
          <w:sz w:val="32"/>
          <w:szCs w:val="32"/>
          <w:shd w:val="clear" w:color="auto" w:fill="auto"/>
        </w:rPr>
        <w:t>年重点工作完成情况。</w:t>
      </w:r>
      <w:bookmarkEnd w:id="2"/>
      <w:bookmarkEnd w:id="3"/>
    </w:p>
    <w:p>
      <w:pPr>
        <w:spacing w:line="576" w:lineRule="exact"/>
        <w:ind w:firstLineChars="300" w:firstLine="960"/>
        <w:rPr>
          <w:rFonts w:ascii="仿宋_GB2312" w:eastAsia="仿宋_GB2312" w:hint="eastAsia"/>
          <w:sz w:val="32"/>
          <w:szCs w:val="32"/>
        </w:rPr>
      </w:pPr>
      <w:r>
        <w:rPr>
          <w:rFonts w:ascii="仿宋_GB2312" w:eastAsia="仿宋_GB2312" w:hint="eastAsia"/>
          <w:sz w:val="32"/>
          <w:szCs w:val="32"/>
        </w:rPr>
        <w:t>我乡在县委、县政府的正确领导下，在州双联单位、县级联系部门的关怀下，在乡党委的指导下，在乡人大的监督支持下，在各村两委的密切配合下，紧紧团结依靠全乡人民，健全完善了相关管理制度，认真贯彻落实科学发展观、党的</w:t>
      </w:r>
      <w:r>
        <w:rPr>
          <w:rFonts w:ascii="仿宋_GB2312" w:eastAsia="仿宋_GB2312" w:hint="eastAsia"/>
          <w:sz w:val="32"/>
          <w:szCs w:val="32"/>
          <w:lang w:val="en-US" w:eastAsia="zh-CN"/>
        </w:rPr>
        <w:t>二</w:t>
      </w:r>
      <w:r>
        <w:rPr>
          <w:rFonts w:ascii="仿宋_GB2312" w:eastAsia="仿宋_GB2312" w:hint="eastAsia"/>
          <w:sz w:val="32"/>
          <w:szCs w:val="32"/>
        </w:rPr>
        <w:t>十大及</w:t>
      </w:r>
      <w:r>
        <w:rPr>
          <w:rFonts w:ascii="仿宋_GB2312" w:eastAsia="仿宋_GB2312" w:hint="eastAsia"/>
          <w:sz w:val="32"/>
          <w:szCs w:val="32"/>
          <w:lang w:val="en-US" w:eastAsia="zh-CN"/>
        </w:rPr>
        <w:t>二</w:t>
      </w:r>
      <w:r>
        <w:rPr>
          <w:rFonts w:ascii="仿宋_GB2312" w:eastAsia="仿宋_GB2312" w:hint="eastAsia"/>
          <w:sz w:val="32"/>
          <w:szCs w:val="32"/>
        </w:rPr>
        <w:t>十届</w:t>
      </w:r>
      <w:r>
        <w:rPr>
          <w:rFonts w:ascii="仿宋_GB2312" w:eastAsia="仿宋_GB2312" w:hint="eastAsia"/>
          <w:sz w:val="32"/>
          <w:szCs w:val="32"/>
          <w:lang w:val="en-US" w:eastAsia="zh-CN"/>
        </w:rPr>
        <w:t>二</w:t>
      </w:r>
      <w:r>
        <w:rPr>
          <w:rFonts w:ascii="仿宋_GB2312" w:eastAsia="仿宋_GB2312" w:hint="eastAsia"/>
          <w:sz w:val="32"/>
          <w:szCs w:val="32"/>
        </w:rPr>
        <w:t>中全会</w:t>
      </w:r>
      <w:r>
        <w:rPr>
          <w:rFonts w:ascii="仿宋_GB2312" w:eastAsia="仿宋_GB2312" w:hint="eastAsia"/>
          <w:sz w:val="32"/>
          <w:szCs w:val="32"/>
          <w:lang w:eastAsia="zh-CN"/>
        </w:rPr>
        <w:t>、</w:t>
      </w:r>
      <w:r>
        <w:rPr>
          <w:rFonts w:ascii="仿宋_GB2312" w:eastAsia="仿宋_GB2312" w:hint="eastAsia"/>
          <w:sz w:val="32"/>
          <w:szCs w:val="32"/>
        </w:rPr>
        <w:t>习近平总书记系列重要讲话精神。按照省委</w:t>
      </w:r>
      <w:r>
        <w:rPr>
          <w:rFonts w:ascii="仿宋_GB2312" w:eastAsia="仿宋_GB2312"/>
          <w:sz w:val="32"/>
          <w:szCs w:val="32"/>
        </w:rPr>
        <w:t>“</w:t>
      </w:r>
      <w:r>
        <w:rPr>
          <w:rFonts w:ascii="仿宋_GB2312" w:eastAsia="仿宋_GB2312" w:hint="eastAsia"/>
          <w:sz w:val="32"/>
          <w:szCs w:val="32"/>
        </w:rPr>
        <w:t>三大发展战略</w:t>
      </w:r>
      <w:r>
        <w:rPr>
          <w:rFonts w:ascii="仿宋_GB2312" w:eastAsia="仿宋_GB2312"/>
          <w:sz w:val="32"/>
          <w:szCs w:val="32"/>
        </w:rPr>
        <w:t>”</w:t>
      </w:r>
      <w:r>
        <w:rPr>
          <w:rFonts w:ascii="仿宋_GB2312" w:eastAsia="仿宋_GB2312" w:hint="eastAsia"/>
          <w:sz w:val="32"/>
          <w:szCs w:val="32"/>
        </w:rPr>
        <w:t>、州委</w:t>
      </w:r>
      <w:r>
        <w:rPr>
          <w:rFonts w:ascii="仿宋_GB2312" w:eastAsia="仿宋_GB2312"/>
          <w:sz w:val="32"/>
          <w:szCs w:val="32"/>
        </w:rPr>
        <w:t>“</w:t>
      </w:r>
      <w:r>
        <w:rPr>
          <w:rFonts w:ascii="仿宋_GB2312" w:eastAsia="仿宋_GB2312" w:hint="eastAsia"/>
          <w:sz w:val="32"/>
          <w:szCs w:val="32"/>
        </w:rPr>
        <w:t>五为</w:t>
      </w:r>
      <w:r>
        <w:rPr>
          <w:rFonts w:ascii="仿宋_GB2312" w:eastAsia="仿宋_GB2312"/>
          <w:sz w:val="32"/>
          <w:szCs w:val="32"/>
        </w:rPr>
        <w:t>”</w:t>
      </w:r>
      <w:r>
        <w:rPr>
          <w:rFonts w:ascii="仿宋_GB2312" w:eastAsia="仿宋_GB2312" w:hint="eastAsia"/>
          <w:sz w:val="32"/>
          <w:szCs w:val="32"/>
        </w:rPr>
        <w:t>总体工作要求，把握</w:t>
      </w:r>
      <w:r>
        <w:rPr>
          <w:rFonts w:ascii="仿宋_GB2312" w:eastAsia="仿宋_GB2312"/>
          <w:sz w:val="32"/>
          <w:szCs w:val="32"/>
        </w:rPr>
        <w:t>“</w:t>
      </w:r>
      <w:r>
        <w:rPr>
          <w:rFonts w:ascii="仿宋_GB2312" w:eastAsia="仿宋_GB2312" w:hint="eastAsia"/>
          <w:sz w:val="32"/>
          <w:szCs w:val="32"/>
        </w:rPr>
        <w:t>夯实基础、增量提质、跨越发展</w:t>
      </w:r>
      <w:r>
        <w:rPr>
          <w:rFonts w:ascii="仿宋_GB2312" w:eastAsia="仿宋_GB2312"/>
          <w:sz w:val="32"/>
          <w:szCs w:val="32"/>
        </w:rPr>
        <w:t>”</w:t>
      </w:r>
      <w:r>
        <w:rPr>
          <w:rFonts w:ascii="仿宋_GB2312" w:eastAsia="仿宋_GB2312" w:hint="eastAsia"/>
          <w:sz w:val="32"/>
          <w:szCs w:val="32"/>
        </w:rPr>
        <w:t>的工作基调，紧紧围绕县委县政府</w:t>
      </w:r>
      <w:r>
        <w:rPr>
          <w:rFonts w:ascii="仿宋_GB2312" w:eastAsia="仿宋_GB2312"/>
          <w:sz w:val="32"/>
          <w:szCs w:val="32"/>
        </w:rPr>
        <w:t>“</w:t>
      </w:r>
      <w:r>
        <w:rPr>
          <w:rFonts w:ascii="仿宋_GB2312" w:eastAsia="仿宋_GB2312" w:hint="eastAsia"/>
          <w:sz w:val="32"/>
          <w:szCs w:val="32"/>
        </w:rPr>
        <w:t>一二三四五</w:t>
      </w:r>
      <w:r>
        <w:rPr>
          <w:rFonts w:ascii="仿宋_GB2312" w:eastAsia="仿宋_GB2312"/>
          <w:sz w:val="32"/>
          <w:szCs w:val="32"/>
        </w:rPr>
        <w:t>”</w:t>
      </w:r>
      <w:r>
        <w:rPr>
          <w:rFonts w:ascii="仿宋_GB2312" w:eastAsia="仿宋_GB2312" w:hint="eastAsia"/>
          <w:sz w:val="32"/>
          <w:szCs w:val="32"/>
        </w:rPr>
        <w:t>发展战略、</w:t>
      </w:r>
      <w:r>
        <w:rPr>
          <w:rFonts w:ascii="仿宋_GB2312" w:eastAsia="仿宋_GB2312"/>
          <w:sz w:val="32"/>
          <w:szCs w:val="32"/>
        </w:rPr>
        <w:t>“</w:t>
      </w:r>
      <w:r>
        <w:rPr>
          <w:rFonts w:ascii="仿宋_GB2312" w:eastAsia="仿宋_GB2312" w:hint="eastAsia"/>
          <w:sz w:val="32"/>
          <w:szCs w:val="32"/>
        </w:rPr>
        <w:t>一四三四</w:t>
      </w:r>
      <w:r>
        <w:rPr>
          <w:rFonts w:ascii="仿宋_GB2312" w:eastAsia="仿宋_GB2312"/>
          <w:sz w:val="32"/>
          <w:szCs w:val="32"/>
        </w:rPr>
        <w:t>”</w:t>
      </w:r>
      <w:r>
        <w:rPr>
          <w:rFonts w:ascii="仿宋_GB2312" w:eastAsia="仿宋_GB2312" w:hint="eastAsia"/>
          <w:sz w:val="32"/>
          <w:szCs w:val="32"/>
        </w:rPr>
        <w:t>治县方略，为加快“四地三县”建设，牢牢抓住中央和省州支持民族地区跨越发展的大好机遇，攻坚克难、乘势而上，全面完成了年初既定确定的各项任务。</w:t>
      </w:r>
    </w:p>
    <w:p>
      <w:pPr>
        <w:pStyle w:val="2"/>
        <w:keepNext w:val="0"/>
        <w:keepLines w:val="0"/>
        <w:widowControl/>
        <w:suppressLineNumbers w:val="0"/>
        <w:ind w:left="0" w:right="75" w:firstLineChars="200" w:firstLine="640"/>
        <w:rPr>
          <w:rFonts w:ascii="Times New Roman" w:eastAsia="仿宋_GB2312" w:cs="Times New Roman" w:hAnsi="Times New Roman" w:hint="eastAsia"/>
          <w:b w:val="0"/>
          <w:kern w:val="0"/>
          <w:sz w:val="32"/>
          <w:szCs w:val="32"/>
          <w:lang w:val="en-US" w:eastAsia="zh-CN"/>
        </w:rPr>
      </w:pPr>
      <w:r>
        <w:rPr>
          <w:rFonts w:ascii="Times New Roman" w:eastAsia="仿宋_GB2312" w:cs="Times New Roman" w:hAnsi="Times New Roman" w:hint="eastAsia"/>
          <w:b w:val="0"/>
          <w:kern w:val="0"/>
          <w:sz w:val="32"/>
          <w:szCs w:val="32"/>
          <w:lang w:val="en-US" w:eastAsia="zh-CN"/>
        </w:rPr>
        <w:t>2022年以来，班子成员以“四个全面”为主线、以脱贫攻坚为主战场，以“党建引领，和谐稳定，补齐短板，调整产业，脱贫奔康，发展旅游，凝心聚力”为思路，以“发展特色产业，拓宽致富渠道，建设生态小康毛日；发展公益事业，提升民生水平，建设民主和谐曾达；弘扬孝德文化，壮大旅游产业，建设孝德美丽曾达；依托资源优势，加快小康进程，建设幸福安康曾达”的工作目标，进一步理清工作思路，创新工作方式、振奋精神，抢抓机遇、攻坚破难，继续夯实基础设施，大力发展特色优势产业，积极培育壮大集体经济，奋力推进旅游强乡工作基调，带动群众增收致富。</w:t>
      </w:r>
    </w:p>
    <w:p>
      <w:pPr>
        <w:pStyle w:val="2"/>
        <w:keepNext w:val="0"/>
        <w:keepLines w:val="0"/>
        <w:widowControl/>
        <w:suppressLineNumbers w:val="0"/>
        <w:ind w:left="0" w:right="75"/>
      </w:pPr>
      <w:r>
        <w:rPr>
          <w:shd w:val="clear" w:color="auto" w:fill="FFFFFF"/>
        </w:rPr>
        <w:t>二、机构设置</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1、机构情况：阿坝州金川县曾达乡人民政府下属二级单位4个，其中行政单位3个，参照公务员法管理的事业单位1个，其他事业单位0个。</w:t>
      </w:r>
      <w:r>
        <w:rPr>
          <w:rFonts w:ascii="仿宋_GB2312" w:eastAsia="仿宋_GB2312" w:hint="eastAsia"/>
          <w:bCs/>
          <w:sz w:val="32"/>
        </w:rPr>
        <w:t>增加个</w:t>
      </w:r>
      <w:r>
        <w:rPr>
          <w:rFonts w:ascii="仿宋_GB2312" w:eastAsia="仿宋_GB2312" w:hint="eastAsia"/>
          <w:bCs/>
          <w:sz w:val="32"/>
          <w:lang w:val="en-US" w:eastAsia="zh-CN"/>
        </w:rPr>
        <w:t>2</w:t>
      </w:r>
      <w:r>
        <w:rPr>
          <w:rFonts w:ascii="仿宋_GB2312" w:eastAsia="仿宋_GB2312" w:hint="eastAsia"/>
          <w:bCs/>
          <w:sz w:val="32"/>
        </w:rPr>
        <w:t>机构。</w:t>
      </w:r>
      <w:r>
        <w:rPr>
          <w:rFonts w:ascii="Times New Roman" w:eastAsia="仿宋_GB2312" w:cs="Times New Roman" w:hAnsi="Times New Roman" w:hint="eastAsia"/>
          <w:sz w:val="32"/>
          <w:szCs w:val="32"/>
          <w:lang w:val="en-US" w:eastAsia="zh-CN"/>
        </w:rPr>
        <w:t>纳入阿坝州金川县曾达乡人民政府2022年度部门决算编制范围的二级预算单位包括：阿坝州金川县曾达乡人民政府（本级）、阿坝州金川县曾达乡党委办公室、阿坝州金川县曾达乡人大办公室、阿坝州金川县曾达乡综合服务中心。</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ascii="Times New Roman" w:eastAsia="仿宋_GB2312" w:cs="Times New Roman" w:hAnsi="Times New Roman" w:hint="eastAsia"/>
          <w:kern w:val="0"/>
          <w:sz w:val="32"/>
          <w:szCs w:val="32"/>
          <w:lang w:val="en-US" w:eastAsia="zh-CN"/>
        </w:rPr>
      </w:pPr>
      <w:r>
        <w:rPr>
          <w:rFonts w:ascii="Times New Roman" w:eastAsia="仿宋_GB2312" w:cs="Times New Roman" w:hAnsi="Times New Roman" w:hint="eastAsia"/>
          <w:kern w:val="0"/>
          <w:sz w:val="32"/>
          <w:szCs w:val="32"/>
          <w:lang w:val="en-US" w:eastAsia="zh-CN"/>
        </w:rPr>
        <w:t>   2.人员情况：2022年年初在职28人（行政人员18人,行政工勤1人。事业管理2人，专业技术人员6人，事业工勤1人）。2022年年末在职29人（行政人员17人,行政工勤2人。事业管理3人，专业技术人员6人，事业工勤1人）。</w:t>
      </w: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p>
    <w:p>
      <w:pPr>
        <w:pStyle w:val="22"/>
        <w:keepNext w:val="0"/>
        <w:keepLines w:val="0"/>
        <w:widowControl/>
        <w:suppressLineNumbers w:val="0"/>
        <w:ind w:left="0" w:right="75"/>
        <w:jc w:val="left"/>
        <w:rPr>
          <w:rFonts w:ascii="宋体" w:eastAsia="宋体" w:cs="宋体" w:hint="eastAsia"/>
          <w:b/>
          <w:kern w:val="44"/>
          <w:sz w:val="48"/>
          <w:szCs w:val="48"/>
          <w:shd w:val="clear" w:color="auto" w:fill="FFFFFF"/>
          <w:lang w:val="en-US" w:eastAsia="zh-CN"/>
        </w:rPr>
      </w:pPr>
      <w:r>
        <w:rPr>
          <w:rFonts w:ascii="宋体" w:eastAsia="宋体" w:cs="宋体" w:hint="eastAsia"/>
          <w:b/>
          <w:kern w:val="44"/>
          <w:sz w:val="48"/>
          <w:szCs w:val="48"/>
          <w:shd w:val="clear" w:color="auto" w:fill="FFFFFF"/>
          <w:lang w:val="en-US" w:eastAsia="zh-CN"/>
        </w:rPr>
        <w:t>第二部分 2022年度部门决算情况说明</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一、收入支出决算总体情况说明</w:t>
      </w:r>
    </w:p>
    <w:p>
      <w:pPr>
        <w:pStyle w:val="22"/>
        <w:keepNext w:val="0"/>
        <w:keepLines w:val="0"/>
        <w:widowControl/>
        <w:suppressLineNumbers w:val="0"/>
        <w:ind w:left="0" w:right="75"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hint="eastAsia"/>
          <w:sz w:val="32"/>
          <w:szCs w:val="32"/>
          <w:lang w:val="en-US" w:eastAsia="zh-CN"/>
        </w:rPr>
        <w:t>2022年度收、支总计1899.22万元。与2021年相比，收、支总计各增加87.9万元，增长10.21%。主要变动原因是</w:t>
      </w:r>
      <w:r>
        <w:rPr>
          <w:rFonts w:ascii="Times New Roman" w:eastAsia="仿宋_GB2312" w:cs="Times New Roman" w:hAnsi="Times New Roman"/>
          <w:sz w:val="32"/>
          <w:szCs w:val="32"/>
        </w:rPr>
        <w:t>本年度</w:t>
      </w:r>
      <w:r>
        <w:rPr>
          <w:rFonts w:ascii="仿宋_GB2312" w:eastAsia="仿宋_GB2312" w:cs="Times New Roman" w:hint="eastAsia"/>
          <w:kern w:val="2"/>
          <w:sz w:val="32"/>
          <w:szCs w:val="32"/>
          <w:lang w:val="en-US" w:eastAsia="zh-CN" w:bidi="ar-SA"/>
        </w:rPr>
        <w:t>工资规范人员及公务经费增加、</w:t>
      </w:r>
      <w:r>
        <w:rPr>
          <w:rFonts w:ascii="Times New Roman" w:eastAsia="仿宋_GB2312" w:cs="Times New Roman" w:hAnsi="Times New Roman" w:hint="eastAsia"/>
          <w:sz w:val="32"/>
          <w:szCs w:val="32"/>
          <w:lang w:val="en-US" w:eastAsia="zh-CN"/>
        </w:rPr>
        <w:t>灾后重建</w:t>
      </w:r>
      <w:r>
        <w:rPr>
          <w:rFonts w:ascii="Times New Roman" w:eastAsia="仿宋_GB2312" w:cs="Times New Roman" w:hAnsi="Times New Roman"/>
          <w:sz w:val="32"/>
          <w:szCs w:val="32"/>
        </w:rPr>
        <w:t>专项工程进度款缴上年增加较大，</w:t>
      </w:r>
      <w:r>
        <w:rPr>
          <w:rFonts w:ascii="Times New Roman" w:eastAsia="仿宋_GB2312" w:cs="Times New Roman" w:hAnsi="Times New Roman"/>
          <w:color w:val="000000"/>
          <w:sz w:val="32"/>
          <w:szCs w:val="32"/>
          <w:lang w:eastAsia="zh-CN"/>
        </w:rPr>
        <w:t>按照项目实施进度，当年支付部分项目进度款及尾款</w:t>
      </w:r>
      <w:r>
        <w:rPr>
          <w:rFonts w:ascii="Times New Roman" w:eastAsia="仿宋_GB2312" w:cs="Times New Roman" w:hAnsi="Times New Roman"/>
          <w:color w:val="000000"/>
          <w:sz w:val="32"/>
          <w:szCs w:val="32"/>
          <w:lang w:val="en-US" w:eastAsia="zh-CN"/>
        </w:rPr>
        <w:t>。</w:t>
      </w:r>
    </w:p>
    <w:p>
      <w:pPr>
        <w:pStyle w:val="22"/>
        <w:keepNext w:val="0"/>
        <w:keepLines w:val="0"/>
        <w:widowControl/>
        <w:suppressLineNumbers w:val="0"/>
        <w:ind w:left="0" w:right="75" w:firstLineChars="200" w:firstLine="480"/>
        <w:rPr>
          <w:rFonts w:ascii="Times New Roman" w:eastAsia="仿宋_GB2312" w:cs="Times New Roman" w:hAnsi="Times New Roman" w:hint="eastAsia"/>
          <w:sz w:val="32"/>
          <w:szCs w:val="32"/>
          <w:lang w:val="en-US" w:eastAsia="zh-CN"/>
        </w:rPr>
      </w:pPr>
      <w:r>
        <w:drawing>
          <wp:inline distT="0" distB="0" distL="114300" distR="114300">
            <wp:extent cx="4381500" cy="2819400"/>
            <wp:effectExtent l="0" t="0" r="0" b="0"/>
            <wp:docPr id="4" name="图表 1"/>
            <wp:cNvGraphicFramePr>
              <a:graphicFrameLocks noChangeAspect="0"/>
            </wp:cNvGraphicFramePr>
            <a:graphic>
              <a:graphicData uri="http://schemas.openxmlformats.org/drawingml/2006/chart">
                <c:chart xmlns:c="http://schemas.openxmlformats.org/drawingml/2006/chart" r:id="rId3"/>
              </a:graphicData>
            </a:graphic>
          </wp:inline>
        </w:drawing>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（图1：收、支决算总计变动情况图）（柱状图）</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二、收入决算情况说明</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本年收入合计949.61万元，其中：一般公共预算财政拨款收入949.61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22"/>
        <w:keepNext w:val="0"/>
        <w:keepLines w:val="0"/>
        <w:widowControl/>
        <w:suppressLineNumbers w:val="0"/>
        <w:ind w:left="0" w:right="75"/>
        <w:rPr>
          <w:rStyle w:val="23"/>
          <w:sz w:val="18"/>
          <w:szCs w:val="18"/>
          <w:shd w:val="clear" w:color="auto" w:fill="FFFFFF"/>
        </w:rPr>
      </w:pPr>
      <w:r>
        <w:rPr>
          <w:rFonts w:ascii="Times New Roman" w:eastAsia="仿宋" w:cs="Times New Roman" w:hAnsi="Times New Roman"/>
          <w:sz w:val="32"/>
          <w:szCs w:val="32"/>
          <w:lang w:val="en-US" w:eastAsia="zh-CN"/>
        </w:rPr>
        <w:drawing>
          <wp:anchor distT="0" distB="0" distL="114300" distR="114300" simplePos="0" relativeHeight="31" behindDoc="0" locked="0" layoutInCell="1" hidden="0" allowOverlap="1">
            <wp:simplePos x="0" y="0"/>
            <wp:positionH relativeFrom="column">
              <wp:posOffset>666750</wp:posOffset>
            </wp:positionH>
            <wp:positionV relativeFrom="paragraph">
              <wp:posOffset>8890</wp:posOffset>
            </wp:positionV>
            <wp:extent cx="3496945" cy="2228215"/>
            <wp:effectExtent l="0" t="0" r="0" b="0"/>
            <wp:wrapNone/>
            <wp:docPr id="5" name="图表 1"/>
            <wp:cNvGraphicFramePr>
              <a:graphicFrameLocks noChangeAspect="0"/>
            </wp:cNvGraphicFramePr>
            <a:graphic>
              <a:graphicData uri="http://schemas.openxmlformats.org/drawingml/2006/chart">
                <c:chart xmlns:c="http://schemas.openxmlformats.org/drawingml/2006/chart" r:id="rId4"/>
              </a:graphicData>
            </a:graphic>
          </wp:anchor>
        </w:drawing>
      </w:r>
    </w:p>
    <w:p>
      <w:pPr>
        <w:pStyle w:val="22"/>
        <w:keepNext w:val="0"/>
        <w:keepLines w:val="0"/>
        <w:widowControl/>
        <w:suppressLineNumbers w:val="0"/>
        <w:ind w:left="0" w:right="75"/>
        <w:rPr>
          <w:rStyle w:val="23"/>
          <w:sz w:val="18"/>
          <w:szCs w:val="18"/>
          <w:shd w:val="clear" w:color="auto" w:fill="FFFFFF"/>
        </w:rPr>
      </w:pPr>
    </w:p>
    <w:p>
      <w:pPr>
        <w:pStyle w:val="22"/>
        <w:keepNext w:val="0"/>
        <w:keepLines w:val="0"/>
        <w:widowControl/>
        <w:suppressLineNumbers w:val="0"/>
        <w:ind w:left="0" w:right="75"/>
        <w:rPr>
          <w:rStyle w:val="23"/>
          <w:sz w:val="18"/>
          <w:szCs w:val="18"/>
          <w:shd w:val="clear" w:color="auto" w:fill="FFFFFF"/>
        </w:rPr>
      </w:pPr>
    </w:p>
    <w:p>
      <w:pPr>
        <w:pStyle w:val="22"/>
        <w:keepNext w:val="0"/>
        <w:keepLines w:val="0"/>
        <w:widowControl/>
        <w:suppressLineNumbers w:val="0"/>
        <w:ind w:left="0" w:right="75"/>
        <w:rPr>
          <w:sz w:val="18"/>
          <w:szCs w:val="18"/>
          <w:shd w:val="clear" w:color="auto" w:fill="FFFFFF"/>
        </w:rPr>
      </w:pPr>
      <w:r>
        <w:rPr>
          <w:sz w:val="18"/>
          <w:szCs w:val="18"/>
          <w:shd w:val="clear" w:color="auto" w:fill="FFFFFF"/>
        </w:rPr>
        <w:t> </w:t>
      </w:r>
    </w:p>
    <w:p>
      <w:pPr>
        <w:pStyle w:val="22"/>
        <w:keepNext w:val="0"/>
        <w:keepLines w:val="0"/>
        <w:widowControl/>
        <w:suppressLineNumbers w:val="0"/>
        <w:ind w:left="0" w:right="75"/>
        <w:rPr>
          <w:sz w:val="18"/>
          <w:szCs w:val="18"/>
          <w:shd w:val="clear" w:color="auto" w:fill="FFFFFF"/>
        </w:rPr>
      </w:pPr>
    </w:p>
    <w:p>
      <w:pPr>
        <w:pStyle w:val="22"/>
        <w:keepNext w:val="0"/>
        <w:keepLines w:val="0"/>
        <w:widowControl/>
        <w:suppressLineNumbers w:val="0"/>
        <w:ind w:left="0" w:right="75"/>
        <w:rPr>
          <w:sz w:val="18"/>
          <w:szCs w:val="18"/>
          <w:shd w:val="clear" w:color="auto" w:fill="FFFFFF"/>
        </w:rPr>
      </w:pPr>
    </w:p>
    <w:p>
      <w:pPr>
        <w:pStyle w:val="22"/>
        <w:keepNext w:val="0"/>
        <w:keepLines w:val="0"/>
        <w:widowControl/>
        <w:suppressLineNumbers w:val="0"/>
        <w:ind w:left="0" w:right="75"/>
      </w:pPr>
      <w:r>
        <w:rPr>
          <w:sz w:val="18"/>
          <w:szCs w:val="18"/>
          <w:shd w:val="clear" w:color="auto" w:fill="FFFFFF"/>
        </w:rPr>
        <w:t>（图2：收入决算结构图）（饼状图）</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三、支出决算情况说明</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2022年本年支出合计949.61万元，其中：基本支出596.91万元，占62.86%；项目支出352.70万元，占37.14%；上缴上级支出0.00万元，占0.00%；经营支出0.00万元，占经营支出0.00万元，占 0.00%；对附属单位补助支出0.00万元，占0.00%。</w:t>
      </w:r>
    </w:p>
    <w:p>
      <w:pPr>
        <w:pStyle w:val="22"/>
        <w:keepNext w:val="0"/>
        <w:keepLines w:val="0"/>
        <w:widowControl/>
        <w:suppressLineNumbers w:val="0"/>
        <w:ind w:right="75"/>
        <w:rPr>
          <w:sz w:val="18"/>
          <w:szCs w:val="18"/>
          <w:shd w:val="clear" w:color="auto" w:fill="FFFFFF"/>
        </w:rPr>
      </w:pPr>
      <w:r>
        <w:rPr>
          <w:rFonts w:ascii="仿宋_GB2312" w:eastAsia="仿宋_GB2312" w:hint="eastAsia"/>
          <w:color w:val="FF0000"/>
          <w:sz w:val="32"/>
          <w:szCs w:val="32"/>
          <w:lang w:eastAsia="zh-CN"/>
        </w:rPr>
        <w:drawing>
          <wp:anchor distT="0" distB="0" distL="114300" distR="114300" simplePos="0" relativeHeight="33" behindDoc="0" locked="0" layoutInCell="1" hidden="0" allowOverlap="1">
            <wp:simplePos x="0" y="0"/>
            <wp:positionH relativeFrom="column">
              <wp:posOffset>73025</wp:posOffset>
            </wp:positionH>
            <wp:positionV relativeFrom="paragraph">
              <wp:posOffset>73025</wp:posOffset>
            </wp:positionV>
            <wp:extent cx="5061585" cy="1984374"/>
            <wp:effectExtent l="0" t="0" r="0" b="0"/>
            <wp:wrapTopAndBottom/>
            <wp:docPr id="6" name="图表 6"/>
            <wp:cNvGraphicFramePr>
              <a:graphicFrameLocks noChangeAspect="0"/>
            </wp:cNvGraphicFramePr>
            <a:graphic>
              <a:graphicData uri="http://schemas.openxmlformats.org/drawingml/2006/chart">
                <c:chart xmlns:c="http://schemas.openxmlformats.org/drawingml/2006/chart" r:id="rId5"/>
              </a:graphicData>
            </a:graphic>
          </wp:anchor>
        </w:drawing>
      </w:r>
      <w:r>
        <w:rPr>
          <w:sz w:val="18"/>
          <w:szCs w:val="18"/>
          <w:shd w:val="clear" w:color="auto" w:fill="FFFFFF"/>
        </w:rPr>
        <w:t>（图3：支出决算结构图）（饼状图）</w:t>
      </w:r>
    </w:p>
    <w:p>
      <w:pPr>
        <w:pStyle w:val="22"/>
        <w:keepNext w:val="0"/>
        <w:keepLines w:val="0"/>
        <w:widowControl/>
        <w:suppressLineNumbers w:val="0"/>
        <w:ind w:left="0"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四、财政拨款收入支出决算总体情况说明</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2022年财政拨款收、支总计1899.22万元。与2021年相比，财政拨款收、支总计各增加87.9万元，增长10.21%。主要变动原因是</w:t>
      </w:r>
      <w:r>
        <w:rPr>
          <w:rFonts w:ascii="Times New Roman" w:eastAsia="仿宋_GB2312" w:cs="Times New Roman" w:hAnsi="Times New Roman"/>
          <w:sz w:val="32"/>
          <w:szCs w:val="32"/>
        </w:rPr>
        <w:t>本年度</w:t>
      </w:r>
      <w:r>
        <w:rPr>
          <w:rFonts w:ascii="仿宋_GB2312" w:eastAsia="仿宋_GB2312" w:cs="Times New Roman" w:hint="eastAsia"/>
          <w:kern w:val="2"/>
          <w:sz w:val="32"/>
          <w:szCs w:val="32"/>
          <w:lang w:val="en-US" w:eastAsia="zh-CN" w:bidi="ar-SA"/>
        </w:rPr>
        <w:t>工资规范人员及公务经费增加、</w:t>
      </w:r>
      <w:r>
        <w:rPr>
          <w:rFonts w:ascii="Times New Roman" w:eastAsia="仿宋_GB2312" w:cs="Times New Roman" w:hAnsi="Times New Roman" w:hint="eastAsia"/>
          <w:sz w:val="32"/>
          <w:szCs w:val="32"/>
          <w:lang w:val="en-US" w:eastAsia="zh-CN"/>
        </w:rPr>
        <w:t>灾后重建</w:t>
      </w:r>
      <w:r>
        <w:rPr>
          <w:rFonts w:ascii="Times New Roman" w:eastAsia="仿宋_GB2312" w:cs="Times New Roman" w:hAnsi="Times New Roman"/>
          <w:sz w:val="32"/>
          <w:szCs w:val="32"/>
        </w:rPr>
        <w:t>专项工程进度款缴上年增加较大，</w:t>
      </w:r>
      <w:r>
        <w:rPr>
          <w:rFonts w:ascii="Times New Roman" w:eastAsia="仿宋_GB2312" w:cs="Times New Roman" w:hAnsi="Times New Roman"/>
          <w:color w:val="000000"/>
          <w:sz w:val="32"/>
          <w:szCs w:val="32"/>
          <w:lang w:eastAsia="zh-CN"/>
        </w:rPr>
        <w:t>按照项目实施进度，当年支付部分项目进度款及尾款</w:t>
      </w:r>
      <w:r>
        <w:rPr>
          <w:rFonts w:ascii="Times New Roman" w:eastAsia="仿宋_GB2312" w:cs="Times New Roman" w:hAnsi="Times New Roman"/>
          <w:color w:val="000000"/>
          <w:sz w:val="32"/>
          <w:szCs w:val="32"/>
          <w:lang w:val="en-US" w:eastAsia="zh-CN"/>
        </w:rPr>
        <w:t>。</w:t>
      </w:r>
    </w:p>
    <w:p>
      <w:pPr>
        <w:pStyle w:val="22"/>
        <w:keepNext w:val="0"/>
        <w:keepLines w:val="0"/>
        <w:widowControl/>
        <w:suppressLineNumbers w:val="0"/>
        <w:ind w:left="0" w:right="75"/>
      </w:pPr>
      <w:r>
        <w:rPr>
          <w:sz w:val="18"/>
          <w:szCs w:val="18"/>
          <w:shd w:val="clear" w:color="auto" w:fill="FFFFFF"/>
        </w:rPr>
        <w:t> </w:t>
      </w:r>
      <w:r>
        <w:drawing>
          <wp:inline distT="0" distB="0" distL="114300" distR="114300">
            <wp:extent cx="4381500" cy="2819400"/>
            <wp:effectExtent l="0" t="0" r="0" b="0"/>
            <wp:docPr id="7" name="图表 4"/>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22"/>
        <w:keepNext w:val="0"/>
        <w:keepLines w:val="0"/>
        <w:widowControl/>
        <w:suppressLineNumbers w:val="0"/>
        <w:ind w:left="0" w:right="75"/>
      </w:pPr>
      <w:r>
        <w:rPr>
          <w:sz w:val="18"/>
          <w:szCs w:val="18"/>
          <w:shd w:val="clear" w:color="auto" w:fill="FFFFFF"/>
        </w:rPr>
        <w:t>（图4：财政拨款收、支决算总计变动情况）（柱状图）</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五、一般公共预算财政拨款支出决算情况说明</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（一）一般公共预算财政拨款支出决算总体情况</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2022年一般公共预算财政拨款支出949.61万元，占本年支出合计的100.00%。与2021年相比，一般公共预算财政拨款支出增加87.9万元，增长10.21%。主要变动原因是</w:t>
      </w:r>
      <w:r>
        <w:rPr>
          <w:rFonts w:ascii="Times New Roman" w:eastAsia="仿宋_GB2312" w:cs="Times New Roman" w:hAnsi="Times New Roman"/>
          <w:sz w:val="32"/>
          <w:szCs w:val="32"/>
        </w:rPr>
        <w:t>本年度</w:t>
      </w:r>
      <w:r>
        <w:rPr>
          <w:rFonts w:ascii="仿宋_GB2312" w:eastAsia="仿宋_GB2312" w:cs="Times New Roman" w:hint="eastAsia"/>
          <w:kern w:val="2"/>
          <w:sz w:val="32"/>
          <w:szCs w:val="32"/>
          <w:lang w:val="en-US" w:eastAsia="zh-CN" w:bidi="ar-SA"/>
        </w:rPr>
        <w:t>工资规范人员及公务经费增加、</w:t>
      </w:r>
      <w:r>
        <w:rPr>
          <w:rFonts w:ascii="Times New Roman" w:eastAsia="仿宋_GB2312" w:cs="Times New Roman" w:hAnsi="Times New Roman" w:hint="eastAsia"/>
          <w:sz w:val="32"/>
          <w:szCs w:val="32"/>
          <w:lang w:val="en-US" w:eastAsia="zh-CN"/>
        </w:rPr>
        <w:t>灾后重建</w:t>
      </w:r>
      <w:r>
        <w:rPr>
          <w:rFonts w:ascii="Times New Roman" w:eastAsia="仿宋_GB2312" w:cs="Times New Roman" w:hAnsi="Times New Roman"/>
          <w:sz w:val="32"/>
          <w:szCs w:val="32"/>
        </w:rPr>
        <w:t>专项工程进度款缴上年增加较大，</w:t>
      </w:r>
      <w:r>
        <w:rPr>
          <w:rFonts w:ascii="Times New Roman" w:eastAsia="仿宋_GB2312" w:cs="Times New Roman" w:hAnsi="Times New Roman"/>
          <w:color w:val="000000"/>
          <w:sz w:val="32"/>
          <w:szCs w:val="32"/>
          <w:lang w:eastAsia="zh-CN"/>
        </w:rPr>
        <w:t>按照项目实施进度，当年支付部分项目进度款及尾款</w:t>
      </w:r>
      <w:r>
        <w:rPr>
          <w:rFonts w:ascii="Times New Roman" w:eastAsia="仿宋_GB2312" w:cs="Times New Roman" w:hAnsi="Times New Roman"/>
          <w:color w:val="000000"/>
          <w:sz w:val="32"/>
          <w:szCs w:val="32"/>
          <w:lang w:val="en-US" w:eastAsia="zh-CN"/>
        </w:rPr>
        <w:t>。</w:t>
      </w:r>
    </w:p>
    <w:p>
      <w:pPr>
        <w:pStyle w:val="22"/>
        <w:keepNext w:val="0"/>
        <w:keepLines w:val="0"/>
        <w:widowControl/>
        <w:suppressLineNumbers w:val="0"/>
        <w:ind w:left="0" w:right="75"/>
      </w:pPr>
      <w:r>
        <w:rPr>
          <w:sz w:val="18"/>
          <w:szCs w:val="18"/>
          <w:shd w:val="clear" w:color="auto" w:fill="FFFFFF"/>
        </w:rPr>
        <w:t> </w:t>
      </w:r>
      <w:r>
        <w:drawing>
          <wp:inline distT="0" distB="0" distL="114300" distR="114300">
            <wp:extent cx="4381500" cy="2819400"/>
            <wp:effectExtent l="0" t="0" r="0" b="0"/>
            <wp:docPr id="8" name="图表 6"/>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22"/>
        <w:keepNext w:val="0"/>
        <w:keepLines w:val="0"/>
        <w:widowControl/>
        <w:suppressLineNumbers w:val="0"/>
        <w:ind w:left="0" w:right="75"/>
      </w:pPr>
      <w:r>
        <w:rPr>
          <w:sz w:val="18"/>
          <w:szCs w:val="18"/>
          <w:shd w:val="clear" w:color="auto" w:fill="FFFFFF"/>
        </w:rPr>
        <w:t>（图5：一般公共预算财政拨款支出决算变动情况）（柱状图）</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（二）一般公共预算财政拨款支出决算结构情况</w:t>
      </w:r>
    </w:p>
    <w:p>
      <w:pPr>
        <w:pStyle w:val="22"/>
        <w:keepNext w:val="0"/>
        <w:keepLines w:val="0"/>
        <w:widowControl/>
        <w:suppressLineNumbers w:val="0"/>
        <w:ind w:left="0" w:right="75" w:firstLineChars="200" w:firstLine="640"/>
        <w:rPr>
          <w:sz w:val="18"/>
          <w:szCs w:val="18"/>
          <w:shd w:val="clear" w:color="auto" w:fill="FFFFFF"/>
        </w:rPr>
      </w:pPr>
      <w:r>
        <w:rPr>
          <w:rFonts w:ascii="Times New Roman" w:eastAsia="仿宋_GB2312" w:cs="Times New Roman" w:hAnsi="Times New Roman" w:hint="eastAsia"/>
          <w:sz w:val="32"/>
          <w:szCs w:val="32"/>
          <w:lang w:val="en-US" w:eastAsia="zh-CN"/>
        </w:rPr>
        <w:t>2022年一般公共预算财政拨款支出949.61万元，主要用于以下方面:一般公共服务（类）支出313.74万元，占33.04%；教育支出（类）0.00万元，占0.00%；科学技术（类）支出0.00万元，占0.00%；文化旅游体育与传媒（类）支出0.00万元，占0.00%；社会保障和就业（类）支出64.58万元，占6.80%；卫生健康支出33.28万元，占3.50%；住房保障支出41.21万元，占4.34%。</w:t>
      </w:r>
    </w:p>
    <w:p>
      <w:pPr>
        <w:pStyle w:val="22"/>
        <w:keepNext w:val="0"/>
        <w:keepLines w:val="0"/>
        <w:widowControl/>
        <w:suppressLineNumbers w:val="0"/>
        <w:ind w:left="0" w:right="75"/>
        <w:rPr>
          <w:rFonts w:eastAsia="宋体" w:hint="eastAsia"/>
          <w:sz w:val="18"/>
          <w:szCs w:val="18"/>
          <w:shd w:val="clear" w:color="auto" w:fill="FFFFFF"/>
          <w:lang w:eastAsia="zh-CN"/>
        </w:rPr>
      </w:pPr>
      <w:r>
        <w:rPr>
          <w:rFonts w:eastAsia="宋体" w:hint="eastAsia"/>
          <w:sz w:val="18"/>
          <w:szCs w:val="18"/>
          <w:shd w:val="clear" w:color="auto" w:fill="FFFFFF"/>
          <w:lang w:eastAsia="zh-CN"/>
        </w:rPr>
        <w:drawing>
          <wp:inline distT="0" distB="0" distL="114300" distR="114300">
            <wp:extent cx="5256530" cy="2988310"/>
            <wp:effectExtent l="0" t="0" r="0" b="0"/>
            <wp:docPr id="9" name="图表 12"/>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22"/>
        <w:keepNext w:val="0"/>
        <w:keepLines w:val="0"/>
        <w:widowControl/>
        <w:suppressLineNumbers w:val="0"/>
        <w:ind w:left="0" w:right="75"/>
      </w:pPr>
      <w:r>
        <w:rPr>
          <w:sz w:val="18"/>
          <w:szCs w:val="18"/>
          <w:shd w:val="clear" w:color="auto" w:fill="FFFFFF"/>
        </w:rPr>
        <w:t>（图6：一般公共预算财政拨款支出决算结构）（饼状图）</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（三）一般公共预算财政拨款支出决算具体情况</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2022年一般公共预算支出决算数为949.61万元，完成预算100.00%。其中：</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1.一般公共服务（类）: 支出决算为313.74万元，完成预算100%，决算数与预算数持平。</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2.教育（类）: 支出决算为0.00万元，完成预算100%，决算数与预算数持平。</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3.科学技术（类）: 支出决算为0.00万元，完成预算100%，决算数与预算数持平。</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4.文化旅游体育与传媒（类）: 支出决算为0.00万元，完成预算100%，决算数与预算数持平。</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5.社会保障和就业（类）: 支出决算为64.58万元，完成预算100%，决算数与预算数持平。</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6.卫生健康（类）:支出决算为33.28万元，完成预算100%，决算数与预算数持平。</w:t>
      </w:r>
    </w:p>
    <w:p>
      <w:pPr>
        <w:pStyle w:val="22"/>
        <w:keepNext w:val="0"/>
        <w:keepLines w:val="0"/>
        <w:widowControl/>
        <w:suppressLineNumbers w:val="0"/>
        <w:ind w:left="0" w:right="75" w:firstLineChars="200" w:firstLine="640"/>
      </w:pPr>
      <w:r>
        <w:rPr>
          <w:rFonts w:ascii="Times New Roman" w:eastAsia="仿宋_GB2312" w:cs="Times New Roman" w:hAnsi="Times New Roman" w:hint="eastAsia"/>
          <w:sz w:val="32"/>
          <w:szCs w:val="32"/>
          <w:lang w:val="en-US" w:eastAsia="zh-CN"/>
        </w:rPr>
        <w:t>7.住房保障（类）:支出决算为41.21万元，完成预算100%，决算数与预算数持平。</w:t>
      </w:r>
      <w:r>
        <w:rPr>
          <w:sz w:val="18"/>
          <w:szCs w:val="18"/>
          <w:shd w:val="clear" w:color="auto" w:fill="FFFFFF"/>
        </w:rPr>
        <w:t> </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六、一般公共预算财政拨款基本支出决算情况说明   </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 xml:space="preserve">2022年一般公共预算财政拨款基本支出596.91万元，其中：人员经费564.19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        </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公用经费32.72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七、“三公”经费财政拨款支出决算情况说明</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（一）“三公”经费财政拨款支出决算总体情况说明</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2022年“三公”经费财政拨款支出决算为5.50万元，完成预算100.00%，决算数与预算数持平。</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（二）“三公”经费财政拨款支出决算具体情况说明</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2022年“三公”经费财政拨款支出决算中，因公出国（境）费支出决算0.00万元，占0.00%；公务用车购置及运行维护费支出决算5.50万元，占100.00%；公务接待费支出决算0.00万元，占0.00%。具体情况如下：</w:t>
      </w:r>
    </w:p>
    <w:p>
      <w:pPr>
        <w:pStyle w:val="22"/>
        <w:keepNext w:val="0"/>
        <w:keepLines w:val="0"/>
        <w:widowControl/>
        <w:suppressLineNumbers w:val="0"/>
        <w:ind w:right="75"/>
      </w:pPr>
      <w:r>
        <w:drawing>
          <wp:inline distT="0" distB="0" distL="114300" distR="114300">
            <wp:extent cx="4381500" cy="2819400"/>
            <wp:effectExtent l="0" t="0" r="0" b="0"/>
            <wp:docPr id="10" name="图表 7"/>
            <wp:cNvGraphicFramePr>
              <a:graphicFrameLocks noChangeAspect="1"/>
            </wp:cNvGraphicFramePr>
            <a:graphic>
              <a:graphicData uri="http://schemas.openxmlformats.org/drawingml/2006/chart">
                <c:chart xmlns:c="http://schemas.openxmlformats.org/drawingml/2006/chart" r:id="rId9"/>
              </a:graphicData>
            </a:graphic>
          </wp:inline>
        </w:drawing>
      </w:r>
    </w:p>
    <w:p>
      <w:pPr>
        <w:pStyle w:val="22"/>
        <w:keepNext w:val="0"/>
        <w:keepLines w:val="0"/>
        <w:widowControl/>
        <w:suppressLineNumbers w:val="0"/>
        <w:ind w:left="0" w:right="75"/>
        <w:rPr>
          <w:rFonts w:hint="eastAsia"/>
          <w:sz w:val="18"/>
          <w:szCs w:val="18"/>
          <w:shd w:val="clear" w:color="auto" w:fill="FFFFFF"/>
          <w:lang w:val="en-US" w:eastAsia="zh-CN"/>
        </w:rPr>
      </w:pPr>
      <w:r>
        <w:rPr>
          <w:rFonts w:hint="eastAsia"/>
          <w:sz w:val="18"/>
          <w:szCs w:val="18"/>
          <w:shd w:val="clear" w:color="auto" w:fill="FFFFFF"/>
          <w:lang w:val="en-US" w:eastAsia="zh-CN"/>
        </w:rPr>
        <w:t>（图7：“三公”经费财政拨款支出结构）（饼状图）</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1.因公出国（境）经费支出0.00万元，完成预算0.00%。全年安排因公出国（境）团组0次，出国（境）0人。因公出国（境）支出决算比2021年持平。</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公务用车购置及运行维护费支出5.50万元,完成预算100.00%。公务用车购置及运行维护费支出决算比2021年增加5.50万元，较2021年持平。其中：公务用车购置支出0.00万元。全年按规定更新购置公务用车0辆。截至2021年12月底，单位共有公务用车1辆，其中：轿车0辆、越野车1辆、载客汽车0辆。公务用车运行维护费支出5.50万元。主要用于公务车等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Times New Roman" w:eastAsia="仿宋_GB2312" w:cs="Times New Roman" w:hAnsi="Times New Roman" w:hint="eastAsia"/>
          <w:sz w:val="32"/>
          <w:szCs w:val="32"/>
          <w:lang w:val="en-US" w:eastAsia="zh-CN"/>
        </w:rPr>
        <w:t>3.公务接待费支出0.00万元，完成预算100%。公务接待费支出决算比2021年持平。</w:t>
      </w:r>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r>
        <w:rPr>
          <w:rFonts w:ascii="Times New Roman" w:eastAsia="仿宋_GB2312" w:cs="Times New Roman" w:hAnsi="Times New Roman" w:hint="eastAsia"/>
          <w:sz w:val="32"/>
          <w:szCs w:val="32"/>
          <w:lang w:val="en-US" w:eastAsia="zh-CN"/>
        </w:rPr>
        <w:t> </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八、政府性基金预算支出决算情况说明</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2022年政府性基金预算财政拨款支出0.00万元。</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九、国有资本经营预算支出决算情况说明</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2022年国有资本经营预算财政拨款支出0.00万元。</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十、其他重要事项的情况说明</w:t>
      </w:r>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（一）机关运行经费支出情况</w:t>
      </w:r>
    </w:p>
    <w:p>
      <w:pPr>
        <w:spacing w:line="600" w:lineRule="exact"/>
        <w:ind w:firstLineChars="200" w:firstLine="640"/>
        <w:rPr>
          <w:rFonts w:ascii="仿宋_GB2312" w:eastAsia="仿宋_GB2312" w:hint="eastAsia"/>
          <w:sz w:val="32"/>
          <w:szCs w:val="32"/>
        </w:rPr>
      </w:pPr>
      <w:r>
        <w:rPr>
          <w:rFonts w:ascii="Times New Roman" w:eastAsia="仿宋_GB2312" w:cs="Times New Roman" w:hAnsi="Times New Roman" w:hint="eastAsia"/>
          <w:sz w:val="32"/>
          <w:szCs w:val="32"/>
          <w:lang w:val="en-US" w:eastAsia="zh-CN"/>
        </w:rPr>
        <w:t>2022年，阿坝州金川县曾达乡人民政府机关运行经费支出22.40万元，比2021年增加22.40万元，</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4" w:name="_GoBack"/>
      <w:bookmarkEnd w:id="4"/>
    </w:p>
    <w:p>
      <w:pPr>
        <w:pStyle w:val="22"/>
        <w:keepNext w:val="0"/>
        <w:keepLines w:val="0"/>
        <w:widowControl/>
        <w:suppressLineNumbers w:val="0"/>
        <w:ind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（二）政府采购支出情况</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2022年，阿坝州金川县曾达乡人民政府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pStyle w:val="22"/>
        <w:keepNext w:val="0"/>
        <w:keepLines w:val="0"/>
        <w:widowControl/>
        <w:suppressLineNumbers w:val="0"/>
        <w:ind w:right="75"/>
      </w:pPr>
      <w:r>
        <w:rPr>
          <w:rFonts w:ascii="Times New Roman" w:eastAsia="仿宋_GB2312" w:cs="Times New Roman" w:hAnsi="Times New Roman" w:hint="eastAsia"/>
          <w:b/>
          <w:bCs/>
          <w:sz w:val="32"/>
          <w:szCs w:val="32"/>
          <w:lang w:val="en-US" w:eastAsia="zh-CN"/>
        </w:rPr>
        <w:t>（三）国有资产占有使用情况</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截至2022年12月31日，阿坝州金川县曾达乡人民政府共有车辆1辆，其中：主要领导干部用车0辆、机要通信用车0辆、应急保障用车1辆、其他用车0辆。</w:t>
      </w:r>
    </w:p>
    <w:p>
      <w:pPr>
        <w:pStyle w:val="22"/>
        <w:keepNext w:val="0"/>
        <w:keepLines w:val="0"/>
        <w:widowControl/>
        <w:suppressLineNumbers w:val="0"/>
        <w:ind w:left="0" w:right="75"/>
        <w:rPr>
          <w:rFonts w:ascii="Times New Roman" w:eastAsia="仿宋_GB2312" w:cs="Times New Roman" w:hAnsi="Times New Roman" w:hint="eastAsia"/>
          <w:b/>
          <w:bCs/>
          <w:sz w:val="32"/>
          <w:szCs w:val="32"/>
          <w:lang w:val="en-US" w:eastAsia="zh-CN"/>
        </w:rPr>
      </w:pPr>
      <w:r>
        <w:rPr>
          <w:rFonts w:ascii="Times New Roman" w:eastAsia="仿宋_GB2312" w:cs="Times New Roman" w:hAnsi="Times New Roman" w:hint="eastAsia"/>
          <w:b/>
          <w:bCs/>
          <w:sz w:val="32"/>
          <w:szCs w:val="32"/>
          <w:lang w:val="en-US" w:eastAsia="zh-CN"/>
        </w:rPr>
        <w:t>（四）预算绩效管理情况</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zh-CN" w:eastAsia="zh-CN"/>
        </w:rPr>
      </w:pPr>
      <w:r>
        <w:rPr>
          <w:rFonts w:ascii="Times New Roman" w:eastAsia="仿宋_GB2312" w:cs="Times New Roman" w:hAnsi="Times New Roman" w:hint="eastAsia"/>
          <w:sz w:val="32"/>
          <w:szCs w:val="32"/>
          <w:lang w:val="en-US" w:eastAsia="zh-CN"/>
        </w:rPr>
        <w:t>根据预算绩效管理要求，本部门在2022年度预算编制阶段，组织对2022年度一般公共预算、政府性基金预算、国有资本经营预算、社会保险基金预算以及资本资产、债券资金等全面开展绩效自评，形成阿坝州金川县曾达乡人民政府部门整体（含部门预算项目）绩效自评报告，其中，阿坝州金川县曾达乡人民政府部门整体（含部门预算项目）绩效自评得分为84分，绩效自评综述</w:t>
      </w:r>
      <w:r>
        <w:rPr>
          <w:rFonts w:ascii="Times New Roman" w:eastAsia="仿宋_GB2312" w:cs="Times New Roman" w:hAnsi="Times New Roman" w:hint="eastAsia"/>
          <w:sz w:val="32"/>
          <w:szCs w:val="32"/>
          <w:lang w:val="zh-CN" w:eastAsia="zh-CN"/>
        </w:rPr>
        <w:t>本单位严格按照县级部门预算编制通知和有关要求，按时完成基础库、项目库报送工作，按时完成202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lang w:val="zh-CN" w:eastAsia="zh-CN"/>
        </w:rPr>
        <w:t>年预算编制工作，并按时提交部门预算草案。预算编制全面、科学。202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lang w:val="zh-CN" w:eastAsia="zh-CN"/>
        </w:rPr>
        <w:t>年实际支出和部门决算一致，绩效目标填报及年末结余结转都是严格按照县财政局的要求认真完成，不存在违规违纪使用资金的情况并按时完成2022年预算编制工作，及时提交了部门预算草案。</w:t>
      </w:r>
    </w:p>
    <w:p>
      <w:pPr>
        <w:pStyle w:val="22"/>
        <w:keepNext w:val="0"/>
        <w:keepLines w:val="0"/>
        <w:widowControl/>
        <w:suppressLineNumbers w:val="0"/>
        <w:ind w:right="75" w:firstLineChars="200" w:firstLine="640"/>
        <w:rPr>
          <w:rFonts w:ascii="Times New Roman" w:eastAsia="仿宋_GB2312" w:cs="Times New Roman" w:hAnsi="Times New Roman" w:hint="eastAsia"/>
          <w:sz w:val="32"/>
          <w:szCs w:val="32"/>
          <w:lang w:val="zh-CN" w:eastAsia="zh-CN"/>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pPr>
      <w:r>
        <w:rPr>
          <w:rStyle w:val="23"/>
          <w:sz w:val="39"/>
          <w:szCs w:val="39"/>
          <w:shd w:val="clear" w:color="auto" w:fill="FFFFFF"/>
        </w:rPr>
        <w:t>第三部分 名词解释</w:t>
      </w:r>
    </w:p>
    <w:p>
      <w:pPr>
        <w:pStyle w:val="22"/>
        <w:keepNext w:val="0"/>
        <w:keepLines w:val="0"/>
        <w:widowControl/>
        <w:suppressLineNumbers w:val="0"/>
        <w:ind w:left="0" w:right="75"/>
        <w:jc w:val="left"/>
      </w:pPr>
      <w:r>
        <w:rPr>
          <w:sz w:val="18"/>
          <w:szCs w:val="18"/>
          <w:shd w:val="clear" w:color="auto" w:fill="FFFFFF"/>
        </w:rPr>
        <w:t> </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1.财政拨款收入：指单位从同级财政部门取得的财政预算资金。</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2.事业收入：指事业单位开展专业业务活动及辅助活动取得的收入。如…（二级预算单位事业收入情况）等。</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3.经营收入：指事业单位在专业业务活动及其辅助活动之外开展非独立核算经营活动取得的收入。如…（二级预算单位经营收入情况）等。</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4.其他收入：指单位取得的除上述收入以外的各项收入。主要是…（收入类型）等。</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5.使用非财政拨款结余：指事业单位使用以前年度积累的非财政拨款结余弥补当年收支差额的金额。</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6.年初结转和结余：指以前年度尚未完成、结转到本年按有关规定继续使用的资金。</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7.结余分配：指事业单位按照会计制度规定缴纳的所得税、提取的专用结余以及转入非财政拨款结余的金额等。</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8、年末结转和结余：指单位按有关规定结转到下年或以后年度继续使用的资金。</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9.一般公共服务（类）…（款）…（项）：指……。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10.外交（类）…（款）…（项）：指……。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11.公共安全（类）…（款）…（项）：指……。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12.教育（类）…（款）…（项）：指……。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13.科学技术（类）…（款）…（项）：指……。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14.文化体育与传媒（类）…（款）…（项）：指……。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15.社会保障和就业（类）…（款）…（项）：指……。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16.医疗卫生与计划生育（类）…（款）…（项）：指……。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17.节能环保（类）…（款）…（项）：指……。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18.城乡社区（类）…（款）…（项）：指……。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19.农林水（类）…（款）…（项）：指……。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20.交通运输（类）…（款）…（项）：指……。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21.资源勘探信息等（类）…（款）…（项）：指……。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22.商业服务业（类）…（款）…（项）：指……。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23.金融（类）…（款）…（项）：指……。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24.国土海洋气象等（类）…（款）…（项）：指……。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25.住房保障（类）…（款）…（项）：指……。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26.粮油物资储备（类）…（款）…（项）：指……。</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27.基本支出：指为保障机构正常运转、完成日常工作任务而发生的人员支出和公用支出。</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28.项目支出：指在基本支出之外为完成特定行政任务和事业发展目标所发生的支出。</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29.经营支出：指事业单位在专业业务活动及其辅助活动之外开展非独立核算经营活动发生的支出。</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keepNext w:val="0"/>
        <w:keepLines w:val="0"/>
        <w:widowControl/>
        <w:suppressLineNumbers w:val="0"/>
        <w:ind w:right="75"/>
        <w:rPr>
          <w:rFonts w:ascii="Times New Roman" w:eastAsia="仿宋_GB2312" w:cs="Times New Roman" w:hAnsi="Times New Roman" w:hint="eastAsia"/>
          <w:sz w:val="32"/>
          <w:szCs w:val="32"/>
          <w:lang w:val="en-US" w:eastAsia="zh-CN"/>
        </w:rPr>
      </w:pPr>
      <w:r>
        <w:rPr>
          <w:rFonts w:ascii="Times New Roman" w:eastAsia="仿宋_GB2312" w:cs="Times New Roman" w:hAnsi="Times New Roman" w:hint="eastAsia"/>
          <w:sz w:val="32"/>
          <w:szCs w:val="32"/>
          <w:lang w:val="en-US" w:eastAsia="zh-CN"/>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keepNext w:val="0"/>
        <w:keepLines w:val="0"/>
        <w:widowControl/>
        <w:suppressLineNumbers w:val="0"/>
        <w:ind w:left="0" w:right="75"/>
      </w:pPr>
      <w:r>
        <w:rPr>
          <w:sz w:val="18"/>
          <w:szCs w:val="18"/>
          <w:shd w:val="clear" w:color="auto" w:fill="FFFFFF"/>
        </w:rPr>
        <w:t> </w:t>
      </w:r>
    </w:p>
    <w:p>
      <w:pPr>
        <w:pStyle w:val="22"/>
        <w:keepNext w:val="0"/>
        <w:keepLines w:val="0"/>
        <w:widowControl/>
        <w:suppressLineNumbers w:val="0"/>
        <w:ind w:left="0" w:right="75"/>
      </w:pPr>
      <w:r>
        <w:rPr>
          <w:sz w:val="18"/>
          <w:szCs w:val="18"/>
          <w:shd w:val="clear" w:color="auto" w:fill="FFFFFF"/>
        </w:rPr>
        <w:t> </w:t>
      </w: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rPr>
          <w:rStyle w:val="23"/>
          <w:sz w:val="39"/>
          <w:szCs w:val="39"/>
          <w:shd w:val="clear" w:color="auto" w:fill="FFFFFF"/>
        </w:rPr>
      </w:pPr>
    </w:p>
    <w:p>
      <w:pPr>
        <w:pStyle w:val="22"/>
        <w:keepNext w:val="0"/>
        <w:keepLines w:val="0"/>
        <w:widowControl/>
        <w:suppressLineNumbers w:val="0"/>
        <w:ind w:left="0" w:right="75"/>
        <w:jc w:val="center"/>
      </w:pPr>
      <w:r>
        <w:rPr>
          <w:rStyle w:val="23"/>
          <w:sz w:val="39"/>
          <w:szCs w:val="39"/>
          <w:shd w:val="clear" w:color="auto" w:fill="FFFFFF"/>
        </w:rPr>
        <w:t>第四部分 附件</w:t>
      </w:r>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5" w:name="_Toc26843624"/>
      <w:r>
        <w:rPr>
          <w:rFonts w:ascii="Times New Roman" w:eastAsia="黑体" w:cs="Times New Roman" w:hAnsi="Times New Roman"/>
          <w:sz w:val="32"/>
          <w:szCs w:val="32"/>
        </w:rPr>
        <w:t>附件</w:t>
      </w:r>
      <w:bookmarkEnd w:id="5"/>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en-US" w:eastAsia="zh-CN"/>
        </w:rPr>
      </w:pPr>
      <w:r>
        <w:rPr>
          <w:rFonts w:eastAsia="方正小标宋简体" w:cs="Times New Roman" w:hint="eastAsia"/>
          <w:kern w:val="0"/>
          <w:sz w:val="40"/>
          <w:szCs w:val="44"/>
          <w:lang w:val="en-US" w:eastAsia="zh-CN"/>
        </w:rPr>
        <w:t>金川县曾达乡人民政府</w:t>
      </w:r>
    </w:p>
    <w:p>
      <w:pPr>
        <w:pageBreakBefore w:val="0"/>
        <w:widowControl w:val="0"/>
        <w:kinsoku/>
        <w:wordWrap/>
        <w:overflowPunct/>
        <w:topLinePunct w:val="0"/>
        <w:bidi w:val="0"/>
        <w:spacing w:line="576" w:lineRule="exact"/>
        <w:jc w:val="center"/>
        <w:rPr>
          <w:rFonts w:ascii="Times New Roman" w:eastAsia="方正小标宋简体" w:cs="Times New Roman" w:hAnsi="Times New Roman"/>
          <w:kern w:val="0"/>
          <w:sz w:val="40"/>
          <w:szCs w:val="44"/>
          <w:lang w:val="zh-CN"/>
        </w:rPr>
      </w:pPr>
      <w:r>
        <w:rPr>
          <w:rFonts w:ascii="Times New Roman" w:eastAsia="方正小标宋简体" w:cs="Times New Roman" w:hAnsi="Times New Roman"/>
          <w:kern w:val="0"/>
          <w:sz w:val="40"/>
          <w:szCs w:val="44"/>
        </w:rPr>
        <w:t>202</w:t>
      </w:r>
      <w:r>
        <w:rPr>
          <w:rFonts w:eastAsia="方正小标宋简体" w:cs="Times New Roman" w:hint="eastAsia"/>
          <w:kern w:val="0"/>
          <w:sz w:val="40"/>
          <w:szCs w:val="44"/>
          <w:lang w:val="en-US" w:eastAsia="zh-CN"/>
        </w:rPr>
        <w:t>2</w:t>
      </w:r>
      <w:r>
        <w:rPr>
          <w:rFonts w:ascii="Times New Roman" w:eastAsia="方正小标宋简体" w:cs="Times New Roman" w:hAnsi="Times New Roman"/>
          <w:kern w:val="0"/>
          <w:sz w:val="40"/>
          <w:szCs w:val="44"/>
        </w:rPr>
        <w:t>年部门整体绩效评价报告</w:t>
      </w:r>
    </w:p>
    <w:p>
      <w:pPr>
        <w:pageBreakBefore w:val="0"/>
        <w:widowControl/>
        <w:kinsoku/>
        <w:wordWrap/>
        <w:overflowPunct/>
        <w:topLinePunct w:val="0"/>
        <w:bidi w:val="0"/>
        <w:adjustRightInd w:val="0"/>
        <w:snapToGrid w:val="0"/>
        <w:spacing w:line="576" w:lineRule="exact"/>
        <w:ind w:firstLineChars="200" w:firstLine="480"/>
        <w:contextualSpacing/>
        <w:jc w:val="left"/>
        <w:rPr>
          <w:rFonts w:ascii="Times New Roman" w:eastAsia="黑体" w:cs="Times New Roman" w:hAnsi="Times New Roman"/>
          <w:kern w:val="0"/>
          <w:sz w:val="24"/>
          <w:szCs w:val="32"/>
          <w:shd w:val="clear" w:color="auto" w:fill="FFFFFF"/>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b/>
          <w:bCs/>
          <w:sz w:val="32"/>
          <w:szCs w:val="32"/>
          <w:shd w:val="clear" w:color="auto" w:fill="FFFFFF"/>
          <w:lang w:val="zh-CN"/>
        </w:rPr>
      </w:pPr>
      <w:r>
        <w:rPr>
          <w:rFonts w:ascii="Times New Roman" w:cs="Times New Roman" w:hAnsi="Times New Roman" w:hint="eastAsia"/>
          <w:b/>
          <w:bCs/>
          <w:sz w:val="32"/>
          <w:szCs w:val="32"/>
          <w:shd w:val="clear" w:color="auto" w:fill="FFFFFF"/>
          <w:lang w:val="zh-CN"/>
        </w:rPr>
        <w:t>一、部门（单位）概况</w:t>
      </w:r>
    </w:p>
    <w:p>
      <w:pPr>
        <w:pStyle w:val="22"/>
        <w:keepNext w:val="0"/>
        <w:keepLines w:val="0"/>
        <w:widowControl/>
        <w:suppressLineNumbers w:val="0"/>
        <w:ind w:left="0" w:right="75" w:firstLineChars="200" w:firstLine="640"/>
        <w:rPr>
          <w:rFonts w:ascii="Times New Roman" w:eastAsia="仿宋_GB2312" w:cs="Times New Roman" w:hAnsi="Times New Roman" w:hint="eastAsia"/>
          <w:sz w:val="32"/>
          <w:szCs w:val="32"/>
          <w:lang w:val="en-US" w:eastAsia="zh-CN"/>
        </w:rPr>
      </w:pPr>
      <w:r>
        <w:rPr>
          <w:rFonts w:ascii="Times New Roman" w:cs="Times New Roman" w:hAnsi="Times New Roman" w:hint="eastAsia"/>
          <w:b/>
          <w:bCs/>
          <w:sz w:val="32"/>
          <w:szCs w:val="32"/>
          <w:shd w:val="clear" w:color="auto" w:fill="FFFFFF"/>
          <w:lang w:val="zh-CN" w:eastAsia="zh-CN"/>
        </w:rPr>
        <w:t>（一）机构组成</w:t>
      </w:r>
      <w:r>
        <w:rPr>
          <w:rFonts w:ascii="Times New Roman" w:cs="Times New Roman" w:hAnsi="Times New Roman" w:hint="eastAsia"/>
          <w:b/>
          <w:bCs/>
          <w:sz w:val="32"/>
          <w:szCs w:val="32"/>
          <w:shd w:val="clear" w:color="auto" w:fill="FFFFFF"/>
          <w:lang w:val="zh-CN"/>
        </w:rPr>
        <w:t>：</w:t>
      </w:r>
      <w:r>
        <w:rPr>
          <w:rFonts w:ascii="Times New Roman" w:eastAsia="仿宋_GB2312" w:cs="Times New Roman" w:hAnsi="Times New Roman" w:hint="eastAsia"/>
          <w:sz w:val="32"/>
          <w:szCs w:val="32"/>
          <w:lang w:val="en-US" w:eastAsia="zh-CN"/>
        </w:rPr>
        <w:t>1、机构情况：</w:t>
      </w:r>
      <w:r>
        <w:rPr>
          <w:rFonts w:ascii="仿宋_GB2312" w:eastAsia="仿宋_GB2312" w:hint="eastAsia"/>
          <w:sz w:val="32"/>
          <w:szCs w:val="32"/>
        </w:rPr>
        <w:t>我</w:t>
      </w:r>
      <w:r>
        <w:rPr>
          <w:rFonts w:ascii="仿宋_GB2312" w:eastAsia="仿宋_GB2312" w:hint="eastAsia"/>
          <w:sz w:val="32"/>
          <w:szCs w:val="32"/>
          <w:lang w:eastAsia="zh-CN"/>
        </w:rPr>
        <w:t>乡</w:t>
      </w:r>
      <w:r>
        <w:rPr>
          <w:rFonts w:ascii="仿宋_GB2312" w:eastAsia="仿宋_GB2312" w:hint="eastAsia"/>
          <w:sz w:val="32"/>
          <w:szCs w:val="32"/>
        </w:rPr>
        <w:t>有行政核算机构</w:t>
      </w:r>
      <w:r>
        <w:rPr>
          <w:rFonts w:ascii="仿宋_GB2312" w:eastAsia="仿宋_GB2312" w:hint="eastAsia"/>
          <w:sz w:val="32"/>
          <w:szCs w:val="32"/>
          <w:lang w:val="en-US" w:eastAsia="zh-CN"/>
        </w:rPr>
        <w:t>3个（曾达乡人民政府办公室、曾达乡人大办公室、曾达乡党委办公室），事业核实机构1个（曾达乡综合服务中心）</w:t>
      </w:r>
      <w:r>
        <w:rPr>
          <w:rFonts w:ascii="仿宋_GB2312" w:eastAsia="仿宋_GB2312" w:hint="eastAsia"/>
          <w:sz w:val="32"/>
          <w:szCs w:val="32"/>
        </w:rPr>
        <w:t>。</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eastAsia="zh-CN"/>
        </w:rPr>
      </w:pPr>
      <w:r>
        <w:rPr>
          <w:rFonts w:ascii="Times New Roman" w:cs="Times New Roman" w:hAnsi="Times New Roman" w:hint="eastAsia"/>
          <w:b/>
          <w:bCs/>
          <w:sz w:val="32"/>
          <w:szCs w:val="32"/>
          <w:shd w:val="clear" w:color="auto" w:fill="FFFFFF"/>
          <w:lang w:val="zh-CN" w:eastAsia="zh-CN"/>
        </w:rPr>
        <w:t>（二）机构职能：</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eastAsia="zh-CN"/>
        </w:rPr>
        <w:t>1、</w:t>
      </w:r>
      <w:r>
        <w:rPr>
          <w:rFonts w:ascii="Times New Roman" w:cs="Times New Roman" w:hAnsi="Times New Roman" w:hint="eastAsia"/>
          <w:sz w:val="32"/>
          <w:szCs w:val="32"/>
          <w:shd w:val="clear" w:color="auto" w:fill="FFFFFF"/>
          <w:lang w:val="zh-CN"/>
        </w:rPr>
        <w:t>根据党章和《地方组织法》的规定，乡党委、政府承担辖区内促进经济发展、提供公共服务、加强社会管理、维护社会稳定，推动物质文明、政治文明、精神文明及和谐社会建设等任务。</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eastAsia="zh-CN"/>
        </w:rPr>
        <w:t>2、</w:t>
      </w:r>
      <w:r>
        <w:rPr>
          <w:rFonts w:ascii="Times New Roman" w:cs="Times New Roman" w:hAnsi="Times New Roman" w:hint="eastAsia"/>
          <w:sz w:val="32"/>
          <w:szCs w:val="32"/>
          <w:shd w:val="clear" w:color="auto" w:fill="FFFFFF"/>
          <w:lang w:val="zh-CN"/>
        </w:rPr>
        <w:t>为经济发展提供服务。加强和改进党和政府对经济工作的领导，重点是加强发展规划并为各类经济主体进行示范引导、提供政策服务以及营造发展环境。</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eastAsia="zh-CN"/>
        </w:rPr>
        <w:t>3</w:t>
      </w:r>
      <w:r>
        <w:rPr>
          <w:rFonts w:ascii="Times New Roman" w:cs="Times New Roman" w:hAnsi="Times New Roman" w:hint="eastAsia"/>
          <w:sz w:val="32"/>
          <w:szCs w:val="32"/>
          <w:shd w:val="clear" w:color="auto" w:fill="FFFFFF"/>
          <w:lang w:val="zh-CN"/>
        </w:rPr>
        <w:t>、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eastAsia="zh-CN"/>
        </w:rPr>
        <w:t>4</w:t>
      </w:r>
      <w:r>
        <w:rPr>
          <w:rFonts w:ascii="Times New Roman" w:cs="Times New Roman" w:hAnsi="Times New Roman" w:hint="eastAsia"/>
          <w:sz w:val="32"/>
          <w:szCs w:val="32"/>
          <w:shd w:val="clear" w:color="auto" w:fill="FFFFFF"/>
          <w:lang w:val="zh-CN"/>
        </w:rPr>
        <w:t>、进一步强化社会管理职能，加强辖区内的社会治安综合管理。建立村、企业及单位治安综合治理网络，实行群防群治。</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r>
        <w:rPr>
          <w:rFonts w:ascii="Times New Roman" w:cs="Times New Roman" w:hAnsi="Times New Roman" w:hint="eastAsia"/>
          <w:sz w:val="32"/>
          <w:szCs w:val="32"/>
          <w:shd w:val="clear" w:color="auto" w:fill="FFFFFF"/>
          <w:lang w:val="zh-CN" w:eastAsia="zh-CN"/>
        </w:rPr>
        <w:t>5</w:t>
      </w:r>
      <w:r>
        <w:rPr>
          <w:rFonts w:ascii="Times New Roman" w:cs="Times New Roman" w:hAnsi="Times New Roman" w:hint="eastAsia"/>
          <w:sz w:val="32"/>
          <w:szCs w:val="32"/>
          <w:shd w:val="clear" w:color="auto" w:fill="FFFFFF"/>
          <w:lang w:val="zh-CN"/>
        </w:rPr>
        <w:t>、进一步加强基层组织管理，加强基层领导班子、干部队伍和党员队伍的建设。</w:t>
      </w:r>
    </w:p>
    <w:p>
      <w:pPr>
        <w:pStyle w:val="16"/>
        <w:pageBreakBefore w:val="0"/>
        <w:widowControl w:val="0"/>
        <w:kinsoku/>
        <w:wordWrap/>
        <w:overflowPunct/>
        <w:topLinePunct w:val="0"/>
        <w:bidi w:val="0"/>
        <w:spacing w:beforeLines="0" w:before="93" w:line="576" w:lineRule="exact"/>
        <w:ind w:firstLineChars="200" w:firstLine="640"/>
        <w:rPr>
          <w:rFonts w:ascii="仿宋_GB2312" w:eastAsia="仿宋_GB2312" w:cs="Times New Roman" w:hint="eastAsia"/>
          <w:kern w:val="2"/>
          <w:sz w:val="32"/>
          <w:szCs w:val="32"/>
          <w:lang w:val="zh-CN" w:eastAsia="zh-CN" w:bidi="ar-SA"/>
        </w:rPr>
      </w:pPr>
      <w:r>
        <w:rPr>
          <w:rFonts w:ascii="Times New Roman" w:cs="Times New Roman" w:hAnsi="Times New Roman" w:hint="eastAsia"/>
          <w:b/>
          <w:bCs/>
          <w:sz w:val="32"/>
          <w:szCs w:val="32"/>
          <w:shd w:val="clear" w:color="auto" w:fill="FFFFFF"/>
          <w:lang w:val="zh-CN" w:eastAsia="zh-CN"/>
        </w:rPr>
        <w:t>（三）人员概况</w:t>
      </w:r>
      <w:r>
        <w:rPr>
          <w:rFonts w:ascii="Times New Roman" w:cs="Times New Roman" w:hAnsi="Times New Roman" w:hint="eastAsia"/>
          <w:b/>
          <w:bCs/>
          <w:sz w:val="32"/>
          <w:szCs w:val="32"/>
          <w:shd w:val="clear" w:color="auto" w:fill="FFFFFF"/>
          <w:lang w:val="zh-CN"/>
        </w:rPr>
        <w:t>：</w:t>
      </w:r>
      <w:r>
        <w:rPr>
          <w:rFonts w:ascii="Times New Roman" w:cs="Times New Roman" w:hAnsi="Times New Roman" w:hint="eastAsia"/>
          <w:sz w:val="32"/>
          <w:szCs w:val="32"/>
          <w:shd w:val="clear" w:color="auto" w:fill="FFFFFF"/>
          <w:lang w:val="zh-CN"/>
        </w:rPr>
        <w:t> </w:t>
      </w:r>
      <w:r>
        <w:rPr>
          <w:rFonts w:ascii="仿宋_GB2312" w:eastAsia="仿宋_GB2312" w:cs="Times New Roman" w:hint="eastAsia"/>
          <w:kern w:val="2"/>
          <w:sz w:val="32"/>
          <w:szCs w:val="32"/>
          <w:lang w:val="zh-CN" w:eastAsia="zh-CN" w:bidi="ar-SA"/>
        </w:rPr>
        <w:t>202</w:t>
      </w:r>
      <w:r>
        <w:rPr>
          <w:rFonts w:ascii="仿宋_GB2312" w:eastAsia="仿宋_GB2312" w:cs="Times New Roman" w:hint="eastAsia"/>
          <w:kern w:val="2"/>
          <w:sz w:val="32"/>
          <w:szCs w:val="32"/>
          <w:lang w:val="en-US" w:eastAsia="zh-CN" w:bidi="ar-SA"/>
        </w:rPr>
        <w:t>2</w:t>
      </w:r>
      <w:r>
        <w:rPr>
          <w:rFonts w:ascii="仿宋_GB2312" w:eastAsia="仿宋_GB2312" w:cs="Times New Roman" w:hint="eastAsia"/>
          <w:kern w:val="2"/>
          <w:sz w:val="32"/>
          <w:szCs w:val="32"/>
          <w:lang w:val="zh-CN" w:eastAsia="zh-CN" w:bidi="ar-SA"/>
        </w:rPr>
        <w:t>年年初在职2</w:t>
      </w:r>
      <w:r>
        <w:rPr>
          <w:rFonts w:ascii="仿宋_GB2312" w:eastAsia="仿宋_GB2312" w:cs="Times New Roman" w:hint="eastAsia"/>
          <w:kern w:val="2"/>
          <w:sz w:val="32"/>
          <w:szCs w:val="32"/>
          <w:lang w:val="en-US" w:eastAsia="zh-CN" w:bidi="ar-SA"/>
        </w:rPr>
        <w:t>8</w:t>
      </w:r>
      <w:r>
        <w:rPr>
          <w:rFonts w:ascii="仿宋_GB2312" w:eastAsia="仿宋_GB2312" w:cs="Times New Roman" w:hint="eastAsia"/>
          <w:kern w:val="2"/>
          <w:sz w:val="32"/>
          <w:szCs w:val="32"/>
          <w:lang w:val="zh-CN" w:eastAsia="zh-CN" w:bidi="ar-SA"/>
        </w:rPr>
        <w:t>人（行政人员17人,行政工勤1人。事业管理3人，专业技术人员3人，事业工勤1人）。202</w:t>
      </w:r>
      <w:r>
        <w:rPr>
          <w:rFonts w:ascii="仿宋_GB2312" w:eastAsia="仿宋_GB2312" w:cs="Times New Roman" w:hint="eastAsia"/>
          <w:kern w:val="2"/>
          <w:sz w:val="32"/>
          <w:szCs w:val="32"/>
          <w:lang w:val="en-US" w:eastAsia="zh-CN" w:bidi="ar-SA"/>
        </w:rPr>
        <w:t>2</w:t>
      </w:r>
      <w:r>
        <w:rPr>
          <w:rFonts w:ascii="仿宋_GB2312" w:eastAsia="仿宋_GB2312" w:cs="Times New Roman" w:hint="eastAsia"/>
          <w:kern w:val="2"/>
          <w:sz w:val="32"/>
          <w:szCs w:val="32"/>
          <w:lang w:val="zh-CN" w:eastAsia="zh-CN" w:bidi="ar-SA"/>
        </w:rPr>
        <w:t>年年末在职2</w:t>
      </w:r>
      <w:r>
        <w:rPr>
          <w:rFonts w:ascii="仿宋_GB2312" w:eastAsia="仿宋_GB2312" w:cs="Times New Roman" w:hint="eastAsia"/>
          <w:kern w:val="2"/>
          <w:sz w:val="32"/>
          <w:szCs w:val="32"/>
          <w:lang w:val="en-US" w:eastAsia="zh-CN" w:bidi="ar-SA"/>
        </w:rPr>
        <w:t>9</w:t>
      </w:r>
      <w:r>
        <w:rPr>
          <w:rFonts w:ascii="仿宋_GB2312" w:eastAsia="仿宋_GB2312" w:cs="Times New Roman" w:hint="eastAsia"/>
          <w:kern w:val="2"/>
          <w:sz w:val="32"/>
          <w:szCs w:val="32"/>
          <w:lang w:val="zh-CN" w:eastAsia="zh-CN" w:bidi="ar-SA"/>
        </w:rPr>
        <w:t>人（行政人员17人,行政工勤1人。事业管理3人，专业技术人员6人，事业工勤1人）。</w:t>
      </w:r>
    </w:p>
    <w:p>
      <w:pPr>
        <w:pStyle w:val="16"/>
        <w:pageBreakBefore w:val="0"/>
        <w:widowControl w:val="0"/>
        <w:kinsoku/>
        <w:wordWrap/>
        <w:overflowPunct/>
        <w:topLinePunct w:val="0"/>
        <w:bidi w:val="0"/>
        <w:spacing w:beforeLines="0" w:before="93" w:line="576" w:lineRule="exact"/>
        <w:rPr>
          <w:rFonts w:ascii="Times New Roman" w:cs="Times New Roman" w:hAnsi="Times New Roman"/>
          <w:b/>
          <w:bCs/>
          <w:sz w:val="32"/>
          <w:szCs w:val="32"/>
          <w:shd w:val="clear" w:color="auto" w:fill="FFFFFF"/>
          <w:lang w:val="zh-CN"/>
        </w:rPr>
      </w:pPr>
      <w:r>
        <w:rPr>
          <w:rFonts w:ascii="Times New Roman" w:cs="Times New Roman" w:hAnsi="Times New Roman" w:hint="eastAsia"/>
          <w:b/>
          <w:bCs/>
          <w:sz w:val="32"/>
          <w:szCs w:val="32"/>
          <w:shd w:val="clear" w:color="auto" w:fill="FFFFFF"/>
          <w:lang w:val="zh-CN"/>
        </w:rPr>
        <w:t>二、部门财政资金收支情况</w:t>
      </w:r>
    </w:p>
    <w:p>
      <w:pPr>
        <w:pStyle w:val="22"/>
        <w:keepNext w:val="0"/>
        <w:keepLines w:val="0"/>
        <w:widowControl/>
        <w:suppressLineNumbers w:val="0"/>
        <w:ind w:left="0" w:right="75" w:firstLineChars="200" w:firstLine="640"/>
        <w:rPr>
          <w:rFonts w:ascii="Times New Roman" w:eastAsia="仿宋_GB2312" w:cs="Times New Roman" w:hAnsi="Times New Roman"/>
          <w:sz w:val="32"/>
          <w:szCs w:val="32"/>
          <w:lang w:val="en-US" w:eastAsia="zh-CN"/>
        </w:rPr>
      </w:pPr>
      <w:r>
        <w:rPr>
          <w:rFonts w:ascii="Times New Roman" w:cs="Times New Roman" w:hAnsi="Times New Roman" w:hint="eastAsia"/>
          <w:b/>
          <w:bCs/>
          <w:sz w:val="32"/>
          <w:szCs w:val="32"/>
          <w:shd w:val="clear" w:color="auto" w:fill="FFFFFF"/>
          <w:lang w:val="zh-CN" w:eastAsia="zh-CN"/>
        </w:rPr>
        <w:t>（一）部门财政资金收入情况：</w:t>
      </w:r>
      <w:r>
        <w:rPr>
          <w:rFonts w:ascii="Times New Roman" w:eastAsia="仿宋_GB2312" w:cs="Times New Roman" w:hAnsi="Times New Roman" w:hint="eastAsia"/>
          <w:sz w:val="32"/>
          <w:szCs w:val="32"/>
          <w:lang w:val="zh-CN" w:eastAsia="zh-CN"/>
        </w:rPr>
        <w:t>202</w:t>
      </w:r>
      <w:r>
        <w:rPr>
          <w:rFonts w:ascii="Times New Roman" w:eastAsia="仿宋_GB2312" w:cs="Times New Roman" w:hAnsi="Times New Roman" w:hint="eastAsia"/>
          <w:sz w:val="32"/>
          <w:szCs w:val="32"/>
          <w:lang w:val="en-US" w:eastAsia="zh-CN"/>
        </w:rPr>
        <w:t>2</w:t>
      </w:r>
      <w:r>
        <w:rPr>
          <w:rFonts w:ascii="Times New Roman" w:eastAsia="仿宋_GB2312" w:cs="Times New Roman" w:hAnsi="Times New Roman" w:hint="eastAsia"/>
          <w:sz w:val="32"/>
          <w:szCs w:val="32"/>
          <w:lang w:val="zh-CN" w:eastAsia="zh-CN"/>
        </w:rPr>
        <w:t>年度我乡总收入</w:t>
      </w:r>
      <w:r>
        <w:rPr>
          <w:rFonts w:ascii="Times New Roman" w:eastAsia="仿宋_GB2312" w:cs="Times New Roman" w:hAnsi="Times New Roman" w:hint="eastAsia"/>
          <w:sz w:val="32"/>
          <w:szCs w:val="32"/>
          <w:lang w:val="en-US" w:eastAsia="zh-CN"/>
        </w:rPr>
        <w:t>949.61</w:t>
      </w:r>
      <w:r>
        <w:rPr>
          <w:rFonts w:ascii="Times New Roman" w:eastAsia="仿宋_GB2312" w:cs="Times New Roman" w:hAnsi="Times New Roman" w:hint="eastAsia"/>
          <w:sz w:val="32"/>
          <w:szCs w:val="32"/>
          <w:lang w:val="zh-CN" w:eastAsia="zh-CN"/>
        </w:rPr>
        <w:t>万元，较上年收入增加</w:t>
      </w:r>
      <w:r>
        <w:rPr>
          <w:rFonts w:ascii="Times New Roman" w:eastAsia="仿宋_GB2312" w:cs="Times New Roman" w:hAnsi="Times New Roman" w:hint="eastAsia"/>
          <w:sz w:val="32"/>
          <w:szCs w:val="32"/>
          <w:lang w:val="en-US" w:eastAsia="zh-CN"/>
        </w:rPr>
        <w:t>87.9</w:t>
      </w:r>
      <w:r>
        <w:rPr>
          <w:rFonts w:ascii="Times New Roman" w:eastAsia="仿宋_GB2312" w:cs="Times New Roman" w:hAnsi="Times New Roman" w:hint="eastAsia"/>
          <w:sz w:val="32"/>
          <w:szCs w:val="32"/>
          <w:lang w:val="zh-CN" w:eastAsia="zh-CN"/>
        </w:rPr>
        <w:t>万元，增加</w:t>
      </w:r>
      <w:r>
        <w:rPr>
          <w:rFonts w:ascii="Times New Roman" w:eastAsia="仿宋_GB2312" w:cs="Times New Roman" w:hAnsi="Times New Roman" w:hint="eastAsia"/>
          <w:sz w:val="32"/>
          <w:szCs w:val="32"/>
          <w:lang w:val="en-US" w:eastAsia="zh-CN"/>
        </w:rPr>
        <w:t>10.21</w:t>
      </w:r>
      <w:r>
        <w:rPr>
          <w:rFonts w:ascii="Times New Roman" w:eastAsia="仿宋_GB2312" w:cs="Times New Roman" w:hAnsi="Times New Roman" w:hint="eastAsia"/>
          <w:sz w:val="32"/>
          <w:szCs w:val="32"/>
          <w:lang w:val="zh-CN" w:eastAsia="zh-CN"/>
        </w:rPr>
        <w:t>%。增加的主要原因是</w:t>
      </w:r>
      <w:r>
        <w:rPr>
          <w:rFonts w:ascii="Times New Roman" w:eastAsia="仿宋_GB2312" w:cs="Times New Roman" w:hAnsi="Times New Roman" w:hint="eastAsia"/>
          <w:sz w:val="32"/>
          <w:szCs w:val="32"/>
          <w:lang w:val="en-US" w:eastAsia="zh-CN"/>
        </w:rPr>
        <w:t>本年度工</w:t>
      </w:r>
      <w:r>
        <w:rPr>
          <w:rFonts w:ascii="仿宋_GB2312" w:eastAsia="仿宋_GB2312" w:cs="Times New Roman" w:hint="eastAsia"/>
          <w:kern w:val="2"/>
          <w:sz w:val="32"/>
          <w:szCs w:val="32"/>
          <w:lang w:val="en-US" w:eastAsia="zh-CN" w:bidi="ar-SA"/>
        </w:rPr>
        <w:t>资规范人员及公务经费增加、</w:t>
      </w:r>
      <w:r>
        <w:rPr>
          <w:rFonts w:ascii="Times New Roman" w:eastAsia="仿宋_GB2312" w:cs="Times New Roman" w:hAnsi="Times New Roman" w:hint="eastAsia"/>
          <w:sz w:val="32"/>
          <w:szCs w:val="32"/>
          <w:lang w:val="en-US" w:eastAsia="zh-CN"/>
        </w:rPr>
        <w:t>灾后重建</w:t>
      </w:r>
      <w:r>
        <w:rPr>
          <w:rFonts w:ascii="Times New Roman" w:eastAsia="仿宋_GB2312" w:cs="Times New Roman" w:hAnsi="Times New Roman"/>
          <w:sz w:val="32"/>
          <w:szCs w:val="32"/>
        </w:rPr>
        <w:t>专项工程进度款缴上年增加较大，</w:t>
      </w:r>
      <w:r>
        <w:rPr>
          <w:rFonts w:ascii="Times New Roman" w:eastAsia="仿宋_GB2312" w:cs="Times New Roman" w:hAnsi="Times New Roman"/>
          <w:color w:val="000000"/>
          <w:sz w:val="32"/>
          <w:szCs w:val="32"/>
          <w:lang w:eastAsia="zh-CN"/>
        </w:rPr>
        <w:t>按照项目实施进度，当年支付部分项目进度款及尾款</w:t>
      </w:r>
      <w:r>
        <w:rPr>
          <w:rFonts w:ascii="Times New Roman" w:eastAsia="仿宋_GB2312" w:cs="Times New Roman" w:hAnsi="Times New Roman"/>
          <w:color w:val="000000"/>
          <w:sz w:val="32"/>
          <w:szCs w:val="32"/>
          <w:lang w:val="en-US" w:eastAsia="zh-CN"/>
        </w:rPr>
        <w:t>。</w:t>
      </w:r>
    </w:p>
    <w:p>
      <w:pPr>
        <w:pStyle w:val="16"/>
        <w:pageBreakBefore w:val="0"/>
        <w:widowControl w:val="0"/>
        <w:kinsoku/>
        <w:wordWrap/>
        <w:overflowPunct/>
        <w:topLinePunct w:val="0"/>
        <w:bidi w:val="0"/>
        <w:spacing w:beforeLines="0" w:before="93" w:line="576" w:lineRule="exact"/>
        <w:ind w:firstLineChars="200" w:firstLine="640"/>
        <w:rPr>
          <w:rFonts w:ascii="Times New Roman" w:eastAsia="仿宋_GB2312" w:cs="Times New Roman" w:hAnsi="Times New Roman" w:hint="eastAsia"/>
          <w:kern w:val="0"/>
          <w:sz w:val="32"/>
          <w:szCs w:val="32"/>
          <w:lang w:val="zh-CN" w:eastAsia="zh-CN"/>
        </w:rPr>
      </w:pPr>
      <w:r>
        <w:rPr>
          <w:rFonts w:ascii="Times New Roman" w:cs="Times New Roman" w:hAnsi="Times New Roman" w:hint="eastAsia"/>
          <w:b/>
          <w:bCs/>
          <w:sz w:val="32"/>
          <w:szCs w:val="32"/>
          <w:shd w:val="clear" w:color="auto" w:fill="FFFFFF"/>
          <w:lang w:val="zh-CN" w:eastAsia="zh-CN"/>
        </w:rPr>
        <w:t>（二）部门财政资金支出情况：</w:t>
      </w:r>
      <w:r>
        <w:rPr>
          <w:rFonts w:ascii="Times New Roman" w:eastAsia="仿宋_GB2312" w:cs="Times New Roman" w:hAnsi="Times New Roman" w:hint="eastAsia"/>
          <w:kern w:val="0"/>
          <w:sz w:val="32"/>
          <w:szCs w:val="32"/>
          <w:lang w:val="zh-CN" w:eastAsia="zh-CN"/>
        </w:rPr>
        <w:t>202</w:t>
      </w:r>
      <w:r>
        <w:rPr>
          <w:rFonts w:ascii="Times New Roman" w:cs="Times New Roman" w:hAnsi="Times New Roman" w:hint="eastAsia"/>
          <w:kern w:val="0"/>
          <w:sz w:val="32"/>
          <w:szCs w:val="32"/>
          <w:lang w:val="en-US" w:eastAsia="zh-CN"/>
        </w:rPr>
        <w:t>2</w:t>
      </w:r>
      <w:r>
        <w:rPr>
          <w:rFonts w:ascii="Times New Roman" w:eastAsia="仿宋_GB2312" w:cs="Times New Roman" w:hAnsi="Times New Roman" w:hint="eastAsia"/>
          <w:kern w:val="0"/>
          <w:sz w:val="32"/>
          <w:szCs w:val="32"/>
          <w:lang w:val="zh-CN" w:eastAsia="zh-CN"/>
        </w:rPr>
        <w:t>年我乡总支出</w:t>
      </w:r>
      <w:r>
        <w:rPr>
          <w:rFonts w:ascii="Times New Roman" w:eastAsia="仿宋_GB2312" w:cs="Times New Roman" w:hAnsi="Times New Roman" w:hint="eastAsia"/>
          <w:kern w:val="0"/>
          <w:sz w:val="32"/>
          <w:szCs w:val="32"/>
          <w:lang w:val="en-US" w:eastAsia="zh-CN"/>
        </w:rPr>
        <w:t>949.61</w:t>
      </w:r>
      <w:r>
        <w:rPr>
          <w:rFonts w:ascii="Times New Roman" w:eastAsia="仿宋_GB2312" w:cs="Times New Roman" w:hAnsi="Times New Roman" w:hint="eastAsia"/>
          <w:kern w:val="0"/>
          <w:sz w:val="32"/>
          <w:szCs w:val="32"/>
          <w:lang w:val="zh-CN" w:eastAsia="zh-CN"/>
        </w:rPr>
        <w:t>万元，较上年支出增加</w:t>
      </w:r>
      <w:r>
        <w:rPr>
          <w:rFonts w:ascii="Times New Roman" w:cs="Times New Roman" w:hAnsi="Times New Roman" w:hint="eastAsia"/>
          <w:kern w:val="0"/>
          <w:sz w:val="32"/>
          <w:szCs w:val="32"/>
          <w:lang w:val="en-US" w:eastAsia="zh-CN"/>
        </w:rPr>
        <w:t>87.9</w:t>
      </w:r>
      <w:r>
        <w:rPr>
          <w:rFonts w:ascii="Times New Roman" w:eastAsia="仿宋_GB2312" w:cs="Times New Roman" w:hAnsi="Times New Roman" w:hint="eastAsia"/>
          <w:kern w:val="0"/>
          <w:sz w:val="32"/>
          <w:szCs w:val="32"/>
          <w:lang w:val="zh-CN" w:eastAsia="zh-CN"/>
        </w:rPr>
        <w:t>万元，增加</w:t>
      </w:r>
      <w:r>
        <w:rPr>
          <w:rFonts w:ascii="Times New Roman" w:cs="Times New Roman" w:hAnsi="Times New Roman" w:hint="eastAsia"/>
          <w:kern w:val="0"/>
          <w:sz w:val="32"/>
          <w:szCs w:val="32"/>
          <w:lang w:val="en-US" w:eastAsia="zh-CN"/>
        </w:rPr>
        <w:t>10.21</w:t>
      </w:r>
      <w:r>
        <w:rPr>
          <w:rFonts w:ascii="Times New Roman" w:eastAsia="仿宋_GB2312" w:cs="Times New Roman" w:hAnsi="Times New Roman" w:hint="eastAsia"/>
          <w:kern w:val="0"/>
          <w:sz w:val="32"/>
          <w:szCs w:val="32"/>
          <w:lang w:val="zh-CN" w:eastAsia="zh-CN"/>
        </w:rPr>
        <w:t>%。主要原因一是当年部门预算安排项目经费较上年有所增加；二是202</w:t>
      </w:r>
      <w:r>
        <w:rPr>
          <w:rFonts w:ascii="Times New Roman" w:cs="Times New Roman" w:hAnsi="Times New Roman" w:hint="eastAsia"/>
          <w:kern w:val="0"/>
          <w:sz w:val="32"/>
          <w:szCs w:val="32"/>
          <w:lang w:val="en-US" w:eastAsia="zh-CN"/>
        </w:rPr>
        <w:t>2</w:t>
      </w:r>
      <w:r>
        <w:rPr>
          <w:rFonts w:ascii="Times New Roman" w:eastAsia="仿宋_GB2312" w:cs="Times New Roman" w:hAnsi="Times New Roman" w:hint="eastAsia"/>
          <w:kern w:val="0"/>
          <w:sz w:val="32"/>
          <w:szCs w:val="32"/>
          <w:lang w:val="zh-CN" w:eastAsia="zh-CN"/>
        </w:rPr>
        <w:t>年支出包含了当年拨入的项目资金。其中：人员经费</w:t>
      </w:r>
      <w:r>
        <w:rPr>
          <w:rFonts w:ascii="Times New Roman" w:cs="Times New Roman" w:hAnsi="Times New Roman" w:hint="eastAsia"/>
          <w:kern w:val="0"/>
          <w:sz w:val="32"/>
          <w:szCs w:val="32"/>
          <w:lang w:val="en-US" w:eastAsia="zh-CN"/>
        </w:rPr>
        <w:t>564.19</w:t>
      </w:r>
      <w:r>
        <w:rPr>
          <w:rFonts w:ascii="Times New Roman" w:eastAsia="仿宋_GB2312" w:cs="Times New Roman" w:hAnsi="Times New Roman" w:hint="eastAsia"/>
          <w:kern w:val="0"/>
          <w:sz w:val="32"/>
          <w:szCs w:val="32"/>
          <w:lang w:val="zh-CN" w:eastAsia="zh-CN"/>
        </w:rPr>
        <w:t>万元，主要包括：基本工资92.84万元、津贴补贴139.64万元、奖金7.07万元、伙食补助费0万元、绩效工资30.93万元，机关事业单位基本养老保险缴费37.38万元、职业年金缴费18.45万元、职工基本医疗保险缴费19.9万元、公务员医疗补助缴费5.87万元、其他社会保障缴费3.62万元、其他工资福利支出0万元、生活补助0.35万元、抚恤金0万元、住房公积金40.6万元、其他对个人和家庭的补助支出0万元、奖励金92.78万元等。</w:t>
      </w:r>
    </w:p>
    <w:p>
      <w:pPr>
        <w:pStyle w:val="16"/>
        <w:pageBreakBefore w:val="0"/>
        <w:widowControl w:val="0"/>
        <w:kinsoku/>
        <w:wordWrap/>
        <w:overflowPunct/>
        <w:topLinePunct w:val="0"/>
        <w:bidi w:val="0"/>
        <w:spacing w:beforeLines="0" w:before="93" w:line="576" w:lineRule="exact"/>
        <w:ind w:firstLineChars="200" w:firstLine="640"/>
        <w:rPr>
          <w:rFonts w:ascii="Times New Roman" w:eastAsia="仿宋_GB2312" w:cs="Times New Roman" w:hAnsi="Times New Roman" w:hint="eastAsia"/>
          <w:kern w:val="0"/>
          <w:sz w:val="32"/>
          <w:szCs w:val="32"/>
          <w:lang w:val="zh-CN" w:eastAsia="zh-CN"/>
        </w:rPr>
      </w:pPr>
      <w:r>
        <w:rPr>
          <w:rFonts w:ascii="Times New Roman" w:eastAsia="仿宋_GB2312" w:cs="Times New Roman" w:hAnsi="Times New Roman" w:hint="eastAsia"/>
          <w:kern w:val="0"/>
          <w:sz w:val="32"/>
          <w:szCs w:val="32"/>
          <w:lang w:val="zh-CN" w:eastAsia="zh-CN"/>
        </w:rPr>
        <w:t>公用经费</w:t>
      </w:r>
      <w:r>
        <w:rPr>
          <w:rFonts w:ascii="Times New Roman" w:cs="Times New Roman" w:hAnsi="Times New Roman" w:hint="eastAsia"/>
          <w:kern w:val="0"/>
          <w:sz w:val="32"/>
          <w:szCs w:val="32"/>
          <w:lang w:val="en-US" w:eastAsia="zh-CN"/>
        </w:rPr>
        <w:t>32.72</w:t>
      </w:r>
      <w:r>
        <w:rPr>
          <w:rFonts w:ascii="Times New Roman" w:eastAsia="仿宋_GB2312" w:cs="Times New Roman" w:hAnsi="Times New Roman" w:hint="eastAsia"/>
          <w:kern w:val="0"/>
          <w:sz w:val="32"/>
          <w:szCs w:val="32"/>
          <w:lang w:val="zh-CN" w:eastAsia="zh-CN"/>
        </w:rPr>
        <w:t>万元，主要包括：办公费11.25万元、印刷费5万元、手续费0.09万元、水费0万元、电费1.15万元、邮电费2万元、取暖费1万元、物业管理费0万元、差旅费2.99万元、因公出国（境）费用0万元、维修（护）费0万元、租赁费0万元、会议费0万元、培训费0万元、公务接待费0万元、劳务费3万元、福利费0万元、公务用车运行维护费5.5万元、其他交通费2.2元、其他商品和服务支出0万元、办公设备购置0万元、无形资产购置0万元等。</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b/>
          <w:bCs/>
          <w:sz w:val="32"/>
          <w:szCs w:val="32"/>
          <w:shd w:val="clear" w:color="auto" w:fill="FFFFFF"/>
          <w:lang w:val="zh-CN"/>
        </w:rPr>
      </w:pPr>
      <w:r>
        <w:rPr>
          <w:rFonts w:ascii="Times New Roman" w:cs="Times New Roman" w:hAnsi="Times New Roman" w:hint="eastAsia"/>
          <w:b/>
          <w:bCs/>
          <w:sz w:val="32"/>
          <w:szCs w:val="32"/>
          <w:shd w:val="clear" w:color="auto" w:fill="FFFFFF"/>
          <w:lang w:val="en-US" w:eastAsia="zh-CN"/>
        </w:rPr>
        <w:t>三、</w:t>
      </w:r>
      <w:r>
        <w:rPr>
          <w:rFonts w:ascii="Times New Roman" w:cs="Times New Roman" w:hAnsi="Times New Roman" w:hint="eastAsia"/>
          <w:b/>
          <w:bCs/>
          <w:sz w:val="32"/>
          <w:szCs w:val="32"/>
          <w:shd w:val="clear" w:color="auto" w:fill="FFFFFF"/>
          <w:lang w:val="zh-CN"/>
        </w:rPr>
        <w:t>部门整体预算绩效管理情况</w:t>
      </w:r>
    </w:p>
    <w:p>
      <w:pPr>
        <w:pStyle w:val="16"/>
        <w:pageBreakBefore w:val="0"/>
        <w:widowControl w:val="0"/>
        <w:kinsoku/>
        <w:wordWrap/>
        <w:overflowPunct/>
        <w:topLinePunct w:val="0"/>
        <w:bidi w:val="0"/>
        <w:spacing w:beforeLines="0" w:before="93" w:line="576" w:lineRule="exact"/>
        <w:rPr>
          <w:rFonts w:ascii="Times New Roman" w:cs="Times New Roman" w:hAnsi="Times New Roman"/>
          <w:b/>
          <w:bCs/>
          <w:sz w:val="32"/>
          <w:szCs w:val="32"/>
          <w:shd w:val="clear" w:color="auto" w:fill="FFFFFF"/>
          <w:lang w:val="zh-CN"/>
        </w:rPr>
      </w:pPr>
      <w:r>
        <w:rPr>
          <w:rFonts w:ascii="Times New Roman" w:cs="Times New Roman" w:hAnsi="Times New Roman" w:hint="eastAsia"/>
          <w:b/>
          <w:bCs/>
          <w:sz w:val="32"/>
          <w:szCs w:val="32"/>
          <w:shd w:val="clear" w:color="auto" w:fill="FFFFFF"/>
          <w:lang w:val="zh-CN"/>
        </w:rPr>
        <w:t>（一）部门预算管理。</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eastAsia="zh-CN"/>
        </w:rPr>
      </w:pPr>
      <w:r>
        <w:rPr>
          <w:rFonts w:ascii="Times New Roman" w:cs="Times New Roman" w:hAnsi="Times New Roman" w:hint="eastAsia"/>
          <w:sz w:val="32"/>
          <w:szCs w:val="32"/>
          <w:shd w:val="clear" w:color="auto" w:fill="FFFFFF"/>
          <w:lang w:val="zh-CN" w:eastAsia="zh-CN"/>
        </w:rPr>
        <w:t>本单位严格按照县级部门预算编制通知和有关要求，按时完成基础库、项目库报送工作，按时完成202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eastAsia="zh-CN"/>
        </w:rPr>
        <w:t>年预算编制工作，并按时提交部门预算草案。预算编制全面、科学。202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eastAsia="zh-CN"/>
        </w:rPr>
        <w:t>年实际支出和部门决算一致，绩效目标填报及年末结余结转都是严格按照县财政局的要求认真完成，不存在违规违纪使用资金的情况并按时完成2022年预算编制工作，及时提交了部门预算草案。</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b/>
          <w:bCs/>
          <w:sz w:val="32"/>
          <w:szCs w:val="32"/>
          <w:shd w:val="clear" w:color="auto" w:fill="FFFFFF"/>
          <w:lang w:val="zh-CN"/>
        </w:rPr>
      </w:pPr>
      <w:bookmarkStart w:id="6" w:name="_Toc22499"/>
      <w:r>
        <w:rPr>
          <w:rFonts w:ascii="Times New Roman" w:cs="Times New Roman" w:hAnsi="Times New Roman" w:hint="eastAsia"/>
          <w:b/>
          <w:bCs/>
          <w:sz w:val="32"/>
          <w:szCs w:val="32"/>
          <w:shd w:val="clear" w:color="auto" w:fill="FFFFFF"/>
          <w:lang w:val="zh-CN"/>
        </w:rPr>
        <w:t>（二）执行管理情况</w:t>
      </w:r>
      <w:bookmarkEnd w:id="6"/>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eastAsia="zh-CN"/>
        </w:rPr>
      </w:pPr>
      <w:r>
        <w:rPr>
          <w:rFonts w:ascii="Times New Roman" w:cs="Times New Roman" w:hAnsi="Times New Roman" w:hint="eastAsia"/>
          <w:sz w:val="32"/>
          <w:szCs w:val="32"/>
          <w:shd w:val="clear" w:color="auto" w:fill="FFFFFF"/>
          <w:lang w:val="zh-CN"/>
        </w:rPr>
        <w:t>20</w:t>
      </w:r>
      <w:r>
        <w:rPr>
          <w:rFonts w:ascii="Times New Roman" w:cs="Times New Roman" w:hAnsi="Times New Roman" w:hint="eastAsia"/>
          <w:sz w:val="32"/>
          <w:szCs w:val="32"/>
          <w:shd w:val="clear" w:color="auto" w:fill="FFFFFF"/>
          <w:lang w:val="zh-CN" w:eastAsia="zh-CN"/>
        </w:rPr>
        <w:t>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rPr>
        <w:t>年“三公”经费财政拨款支出决算为</w:t>
      </w:r>
      <w:r>
        <w:rPr>
          <w:rFonts w:ascii="Times New Roman" w:cs="Times New Roman" w:hAnsi="Times New Roman" w:hint="eastAsia"/>
          <w:sz w:val="32"/>
          <w:szCs w:val="32"/>
          <w:shd w:val="clear" w:color="auto" w:fill="FFFFFF"/>
          <w:lang w:val="zh-CN" w:eastAsia="zh-CN"/>
        </w:rPr>
        <w:t>5.5</w:t>
      </w:r>
      <w:r>
        <w:rPr>
          <w:rFonts w:ascii="Times New Roman" w:cs="Times New Roman" w:hAnsi="Times New Roman" w:hint="eastAsia"/>
          <w:sz w:val="32"/>
          <w:szCs w:val="32"/>
          <w:shd w:val="clear" w:color="auto" w:fill="FFFFFF"/>
          <w:lang w:val="zh-CN"/>
        </w:rPr>
        <w:t>万元，完成预算</w:t>
      </w:r>
      <w:r>
        <w:rPr>
          <w:rFonts w:ascii="Times New Roman" w:cs="Times New Roman" w:hAnsi="Times New Roman" w:hint="eastAsia"/>
          <w:sz w:val="32"/>
          <w:szCs w:val="32"/>
          <w:shd w:val="clear" w:color="auto" w:fill="FFFFFF"/>
          <w:lang w:val="zh-CN" w:eastAsia="zh-CN"/>
        </w:rPr>
        <w:t>100</w:t>
      </w:r>
      <w:r>
        <w:rPr>
          <w:rFonts w:ascii="Times New Roman" w:cs="Times New Roman" w:hAnsi="Times New Roman" w:hint="eastAsia"/>
          <w:sz w:val="32"/>
          <w:szCs w:val="32"/>
          <w:shd w:val="clear" w:color="auto" w:fill="FFFFFF"/>
          <w:lang w:val="zh-CN"/>
        </w:rPr>
        <w:t>%。</w:t>
      </w:r>
      <w:r>
        <w:rPr>
          <w:rFonts w:ascii="Times New Roman" w:cs="Times New Roman" w:hAnsi="Times New Roman" w:hint="eastAsia"/>
          <w:sz w:val="32"/>
          <w:szCs w:val="32"/>
          <w:shd w:val="clear" w:color="auto" w:fill="FFFFFF"/>
          <w:lang w:val="zh-CN" w:eastAsia="zh-CN"/>
        </w:rPr>
        <w:t>其中：</w:t>
      </w:r>
      <w:r>
        <w:rPr>
          <w:rFonts w:ascii="Times New Roman" w:cs="Times New Roman" w:hAnsi="Times New Roman" w:hint="eastAsia"/>
          <w:sz w:val="32"/>
          <w:szCs w:val="32"/>
          <w:shd w:val="clear" w:color="auto" w:fill="FFFFFF"/>
          <w:lang w:val="zh-CN"/>
        </w:rPr>
        <w:t>因公出国（境）费支出决算</w:t>
      </w:r>
      <w:r>
        <w:rPr>
          <w:rFonts w:ascii="Times New Roman" w:cs="Times New Roman" w:hAnsi="Times New Roman" w:hint="eastAsia"/>
          <w:sz w:val="32"/>
          <w:szCs w:val="32"/>
          <w:shd w:val="clear" w:color="auto" w:fill="FFFFFF"/>
          <w:lang w:val="zh-CN" w:eastAsia="zh-CN"/>
        </w:rPr>
        <w:t>0</w:t>
      </w:r>
      <w:r>
        <w:rPr>
          <w:rFonts w:ascii="Times New Roman" w:cs="Times New Roman" w:hAnsi="Times New Roman" w:hint="eastAsia"/>
          <w:sz w:val="32"/>
          <w:szCs w:val="32"/>
          <w:shd w:val="clear" w:color="auto" w:fill="FFFFFF"/>
          <w:lang w:val="zh-CN"/>
        </w:rPr>
        <w:t>万元，占</w:t>
      </w:r>
      <w:r>
        <w:rPr>
          <w:rFonts w:ascii="Times New Roman" w:cs="Times New Roman" w:hAnsi="Times New Roman" w:hint="eastAsia"/>
          <w:sz w:val="32"/>
          <w:szCs w:val="32"/>
          <w:shd w:val="clear" w:color="auto" w:fill="FFFFFF"/>
          <w:lang w:val="zh-CN" w:eastAsia="zh-CN"/>
        </w:rPr>
        <w:t>0</w:t>
      </w:r>
      <w:r>
        <w:rPr>
          <w:rFonts w:ascii="Times New Roman" w:cs="Times New Roman" w:hAnsi="Times New Roman"/>
          <w:sz w:val="32"/>
          <w:szCs w:val="32"/>
          <w:shd w:val="clear" w:color="auto" w:fill="FFFFFF"/>
          <w:lang w:val="zh-CN"/>
        </w:rPr>
        <w:t>%</w:t>
      </w:r>
      <w:r>
        <w:rPr>
          <w:rFonts w:ascii="Times New Roman" w:cs="Times New Roman" w:hAnsi="Times New Roman" w:hint="eastAsia"/>
          <w:sz w:val="32"/>
          <w:szCs w:val="32"/>
          <w:shd w:val="clear" w:color="auto" w:fill="FFFFFF"/>
          <w:lang w:val="zh-CN"/>
        </w:rPr>
        <w:t>；公务用车购置及运行维护费支出决算</w:t>
      </w:r>
      <w:r>
        <w:rPr>
          <w:rFonts w:ascii="Times New Roman" w:cs="Times New Roman" w:hAnsi="Times New Roman" w:hint="eastAsia"/>
          <w:sz w:val="32"/>
          <w:szCs w:val="32"/>
          <w:shd w:val="clear" w:color="auto" w:fill="FFFFFF"/>
          <w:lang w:val="zh-CN" w:eastAsia="zh-CN"/>
        </w:rPr>
        <w:t>5.5</w:t>
      </w:r>
      <w:r>
        <w:rPr>
          <w:rFonts w:ascii="Times New Roman" w:cs="Times New Roman" w:hAnsi="Times New Roman" w:hint="eastAsia"/>
          <w:sz w:val="32"/>
          <w:szCs w:val="32"/>
          <w:shd w:val="clear" w:color="auto" w:fill="FFFFFF"/>
          <w:lang w:val="zh-CN"/>
        </w:rPr>
        <w:t>万元，占</w:t>
      </w:r>
      <w:r>
        <w:rPr>
          <w:rFonts w:ascii="Times New Roman" w:cs="Times New Roman" w:hAnsi="Times New Roman" w:hint="eastAsia"/>
          <w:sz w:val="32"/>
          <w:szCs w:val="32"/>
          <w:shd w:val="clear" w:color="auto" w:fill="FFFFFF"/>
          <w:lang w:val="zh-CN" w:eastAsia="zh-CN"/>
        </w:rPr>
        <w:t>100</w:t>
      </w:r>
      <w:r>
        <w:rPr>
          <w:rFonts w:ascii="Times New Roman" w:cs="Times New Roman" w:hAnsi="Times New Roman"/>
          <w:sz w:val="32"/>
          <w:szCs w:val="32"/>
          <w:shd w:val="clear" w:color="auto" w:fill="FFFFFF"/>
          <w:lang w:val="zh-CN"/>
        </w:rPr>
        <w:t>%</w:t>
      </w:r>
      <w:r>
        <w:rPr>
          <w:rFonts w:ascii="Times New Roman" w:cs="Times New Roman" w:hAnsi="Times New Roman" w:hint="eastAsia"/>
          <w:sz w:val="32"/>
          <w:szCs w:val="32"/>
          <w:shd w:val="clear" w:color="auto" w:fill="FFFFFF"/>
          <w:lang w:val="zh-CN"/>
        </w:rPr>
        <w:t>；公务接待费支出决算</w:t>
      </w:r>
      <w:r>
        <w:rPr>
          <w:rFonts w:ascii="Times New Roman" w:cs="Times New Roman" w:hAnsi="Times New Roman" w:hint="eastAsia"/>
          <w:sz w:val="32"/>
          <w:szCs w:val="32"/>
          <w:shd w:val="clear" w:color="auto" w:fill="FFFFFF"/>
          <w:lang w:val="zh-CN" w:eastAsia="zh-CN"/>
        </w:rPr>
        <w:t>0</w:t>
      </w:r>
      <w:r>
        <w:rPr>
          <w:rFonts w:ascii="Times New Roman" w:cs="Times New Roman" w:hAnsi="Times New Roman" w:hint="eastAsia"/>
          <w:sz w:val="32"/>
          <w:szCs w:val="32"/>
          <w:shd w:val="clear" w:color="auto" w:fill="FFFFFF"/>
          <w:lang w:val="zh-CN"/>
        </w:rPr>
        <w:t>万元，占</w:t>
      </w:r>
      <w:r>
        <w:rPr>
          <w:rFonts w:ascii="Times New Roman" w:cs="Times New Roman" w:hAnsi="Times New Roman" w:hint="eastAsia"/>
          <w:sz w:val="32"/>
          <w:szCs w:val="32"/>
          <w:shd w:val="clear" w:color="auto" w:fill="FFFFFF"/>
          <w:lang w:val="zh-CN" w:eastAsia="zh-CN"/>
        </w:rPr>
        <w:t>0</w:t>
      </w:r>
      <w:r>
        <w:rPr>
          <w:rFonts w:ascii="Times New Roman" w:cs="Times New Roman" w:hAnsi="Times New Roman"/>
          <w:sz w:val="32"/>
          <w:szCs w:val="32"/>
          <w:shd w:val="clear" w:color="auto" w:fill="FFFFFF"/>
          <w:lang w:val="zh-CN"/>
        </w:rPr>
        <w:t>%</w:t>
      </w:r>
      <w:r>
        <w:rPr>
          <w:rFonts w:ascii="Times New Roman" w:cs="Times New Roman" w:hAnsi="Times New Roman" w:hint="eastAsia"/>
          <w:sz w:val="32"/>
          <w:szCs w:val="32"/>
          <w:shd w:val="clear" w:color="auto" w:fill="FFFFFF"/>
          <w:lang w:val="zh-CN"/>
        </w:rPr>
        <w:t>。严格执行厉行节约的要求，认真贯彻落实中央八项规定及省委省政府十项规定要求，严格控制接待规模及接待标准。</w:t>
      </w:r>
    </w:p>
    <w:p>
      <w:pPr>
        <w:pStyle w:val="16"/>
        <w:pageBreakBefore w:val="0"/>
        <w:widowControl w:val="0"/>
        <w:kinsoku/>
        <w:wordWrap/>
        <w:overflowPunct/>
        <w:topLinePunct w:val="0"/>
        <w:bidi w:val="0"/>
        <w:spacing w:beforeLines="0" w:before="93" w:line="576" w:lineRule="exact"/>
        <w:rPr>
          <w:rFonts w:ascii="Times New Roman" w:cs="Times New Roman" w:hAnsi="Times New Roman" w:hint="eastAsia"/>
          <w:b/>
          <w:bCs/>
          <w:sz w:val="32"/>
          <w:szCs w:val="32"/>
          <w:shd w:val="clear" w:color="auto" w:fill="FFFFFF"/>
          <w:lang w:val="zh-CN"/>
        </w:rPr>
      </w:pPr>
      <w:bookmarkStart w:id="7" w:name="_Toc7445"/>
      <w:r>
        <w:rPr>
          <w:rFonts w:ascii="Times New Roman" w:cs="Times New Roman" w:hAnsi="Times New Roman" w:hint="eastAsia"/>
          <w:b/>
          <w:bCs/>
          <w:sz w:val="32"/>
          <w:szCs w:val="32"/>
          <w:shd w:val="clear" w:color="auto" w:fill="FFFFFF"/>
          <w:lang w:val="zh-CN"/>
        </w:rPr>
        <w:t>（三）综合管理情况</w:t>
      </w:r>
      <w:bookmarkEnd w:id="7"/>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rPr>
      </w:pPr>
      <w:r>
        <w:rPr>
          <w:rFonts w:ascii="Times New Roman" w:cs="Times New Roman" w:hAnsi="Times New Roman" w:hint="eastAsia"/>
          <w:b/>
          <w:bCs/>
          <w:sz w:val="32"/>
          <w:szCs w:val="32"/>
          <w:shd w:val="clear" w:color="auto" w:fill="FFFFFF"/>
          <w:lang w:val="zh-CN"/>
        </w:rPr>
        <w:t>1、基础管理情况</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我乡202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rPr>
        <w:t>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rPr>
      </w:pPr>
      <w:r>
        <w:rPr>
          <w:rFonts w:ascii="Times New Roman" w:cs="Times New Roman" w:hAnsi="Times New Roman" w:hint="eastAsia"/>
          <w:b/>
          <w:bCs/>
          <w:sz w:val="32"/>
          <w:szCs w:val="32"/>
          <w:shd w:val="clear" w:color="auto" w:fill="FFFFFF"/>
          <w:lang w:val="en-US" w:eastAsia="zh-CN"/>
        </w:rPr>
        <w:t>2、</w:t>
      </w:r>
      <w:r>
        <w:rPr>
          <w:rFonts w:ascii="Times New Roman" w:cs="Times New Roman" w:hAnsi="Times New Roman" w:hint="eastAsia"/>
          <w:b/>
          <w:bCs/>
          <w:sz w:val="32"/>
          <w:szCs w:val="32"/>
          <w:shd w:val="clear" w:color="auto" w:fill="FFFFFF"/>
          <w:lang w:val="zh-CN"/>
        </w:rPr>
        <w:t>政府债务情况</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rPr>
        <w:t>年度我乡债务合计0万元。</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eastAsia="zh-CN"/>
        </w:rPr>
      </w:pPr>
      <w:r>
        <w:rPr>
          <w:rFonts w:ascii="Times New Roman" w:cs="Times New Roman" w:hAnsi="Times New Roman" w:hint="eastAsia"/>
          <w:b/>
          <w:bCs/>
          <w:sz w:val="32"/>
          <w:szCs w:val="32"/>
          <w:shd w:val="clear" w:color="auto" w:fill="FFFFFF"/>
          <w:lang w:val="en-US" w:eastAsia="zh-CN"/>
        </w:rPr>
        <w:t>3、</w:t>
      </w:r>
      <w:r>
        <w:rPr>
          <w:rFonts w:ascii="Times New Roman" w:cs="Times New Roman" w:hAnsi="Times New Roman" w:hint="eastAsia"/>
          <w:b/>
          <w:bCs/>
          <w:sz w:val="32"/>
          <w:szCs w:val="32"/>
          <w:shd w:val="clear" w:color="auto" w:fill="FFFFFF"/>
          <w:lang w:val="zh-CN" w:eastAsia="zh-CN"/>
        </w:rPr>
        <w:t>非税收入执收情况</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rPr>
        <w:t xml:space="preserve">年度我乡非税收入合计0元，上缴财政0万元。 </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eastAsia="zh-CN"/>
        </w:rPr>
      </w:pPr>
      <w:r>
        <w:rPr>
          <w:rFonts w:ascii="Times New Roman" w:cs="Times New Roman" w:hAnsi="Times New Roman" w:hint="eastAsia"/>
          <w:b/>
          <w:bCs/>
          <w:sz w:val="32"/>
          <w:szCs w:val="32"/>
          <w:shd w:val="clear" w:color="auto" w:fill="FFFFFF"/>
          <w:lang w:val="en-US" w:eastAsia="zh-CN"/>
        </w:rPr>
        <w:t>4、</w:t>
      </w:r>
      <w:r>
        <w:rPr>
          <w:rFonts w:ascii="Times New Roman" w:cs="Times New Roman" w:hAnsi="Times New Roman" w:hint="eastAsia"/>
          <w:b/>
          <w:bCs/>
          <w:sz w:val="32"/>
          <w:szCs w:val="32"/>
          <w:shd w:val="clear" w:color="auto" w:fill="FFFFFF"/>
          <w:lang w:val="zh-CN" w:eastAsia="zh-CN"/>
        </w:rPr>
        <w:t>政府采购实施计划</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我乡202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rPr>
        <w:t>年未制定年度政府采购计划。</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eastAsia="zh-CN"/>
        </w:rPr>
      </w:pPr>
      <w:r>
        <w:rPr>
          <w:rFonts w:ascii="Times New Roman" w:cs="Times New Roman" w:hAnsi="Times New Roman" w:hint="eastAsia"/>
          <w:b/>
          <w:bCs/>
          <w:sz w:val="32"/>
          <w:szCs w:val="32"/>
          <w:shd w:val="clear" w:color="auto" w:fill="FFFFFF"/>
          <w:lang w:val="en-US" w:eastAsia="zh-CN"/>
        </w:rPr>
        <w:t>5、</w:t>
      </w:r>
      <w:r>
        <w:rPr>
          <w:rFonts w:ascii="Times New Roman" w:cs="Times New Roman" w:hAnsi="Times New Roman" w:hint="eastAsia"/>
          <w:b/>
          <w:bCs/>
          <w:sz w:val="32"/>
          <w:szCs w:val="32"/>
          <w:shd w:val="clear" w:color="auto" w:fill="FFFFFF"/>
          <w:lang w:val="zh-CN" w:eastAsia="zh-CN"/>
        </w:rPr>
        <w:t>资产管理情况</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我乡已将国有资产纳入资产信息系统管理，并落实专人负责管理维护系统，资产变动已及时把资产变动情况录入系统</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b/>
          <w:bCs/>
          <w:sz w:val="32"/>
          <w:szCs w:val="32"/>
          <w:shd w:val="clear" w:color="auto" w:fill="FFFFFF"/>
          <w:lang w:val="zh-CN" w:eastAsia="zh-CN"/>
        </w:rPr>
      </w:pPr>
      <w:r>
        <w:rPr>
          <w:rFonts w:ascii="Times New Roman" w:cs="Times New Roman" w:hAnsi="Times New Roman" w:hint="eastAsia"/>
          <w:b/>
          <w:bCs/>
          <w:sz w:val="32"/>
          <w:szCs w:val="32"/>
          <w:shd w:val="clear" w:color="auto" w:fill="FFFFFF"/>
          <w:lang w:val="en-US" w:eastAsia="zh-CN"/>
        </w:rPr>
        <w:t>6、</w:t>
      </w:r>
      <w:r>
        <w:rPr>
          <w:rFonts w:ascii="Times New Roman" w:cs="Times New Roman" w:hAnsi="Times New Roman" w:hint="eastAsia"/>
          <w:b/>
          <w:bCs/>
          <w:sz w:val="32"/>
          <w:szCs w:val="32"/>
          <w:shd w:val="clear" w:color="auto" w:fill="FFFFFF"/>
          <w:lang w:val="zh-CN" w:eastAsia="zh-CN"/>
        </w:rPr>
        <w:t>信息公开情况</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eastAsia="zh-CN"/>
        </w:rPr>
      </w:pPr>
      <w:r>
        <w:rPr>
          <w:rFonts w:ascii="Times New Roman" w:cs="Times New Roman" w:hAnsi="Times New Roman" w:hint="eastAsia"/>
          <w:sz w:val="32"/>
          <w:szCs w:val="32"/>
          <w:shd w:val="clear" w:color="auto" w:fill="FFFFFF"/>
          <w:lang w:val="zh-CN" w:eastAsia="zh-CN"/>
        </w:rPr>
        <w:t>我乡202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eastAsia="zh-CN"/>
        </w:rPr>
        <w:t>年的预算、决算编制说明、“三公”经费预算、决算情况；按财政局要求由县财政统一公开，2022年的预算编制说明、三公”经费预算情况在政府网站上以公开。</w:t>
      </w:r>
    </w:p>
    <w:p>
      <w:pPr>
        <w:pStyle w:val="16"/>
        <w:pageBreakBefore w:val="0"/>
        <w:widowControl w:val="0"/>
        <w:kinsoku/>
        <w:wordWrap/>
        <w:overflowPunct/>
        <w:topLinePunct w:val="0"/>
        <w:bidi w:val="0"/>
        <w:spacing w:beforeLines="0" w:before="93" w:line="576" w:lineRule="exact"/>
        <w:rPr>
          <w:rFonts w:ascii="Times New Roman" w:cs="Times New Roman" w:hAnsi="Times New Roman"/>
          <w:b/>
          <w:bCs/>
          <w:sz w:val="32"/>
          <w:szCs w:val="32"/>
          <w:shd w:val="clear" w:color="auto" w:fill="FFFFFF"/>
          <w:lang w:val="zh-CN"/>
        </w:rPr>
      </w:pPr>
      <w:r>
        <w:rPr>
          <w:rFonts w:ascii="Times New Roman" w:cs="Times New Roman" w:hAnsi="Times New Roman" w:hint="eastAsia"/>
          <w:b/>
          <w:bCs/>
          <w:sz w:val="32"/>
          <w:szCs w:val="32"/>
          <w:shd w:val="clear" w:color="auto" w:fill="FFFFFF"/>
          <w:lang w:val="zh-CN"/>
        </w:rPr>
        <w:t>四、评价结论及建议</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sz w:val="32"/>
          <w:szCs w:val="32"/>
          <w:shd w:val="clear" w:color="auto" w:fill="FFFFFF"/>
          <w:lang w:val="zh-CN" w:eastAsia="zh-CN"/>
        </w:rPr>
      </w:pPr>
      <w:r>
        <w:rPr>
          <w:rFonts w:ascii="Times New Roman" w:cs="Times New Roman" w:hAnsi="Times New Roman" w:hint="eastAsia"/>
          <w:b/>
          <w:bCs/>
          <w:sz w:val="32"/>
          <w:szCs w:val="32"/>
          <w:shd w:val="clear" w:color="auto" w:fill="FFFFFF"/>
          <w:lang w:val="zh-CN"/>
        </w:rPr>
        <w:t>（一）评价结论</w:t>
      </w:r>
      <w:r>
        <w:rPr>
          <w:rFonts w:ascii="Times New Roman" w:cs="Times New Roman" w:hAnsi="Times New Roman" w:hint="eastAsia"/>
          <w:b/>
          <w:bCs/>
          <w:sz w:val="32"/>
          <w:szCs w:val="32"/>
          <w:shd w:val="clear" w:color="auto" w:fill="FFFFFF"/>
          <w:lang w:val="zh-CN" w:eastAsia="zh-CN"/>
        </w:rPr>
        <w:t>:</w:t>
      </w:r>
      <w:r>
        <w:rPr>
          <w:rFonts w:ascii="Times New Roman" w:cs="Times New Roman" w:hAnsi="Times New Roman" w:hint="eastAsia"/>
          <w:sz w:val="32"/>
          <w:szCs w:val="32"/>
          <w:shd w:val="clear" w:color="auto" w:fill="FFFFFF"/>
          <w:lang w:val="zh-CN" w:eastAsia="zh-CN"/>
        </w:rPr>
        <w:t>202</w:t>
      </w:r>
      <w:r>
        <w:rPr>
          <w:rFonts w:ascii="Times New Roman" w:cs="Times New Roman" w:hAnsi="Times New Roman" w:hint="eastAsia"/>
          <w:sz w:val="32"/>
          <w:szCs w:val="32"/>
          <w:shd w:val="clear" w:color="auto" w:fill="FFFFFF"/>
          <w:lang w:val="en-US" w:eastAsia="zh-CN"/>
        </w:rPr>
        <w:t>2</w:t>
      </w:r>
      <w:r>
        <w:rPr>
          <w:rFonts w:ascii="Times New Roman" w:cs="Times New Roman" w:hAnsi="Times New Roman" w:hint="eastAsia"/>
          <w:sz w:val="32"/>
          <w:szCs w:val="32"/>
          <w:shd w:val="clear" w:color="auto" w:fill="FFFFFF"/>
          <w:lang w:val="zh-CN" w:eastAsia="zh-CN"/>
        </w:rPr>
        <w:t>年我单位支出绩效总体良好，各项目标达到了相应时期执行进度，各项目经费按预算实施，使财政收支预算执行都得到了良好的制度保障和实施效果。我乡本次自评总分：84分。</w:t>
      </w:r>
      <w:r>
        <w:rPr>
          <w:rFonts w:ascii="Times New Roman" w:cs="Times New Roman" w:hAnsi="Times New Roman" w:hint="eastAsia"/>
          <w:sz w:val="32"/>
          <w:szCs w:val="32"/>
          <w:shd w:val="clear" w:color="auto" w:fill="FFFFFF"/>
          <w:lang w:val="zh-CN"/>
        </w:rPr>
        <w:t>社会群众对我乡的工作总体较满意。</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eastAsia="zh-CN"/>
        </w:rPr>
      </w:pPr>
      <w:r>
        <w:rPr>
          <w:rFonts w:ascii="Times New Roman" w:cs="Times New Roman" w:hAnsi="Times New Roman" w:hint="eastAsia"/>
          <w:b/>
          <w:bCs/>
          <w:sz w:val="32"/>
          <w:szCs w:val="32"/>
          <w:shd w:val="clear" w:color="auto" w:fill="FFFFFF"/>
          <w:lang w:val="zh-CN"/>
        </w:rPr>
        <w:t>（二）存在问题：</w:t>
      </w:r>
      <w:r>
        <w:rPr>
          <w:rFonts w:ascii="Times New Roman" w:cs="Times New Roman" w:hAnsi="Times New Roman" w:hint="eastAsia"/>
          <w:sz w:val="32"/>
          <w:szCs w:val="32"/>
          <w:shd w:val="clear" w:color="auto" w:fill="FFFFFF"/>
          <w:lang w:val="zh-CN" w:eastAsia="zh-CN"/>
        </w:rPr>
        <w:t>1、由于部分项目支出指标到12月份才下达指示，在预算执行中造成个别预算子项调剂现象。预算系统科目与决算系统科目存在偏差。2、固定资产台账未及时与账面资产金额对账，且未与实物进行清点及及时清理处置报废资产，导致资产台账与账面资产金额存在差异。3、科目运用还不准确。</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b/>
          <w:bCs/>
          <w:sz w:val="32"/>
          <w:szCs w:val="32"/>
          <w:shd w:val="clear" w:color="auto" w:fill="FFFFFF"/>
          <w:lang w:val="zh-CN"/>
        </w:rPr>
        <w:t>（三）改进建议：</w:t>
      </w:r>
      <w:r>
        <w:rPr>
          <w:rFonts w:ascii="Times New Roman" w:cs="Times New Roman" w:hAnsi="Times New Roman" w:hint="eastAsia"/>
          <w:sz w:val="32"/>
          <w:szCs w:val="32"/>
          <w:shd w:val="clear" w:color="auto" w:fill="FFFFFF"/>
          <w:lang w:val="zh-CN"/>
        </w:rPr>
        <w:t>1、从源头上强化对专项资金预算管理。实行专项资金预算管理，结合单位实际，按轻重缓急统筹安排编制预算，提高预算编制科学性和合理性，优化资金结构。</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2、强化财务控制意识，准确定位财务人员角色。将财务的职能定位于全面参与资金使用的决策与控制。</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hint="eastAsia"/>
          <w:sz w:val="32"/>
          <w:szCs w:val="32"/>
          <w:shd w:val="clear" w:color="auto" w:fill="FFFFFF"/>
          <w:lang w:val="zh-CN"/>
        </w:rPr>
      </w:pPr>
      <w:r>
        <w:rPr>
          <w:rFonts w:ascii="Times New Roman" w:cs="Times New Roman" w:hAnsi="Times New Roman" w:hint="eastAsia"/>
          <w:sz w:val="32"/>
          <w:szCs w:val="32"/>
          <w:shd w:val="clear" w:color="auto" w:fill="FFFFFF"/>
          <w:lang w:val="zh-CN"/>
        </w:rPr>
        <w:t>3、按时间进度分解资金使用计划。专项资金的使用，要事前做计划，事中进行控制，事后总结提高。合理安排资金使用，充分体现资金投向的目标和效益。完善管理制度，进一步加强资产管理</w:t>
      </w:r>
    </w:p>
    <w:p>
      <w:pPr>
        <w:pStyle w:val="16"/>
        <w:pageBreakBefore w:val="0"/>
        <w:widowControl w:val="0"/>
        <w:kinsoku/>
        <w:wordWrap/>
        <w:overflowPunct/>
        <w:topLinePunct w:val="0"/>
        <w:bidi w:val="0"/>
        <w:spacing w:beforeLines="0" w:before="93" w:line="576" w:lineRule="exact"/>
        <w:ind w:firstLineChars="200" w:firstLine="640"/>
        <w:rPr>
          <w:rFonts w:ascii="Times New Roman" w:cs="Times New Roman" w:hAnsi="Times New Roman"/>
          <w:sz w:val="32"/>
          <w:szCs w:val="32"/>
          <w:shd w:val="clear" w:color="auto" w:fill="FFFFFF"/>
          <w:lang w:val="zh-CN"/>
        </w:rPr>
      </w:pPr>
      <w:r>
        <w:rPr>
          <w:rFonts w:ascii="Times New Roman" w:cs="Times New Roman" w:hAnsi="Times New Roman" w:hint="eastAsia"/>
          <w:sz w:val="32"/>
          <w:szCs w:val="32"/>
          <w:shd w:val="clear" w:color="auto" w:fill="FFFFFF"/>
          <w:lang w:val="zh-CN" w:eastAsia="zh-CN"/>
        </w:rPr>
        <w:t>4</w:t>
      </w:r>
      <w:r>
        <w:rPr>
          <w:rFonts w:ascii="Times New Roman" w:cs="Times New Roman" w:hAnsi="Times New Roman" w:hint="eastAsia"/>
          <w:sz w:val="32"/>
          <w:szCs w:val="32"/>
          <w:shd w:val="clear" w:color="auto" w:fill="FFFFFF"/>
          <w:lang w:val="zh-CN"/>
        </w:rPr>
        <w:t>、严格按照《固定资产管理办法》的规定加强固定资产管理，及时登记、更新台账，加强资产卡片管理，对各类实物资产进行全面盘点，确保账账、账实相符。</w:t>
      </w:r>
    </w:p>
    <w:p>
      <w:pPr>
        <w:pStyle w:val="22"/>
        <w:keepNext w:val="0"/>
        <w:keepLines w:val="0"/>
        <w:widowControl/>
        <w:suppressLineNumbers w:val="0"/>
        <w:ind w:left="0" w:right="75"/>
        <w:jc w:val="left"/>
        <w:rPr>
          <w:sz w:val="18"/>
          <w:szCs w:val="18"/>
          <w:shd w:val="clear" w:color="auto" w:fill="FFFFFF"/>
        </w:rPr>
      </w:pPr>
      <w:r>
        <w:rPr>
          <w:sz w:val="18"/>
          <w:szCs w:val="18"/>
          <w:shd w:val="clear" w:color="auto" w:fill="FFFFFF"/>
        </w:rPr>
        <w:t> </w:t>
      </w: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left"/>
        <w:rPr>
          <w:sz w:val="18"/>
          <w:szCs w:val="18"/>
          <w:shd w:val="clear" w:color="auto" w:fill="FFFFFF"/>
        </w:rPr>
      </w:pPr>
    </w:p>
    <w:p>
      <w:pPr>
        <w:pStyle w:val="22"/>
        <w:keepNext w:val="0"/>
        <w:keepLines w:val="0"/>
        <w:widowControl/>
        <w:suppressLineNumbers w:val="0"/>
        <w:ind w:left="0" w:right="75"/>
        <w:jc w:val="center"/>
      </w:pPr>
      <w:r>
        <w:rPr>
          <w:rStyle w:val="23"/>
          <w:sz w:val="39"/>
          <w:szCs w:val="39"/>
          <w:shd w:val="clear" w:color="auto" w:fill="FFFFFF"/>
        </w:rPr>
        <w:t>第五部分 附表</w:t>
      </w:r>
    </w:p>
    <w:p>
      <w:pPr>
        <w:pStyle w:val="2"/>
        <w:keepNext w:val="0"/>
        <w:keepLines w:val="0"/>
        <w:widowControl/>
        <w:suppressLineNumbers w:val="0"/>
        <w:ind w:left="0" w:right="75"/>
      </w:pPr>
      <w:r>
        <w:rPr>
          <w:shd w:val="clear" w:color="auto" w:fill="FFFFFF"/>
        </w:rPr>
        <w:t>一、收入支出决算总表</w:t>
      </w:r>
    </w:p>
    <w:p>
      <w:pPr>
        <w:pStyle w:val="2"/>
        <w:keepNext w:val="0"/>
        <w:keepLines w:val="0"/>
        <w:widowControl/>
        <w:suppressLineNumbers w:val="0"/>
        <w:ind w:left="0" w:right="75"/>
      </w:pPr>
      <w:r>
        <w:rPr>
          <w:shd w:val="clear" w:color="auto" w:fill="FFFFFF"/>
        </w:rPr>
        <w:t>二、收入决算表</w:t>
      </w:r>
    </w:p>
    <w:p>
      <w:pPr>
        <w:pStyle w:val="2"/>
        <w:keepNext w:val="0"/>
        <w:keepLines w:val="0"/>
        <w:widowControl/>
        <w:suppressLineNumbers w:val="0"/>
        <w:ind w:left="0" w:right="75"/>
      </w:pPr>
      <w:r>
        <w:rPr>
          <w:shd w:val="clear" w:color="auto" w:fill="FFFFFF"/>
        </w:rPr>
        <w:t>三、支出决算表</w:t>
      </w:r>
    </w:p>
    <w:p>
      <w:pPr>
        <w:pStyle w:val="2"/>
        <w:keepNext w:val="0"/>
        <w:keepLines w:val="0"/>
        <w:widowControl/>
        <w:suppressLineNumbers w:val="0"/>
        <w:ind w:left="0" w:right="75"/>
      </w:pPr>
      <w:r>
        <w:rPr>
          <w:shd w:val="clear" w:color="auto" w:fill="FFFFFF"/>
        </w:rPr>
        <w:t>四、财政拨款收入支出决算总表</w:t>
      </w:r>
    </w:p>
    <w:p>
      <w:pPr>
        <w:pStyle w:val="2"/>
        <w:keepNext w:val="0"/>
        <w:keepLines w:val="0"/>
        <w:widowControl/>
        <w:suppressLineNumbers w:val="0"/>
        <w:ind w:left="0" w:right="75"/>
      </w:pPr>
      <w:r>
        <w:rPr>
          <w:shd w:val="clear" w:color="auto" w:fill="FFFFFF"/>
        </w:rPr>
        <w:t>五、财政拨款支出决算明细表</w:t>
      </w:r>
    </w:p>
    <w:p>
      <w:pPr>
        <w:pStyle w:val="2"/>
        <w:keepNext w:val="0"/>
        <w:keepLines w:val="0"/>
        <w:widowControl/>
        <w:suppressLineNumbers w:val="0"/>
        <w:ind w:left="0" w:right="75"/>
      </w:pPr>
      <w:r>
        <w:rPr>
          <w:shd w:val="clear" w:color="auto" w:fill="FFFFFF"/>
        </w:rPr>
        <w:t>六、一般公共预算财政拨款支出决算表</w:t>
      </w:r>
    </w:p>
    <w:p>
      <w:pPr>
        <w:pStyle w:val="2"/>
        <w:keepNext w:val="0"/>
        <w:keepLines w:val="0"/>
        <w:widowControl/>
        <w:suppressLineNumbers w:val="0"/>
        <w:ind w:left="0" w:right="75"/>
      </w:pPr>
      <w:r>
        <w:rPr>
          <w:shd w:val="clear" w:color="auto" w:fill="FFFFFF"/>
        </w:rPr>
        <w:t>七、一般公共预算财政拨款支出决算明细表</w:t>
      </w:r>
    </w:p>
    <w:p>
      <w:pPr>
        <w:pStyle w:val="2"/>
        <w:keepNext w:val="0"/>
        <w:keepLines w:val="0"/>
        <w:widowControl/>
        <w:suppressLineNumbers w:val="0"/>
        <w:ind w:left="0" w:right="75"/>
      </w:pPr>
      <w:r>
        <w:rPr>
          <w:shd w:val="clear" w:color="auto" w:fill="FFFFFF"/>
        </w:rPr>
        <w:t>八、一般公共预算财政拨款基本支出决算表</w:t>
      </w:r>
    </w:p>
    <w:p>
      <w:pPr>
        <w:pStyle w:val="2"/>
        <w:keepNext w:val="0"/>
        <w:keepLines w:val="0"/>
        <w:widowControl/>
        <w:suppressLineNumbers w:val="0"/>
        <w:ind w:left="0" w:right="75"/>
      </w:pPr>
      <w:r>
        <w:rPr>
          <w:shd w:val="clear" w:color="auto" w:fill="FFFFFF"/>
        </w:rPr>
        <w:t>九、一般公共预算财政拨款项目支出决算表</w:t>
      </w:r>
    </w:p>
    <w:p>
      <w:pPr>
        <w:pStyle w:val="2"/>
        <w:keepNext w:val="0"/>
        <w:keepLines w:val="0"/>
        <w:widowControl/>
        <w:suppressLineNumbers w:val="0"/>
        <w:ind w:left="0" w:right="75"/>
      </w:pPr>
      <w:r>
        <w:rPr>
          <w:shd w:val="clear" w:color="auto" w:fill="FFFFFF"/>
        </w:rPr>
        <w:t>十、政府性基金预算财政拨款收入支出决算表</w:t>
      </w:r>
    </w:p>
    <w:p>
      <w:pPr>
        <w:pStyle w:val="2"/>
        <w:keepNext w:val="0"/>
        <w:keepLines w:val="0"/>
        <w:widowControl/>
        <w:suppressLineNumbers w:val="0"/>
        <w:ind w:left="0" w:right="75"/>
      </w:pPr>
      <w:r>
        <w:rPr>
          <w:shd w:val="clear" w:color="auto" w:fill="FFFFFF"/>
        </w:rPr>
        <w:t>十一、国有资本经营预算财政拨款收入支出决算表</w:t>
      </w:r>
    </w:p>
    <w:p>
      <w:pPr>
        <w:pStyle w:val="2"/>
        <w:keepNext w:val="0"/>
        <w:keepLines w:val="0"/>
        <w:widowControl/>
        <w:suppressLineNumbers w:val="0"/>
        <w:ind w:left="0" w:right="75"/>
      </w:pPr>
      <w:r>
        <w:rPr>
          <w:shd w:val="clear" w:color="auto" w:fill="FFFFFF"/>
        </w:rPr>
        <w:t>十二、国有资本经营预算财政拨款支出决算表</w:t>
      </w:r>
    </w:p>
    <w:p>
      <w:pPr>
        <w:pStyle w:val="2"/>
        <w:keepNext w:val="0"/>
        <w:keepLines w:val="0"/>
        <w:widowControl/>
        <w:suppressLineNumbers w:val="0"/>
        <w:ind w:left="0" w:right="75"/>
      </w:pPr>
      <w:r>
        <w:rPr>
          <w:shd w:val="clear" w:color="auto" w:fill="FFFFFF"/>
        </w:rPr>
        <w:t>十三、财政拨款“三公”经费支出决算表</w:t>
      </w:r>
    </w:p>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7A"/>
    <w:family w:val="auto"/>
    <w:pitch w:val="variable"/>
    <w:sig w:usb0="00000003" w:usb1="288F0000" w:usb2="00000006" w:usb3="00000000" w:csb0="00040001" w:csb1="00000000"/>
  </w:font>
  <w:font w:name="Times New Roman">
    <w:altName w:val="DejaVu Sans"/>
    <w:panose1 w:val="02020603050405020304"/>
    <w:charset w:val="01"/>
    <w:family w:val="auto"/>
    <w:pitch w:val="variable"/>
    <w:sig w:usb0="E0002EFF" w:usb1="C000785B"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方正楷体_GBK">
    <w:panose1 w:val="03000509000000000000"/>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方正小标宋简体">
    <w:altName w:val="AR PL UKai CN"/>
    <w:panose1 w:val="02010601030101010101"/>
    <w:charset w:val="86"/>
    <w:family w:val="script"/>
    <w:pitch w:val="variable"/>
    <w:sig w:usb0="00000001" w:usb1="080E0000" w:usb2="00000000" w:usb3="00000000" w:csb0="00040000" w:csb1="00000000"/>
  </w:font>
  <w:font w:name="Calibri">
    <w:altName w:val="DejaVu Sans"/>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Courier New">
    <w:altName w:val="DejaVu Sans"/>
    <w:panose1 w:val="02070309020205020404"/>
    <w:charset w:val="01"/>
    <w:family w:val="modern"/>
    <w:pitch w:val="variable"/>
    <w:sig w:usb0="E0002E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pPr>
    <w:r>
      <w:rPr>
        <w:sz w:val="18"/>
      </w:rPr>
      <mc:AlternateContent>
        <mc:Choice Requires="wps">
          <w:drawing>
            <wp:anchor distT="0" distB="0" distL="114298" distR="114298" simplePos="0" relativeHeight="29" behindDoc="0" locked="0" layoutInCell="1" hidden="0" allowOverlap="1">
              <wp:simplePos x="0" y="0"/>
              <wp:positionH relativeFrom="margin">
                <wp:align>center</wp:align>
              </wp:positionH>
              <wp:positionV relativeFrom="paragraph">
                <wp:posOffset>0</wp:posOffset>
              </wp:positionV>
              <wp:extent cx="145389" cy="133159"/>
              <wp:effectExtent l="0" t="0" r="0" b="0"/>
              <wp:wrapNone/>
              <wp:docPr id="1" name="文本框 8"/>
              <wp:cNvGraphicFramePr>
                <a:graphicFrameLocks noChangeAspect="0"/>
              </wp:cNvGraphicFramePr>
              <a:graphic>
                <a:graphicData uri="http://schemas.microsoft.com/office/word/2010/wordprocessingShape">
                  <wps:wsp>
                    <wps:cNvSpPr/>
                    <wps:spPr>
                      <a:xfrm rot="0">
                        <a:off x="0" y="0"/>
                        <a:ext cx="145389" cy="133159"/>
                      </a:xfrm>
                      <a:prstGeom prst="rect"/>
                      <a:noFill/>
                      <a:ln w="6350" cmpd="sng" cap="flat">
                        <a:noFill/>
                        <a:prstDash val="solid"/>
                        <a:round/>
                      </a:ln>
                    </wps:spPr>
                    <wps:txbx id="2">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type="#_x0000_t202" id="文本框 8 3" o:spid="_x0000_s3" filled="f" stroked="f" strokeweight="0.5pt" style="position:absolute;margin-left:0.0pt;margin-top:0.0pt;width:11.447991pt;height:10.485009pt;z-index:29;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8"/>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7"/>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NDAwZGE5ZTdmMDgyOGI0ZTA3MTFiOWY1MDY1MWU0MG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spacing w:before="0" w:beforeAutospacing="1" w:after="0" w:afterAutospacing="1"/>
      <w:jc w:val="left"/>
      <w:outlineLvl w:val="0"/>
    </w:pPr>
    <w:rPr>
      <w:rFonts w:ascii="宋体" w:eastAsia="宋体" w:cs="宋体"/>
      <w:b/>
      <w:kern w:val="44"/>
      <w:sz w:val="48"/>
      <w:szCs w:val="48"/>
      <w:lang w:val="en-US" w:eastAsia="zh-CN"/>
    </w:rPr>
  </w:style>
  <w:style w:type="paragraph" w:styleId="2">
    <w:name w:val="heading 2"/>
    <w:basedOn w:val="0"/>
    <w:next w:val="0"/>
    <w:pPr>
      <w:spacing w:before="0" w:beforeAutospacing="1" w:after="0" w:afterAutospacing="1"/>
      <w:jc w:val="left"/>
      <w:outlineLvl w:val="1"/>
    </w:pPr>
    <w:rPr>
      <w:rFonts w:ascii="宋体" w:eastAsia="宋体" w:cs="宋体"/>
      <w:b/>
      <w:kern w:val="0"/>
      <w:sz w:val="36"/>
      <w:szCs w:val="36"/>
      <w:lang w:val="en-US" w:eastAsia="zh-CN"/>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sz w:val="18"/>
    </w:rPr>
  </w:style>
  <w:style w:type="paragraph" w:styleId="19">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spacing w:before="0" w:beforeAutospacing="1" w:after="0" w:afterAutospacing="1"/>
      <w:ind w:left="0" w:right="0"/>
      <w:jc w:val="left"/>
    </w:pPr>
    <w:rPr>
      <w:kern w:val="0"/>
      <w:sz w:val="24"/>
      <w:lang w:val="en-US" w:eastAsia="zh-CN"/>
    </w:rPr>
  </w:style>
  <w:style w:type="character" w:styleId="23">
    <w:name w:val="Strong"/>
    <w:basedOn w:val="10"/>
    <w:rPr>
      <w:b/>
    </w:rPr>
  </w:style>
  <w:style w:type="character" w:styleId="24">
    <w:name w:val="FollowedHyperlink"/>
    <w:basedOn w:val="10"/>
    <w:rPr>
      <w:color w:val="800080"/>
      <w:u w:val="none"/>
    </w:rPr>
  </w:style>
  <w:style w:type="character" w:styleId="25">
    <w:name w:val="HTML Definition"/>
    <w:basedOn w:val="10"/>
  </w:style>
  <w:style w:type="character" w:styleId="26">
    <w:name w:val="HTML Variable"/>
    <w:basedOn w:val="10"/>
  </w:style>
  <w:style w:type="character" w:styleId="27">
    <w:name w:val="Hyperlink"/>
    <w:basedOn w:val="10"/>
    <w:rPr>
      <w:color w:val="0000FF"/>
      <w:u w:val="none"/>
    </w:rPr>
  </w:style>
  <w:style w:type="character" w:styleId="28">
    <w:name w:val="HTML Code"/>
    <w:basedOn w:val="10"/>
    <w:rPr>
      <w:rFonts w:ascii="Courier New" w:hAnsi="Courier New"/>
      <w:sz w:val="20"/>
    </w:rPr>
  </w:style>
  <w:style w:type="character" w:styleId="29">
    <w:name w:val="HTML Cite"/>
    <w:basedOn w:val="10"/>
  </w:style>
  <w:style w:type="character" w:customStyle="1" w:styleId="30">
    <w:name w:val="ui-state-hover21"/>
    <w:basedOn w:val="10"/>
  </w:style>
  <w:style w:type="character" w:customStyle="1" w:styleId="31">
    <w:name w:val="ui-state-default"/>
    <w:basedOn w:val="10"/>
  </w:style>
  <w:style w:type="character" w:customStyle="1" w:styleId="32">
    <w:name w:val="ui-state-default1"/>
    <w:basedOn w:val="10"/>
  </w:style>
  <w:style w:type="character" w:customStyle="1" w:styleId="33">
    <w:name w:val="directchildrenspan"/>
    <w:basedOn w:val="10"/>
  </w:style>
  <w:style w:type="character" w:customStyle="1" w:styleId="34">
    <w:name w:val="ui-state-active6"/>
    <w:basedOn w:val="10"/>
  </w:style>
  <w:style w:type="character" w:customStyle="1" w:styleId="35">
    <w:name w:val="image"/>
    <w:basedOn w:val="10"/>
  </w:style>
  <w:style w:type="character" w:customStyle="1" w:styleId="36">
    <w:name w:val="image1"/>
    <w:basedOn w:val="10"/>
  </w:style>
  <w:style w:type="character" w:customStyle="1" w:styleId="37">
    <w:name w:val="image2"/>
    <w:basedOn w:val="10"/>
  </w:style>
  <w:style w:type="character" w:customStyle="1" w:styleId="38">
    <w:name w:val="group"/>
    <w:basedOn w:val="10"/>
  </w:style>
  <w:style w:type="character" w:customStyle="1" w:styleId="39">
    <w:name w:val="button-hover"/>
    <w:basedOn w:val="10"/>
  </w:style>
  <w:style w:type="character" w:customStyle="1" w:styleId="40">
    <w:name w:val="ui-icon32"/>
    <w:basedOn w:val="10"/>
  </w:style>
  <w:style w:type="character" w:customStyle="1" w:styleId="41">
    <w:name w:val="item-middle"/>
    <w:basedOn w:val="10"/>
  </w:style>
  <w:style w:type="character" w:customStyle="1" w:styleId="42">
    <w:name w:val="clicked1"/>
    <w:basedOn w:val="10"/>
    <w:rPr>
      <w:color w:val="000000"/>
    </w:rPr>
  </w:style>
  <w:style w:type="character" w:customStyle="1" w:styleId="43">
    <w:name w:val="clicked2"/>
    <w:basedOn w:val="10"/>
  </w:style>
  <w:style w:type="character" w:customStyle="1" w:styleId="44">
    <w:name w:val="clicked3"/>
    <w:basedOn w:val="10"/>
  </w:style>
  <w:style w:type="character" w:customStyle="1" w:styleId="45">
    <w:name w:val="imgspan"/>
    <w:basedOn w:val="10"/>
  </w:style>
  <w:style w:type="character" w:customStyle="1" w:styleId="46">
    <w:name w:val="newstitle"/>
    <w:basedOn w:val="10"/>
    <w:rPr>
      <w:b/>
      <w:color w:val="00000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styles" Target="styles.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收入支出对比表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5B9BD5"/>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861.65</c:v>
                </c:pt>
                <c:pt idx="1">
                  <c:v>949.61</c:v>
                </c:pt>
              </c:numCache>
            </c:numRef>
          </c:val>
        </c:ser>
        <c:ser>
          <c:idx val="1"/>
          <c:order val="1"/>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914.55</c:v>
                </c:pt>
                <c:pt idx="1">
                  <c:v>949.61</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Times New Roman"/>
                <a:ea typeface="宋体"/>
                <a:cs typeface="Lucida Sans"/>
              </a:defRPr>
            </a:pPr>
            <a:r>
              <a:rPr lang="zh-CN" sz="1400" b="0" i="0" u="none" strike="noStrike" baseline="0">
                <a:solidFill>
                  <a:srgbClr val="595959"/>
                </a:solidFill>
                <a:latin typeface="Times New Roman"/>
                <a:ea typeface="宋体"/>
                <a:cs typeface="Lucida Sans"/>
              </a:rPr>
              <a:t>202</a:t>
            </a:r>
            <a:r>
              <a:rPr lang="zh-CN" sz="1400" b="0" i="0" u="none" strike="noStrike" baseline="0">
                <a:solidFill>
                  <a:srgbClr val="595959"/>
                </a:solidFill>
                <a:latin typeface="Times New Roman"/>
                <a:ea typeface="宋体"/>
                <a:cs typeface="Lucida Sans"/>
              </a:rPr>
              <a:t>2</a:t>
            </a:r>
            <a:r>
              <a:rPr lang="zh-CN" sz="1400" b="0" i="0" u="none" strike="noStrike" baseline="0">
                <a:solidFill>
                  <a:srgbClr val="595959"/>
                </a:solidFill>
                <a:latin typeface="Times New Roman"/>
                <a:ea typeface="宋体"/>
                <a:cs typeface="Lucida Sans"/>
              </a:rPr>
              <a:t>年收入</a:t>
            </a:r>
          </a:p>
        </c:rich>
      </c:tx>
      <c:layout/>
      <c:overlay val="0"/>
      <c:spPr>
        <a:noFill/>
        <a:ln>
          <a:noFill/>
        </a:ln>
      </c:spPr>
    </c:title>
    <c:autoTitleDeleted val="1"/>
    <c:plotArea>
      <c:layout/>
      <c:pieChart>
        <c:varyColors val="1"/>
        <c:ser>
          <c:idx val="0"/>
          <c:order val="0"/>
          <c:tx>
            <c:strRef>
              <c:f>'Sheet1'!$B$1</c:f>
              <c:strCache>
                <c:ptCount val="1"/>
                <c:pt idx="0">
                  <c:v>2021年收入</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delete val="1"/>
            </c:dLbl>
            <c:showLegendKey val="0"/>
            <c:showVal val="0"/>
            <c:showCatName val="0"/>
            <c:showSerName val="0"/>
            <c:showPercent val="0"/>
            <c:showBubbleSize val="0"/>
            <c:showLeaderLines val="0"/>
          </c:dLbls>
          <c:cat>
            <c:strRef>
              <c:f>'Sheet1'!$A$2:$A$3</c:f>
              <c:strCache>
                <c:ptCount val="2"/>
                <c:pt idx="0">
                  <c:v>一般公共预算财政拨款收入</c:v>
                </c:pt>
                <c:pt idx="1">
                  <c:v>其他收入</c:v>
                </c:pt>
              </c:strCache>
            </c:strRef>
          </c:cat>
          <c:val>
            <c:numRef>
              <c:f>'Sheet1'!$B$2:$B$3</c:f>
              <c:numCache>
                <c:formatCode>General</c:formatCode>
                <c:ptCount val="2"/>
                <c:pt idx="0">
                  <c:v>11572.02</c:v>
                </c:pt>
                <c:pt idx="1">
                  <c:v>0.0</c:v>
                </c:pt>
              </c:numCache>
            </c:numRef>
          </c:val>
        </c:ser>
        <c:firstSliceAng val="0"/>
      </c:pieChart>
      <c:spPr>
        <a:noFill/>
        <a:ln>
          <a:noFill/>
        </a:ln>
      </c:spPr>
    </c:plotArea>
    <c:legend>
      <c:legendPos val="b"/>
      <c:layout>
        <c:manualLayout>
          <c:xMode val="edge"/>
          <c:yMode val="edge"/>
          <c:x val="0.1159768"/>
          <c:y val="0.87356013"/>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a:noFill/>
              </a:ln>
            </c:spPr>
          </c:dPt>
          <c:dPt>
            <c:idx val="1"/>
            <c:bubble3D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596.91</a:t>
                    </a:r>
                  </a:p>
                </c:rich>
              </c:tx>
              <c:showLegendKey val="0"/>
              <c:showVal val="1"/>
              <c:showCatName val="0"/>
              <c:showSerName val="0"/>
              <c:showPercent val="0"/>
              <c:showBubbleSize val="0"/>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352.70</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578.63</c:v>
                </c:pt>
                <c:pt idx="1">
                  <c:v>272.8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Lucida Sans"/>
              </a:defRPr>
            </a:pPr>
            <a:r>
              <a:rPr lang="zh-CN"/>
              <a:t>财政拨款收、支决算总计变动表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5B9BD5"/>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861.65</c:v>
                </c:pt>
                <c:pt idx="1">
                  <c:v>949.61</c:v>
                </c:pt>
              </c:numCache>
            </c:numRef>
          </c:val>
        </c:ser>
        <c:ser>
          <c:idx val="1"/>
          <c:order val="1"/>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914.55</c:v>
                </c:pt>
                <c:pt idx="1">
                  <c:v>949.61</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51619"/>
          <c:y val="0.16899315"/>
          <c:w val="0.749888"/>
          <c:h val="0.6789392"/>
        </c:manualLayout>
      </c:layout>
      <c:barChart>
        <c:barDir val="col"/>
        <c:grouping val="clustered"/>
        <c:varyColors val="0"/>
        <c:ser>
          <c:idx val="1"/>
          <c:order val="0"/>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914.55</c:v>
                </c:pt>
                <c:pt idx="1">
                  <c:v>949.61</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(2)'!$B$1</c:f>
              <c:strCache>
                <c:ptCount val="1"/>
                <c:pt idx="0">
                  <c:v>一般公共预算财政拨款支出决算结构表</c:v>
                </c:pt>
              </c:strCache>
            </c:strRef>
          </c:tx>
          <c:spPr>
            <a:solidFill>
              <a:srgbClr val="4F81BD"/>
            </a:solidFill>
            <a:ln>
              <a:noFill/>
            </a:ln>
          </c:spPr>
          <c:dPt>
            <c:idx val="0"/>
            <c:bubble3D val="0"/>
            <c:spPr>
              <a:solidFill>
                <a:srgbClr val="5B9BD5"/>
              </a:solidFill>
              <a:ln w="6350">
                <a:solidFill>
                  <a:srgbClr val="FFFFFF"/>
                </a:solidFill>
                <a:prstDash val="solid"/>
              </a:ln>
            </c:spPr>
          </c:dPt>
          <c:dPt>
            <c:idx val="1"/>
            <c:bubble3D val="0"/>
            <c:spPr>
              <a:solidFill>
                <a:srgbClr val="ED7D31"/>
              </a:solidFill>
              <a:ln w="6350">
                <a:solidFill>
                  <a:srgbClr val="FFFFFF"/>
                </a:solidFill>
                <a:prstDash val="solid"/>
              </a:ln>
            </c:spPr>
          </c:dPt>
          <c:dPt>
            <c:idx val="2"/>
            <c:bubble3D val="0"/>
            <c:spPr>
              <a:solidFill>
                <a:srgbClr val="A5A5A5"/>
              </a:solidFill>
              <a:ln w="6350">
                <a:solidFill>
                  <a:srgbClr val="FFFFFF"/>
                </a:solidFill>
                <a:prstDash val="solid"/>
              </a:ln>
            </c:spPr>
          </c:dPt>
          <c:dPt>
            <c:idx val="3"/>
            <c:bubble3D val="0"/>
            <c:spPr>
              <a:solidFill>
                <a:srgbClr val="FFC000"/>
              </a:solidFill>
              <a:ln w="6350">
                <a:solidFill>
                  <a:srgbClr val="FFFFFF"/>
                </a:solidFill>
                <a:prstDash val="solid"/>
              </a:ln>
            </c:spPr>
          </c:dPt>
          <c:dLbls>
            <c:spPr>
              <a:noFill/>
              <a:ln>
                <a:noFill/>
              </a:ln>
            </c:spPr>
            <c:txPr>
              <a:bodyPr vert="horz"/>
              <a:lstStyle/>
              <a:p>
                <a:pPr>
                  <a:defRPr sz="1000" b="0" i="0" u="none" strike="noStrike" baseline="0">
                    <a:solidFill>
                      <a:srgbClr val="404040"/>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(2)'!$A$2:$A$5</c:f>
              <c:strCache>
                <c:ptCount val="4"/>
                <c:pt idx="0">
                  <c:v>一般公共服务</c:v>
                </c:pt>
                <c:pt idx="1">
                  <c:v>社会保障和就业</c:v>
                </c:pt>
                <c:pt idx="2">
                  <c:v>卫生健康支出</c:v>
                </c:pt>
                <c:pt idx="3">
                  <c:v>住房保障支出</c:v>
                </c:pt>
              </c:strCache>
            </c:strRef>
          </c:cat>
          <c:val>
            <c:numRef>
              <c:f>'Sheet1 (2)'!$B$2:$B$5</c:f>
              <c:numCache>
                <c:formatCode>General</c:formatCode>
                <c:ptCount val="4"/>
                <c:pt idx="0">
                  <c:v>313.74</c:v>
                </c:pt>
                <c:pt idx="1">
                  <c:v>64.58</c:v>
                </c:pt>
                <c:pt idx="2">
                  <c:v>33.28</c:v>
                </c:pt>
                <c:pt idx="3">
                  <c:v>41.21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宋体"/>
                <a:ea typeface="宋体"/>
                <a:cs typeface="Lucida Sans"/>
              </a:defRPr>
            </a:pPr>
            <a:r>
              <a:rPr lang="zh-CN"/>
              <a:t>三公经费（元）</a:t>
            </a:r>
          </a:p>
        </c:rich>
      </c:tx>
      <c:layout>
        <c:manualLayout>
          <c:xMode val="edge"/>
          <c:yMode val="edge"/>
          <c:x val="0.2743193"/>
          <c:y val="0.041666668"/>
        </c:manualLayout>
      </c:layout>
      <c:overlay val="0"/>
      <c:spPr>
        <a:ln>
          <a:noFill/>
        </a:ln>
      </c:spPr>
    </c:title>
    <c:autoTitleDeleted val="1"/>
    <c:plotArea>
      <c:layout>
        <c:manualLayout>
          <c:layoutTarget val="inner"/>
          <c:xMode val="edge"/>
          <c:yMode val="edge"/>
          <c:x val="0.055652175"/>
          <c:y val="0.17162162"/>
          <c:w val="0.62971014"/>
          <c:h val="0.71036035"/>
        </c:manualLayout>
      </c:layout>
      <c:barChart>
        <c:barDir val="col"/>
        <c:grouping val="clustered"/>
        <c:varyColors val="0"/>
        <c:ser>
          <c:idx val="0"/>
          <c:order val="0"/>
          <c:tx>
            <c:v>公务接待</c:v>
          </c:tx>
          <c:spPr>
            <a:solidFill>
              <a:srgbClr val="AA4643"/>
            </a:solidFill>
            <a:ln>
              <a:noFill/>
            </a:ln>
          </c:spPr>
          <c:invertIfNegative val="0"/>
          <c:dLbls>
            <c:showLegendKey val="0"/>
            <c:showVal val="0"/>
            <c:showCatName val="0"/>
            <c:showSerName val="0"/>
            <c:showPercent val="0"/>
            <c:showBubbleSize val="0"/>
            <c:showLeaderLines val="0"/>
          </c:dLbls>
          <c:cat>
            <c:strLit>
              <c:ptCount val="2"/>
              <c:pt idx="0">
                <c:v>2021年</c:v>
              </c:pt>
              <c:pt idx="1">
                <c:v>2022年</c:v>
              </c:pt>
            </c:strLit>
          </c:cat>
          <c:val>
            <c:numRef>
              <c:f/>
              <c:numCache>
                <c:formatCode>General</c:formatCode>
                <c:ptCount val="2"/>
                <c:pt idx="0">
                  <c:v>0.0</c:v>
                </c:pt>
                <c:pt idx="1">
                  <c:v>0.0</c:v>
                </c:pt>
              </c:numCache>
            </c:numRef>
          </c:val>
        </c:ser>
        <c:ser>
          <c:idx val="1"/>
          <c:order val="1"/>
          <c:tx>
            <c:v>公务用车运行维护费</c:v>
          </c:tx>
          <c:spPr>
            <a:solidFill>
              <a:srgbClr val="D19392"/>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5.5</c:v>
                </c:pt>
                <c:pt idx="1">
                  <c:v>5.5</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Lucida Sans"/>
              </a:defRPr>
            </a:pPr>
            <a:endParaRPr lang="zh-CN"/>
          </a:p>
        </c:txPr>
        <c:crossesAt val="1.0"/>
        <c:crossBetween val="between"/>
        <c:crossAx val="0"/>
      </c:valAx>
      <c:spPr>
        <a:noFill/>
      </c:spPr>
    </c:plotArea>
    <c:legend>
      <c:legendPos val="r"/>
      <c:layout>
        <c:manualLayout>
          <c:xMode val="edge"/>
          <c:yMode val="edge"/>
          <c:x val="0.51440215"/>
          <c:y val="0.3626126"/>
          <c:w val="0.48125"/>
          <c:h val="0.0835"/>
        </c:manualLayout>
      </c:layout>
      <c:overlay val="0"/>
      <c:spPr>
        <a:noFill/>
        <a:ln>
          <a:noFill/>
        </a:ln>
      </c:spPr>
      <c:txPr>
        <a:bodyPr/>
        <a:lstStyle/>
        <a:p>
          <a:pPr>
            <a:defRPr sz="850" b="0" i="0" u="none" strike="noStrike" baseline="0">
              <a:solidFill>
                <a:srgbClr val="000000"/>
              </a:solidFill>
              <a:latin typeface="宋体"/>
              <a:ea typeface="宋体"/>
              <a:cs typeface="Lucida Sans"/>
            </a:defRPr>
          </a:pPr>
          <a:endParaRPr lang="zh-CN"/>
        </a:p>
      </c:txPr>
      <c:legendEntry>
        <c:idx val="0"/>
        <c:delete val="1"/>
      </c:legendEntry>
    </c:legend>
    <c:plotVisOnly val="1"/>
    <c:dispBlanksAs val="gap"/>
    <c:showDLblsOverMax val="0"/>
  </c:chart>
  <c:spPr/>
  <c:txPr>
    <a:bodyPr/>
    <a:lstStyle/>
    <a:p>
      <a:pPr>
        <a:defRPr sz="1000" b="0" i="0" u="none" strike="noStrike" baseline="0">
          <a:solidFill>
            <a:srgbClr val="000000"/>
          </a:solidFill>
          <a:latin typeface="宋体"/>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TotalTime>
  <Application>Yozo_Office27021597764231179</Application>
  <Pages>30</Pages>
  <Words>8967</Words>
  <Characters>9745</Characters>
  <Lines>531</Lines>
  <Paragraphs>193</Paragraphs>
  <CharactersWithSpaces>9841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523</dc:creator>
  <cp:lastModifiedBy>user</cp:lastModifiedBy>
  <cp:revision>1</cp:revision>
  <cp:lastPrinted>2023-08-29T02:44:30Z</cp:lastPrinted>
  <dcterms:created xsi:type="dcterms:W3CDTF">2023-08-28T06:03:00Z</dcterms:created>
  <dcterms:modified xsi:type="dcterms:W3CDTF">2023-09-22T01:05:14Z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2052-12.1.0.15358</vt:lpwstr>
  </property>
  <property fmtid="{D5CDD505-2E9C-101B-9397-08002B2CF9AE}" pid="3" name="ICV">
    <vt:lpwstr>BAFD5AEF91AA4D10AC7B8A592E513991_12</vt:lpwstr>
  </property>
</Properties>
</file>