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8441"/>
      <w:bookmarkStart w:id="3" w:name="_Toc15377193"/>
      <w:bookmarkStart w:id="4" w:name="_Toc15396597"/>
      <w:bookmarkStart w:id="5" w:name="_Toc15377425"/>
      <w:r>
        <w:rPr>
          <w:rFonts w:ascii="黑体" w:eastAsia="黑体"/>
          <w:color w:val="000000"/>
          <w:sz w:val="72"/>
          <w:szCs w:val="72"/>
        </w:rPr>
        <w:t>20</w:t>
      </w:r>
      <w:r>
        <w:rPr>
          <w:rFonts w:hint="eastAsia" w:ascii="黑体" w:eastAsia="黑体"/>
          <w:color w:val="000000"/>
          <w:sz w:val="72"/>
          <w:szCs w:val="72"/>
          <w:lang w:val="en-US" w:eastAsia="zh-CN"/>
        </w:rPr>
        <w:t>21</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hint="eastAsia" w:ascii="方正小标宋简体" w:eastAsia="方正小标宋简体"/>
          <w:color w:val="000000"/>
          <w:sz w:val="72"/>
          <w:szCs w:val="72"/>
          <w:lang w:val="en-US" w:eastAsia="zh-CN"/>
        </w:rPr>
      </w:pPr>
      <w:bookmarkStart w:id="6" w:name="_Toc15396598"/>
      <w:bookmarkStart w:id="7" w:name="_Toc15396476"/>
      <w:bookmarkStart w:id="8" w:name="_Toc15377194"/>
      <w:bookmarkStart w:id="9" w:name="_Toc15377426"/>
      <w:bookmarkStart w:id="10" w:name="_Toc15306268"/>
      <w:bookmarkStart w:id="11" w:name="_Toc15378442"/>
      <w:r>
        <w:rPr>
          <w:rFonts w:hint="eastAsia" w:ascii="方正小标宋简体" w:eastAsia="方正小标宋简体"/>
          <w:color w:val="000000"/>
          <w:sz w:val="72"/>
          <w:szCs w:val="72"/>
          <w:lang w:val="en-US" w:eastAsia="zh-CN"/>
        </w:rPr>
        <w:t>金川县曾达乡人民政府</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rPr>
          <w:rFonts w:hint="eastAsia"/>
        </w:rPr>
      </w:pPr>
      <w:r>
        <w:rPr>
          <w:rFonts w:hint="eastAsia"/>
        </w:rPr>
        <w:t>公开时间：20</w:t>
      </w:r>
      <w:r>
        <w:rPr>
          <w:rFonts w:hint="eastAsia"/>
          <w:lang w:val="en-US" w:eastAsia="zh-CN"/>
        </w:rPr>
        <w:t>21</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w:t>
      </w:r>
    </w:p>
    <w:p>
      <w:pPr>
        <w:rPr>
          <w:rFonts w:hint="eastAsia"/>
        </w:rPr>
      </w:pPr>
    </w:p>
    <w:p>
      <w:pPr>
        <w:rPr>
          <w:rFonts w:hint="eastAsia"/>
        </w:rPr>
      </w:pPr>
    </w:p>
    <w:p>
      <w:pPr>
        <w:rPr>
          <w:rFonts w:hint="eastAsia"/>
        </w:rPr>
      </w:pPr>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12"/>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7</w:t>
      </w:r>
      <w:r>
        <w:fldChar w:fldCharType="end"/>
      </w:r>
    </w:p>
    <w:p>
      <w:pPr>
        <w:pStyle w:val="12"/>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2"/>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12"/>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2"/>
        <w:rPr>
          <w:rFonts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2"/>
        <w:rPr>
          <w:rFonts w:hint="eastAsia" w:ascii="仿宋" w:eastAsia="仿宋"/>
          <w:sz w:val="28"/>
          <w:szCs w:val="28"/>
        </w:rPr>
      </w:pPr>
      <w:r>
        <w:rPr>
          <w:rStyle w:val="17"/>
          <w:rFonts w:hint="eastAsia" w:ascii="仿宋" w:eastAsia="仿宋" w:cs="Times New Roman"/>
          <w:bCs/>
          <w:kern w:val="2"/>
          <w:sz w:val="28"/>
          <w:szCs w:val="28"/>
          <w:lang w:val="en-US" w:eastAsia="zh-CN" w:bidi="ar-SA"/>
        </w:rPr>
        <w:t xml:space="preserve"> 十、预算绩效情况说明..................................15</w:t>
      </w:r>
    </w:p>
    <w:p>
      <w:pPr>
        <w:rPr>
          <w:lang w:val="en-US" w:eastAsia="zh-CN"/>
        </w:rPr>
      </w:pPr>
    </w:p>
    <w:p>
      <w:pPr>
        <w:pStyle w:val="12"/>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3</w:t>
      </w:r>
    </w:p>
    <w:p>
      <w:pPr>
        <w:pStyle w:val="11"/>
        <w:rPr>
          <w:rFonts w:hint="eastAsia"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2</w:t>
      </w:r>
      <w:r>
        <w:fldChar w:fldCharType="end"/>
      </w:r>
      <w:r>
        <w:rPr>
          <w:rFonts w:hint="eastAsia"/>
          <w:lang w:val="en-US" w:eastAsia="zh-CN"/>
        </w:rPr>
        <w:t>5</w:t>
      </w:r>
    </w:p>
    <w:p>
      <w:pPr>
        <w:pStyle w:val="11"/>
        <w:rPr>
          <w:rFonts w:hint="eastAsia"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8</w:t>
      </w:r>
    </w:p>
    <w:p>
      <w:pPr>
        <w:pStyle w:val="12"/>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fldChar w:fldCharType="end"/>
      </w:r>
      <w:r>
        <w:rPr>
          <w:rFonts w:hint="eastAsia"/>
          <w:lang w:val="en-US" w:eastAsia="zh-CN"/>
        </w:rPr>
        <w:t>8</w:t>
      </w:r>
    </w:p>
    <w:p>
      <w:pPr>
        <w:pStyle w:val="12"/>
        <w:rPr>
          <w:rFonts w:hint="eastAsia" w:ascii="仿宋" w:eastAsia="仿宋" w:cs="Arial"/>
          <w:sz w:val="28"/>
          <w:szCs w:val="28"/>
        </w:rPr>
      </w:pP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3"/>
        <w:keepNext/>
        <w:keepLines/>
        <w:pageBreakBefore w:val="0"/>
        <w:widowControl w:val="0"/>
        <w:kinsoku/>
        <w:wordWrap/>
        <w:overflowPunct/>
        <w:topLinePunct w:val="0"/>
        <w:autoSpaceDE/>
        <w:autoSpaceDN/>
        <w:bidi w:val="0"/>
        <w:adjustRightInd/>
        <w:spacing w:line="480" w:lineRule="exact"/>
        <w:jc w:val="center"/>
        <w:textAlignment w:val="auto"/>
        <w:rPr>
          <w:rFonts w:ascii="黑体" w:eastAsia="黑体"/>
          <w:color w:val="000000"/>
          <w:sz w:val="32"/>
          <w:szCs w:val="32"/>
        </w:rPr>
      </w:pPr>
      <w:r>
        <w:rPr>
          <w:rFonts w:hint="eastAsia" w:ascii="黑体" w:eastAsia="黑体"/>
          <w:b w:val="0"/>
        </w:rPr>
        <w:t xml:space="preserve">第一部分 </w:t>
      </w:r>
      <w:r>
        <w:rPr>
          <w:rStyle w:val="18"/>
          <w:rFonts w:hint="eastAsia" w:ascii="黑体" w:eastAsia="黑体"/>
          <w:b w:val="0"/>
          <w:bCs w:val="0"/>
        </w:rPr>
        <w:t>部门概况</w:t>
      </w:r>
      <w:bookmarkEnd w:id="12"/>
      <w:bookmarkEnd w:id="13"/>
    </w:p>
    <w:p>
      <w:pPr>
        <w:pStyle w:val="4"/>
        <w:keepNext/>
        <w:keepLines/>
        <w:pageBreakBefore w:val="0"/>
        <w:widowControl w:val="0"/>
        <w:kinsoku/>
        <w:wordWrap/>
        <w:overflowPunct/>
        <w:topLinePunct w:val="0"/>
        <w:autoSpaceDE/>
        <w:autoSpaceDN/>
        <w:bidi w:val="0"/>
        <w:adjustRightInd/>
        <w:snapToGrid/>
        <w:spacing w:before="0" w:after="0" w:line="480" w:lineRule="exact"/>
        <w:ind w:left="640" w:hanging="640" w:hangingChars="200"/>
        <w:textAlignment w:val="auto"/>
        <w:rPr>
          <w:rStyle w:val="19"/>
          <w:rFonts w:hint="eastAsia" w:ascii="黑体" w:eastAsia="黑体"/>
          <w:b w:val="0"/>
          <w:bCs w:val="0"/>
        </w:rPr>
      </w:pPr>
      <w:bookmarkStart w:id="14" w:name="_Toc15377197"/>
      <w:bookmarkStart w:id="15" w:name="_Toc15396600"/>
      <w:r>
        <w:rPr>
          <w:rFonts w:hint="eastAsia" w:ascii="黑体" w:eastAsia="黑体"/>
          <w:b w:val="0"/>
          <w:color w:val="000000"/>
        </w:rPr>
        <w:t>一、基</w:t>
      </w:r>
      <w:r>
        <w:rPr>
          <w:rStyle w:val="19"/>
          <w:rFonts w:hint="eastAsia" w:ascii="黑体" w:eastAsia="黑体"/>
          <w:b w:val="0"/>
          <w:bCs w:val="0"/>
        </w:rPr>
        <w:t>本职能及主要工作</w:t>
      </w:r>
      <w:bookmarkEnd w:id="14"/>
      <w:bookmarkEnd w:id="15"/>
      <w:bookmarkStart w:id="16" w:name="_Toc15377198"/>
      <w:bookmarkStart w:id="17" w:name="_Toc15378445"/>
    </w:p>
    <w:p>
      <w:pPr>
        <w:pStyle w:val="4"/>
        <w:keepNext/>
        <w:keepLines/>
        <w:pageBreakBefore w:val="0"/>
        <w:widowControl w:val="0"/>
        <w:kinsoku/>
        <w:wordWrap/>
        <w:overflowPunct/>
        <w:topLinePunct w:val="0"/>
        <w:autoSpaceDE/>
        <w:autoSpaceDN/>
        <w:bidi w:val="0"/>
        <w:adjustRightInd/>
        <w:snapToGrid/>
        <w:spacing w:before="0" w:after="0" w:line="480" w:lineRule="exact"/>
        <w:ind w:left="642" w:leftChars="153" w:hanging="321" w:hangingChars="100"/>
        <w:textAlignment w:val="auto"/>
        <w:rPr>
          <w:rFonts w:hint="eastAsia" w:ascii="楷体" w:eastAsia="楷体" w:cs="楷体"/>
          <w:bCs/>
          <w:color w:val="000000"/>
          <w:sz w:val="32"/>
          <w:szCs w:val="32"/>
        </w:rPr>
      </w:pPr>
      <w:r>
        <w:rPr>
          <w:rFonts w:hint="eastAsia" w:ascii="楷体" w:eastAsia="楷体" w:cs="楷体"/>
          <w:bCs/>
          <w:color w:val="000000"/>
          <w:sz w:val="32"/>
          <w:szCs w:val="32"/>
        </w:rPr>
        <w:t>（一）主要职能</w:t>
      </w:r>
      <w:bookmarkEnd w:id="16"/>
      <w:bookmarkEnd w:id="17"/>
      <w:bookmarkStart w:id="18" w:name="_Toc15378446"/>
      <w:bookmarkStart w:id="19" w:name="_Toc15377199"/>
    </w:p>
    <w:p>
      <w:pPr>
        <w:pageBreakBefore w:val="0"/>
        <w:widowControl/>
        <w:kinsoku/>
        <w:wordWrap/>
        <w:overflowPunct/>
        <w:topLinePunct w:val="0"/>
        <w:autoSpaceDE/>
        <w:autoSpaceDN/>
        <w:bidi w:val="0"/>
        <w:adjustRightInd/>
        <w:spacing w:line="480" w:lineRule="exact"/>
        <w:ind w:firstLine="800" w:firstLineChars="250"/>
        <w:jc w:val="left"/>
        <w:textAlignment w:val="auto"/>
        <w:rPr>
          <w:rFonts w:hint="eastAsia" w:ascii="仿宋_GB2312" w:eastAsia="仿宋_GB2312"/>
          <w:sz w:val="32"/>
          <w:szCs w:val="32"/>
        </w:rPr>
      </w:pPr>
      <w:r>
        <w:rPr>
          <w:rFonts w:hint="eastAsia" w:ascii="仿宋_GB2312" w:eastAsia="仿宋_GB2312"/>
          <w:sz w:val="32"/>
          <w:szCs w:val="32"/>
        </w:rPr>
        <w:t>1．根据党章和《地方组织法》的规定，乡党委、政府承担辖区内促进经济发展、提供公共服务、加强社会管理、维护社会稳定，推动物质文明、政治文明、精神文明及和谐社会建设等任务。其主要职能是：</w:t>
      </w:r>
    </w:p>
    <w:p>
      <w:pPr>
        <w:pageBreakBefore w:val="0"/>
        <w:widowControl w:val="0"/>
        <w:kinsoku/>
        <w:wordWrap/>
        <w:overflowPunct/>
        <w:topLinePunct w:val="0"/>
        <w:autoSpaceDE/>
        <w:autoSpaceDN/>
        <w:bidi w:val="0"/>
        <w:adjustRightInd/>
        <w:snapToGrid w:val="0"/>
        <w:spacing w:line="480" w:lineRule="exact"/>
        <w:ind w:firstLine="640" w:firstLineChars="200"/>
        <w:textAlignment w:val="auto"/>
        <w:rPr>
          <w:rFonts w:ascii="仿宋_GB2312" w:eastAsia="仿宋_GB2312"/>
          <w:sz w:val="32"/>
          <w:szCs w:val="32"/>
        </w:rPr>
      </w:pPr>
      <w:r>
        <w:rPr>
          <w:rFonts w:hint="eastAsia" w:ascii="仿宋_GB2312" w:eastAsia="仿宋_GB2312"/>
          <w:sz w:val="32"/>
          <w:szCs w:val="32"/>
        </w:rPr>
        <w:t>（1）、贯彻落实党和政府各项路线方针政策。深入贯彻</w:t>
      </w:r>
      <w:r>
        <w:rPr>
          <w:rFonts w:hint="eastAsia" w:ascii="仿宋_GB2312" w:eastAsia="仿宋_GB2312"/>
          <w:sz w:val="32"/>
          <w:szCs w:val="32"/>
          <w:lang w:val="en-US" w:eastAsia="zh-CN"/>
        </w:rPr>
        <w:t>十九大和十九届二中、三中、四中、五中、六中全会精神以及省、州全会精神，深入学习习近平总书记在建党100周年大会上的重要讲话精神，</w:t>
      </w:r>
      <w:r>
        <w:rPr>
          <w:rFonts w:hint="eastAsia" w:ascii="仿宋_GB2312" w:eastAsia="仿宋_GB2312"/>
          <w:sz w:val="32"/>
          <w:szCs w:val="32"/>
        </w:rPr>
        <w:t>宣传和贯彻执行党的路线、方针、政策和国家的法律、法令；宣传和贯彻上级机关的政策、法规、规章、决定等；执行本级党代会和人代会的决定、决议；研究决定辖区内政治、经济、文化等重大问题。</w:t>
      </w:r>
    </w:p>
    <w:p>
      <w:pPr>
        <w:pageBreakBefore w:val="0"/>
        <w:widowControl w:val="0"/>
        <w:kinsoku/>
        <w:wordWrap/>
        <w:overflowPunct/>
        <w:topLinePunct w:val="0"/>
        <w:autoSpaceDE/>
        <w:autoSpaceDN/>
        <w:bidi w:val="0"/>
        <w:adjustRightInd/>
        <w:snapToGrid w:val="0"/>
        <w:spacing w:line="480" w:lineRule="exact"/>
        <w:ind w:firstLine="480" w:firstLineChars="150"/>
        <w:textAlignment w:val="auto"/>
        <w:rPr>
          <w:rFonts w:hint="eastAsia" w:ascii="仿宋_GB2312" w:eastAsia="仿宋_GB2312"/>
          <w:sz w:val="32"/>
          <w:szCs w:val="32"/>
        </w:rPr>
      </w:pPr>
      <w:r>
        <w:rPr>
          <w:rFonts w:hint="eastAsia" w:ascii="仿宋_GB2312" w:eastAsia="仿宋_GB2312"/>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pageBreakBefore w:val="0"/>
        <w:widowControl w:val="0"/>
        <w:kinsoku/>
        <w:wordWrap/>
        <w:overflowPunct/>
        <w:topLinePunct w:val="0"/>
        <w:autoSpaceDE/>
        <w:autoSpaceDN/>
        <w:bidi w:val="0"/>
        <w:adjustRightInd/>
        <w:snapToGrid w:val="0"/>
        <w:spacing w:line="480" w:lineRule="exact"/>
        <w:ind w:firstLine="480" w:firstLineChars="150"/>
        <w:textAlignment w:val="auto"/>
        <w:rPr>
          <w:rFonts w:hint="eastAsia" w:ascii="仿宋_GB2312" w:eastAsia="仿宋_GB2312"/>
          <w:sz w:val="32"/>
          <w:szCs w:val="32"/>
        </w:rPr>
      </w:pPr>
      <w:r>
        <w:rPr>
          <w:rFonts w:hint="eastAsia" w:ascii="仿宋_GB2312" w:eastAsia="仿宋_GB2312"/>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bCs/>
          <w:color w:val="000000"/>
          <w:sz w:val="32"/>
          <w:szCs w:val="32"/>
          <w:highlight w:val="yellow"/>
        </w:rPr>
      </w:pPr>
      <w:r>
        <w:rPr>
          <w:rFonts w:hint="eastAsia" w:ascii="仿宋_GB2312" w:eastAsia="仿宋_GB2312"/>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4"/>
        <w:keepNext/>
        <w:keepLines/>
        <w:pageBreakBefore w:val="0"/>
        <w:widowControl w:val="0"/>
        <w:kinsoku/>
        <w:wordWrap/>
        <w:overflowPunct/>
        <w:topLinePunct w:val="0"/>
        <w:autoSpaceDE/>
        <w:autoSpaceDN/>
        <w:bidi w:val="0"/>
        <w:adjustRightInd/>
        <w:spacing w:before="0" w:after="0" w:line="480" w:lineRule="exact"/>
        <w:ind w:firstLine="321" w:firstLineChars="100"/>
        <w:textAlignment w:val="auto"/>
        <w:rPr>
          <w:rFonts w:hint="eastAsia" w:ascii="楷体" w:eastAsia="楷体" w:cs="楷体"/>
          <w:bCs/>
          <w:color w:val="000000"/>
          <w:sz w:val="32"/>
          <w:szCs w:val="32"/>
        </w:rPr>
      </w:pPr>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21</w:t>
      </w:r>
      <w:r>
        <w:rPr>
          <w:rFonts w:hint="eastAsia" w:ascii="楷体" w:eastAsia="楷体" w:cs="楷体"/>
          <w:bCs/>
          <w:color w:val="000000"/>
          <w:sz w:val="32"/>
          <w:szCs w:val="32"/>
        </w:rPr>
        <w:t>年重点工作完成情况</w:t>
      </w:r>
      <w:bookmarkEnd w:id="18"/>
      <w:bookmarkEnd w:id="19"/>
    </w:p>
    <w:p>
      <w:pPr>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仿宋_GB2312" w:eastAsia="仿宋_GB2312"/>
          <w:sz w:val="32"/>
          <w:szCs w:val="32"/>
          <w:lang w:val="en-US" w:eastAsia="zh-CN"/>
        </w:rPr>
      </w:pPr>
      <w:bookmarkStart w:id="20" w:name="_Toc15396601"/>
      <w:bookmarkStart w:id="21" w:name="_Toc15377200"/>
      <w:r>
        <w:rPr>
          <w:rFonts w:hint="eastAsia" w:ascii="仿宋_GB2312" w:eastAsia="仿宋_GB2312"/>
          <w:sz w:val="32"/>
          <w:szCs w:val="32"/>
          <w:lang w:val="en-US" w:eastAsia="zh-CN"/>
        </w:rPr>
        <w:t>在县委、县政府和乡党委的坚强领导下，在乡人大的有力监督、支持下，全乡上下坚持以习近平新时代中国特色社会主义思想为指导,全面贯彻党的十九大和十九届二中、三中、四中、五中、六中全会精神以及省、州全会精神，深入学习习近平总书记在建党100周年大会上的重要讲话精神，团结带领全乡上下，紧紧围绕“四地三县两个金川”战略部署，以建设“小康曾达、美丽曾达”为目标，坚持稳中求进、进中求好、补齐短板工作总基调，持续推进灾后重建提质、“三防一稳”提效、“三大战役”提速、基层治理提级，经过全乡上下齐心协力、锐意进取、砥砺攻坚，有力推动了各项工作顺利开展并较好完成了各项目标任务</w:t>
      </w:r>
    </w:p>
    <w:p>
      <w:pPr>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促脱贫、攻难关，巩固攻坚成效。全乡上下齐心协力，攻坚克难，坚决打赢脱贫攻坚战，5个贫困村相继脱贫销号，实现171户585贫困人口，“两不愁、三保障”、一超六有全部达标，顺利通过脱贫攻坚省检国评和普查验收。严格按照工作要求，2021年对全乡所有群众进行再次分析研判，7户31人纳入作为脱贫监测范围。继续落实“四个不摘”工作要求，对已脱贫户继续明确帮扶责任人，细化帮扶措施，通过落实城乡低保、公益性岗位、就业服务、教育资助、医疗救助等方式进行持续帮扶，不断巩固脱贫成效。</w:t>
      </w:r>
    </w:p>
    <w:p>
      <w:pPr>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举全力、防风险，筑牢安全防线。全乡始终牢固树立“人民至上、生命至上、安全第一”的理念，始终把保护人民群众生命安全放在首位，坚持冬春防火、夏秋防汛、时时防疫，坚决抑制住各类灾情的发生，做到处变不惊、科学应对。</w:t>
      </w:r>
      <w:r>
        <w:rPr>
          <w:rFonts w:hint="eastAsia" w:ascii="仿宋_GB2312" w:eastAsia="仿宋_GB2312"/>
          <w:sz w:val="32"/>
          <w:szCs w:val="32"/>
          <w:lang w:val="zh-CN" w:eastAsia="zh-CN"/>
        </w:rPr>
        <w:t>一是提高精度，打好疫情防控“</w:t>
      </w:r>
      <w:r>
        <w:rPr>
          <w:rFonts w:hint="eastAsia" w:ascii="仿宋_GB2312" w:eastAsia="仿宋_GB2312"/>
          <w:sz w:val="32"/>
          <w:szCs w:val="32"/>
          <w:lang w:val="en-US" w:eastAsia="zh-CN"/>
        </w:rPr>
        <w:t>阻</w:t>
      </w:r>
      <w:r>
        <w:rPr>
          <w:rFonts w:hint="eastAsia" w:ascii="仿宋_GB2312" w:eastAsia="仿宋_GB2312"/>
          <w:sz w:val="32"/>
          <w:szCs w:val="32"/>
          <w:lang w:val="zh-CN" w:eastAsia="zh-CN"/>
        </w:rPr>
        <w:t>击战”。</w:t>
      </w:r>
      <w:r>
        <w:rPr>
          <w:rFonts w:hint="eastAsia" w:ascii="仿宋_GB2312" w:eastAsia="仿宋_GB2312"/>
          <w:sz w:val="32"/>
          <w:szCs w:val="32"/>
          <w:lang w:val="en-US" w:eastAsia="zh-CN"/>
        </w:rPr>
        <w:t>新冠疫情爆发以来，</w:t>
      </w:r>
      <w:r>
        <w:rPr>
          <w:rFonts w:hint="eastAsia" w:ascii="仿宋_GB2312" w:eastAsia="仿宋_GB2312"/>
          <w:sz w:val="32"/>
          <w:szCs w:val="32"/>
        </w:rPr>
        <w:t>始终</w:t>
      </w:r>
      <w:r>
        <w:rPr>
          <w:rFonts w:hint="eastAsia" w:ascii="仿宋_GB2312" w:eastAsia="仿宋_GB2312"/>
          <w:sz w:val="32"/>
          <w:szCs w:val="32"/>
          <w:lang w:eastAsia="zh-CN"/>
        </w:rPr>
        <w:t>以高强度、严要求来抓</w:t>
      </w:r>
      <w:r>
        <w:rPr>
          <w:rFonts w:hint="eastAsia" w:ascii="仿宋_GB2312" w:eastAsia="仿宋_GB2312"/>
          <w:sz w:val="32"/>
          <w:szCs w:val="32"/>
        </w:rPr>
        <w:t>疫情防控工作，</w:t>
      </w:r>
      <w:r>
        <w:rPr>
          <w:rFonts w:hint="eastAsia" w:ascii="仿宋_GB2312" w:eastAsia="仿宋_GB2312"/>
          <w:sz w:val="32"/>
          <w:szCs w:val="32"/>
          <w:lang w:eastAsia="zh-CN"/>
        </w:rPr>
        <w:t>严格</w:t>
      </w:r>
      <w:r>
        <w:rPr>
          <w:rFonts w:hint="eastAsia" w:ascii="仿宋_GB2312" w:eastAsia="仿宋_GB2312"/>
          <w:sz w:val="32"/>
          <w:szCs w:val="32"/>
        </w:rPr>
        <w:t>落实“外防输入、内防反弹”防控策略，</w:t>
      </w:r>
      <w:r>
        <w:rPr>
          <w:rFonts w:hint="eastAsia" w:ascii="仿宋_GB2312" w:eastAsia="仿宋_GB2312"/>
          <w:sz w:val="32"/>
          <w:szCs w:val="32"/>
          <w:lang w:val="en-US" w:eastAsia="zh-CN"/>
        </w:rPr>
        <w:t>强化物资储备、检查站盘查、宣传引导、</w:t>
      </w:r>
      <w:r>
        <w:rPr>
          <w:rFonts w:hint="eastAsia" w:ascii="仿宋_GB2312" w:eastAsia="仿宋_GB2312"/>
          <w:sz w:val="32"/>
          <w:szCs w:val="32"/>
          <w:lang w:eastAsia="zh-CN"/>
        </w:rPr>
        <w:t>摸排管控</w:t>
      </w:r>
      <w:r>
        <w:rPr>
          <w:rFonts w:hint="eastAsia" w:ascii="仿宋_GB2312" w:eastAsia="仿宋_GB2312"/>
          <w:sz w:val="32"/>
          <w:szCs w:val="32"/>
        </w:rPr>
        <w:t>返乡</w:t>
      </w:r>
      <w:r>
        <w:rPr>
          <w:rFonts w:hint="eastAsia" w:ascii="仿宋_GB2312" w:eastAsia="仿宋_GB2312"/>
          <w:sz w:val="32"/>
          <w:szCs w:val="32"/>
          <w:lang w:eastAsia="zh-CN"/>
        </w:rPr>
        <w:t>人员、</w:t>
      </w:r>
      <w:r>
        <w:rPr>
          <w:rFonts w:hint="eastAsia" w:ascii="仿宋_GB2312" w:eastAsia="仿宋_GB2312"/>
          <w:sz w:val="32"/>
          <w:szCs w:val="32"/>
        </w:rPr>
        <w:t>开展疫苗接种</w:t>
      </w:r>
      <w:r>
        <w:rPr>
          <w:rFonts w:hint="eastAsia" w:ascii="仿宋_GB2312" w:eastAsia="仿宋_GB2312"/>
          <w:sz w:val="32"/>
          <w:szCs w:val="32"/>
          <w:lang w:eastAsia="zh-CN"/>
        </w:rPr>
        <w:t>等措施，提倡红事缓办、白事简办，在全乡干部群众共同努力下，</w:t>
      </w:r>
      <w:r>
        <w:rPr>
          <w:rFonts w:ascii="仿宋_GB2312" w:eastAsia="仿宋_GB2312"/>
          <w:sz w:val="32"/>
          <w:szCs w:val="32"/>
          <w:lang w:val="en-US" w:eastAsia="zh-CN"/>
        </w:rPr>
        <w:t>实现了疫情“零发生”。</w:t>
      </w:r>
      <w:r>
        <w:rPr>
          <w:rFonts w:hint="eastAsia" w:ascii="仿宋_GB2312" w:eastAsia="仿宋_GB2312"/>
          <w:sz w:val="32"/>
          <w:szCs w:val="32"/>
          <w:lang w:val="zh-CN" w:eastAsia="zh-CN"/>
        </w:rPr>
        <w:t>二是加大力度，打好防汛减灾“攻坚战”。</w:t>
      </w:r>
      <w:r>
        <w:rPr>
          <w:rFonts w:hint="eastAsia" w:ascii="仿宋_GB2312" w:eastAsia="仿宋_GB2312"/>
          <w:sz w:val="32"/>
          <w:szCs w:val="32"/>
          <w:lang w:eastAsia="zh-CN"/>
        </w:rPr>
        <w:t>面对灾情，始终做到警醒重视、</w:t>
      </w:r>
      <w:r>
        <w:rPr>
          <w:rFonts w:hint="eastAsia" w:ascii="仿宋_GB2312" w:eastAsia="仿宋_GB2312"/>
          <w:sz w:val="32"/>
          <w:szCs w:val="32"/>
          <w:lang w:val="en-US" w:eastAsia="zh-CN"/>
        </w:rPr>
        <w:t>24小时监测预警，强化隐患排查整治，</w:t>
      </w:r>
      <w:r>
        <w:rPr>
          <w:rFonts w:hint="eastAsia" w:ascii="仿宋_GB2312" w:eastAsia="仿宋_GB2312"/>
          <w:sz w:val="32"/>
          <w:szCs w:val="32"/>
        </w:rPr>
        <w:t>统筹协调、分工明确，既各司其职又相互配合</w:t>
      </w:r>
      <w:r>
        <w:rPr>
          <w:rFonts w:hint="eastAsia" w:ascii="仿宋_GB2312" w:eastAsia="仿宋_GB2312"/>
          <w:sz w:val="32"/>
          <w:szCs w:val="32"/>
          <w:lang w:eastAsia="zh-CN"/>
        </w:rPr>
        <w:t>，</w:t>
      </w:r>
      <w:r>
        <w:rPr>
          <w:rFonts w:hint="eastAsia" w:ascii="仿宋_GB2312" w:eastAsia="仿宋_GB2312"/>
          <w:sz w:val="32"/>
          <w:szCs w:val="32"/>
        </w:rPr>
        <w:t>认真落实“三个避让”和“三个紧急撤离”刚性要求</w:t>
      </w:r>
      <w:r>
        <w:rPr>
          <w:rFonts w:hint="eastAsia" w:ascii="仿宋_GB2312" w:eastAsia="仿宋_GB2312"/>
          <w:sz w:val="32"/>
          <w:szCs w:val="32"/>
          <w:lang w:eastAsia="zh-CN"/>
        </w:rPr>
        <w:t>，实现了多次灾害无人员伤亡。</w:t>
      </w:r>
      <w:r>
        <w:rPr>
          <w:rFonts w:hint="eastAsia" w:ascii="仿宋_GB2312" w:eastAsia="仿宋_GB2312"/>
          <w:sz w:val="32"/>
          <w:szCs w:val="32"/>
          <w:lang w:val="zh-CN" w:eastAsia="zh-CN"/>
        </w:rPr>
        <w:t>三是</w:t>
      </w:r>
      <w:r>
        <w:rPr>
          <w:rFonts w:hint="eastAsia" w:ascii="仿宋_GB2312" w:eastAsia="仿宋_GB2312"/>
          <w:sz w:val="32"/>
          <w:szCs w:val="32"/>
          <w:lang w:val="en-US" w:eastAsia="zh-CN"/>
        </w:rPr>
        <w:t>聚焦强度，打好森林草原防灭火“翻身仗”。严实开展森林草原防灭火专项整治活动，建立常态化工作机制。</w:t>
      </w:r>
    </w:p>
    <w:p>
      <w:pPr>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强治理、重保护，打造生态宜居新乡镇。曾达乡认真领会习近平生态文明思想，贯彻落实各级领导重要指示批示精神，认真践行“两山”理论，大力推进生态建设。一是始终坚持生态优先。退耕还林、植被恢复等工程持续深入，有效管护天然林5.5万亩。全力打好“蓝天、碧水、净土”三大战役，曾达村农村污水处理项目进场施工。二是全域开展环境整治。着力于全乡境内的“金川河沿线”环境整治和“六乱”治理，常态化开展“周五卫生大扫除”活动，整治境内建筑垃圾堆放点3处，卫生死角及垃圾堆放点60余处，整顿工地乱象3处，强行拆除违规建筑1处，有效督促环保工作落实。三是抓实问题整改。按照各级环保检查反馈问题，我乡举一反三，坚持把问题整改，作为环境保护的重要抓手，完成子云电站、坛罐窑电站、倪家坪电站的全部彻底拆除，并进行植被恢复。严格落实河长制，常态开展“巡河”，大力开展河道清淤、堤防建设等保护措施，严格管理境内砂石，坚决杜绝私自违法采挖。五年来，全乡未发生任何环境保护违法事件。</w:t>
      </w:r>
    </w:p>
    <w:p>
      <w:pPr>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明局势，克难关，重建灾后美好家园。灾后恢复重建持续用力，与涉及单位、施工企业积极沟通、协调联动，做到了稳步推进。灾后恢复重建共规划房屋建设、交通建设、水利、地质灾害治理、电力通讯设施建设、公共基础服务设施建设、集镇建设、产业恢复、生态保护和环境治理9大类,27个项目,总投资27400万元。</w:t>
      </w:r>
    </w:p>
    <w:p>
      <w:pPr>
        <w:pageBreakBefore w:val="0"/>
        <w:widowControl w:val="0"/>
        <w:kinsoku/>
        <w:wordWrap/>
        <w:overflowPunct/>
        <w:topLinePunct w:val="0"/>
        <w:autoSpaceDE/>
        <w:autoSpaceDN/>
        <w:bidi w:val="0"/>
        <w:adjustRightInd/>
        <w:spacing w:line="480" w:lineRule="exact"/>
        <w:ind w:left="0" w:firstLine="640" w:firstLineChars="200"/>
        <w:textAlignment w:val="auto"/>
        <w:rPr>
          <w:rStyle w:val="19"/>
          <w:b w:val="0"/>
          <w:bCs w:val="0"/>
        </w:rPr>
      </w:pPr>
      <w:r>
        <w:rPr>
          <w:rStyle w:val="19"/>
          <w:rFonts w:hint="eastAsia" w:ascii="黑体" w:eastAsia="黑体"/>
          <w:b w:val="0"/>
          <w:bCs w:val="0"/>
        </w:rPr>
        <w:t>二、机构设置</w:t>
      </w:r>
      <w:bookmarkEnd w:id="20"/>
      <w:bookmarkEnd w:id="21"/>
    </w:p>
    <w:p>
      <w:pPr>
        <w:pageBreakBefore w:val="0"/>
        <w:widowControl/>
        <w:kinsoku/>
        <w:wordWrap/>
        <w:overflowPunct/>
        <w:topLinePunct w:val="0"/>
        <w:autoSpaceDE/>
        <w:autoSpaceDN/>
        <w:bidi w:val="0"/>
        <w:adjustRightInd/>
        <w:spacing w:line="480" w:lineRule="exact"/>
        <w:ind w:firstLine="600" w:firstLineChars="200"/>
        <w:jc w:val="left"/>
        <w:textAlignment w:val="auto"/>
        <w:rPr>
          <w:rFonts w:hint="eastAsia" w:ascii="仿宋_GB2312" w:eastAsia="仿宋_GB2312"/>
          <w:sz w:val="30"/>
          <w:szCs w:val="30"/>
        </w:rPr>
      </w:pPr>
      <w:bookmarkStart w:id="22" w:name="_Toc15377204"/>
      <w:bookmarkStart w:id="23" w:name="_Toc15396602"/>
      <w:r>
        <w:rPr>
          <w:rFonts w:hint="eastAsia" w:ascii="仿宋_GB2312" w:eastAsia="仿宋_GB2312"/>
          <w:sz w:val="30"/>
          <w:szCs w:val="30"/>
        </w:rPr>
        <w:t>1、机构情况：</w:t>
      </w:r>
      <w:r>
        <w:rPr>
          <w:rFonts w:hint="eastAsia" w:ascii="仿宋_GB2312" w:eastAsia="仿宋_GB2312"/>
          <w:color w:val="000000"/>
          <w:sz w:val="32"/>
          <w:szCs w:val="32"/>
        </w:rPr>
        <w:t>阿坝州金川县曾达乡人民政府</w:t>
      </w:r>
      <w:r>
        <w:rPr>
          <w:rFonts w:hint="eastAsia" w:ascii="仿宋_GB2312" w:eastAsia="仿宋_GB2312"/>
          <w:bCs/>
          <w:color w:val="000000"/>
          <w:sz w:val="32"/>
          <w:szCs w:val="32"/>
        </w:rPr>
        <w:t>设</w:t>
      </w:r>
      <w:r>
        <w:rPr>
          <w:rFonts w:hint="eastAsia" w:ascii="仿宋_GB2312" w:eastAsia="仿宋_GB2312"/>
          <w:color w:val="000000"/>
          <w:sz w:val="32"/>
          <w:szCs w:val="32"/>
        </w:rPr>
        <w:t>独立编制机构2个，其中:行政单位1个，参照公务员法管理的事业单位1个。</w:t>
      </w:r>
    </w:p>
    <w:p>
      <w:pPr>
        <w:pageBreakBefore w:val="0"/>
        <w:widowControl w:val="0"/>
        <w:kinsoku/>
        <w:wordWrap/>
        <w:overflowPunct/>
        <w:topLinePunct w:val="0"/>
        <w:autoSpaceDE/>
        <w:autoSpaceDN/>
        <w:bidi w:val="0"/>
        <w:adjustRightInd/>
        <w:snapToGrid w:val="0"/>
        <w:spacing w:line="480" w:lineRule="exact"/>
        <w:textAlignment w:val="auto"/>
        <w:rPr>
          <w:rFonts w:hint="eastAsia" w:ascii="仿宋_GB2312" w:eastAsia="仿宋_GB2312"/>
          <w:bCs/>
          <w:sz w:val="30"/>
          <w:szCs w:val="30"/>
        </w:rPr>
      </w:pPr>
      <w:r>
        <w:rPr>
          <w:rFonts w:hint="eastAsia" w:ascii="仿宋_GB2312" w:eastAsia="仿宋_GB2312"/>
          <w:sz w:val="30"/>
          <w:szCs w:val="30"/>
        </w:rPr>
        <w:t>　　2.人员情况：</w:t>
      </w:r>
      <w:r>
        <w:rPr>
          <w:rFonts w:ascii="仿宋_GB2312" w:eastAsia="仿宋_GB2312"/>
          <w:bCs/>
          <w:sz w:val="32"/>
        </w:rPr>
        <w:t>  </w:t>
      </w:r>
      <w:r>
        <w:rPr>
          <w:rFonts w:hint="eastAsia" w:ascii="仿宋_GB2312" w:eastAsia="仿宋_GB2312"/>
          <w:bCs/>
          <w:sz w:val="32"/>
        </w:rPr>
        <w:t>20</w:t>
      </w:r>
      <w:r>
        <w:rPr>
          <w:rFonts w:hint="eastAsia" w:ascii="仿宋_GB2312" w:eastAsia="仿宋_GB2312"/>
          <w:bCs/>
          <w:sz w:val="32"/>
          <w:lang w:val="en-US" w:eastAsia="zh-CN"/>
        </w:rPr>
        <w:t>21</w:t>
      </w:r>
      <w:r>
        <w:rPr>
          <w:rFonts w:hint="eastAsia" w:ascii="仿宋_GB2312" w:eastAsia="仿宋_GB2312"/>
          <w:bCs/>
          <w:sz w:val="32"/>
        </w:rPr>
        <w:t>年年初在职</w:t>
      </w:r>
      <w:r>
        <w:rPr>
          <w:rFonts w:hint="eastAsia" w:ascii="仿宋_GB2312" w:eastAsia="仿宋_GB2312"/>
          <w:bCs/>
          <w:sz w:val="32"/>
          <w:lang w:val="en-US" w:eastAsia="zh-CN"/>
        </w:rPr>
        <w:t>25</w:t>
      </w:r>
      <w:r>
        <w:rPr>
          <w:rFonts w:hint="eastAsia" w:ascii="仿宋_GB2312" w:eastAsia="仿宋_GB2312"/>
          <w:bCs/>
          <w:sz w:val="32"/>
        </w:rPr>
        <w:t>人（行政人员</w:t>
      </w:r>
      <w:r>
        <w:rPr>
          <w:rFonts w:hint="eastAsia" w:ascii="仿宋_GB2312" w:eastAsia="仿宋_GB2312"/>
          <w:bCs/>
          <w:sz w:val="32"/>
          <w:lang w:val="en-US" w:eastAsia="zh-CN"/>
        </w:rPr>
        <w:t>17</w:t>
      </w:r>
      <w:r>
        <w:rPr>
          <w:rFonts w:hint="eastAsia" w:ascii="仿宋_GB2312" w:eastAsia="仿宋_GB2312"/>
          <w:bCs/>
          <w:sz w:val="32"/>
        </w:rPr>
        <w:t>人,行政工勤</w:t>
      </w:r>
      <w:r>
        <w:rPr>
          <w:rFonts w:hint="eastAsia" w:ascii="仿宋_GB2312" w:eastAsia="仿宋_GB2312"/>
          <w:bCs/>
          <w:sz w:val="32"/>
          <w:lang w:val="en-US" w:eastAsia="zh-CN"/>
        </w:rPr>
        <w:t>1</w:t>
      </w:r>
      <w:r>
        <w:rPr>
          <w:rFonts w:hint="eastAsia" w:ascii="仿宋_GB2312" w:eastAsia="仿宋_GB2312"/>
          <w:bCs/>
          <w:sz w:val="32"/>
        </w:rPr>
        <w:t>人。事业管理</w:t>
      </w:r>
      <w:r>
        <w:rPr>
          <w:rFonts w:hint="eastAsia" w:ascii="仿宋_GB2312" w:eastAsia="仿宋_GB2312"/>
          <w:bCs/>
          <w:sz w:val="32"/>
          <w:lang w:val="en-US" w:eastAsia="zh-CN"/>
        </w:rPr>
        <w:t>3</w:t>
      </w:r>
      <w:r>
        <w:rPr>
          <w:rFonts w:hint="eastAsia" w:ascii="仿宋_GB2312" w:eastAsia="仿宋_GB2312"/>
          <w:bCs/>
          <w:sz w:val="32"/>
        </w:rPr>
        <w:t>人，专业技术人员</w:t>
      </w:r>
      <w:r>
        <w:rPr>
          <w:rFonts w:hint="eastAsia" w:ascii="仿宋_GB2312" w:eastAsia="仿宋_GB2312"/>
          <w:bCs/>
          <w:sz w:val="32"/>
          <w:lang w:val="en-US" w:eastAsia="zh-CN"/>
        </w:rPr>
        <w:t>3</w:t>
      </w:r>
      <w:r>
        <w:rPr>
          <w:rFonts w:hint="eastAsia" w:ascii="仿宋_GB2312" w:eastAsia="仿宋_GB2312"/>
          <w:bCs/>
          <w:sz w:val="32"/>
        </w:rPr>
        <w:t>人，事业工勤</w:t>
      </w:r>
      <w:r>
        <w:rPr>
          <w:rFonts w:hint="eastAsia" w:ascii="仿宋_GB2312" w:eastAsia="仿宋_GB2312"/>
          <w:bCs/>
          <w:sz w:val="32"/>
          <w:lang w:val="en-US" w:eastAsia="zh-CN"/>
        </w:rPr>
        <w:t>1</w:t>
      </w:r>
      <w:r>
        <w:rPr>
          <w:rFonts w:hint="eastAsia" w:ascii="仿宋_GB2312" w:eastAsia="仿宋_GB2312"/>
          <w:bCs/>
          <w:sz w:val="32"/>
        </w:rPr>
        <w:t>人）。20</w:t>
      </w:r>
      <w:r>
        <w:rPr>
          <w:rFonts w:hint="eastAsia" w:ascii="仿宋_GB2312" w:eastAsia="仿宋_GB2312"/>
          <w:bCs/>
          <w:sz w:val="32"/>
          <w:lang w:val="en-US" w:eastAsia="zh-CN"/>
        </w:rPr>
        <w:t>21</w:t>
      </w:r>
      <w:r>
        <w:rPr>
          <w:rFonts w:hint="eastAsia" w:ascii="仿宋_GB2312" w:eastAsia="仿宋_GB2312"/>
          <w:bCs/>
          <w:sz w:val="32"/>
        </w:rPr>
        <w:t>年年末在职</w:t>
      </w:r>
      <w:r>
        <w:rPr>
          <w:rFonts w:hint="eastAsia" w:ascii="仿宋_GB2312" w:eastAsia="仿宋_GB2312"/>
          <w:bCs/>
          <w:sz w:val="32"/>
          <w:lang w:val="en-US" w:eastAsia="zh-CN"/>
        </w:rPr>
        <w:t>28</w:t>
      </w:r>
      <w:r>
        <w:rPr>
          <w:rFonts w:hint="eastAsia" w:ascii="仿宋_GB2312" w:eastAsia="仿宋_GB2312"/>
          <w:bCs/>
          <w:sz w:val="32"/>
        </w:rPr>
        <w:t>人（行政人员</w:t>
      </w:r>
      <w:r>
        <w:rPr>
          <w:rFonts w:hint="eastAsia" w:ascii="仿宋_GB2312" w:eastAsia="仿宋_GB2312"/>
          <w:bCs/>
          <w:sz w:val="32"/>
          <w:lang w:val="en-US" w:eastAsia="zh-CN"/>
        </w:rPr>
        <w:t>17</w:t>
      </w:r>
      <w:r>
        <w:rPr>
          <w:rFonts w:hint="eastAsia" w:ascii="仿宋_GB2312" w:eastAsia="仿宋_GB2312"/>
          <w:bCs/>
          <w:sz w:val="32"/>
        </w:rPr>
        <w:t>人,行政工勤</w:t>
      </w:r>
      <w:r>
        <w:rPr>
          <w:rFonts w:hint="eastAsia" w:ascii="仿宋_GB2312" w:eastAsia="仿宋_GB2312"/>
          <w:bCs/>
          <w:sz w:val="32"/>
          <w:lang w:val="en-US" w:eastAsia="zh-CN"/>
        </w:rPr>
        <w:t>1</w:t>
      </w:r>
      <w:r>
        <w:rPr>
          <w:rFonts w:hint="eastAsia" w:ascii="仿宋_GB2312" w:eastAsia="仿宋_GB2312"/>
          <w:bCs/>
          <w:sz w:val="32"/>
        </w:rPr>
        <w:t>人。事业管理</w:t>
      </w:r>
      <w:r>
        <w:rPr>
          <w:rFonts w:hint="eastAsia" w:ascii="仿宋_GB2312" w:eastAsia="仿宋_GB2312"/>
          <w:bCs/>
          <w:sz w:val="32"/>
          <w:lang w:val="en-US" w:eastAsia="zh-CN"/>
        </w:rPr>
        <w:t>3</w:t>
      </w:r>
      <w:r>
        <w:rPr>
          <w:rFonts w:hint="eastAsia" w:ascii="仿宋_GB2312" w:eastAsia="仿宋_GB2312"/>
          <w:bCs/>
          <w:sz w:val="32"/>
        </w:rPr>
        <w:t>人，专业技术人员</w:t>
      </w:r>
      <w:r>
        <w:rPr>
          <w:rFonts w:hint="eastAsia" w:ascii="仿宋_GB2312" w:eastAsia="仿宋_GB2312"/>
          <w:bCs/>
          <w:sz w:val="32"/>
          <w:lang w:val="en-US" w:eastAsia="zh-CN"/>
        </w:rPr>
        <w:t>6</w:t>
      </w:r>
      <w:r>
        <w:rPr>
          <w:rFonts w:hint="eastAsia" w:ascii="仿宋_GB2312" w:eastAsia="仿宋_GB2312"/>
          <w:bCs/>
          <w:sz w:val="32"/>
        </w:rPr>
        <w:t>人，事业工勤</w:t>
      </w:r>
      <w:r>
        <w:rPr>
          <w:rFonts w:hint="eastAsia" w:ascii="仿宋_GB2312" w:eastAsia="仿宋_GB2312"/>
          <w:bCs/>
          <w:sz w:val="32"/>
          <w:lang w:val="en-US" w:eastAsia="zh-CN"/>
        </w:rPr>
        <w:t>1</w:t>
      </w:r>
      <w:r>
        <w:rPr>
          <w:rFonts w:hint="eastAsia" w:ascii="仿宋_GB2312" w:eastAsia="仿宋_GB2312"/>
          <w:bCs/>
          <w:sz w:val="32"/>
        </w:rPr>
        <w:t>人）</w:t>
      </w:r>
    </w:p>
    <w:p>
      <w:pPr>
        <w:pStyle w:val="3"/>
        <w:keepNext/>
        <w:keepLines/>
        <w:pageBreakBefore w:val="0"/>
        <w:widowControl w:val="0"/>
        <w:kinsoku/>
        <w:wordWrap/>
        <w:overflowPunct/>
        <w:topLinePunct w:val="0"/>
        <w:autoSpaceDE/>
        <w:autoSpaceDN/>
        <w:bidi w:val="0"/>
        <w:adjustRightInd/>
        <w:spacing w:line="480" w:lineRule="exact"/>
        <w:ind w:right="440"/>
        <w:jc w:val="right"/>
        <w:textAlignment w:val="auto"/>
      </w:pPr>
      <w:r>
        <w:rPr>
          <w:rFonts w:hint="eastAsia" w:ascii="黑体" w:eastAsia="黑体"/>
          <w:b w:val="0"/>
          <w:color w:val="000000"/>
        </w:rPr>
        <w:t>第二部分</w:t>
      </w:r>
      <w:r>
        <w:rPr>
          <w:rFonts w:hint="eastAsia" w:ascii="黑体" w:eastAsia="黑体"/>
          <w:color w:val="000000"/>
        </w:rPr>
        <w:t xml:space="preserve"> </w:t>
      </w:r>
      <w:r>
        <w:rPr>
          <w:rStyle w:val="18"/>
          <w:rFonts w:hint="eastAsia" w:ascii="黑体" w:eastAsia="黑体"/>
          <w:b w:val="0"/>
          <w:bCs w:val="0"/>
        </w:rPr>
        <w:t>20</w:t>
      </w:r>
      <w:r>
        <w:rPr>
          <w:rStyle w:val="18"/>
          <w:rFonts w:hint="eastAsia" w:ascii="黑体" w:eastAsia="黑体"/>
          <w:b w:val="0"/>
          <w:bCs w:val="0"/>
          <w:lang w:val="en-US"/>
        </w:rPr>
        <w:t>21</w:t>
      </w:r>
      <w:r>
        <w:rPr>
          <w:rStyle w:val="18"/>
          <w:rFonts w:hint="eastAsia" w:ascii="黑体" w:eastAsia="黑体"/>
          <w:b w:val="0"/>
          <w:bCs w:val="0"/>
        </w:rPr>
        <w:t>年度部门决算情况说明</w:t>
      </w:r>
      <w:bookmarkEnd w:id="22"/>
      <w:bookmarkEnd w:id="23"/>
    </w:p>
    <w:p>
      <w:pPr>
        <w:pStyle w:val="25"/>
        <w:pageBreakBefore w:val="0"/>
        <w:widowControl w:val="0"/>
        <w:numPr>
          <w:ilvl w:val="0"/>
          <w:numId w:val="1"/>
        </w:numPr>
        <w:kinsoku/>
        <w:wordWrap/>
        <w:overflowPunct/>
        <w:topLinePunct w:val="0"/>
        <w:autoSpaceDE/>
        <w:autoSpaceDN/>
        <w:bidi w:val="0"/>
        <w:adjustRightInd/>
        <w:spacing w:line="480" w:lineRule="exact"/>
        <w:ind w:left="0" w:firstLine="0" w:firstLineChars="0"/>
        <w:textAlignment w:val="auto"/>
        <w:outlineLvl w:val="1"/>
        <w:rPr>
          <w:rStyle w:val="19"/>
          <w:rFonts w:ascii="黑体" w:eastAsia="黑体"/>
          <w:b w:val="0"/>
        </w:rPr>
      </w:pPr>
      <w:bookmarkStart w:id="24" w:name="_Toc15377205"/>
      <w:bookmarkStart w:id="25" w:name="_Toc15396603"/>
      <w:r>
        <w:rPr>
          <w:rFonts w:hint="eastAsia" w:ascii="黑体" w:eastAsia="黑体"/>
          <w:color w:val="000000"/>
          <w:sz w:val="32"/>
          <w:szCs w:val="32"/>
        </w:rPr>
        <w:t>收</w:t>
      </w:r>
      <w:r>
        <w:rPr>
          <w:rStyle w:val="19"/>
          <w:rFonts w:hint="eastAsia" w:ascii="黑体" w:eastAsia="黑体"/>
          <w:b w:val="0"/>
        </w:rPr>
        <w:t>入支出决算总体情况说明</w:t>
      </w:r>
      <w:bookmarkEnd w:id="24"/>
      <w:bookmarkEnd w:id="25"/>
    </w:p>
    <w:p>
      <w:pPr>
        <w:pageBreakBefore w:val="0"/>
        <w:widowControl w:val="0"/>
        <w:kinsoku/>
        <w:wordWrap/>
        <w:overflowPunct/>
        <w:topLinePunct w:val="0"/>
        <w:autoSpaceDE/>
        <w:autoSpaceDN/>
        <w:bidi w:val="0"/>
        <w:adjustRightInd/>
        <w:snapToGrid w:val="0"/>
        <w:spacing w:line="480" w:lineRule="exact"/>
        <w:ind w:firstLine="632" w:firstLineChars="200"/>
        <w:textAlignment w:val="auto"/>
        <w:rPr>
          <w:rFonts w:hint="eastAsia" w:ascii="仿宋_GB2312" w:eastAsia="仿宋_GB2312"/>
          <w:color w:val="000000"/>
          <w:spacing w:val="-2"/>
          <w:kern w:val="2"/>
          <w:sz w:val="32"/>
          <w:szCs w:val="32"/>
          <w:lang w:val="en-US" w:eastAsia="zh-CN" w:bidi="ar-SA"/>
        </w:rPr>
      </w:pPr>
      <w:r>
        <w:rPr>
          <w:rFonts w:hint="eastAsia" w:ascii="仿宋_GB2312" w:eastAsia="仿宋_GB2312"/>
          <w:color w:val="000000"/>
          <w:spacing w:val="-2"/>
          <w:kern w:val="2"/>
          <w:sz w:val="32"/>
          <w:szCs w:val="32"/>
          <w:lang w:val="en-US" w:eastAsia="zh-CN" w:bidi="ar-SA"/>
        </w:rPr>
        <w:t>2021年度总收入861.65万元，较上年收入增加101.24万元，增加14%。增加的主要原因是2021年我乡人员增加。</w:t>
      </w:r>
    </w:p>
    <w:p>
      <w:pPr>
        <w:pageBreakBefore w:val="0"/>
        <w:widowControl w:val="0"/>
        <w:kinsoku/>
        <w:wordWrap/>
        <w:overflowPunct/>
        <w:topLinePunct w:val="0"/>
        <w:autoSpaceDE/>
        <w:autoSpaceDN/>
        <w:bidi w:val="0"/>
        <w:adjustRightInd/>
        <w:snapToGrid w:val="0"/>
        <w:spacing w:line="480" w:lineRule="exact"/>
        <w:ind w:firstLine="632" w:firstLineChars="200"/>
        <w:textAlignment w:val="auto"/>
        <w:rPr>
          <w:rFonts w:hint="eastAsia" w:ascii="黑体" w:eastAsia="黑体" w:cs="Times New Roman"/>
          <w:color w:val="000000"/>
          <w:kern w:val="2"/>
          <w:sz w:val="32"/>
          <w:szCs w:val="32"/>
          <w:lang w:val="en-US" w:eastAsia="zh-CN" w:bidi="ar-SA"/>
        </w:rPr>
      </w:pPr>
      <w:r>
        <w:rPr>
          <w:rFonts w:hint="eastAsia" w:ascii="仿宋_GB2312" w:eastAsia="仿宋_GB2312"/>
          <w:color w:val="auto"/>
          <w:spacing w:val="-2"/>
          <w:kern w:val="2"/>
          <w:sz w:val="32"/>
          <w:szCs w:val="32"/>
          <w:lang w:val="en-US" w:eastAsia="zh-CN" w:bidi="ar-SA"/>
        </w:rPr>
        <w:t>2021年总支出914.55万元，较上年支出增加63.75万元，增加8%。主要原因一是当年部门预算安排项目经费较上年有所增加；二是2021年支出包含了当年拨入的项目资金。</w:t>
      </w:r>
      <w:bookmarkStart w:id="26" w:name="_Toc15377206"/>
      <w:bookmarkStart w:id="27" w:name="_Toc15396604"/>
    </w:p>
    <w:p>
      <w:pPr>
        <w:snapToGrid w:val="0"/>
        <w:spacing w:line="520" w:lineRule="exact"/>
        <w:ind w:firstLine="640" w:firstLineChars="200"/>
        <w:rPr>
          <w:rFonts w:hint="eastAsia" w:ascii="黑体" w:eastAsia="黑体" w:cs="Times New Roman"/>
          <w:color w:val="00000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Style w:val="19"/>
          <w:rFonts w:ascii="黑体" w:eastAsia="黑体"/>
          <w:b w:val="0"/>
        </w:rPr>
      </w:pPr>
      <w:r>
        <w:drawing>
          <wp:anchor distT="0" distB="0" distL="114300" distR="114300" simplePos="0" relativeHeight="251659264" behindDoc="0" locked="0" layoutInCell="1" allowOverlap="1">
            <wp:simplePos x="0" y="0"/>
            <wp:positionH relativeFrom="column">
              <wp:posOffset>443865</wp:posOffset>
            </wp:positionH>
            <wp:positionV relativeFrom="paragraph">
              <wp:posOffset>189230</wp:posOffset>
            </wp:positionV>
            <wp:extent cx="4381500" cy="2742565"/>
            <wp:effectExtent l="0" t="0" r="0" b="0"/>
            <wp:wrapTopAndBottom/>
            <wp:docPr id="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eastAsia="黑体" w:cs="Times New Roman"/>
          <w:color w:val="000000"/>
          <w:kern w:val="2"/>
          <w:sz w:val="32"/>
          <w:szCs w:val="32"/>
          <w:lang w:val="en-US" w:eastAsia="zh-CN" w:bidi="ar-SA"/>
        </w:rPr>
        <w:t>二、收入决</w:t>
      </w:r>
      <w:r>
        <w:rPr>
          <w:rStyle w:val="19"/>
          <w:rFonts w:hint="eastAsia" w:ascii="黑体" w:eastAsia="黑体"/>
          <w:b w:val="0"/>
        </w:rPr>
        <w:t>算情况说明</w:t>
      </w:r>
      <w:bookmarkEnd w:id="26"/>
      <w:bookmarkEnd w:id="27"/>
    </w:p>
    <w:p>
      <w:pPr>
        <w:keepNext w:val="0"/>
        <w:keepLines w:val="0"/>
        <w:pageBreakBefore w:val="0"/>
        <w:widowControl w:val="0"/>
        <w:kinsoku/>
        <w:wordWrap/>
        <w:overflowPunct/>
        <w:topLinePunct w:val="0"/>
        <w:autoSpaceDE/>
        <w:autoSpaceDN/>
        <w:bidi w:val="0"/>
        <w:adjustRightInd/>
        <w:spacing w:line="480" w:lineRule="exact"/>
        <w:ind w:firstLine="640" w:firstLineChars="200"/>
        <w:textAlignment w:val="auto"/>
        <w:outlineLvl w:val="1"/>
        <w:rPr>
          <w:rFonts w:hint="eastAsia"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 w:eastAsia="仿宋"/>
          <w:color w:val="000000"/>
          <w:sz w:val="32"/>
          <w:szCs w:val="32"/>
          <w:lang w:val="en-US" w:eastAsia="zh-CN"/>
        </w:rPr>
        <w:t>861.65</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861.65</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1"/>
        <w:rPr>
          <w:rStyle w:val="19"/>
          <w:rFonts w:ascii="黑体" w:eastAsia="黑体"/>
          <w:b w:val="0"/>
        </w:rPr>
      </w:pPr>
      <w:r>
        <w:rPr>
          <w:rFonts w:hint="eastAsia" w:asci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185420</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77207"/>
      <w:bookmarkStart w:id="29" w:name="_Toc15396605"/>
      <w:r>
        <w:rPr>
          <w:rFonts w:hint="eastAsia" w:ascii="黑体" w:eastAsia="黑体" w:cs="Times New Roman"/>
          <w:color w:val="000000"/>
          <w:kern w:val="2"/>
          <w:sz w:val="32"/>
          <w:szCs w:val="32"/>
          <w:lang w:val="en-US" w:eastAsia="zh-CN" w:bidi="ar-SA"/>
        </w:rPr>
        <w:t>三、支出决</w:t>
      </w:r>
      <w:r>
        <w:rPr>
          <w:rStyle w:val="19"/>
          <w:rFonts w:hint="eastAsia" w:ascii="黑体" w:eastAsia="黑体"/>
          <w:b w:val="0"/>
        </w:rPr>
        <w:t>算情况说明</w:t>
      </w:r>
      <w:bookmarkEnd w:id="28"/>
      <w:bookmarkEnd w:id="29"/>
    </w:p>
    <w:p>
      <w:pPr>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ascii="仿宋" w:eastAsia="仿宋"/>
          <w:color w:val="000000"/>
          <w:sz w:val="32"/>
          <w:szCs w:val="32"/>
          <w:shd w:val="pct10" w:color="auto" w:fill="FFFFFF"/>
        </w:rPr>
      </w:pPr>
      <w:r>
        <w:rPr>
          <w:rFonts w:hint="eastAsia"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914.55</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523.61</w:t>
      </w:r>
      <w:r>
        <w:rPr>
          <w:rFonts w:hint="eastAsia" w:ascii="仿宋" w:eastAsia="仿宋"/>
          <w:color w:val="000000"/>
          <w:sz w:val="32"/>
          <w:szCs w:val="32"/>
        </w:rPr>
        <w:t>万元，占</w:t>
      </w:r>
      <w:r>
        <w:rPr>
          <w:rFonts w:hint="eastAsia" w:ascii="仿宋" w:eastAsia="仿宋"/>
          <w:color w:val="000000"/>
          <w:sz w:val="32"/>
          <w:szCs w:val="32"/>
          <w:lang w:val="en-US" w:eastAsia="zh-CN"/>
        </w:rPr>
        <w:t>58</w:t>
      </w:r>
      <w:r>
        <w:rPr>
          <w:rFonts w:hint="eastAsia" w:ascii="仿宋" w:eastAsia="仿宋"/>
          <w:color w:val="000000"/>
          <w:sz w:val="32"/>
          <w:szCs w:val="32"/>
        </w:rPr>
        <w:t>%；项目支出</w:t>
      </w:r>
      <w:r>
        <w:rPr>
          <w:rFonts w:hint="eastAsia" w:ascii="仿宋" w:eastAsia="仿宋"/>
          <w:color w:val="000000"/>
          <w:sz w:val="32"/>
          <w:szCs w:val="32"/>
          <w:lang w:val="en-US" w:eastAsia="zh-CN"/>
        </w:rPr>
        <w:t>390.94</w:t>
      </w:r>
      <w:r>
        <w:rPr>
          <w:rFonts w:hint="eastAsia" w:ascii="仿宋" w:eastAsia="仿宋"/>
          <w:color w:val="000000"/>
          <w:sz w:val="32"/>
          <w:szCs w:val="32"/>
        </w:rPr>
        <w:t>万元，占</w:t>
      </w:r>
      <w:r>
        <w:rPr>
          <w:rFonts w:hint="eastAsia" w:ascii="仿宋" w:eastAsia="仿宋"/>
          <w:color w:val="000000"/>
          <w:sz w:val="32"/>
          <w:szCs w:val="32"/>
          <w:lang w:val="en-US" w:eastAsia="zh-CN"/>
        </w:rPr>
        <w:t>42</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59264" behindDoc="0" locked="0" layoutInCell="1" allowOverlap="1">
            <wp:simplePos x="0" y="0"/>
            <wp:positionH relativeFrom="column">
              <wp:posOffset>64770</wp:posOffset>
            </wp:positionH>
            <wp:positionV relativeFrom="paragraph">
              <wp:posOffset>145415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keepNext w:val="0"/>
        <w:keepLines w:val="0"/>
        <w:pageBreakBefore w:val="0"/>
        <w:widowControl w:val="0"/>
        <w:kinsoku/>
        <w:wordWrap/>
        <w:overflowPunct/>
        <w:topLinePunct w:val="0"/>
        <w:autoSpaceDE/>
        <w:autoSpaceDN/>
        <w:bidi w:val="0"/>
        <w:adjustRightInd/>
        <w:spacing w:line="480" w:lineRule="exact"/>
        <w:ind w:firstLine="640" w:firstLineChars="200"/>
        <w:textAlignment w:val="auto"/>
        <w:outlineLvl w:val="1"/>
        <w:rPr>
          <w:rStyle w:val="19"/>
          <w:rFonts w:ascii="黑体" w:eastAsia="黑体"/>
          <w:b w:val="0"/>
        </w:rPr>
      </w:pPr>
      <w:bookmarkStart w:id="30" w:name="_Toc15396606"/>
      <w:bookmarkStart w:id="31" w:name="_Toc15377208"/>
      <w:r>
        <w:rPr>
          <w:rFonts w:hint="eastAsia" w:ascii="黑体" w:eastAsia="黑体"/>
          <w:color w:val="000000"/>
          <w:sz w:val="32"/>
          <w:szCs w:val="32"/>
        </w:rPr>
        <w:t>四、财</w:t>
      </w:r>
      <w:r>
        <w:rPr>
          <w:rStyle w:val="19"/>
          <w:rFonts w:hint="eastAsia" w:ascii="黑体" w:eastAsia="黑体"/>
          <w:b w:val="0"/>
        </w:rPr>
        <w:t>政拨款收入支出决算总体情况说明</w:t>
      </w:r>
      <w:bookmarkEnd w:id="30"/>
      <w:bookmarkEnd w:id="31"/>
    </w:p>
    <w:p>
      <w:pPr>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lang w:val="en-US" w:eastAsia="zh-CN"/>
        </w:rPr>
      </w:pPr>
      <w:r>
        <w:rPr>
          <w:rFonts w:hint="eastAsia" w:ascii="仿宋" w:eastAsia="仿宋"/>
          <w:color w:val="000000"/>
          <w:sz w:val="32"/>
          <w:szCs w:val="32"/>
          <w:lang w:val="en-US" w:eastAsia="zh-CN"/>
        </w:rPr>
        <w:t>2021年财政拨款收入861.65万元。与2020年相比，一般公共预算财政拨款收入较上年增加</w:t>
      </w:r>
      <w:r>
        <w:rPr>
          <w:rFonts w:hint="eastAsia" w:ascii="仿宋_GB2312" w:eastAsia="仿宋_GB2312"/>
          <w:color w:val="000000"/>
          <w:spacing w:val="-2"/>
          <w:kern w:val="2"/>
          <w:sz w:val="32"/>
          <w:szCs w:val="32"/>
          <w:lang w:val="en-US" w:eastAsia="zh-CN" w:bidi="ar-SA"/>
        </w:rPr>
        <w:t>101.24万元，增加14%。增加的主要原因是</w:t>
      </w:r>
      <w:r>
        <w:rPr>
          <w:rFonts w:hint="eastAsia" w:ascii="仿宋_GB2312" w:eastAsia="仿宋_GB2312"/>
          <w:color w:val="auto"/>
          <w:spacing w:val="-2"/>
          <w:kern w:val="2"/>
          <w:sz w:val="32"/>
          <w:szCs w:val="32"/>
          <w:lang w:val="en-US" w:eastAsia="zh-CN" w:bidi="ar-SA"/>
        </w:rPr>
        <w:t>一是当年部门预算安排项目经费较上年有所增加。</w:t>
      </w:r>
      <w:r>
        <w:rPr>
          <w:rFonts w:hint="eastAsia" w:ascii="仿宋" w:eastAsia="仿宋"/>
          <w:color w:val="000000"/>
          <w:sz w:val="32"/>
          <w:szCs w:val="32"/>
          <w:lang w:val="en-US" w:eastAsia="zh-CN"/>
        </w:rPr>
        <w:t>2021年财政拨款</w:t>
      </w:r>
      <w:r>
        <w:rPr>
          <w:rFonts w:hint="eastAsia" w:ascii="仿宋_GB2312" w:eastAsia="仿宋_GB2312"/>
          <w:color w:val="auto"/>
          <w:spacing w:val="-2"/>
          <w:kern w:val="2"/>
          <w:sz w:val="32"/>
          <w:szCs w:val="32"/>
          <w:lang w:val="en-US" w:eastAsia="zh-CN" w:bidi="ar-SA"/>
        </w:rPr>
        <w:t>914.55万元，较上年支出增加63.75万元，增加8%。。</w:t>
      </w:r>
    </w:p>
    <w:p>
      <w:pPr>
        <w:keepNext w:val="0"/>
        <w:keepLines w:val="0"/>
        <w:pageBreakBefore w:val="0"/>
        <w:widowControl w:val="0"/>
        <w:kinsoku/>
        <w:wordWrap/>
        <w:overflowPunct/>
        <w:topLinePunct w:val="0"/>
        <w:autoSpaceDE/>
        <w:autoSpaceDN/>
        <w:bidi w:val="0"/>
        <w:adjustRightInd/>
        <w:spacing w:line="480" w:lineRule="exact"/>
        <w:ind w:firstLine="640" w:firstLineChars="200"/>
        <w:textAlignment w:val="auto"/>
        <w:rPr>
          <w:rStyle w:val="19"/>
          <w:rFonts w:ascii="黑体" w:eastAsia="黑体"/>
          <w:b w:val="0"/>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77209"/>
      <w:bookmarkStart w:id="33" w:name="_Toc15396607"/>
      <w:r>
        <w:rPr>
          <w:rFonts w:hint="eastAsia" w:ascii="黑体" w:eastAsia="黑体"/>
          <w:color w:val="000000"/>
          <w:sz w:val="32"/>
          <w:szCs w:val="32"/>
          <w:lang w:val="en-US" w:eastAsia="zh-CN"/>
        </w:rPr>
        <w:t>五</w:t>
      </w:r>
      <w:r>
        <w:rPr>
          <w:rFonts w:hint="eastAsia" w:ascii="黑体" w:eastAsia="黑体"/>
          <w:color w:val="000000"/>
          <w:sz w:val="32"/>
          <w:szCs w:val="32"/>
        </w:rPr>
        <w:t>、</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2"/>
      <w:bookmarkEnd w:id="33"/>
    </w:p>
    <w:p>
      <w:pPr>
        <w:keepNext w:val="0"/>
        <w:keepLines w:val="0"/>
        <w:pageBreakBefore w:val="0"/>
        <w:widowControl w:val="0"/>
        <w:kinsoku/>
        <w:wordWrap/>
        <w:overflowPunct/>
        <w:topLinePunct w:val="0"/>
        <w:autoSpaceDE/>
        <w:autoSpaceDN/>
        <w:bidi w:val="0"/>
        <w:adjustRightInd/>
        <w:spacing w:line="480" w:lineRule="exact"/>
        <w:ind w:firstLine="643" w:firstLineChars="200"/>
        <w:textAlignment w:val="auto"/>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仿宋" w:eastAsia="仿宋"/>
          <w:b/>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一般公共预算财政拨款支出914.55万元，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年相比</w:t>
      </w:r>
      <w:r>
        <w:rPr>
          <w:rFonts w:hint="eastAsia" w:ascii="仿宋" w:eastAsia="仿宋"/>
          <w:color w:val="auto"/>
          <w:sz w:val="32"/>
          <w:szCs w:val="32"/>
          <w:lang w:val="en-US" w:eastAsia="zh-CN"/>
        </w:rPr>
        <w:t>较上年支出增加63.75万元，增加8%</w:t>
      </w:r>
      <w:r>
        <w:rPr>
          <w:rFonts w:hint="eastAsia" w:ascii="仿宋_GB2312" w:eastAsia="仿宋_GB2312"/>
          <w:spacing w:val="-2"/>
          <w:kern w:val="2"/>
          <w:sz w:val="32"/>
          <w:szCs w:val="32"/>
          <w:lang w:val="en-US" w:eastAsia="zh-CN" w:bidi="ar-SA"/>
        </w:rPr>
        <w:t>。</w:t>
      </w:r>
      <w:r>
        <w:rPr>
          <w:rFonts w:hint="eastAsia" w:ascii="仿宋_GB2312" w:eastAsia="仿宋_GB2312"/>
          <w:color w:val="000000"/>
          <w:spacing w:val="-2"/>
          <w:kern w:val="2"/>
          <w:sz w:val="32"/>
          <w:szCs w:val="32"/>
          <w:lang w:val="en-US" w:eastAsia="zh-CN" w:bidi="ar-SA"/>
        </w:rPr>
        <w:t>增加的主要原因是</w:t>
      </w:r>
      <w:r>
        <w:rPr>
          <w:rFonts w:hint="eastAsia" w:ascii="仿宋_GB2312" w:eastAsia="仿宋_GB2312"/>
          <w:color w:val="auto"/>
          <w:spacing w:val="-2"/>
          <w:kern w:val="2"/>
          <w:sz w:val="32"/>
          <w:szCs w:val="32"/>
          <w:lang w:val="en-US" w:eastAsia="zh-CN" w:bidi="ar-SA"/>
        </w:rPr>
        <w:t>一是当年部门预算安排项目经费较上年有所增加。</w:t>
      </w:r>
    </w:p>
    <w:p>
      <w:pPr>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keepNext w:val="0"/>
        <w:keepLines w:val="0"/>
        <w:pageBreakBefore w:val="0"/>
        <w:widowControl w:val="0"/>
        <w:kinsoku/>
        <w:wordWrap/>
        <w:overflowPunct/>
        <w:topLinePunct w:val="0"/>
        <w:autoSpaceDE/>
        <w:autoSpaceDN/>
        <w:bidi w:val="0"/>
        <w:adjustRightInd/>
        <w:spacing w:line="480" w:lineRule="exact"/>
        <w:ind w:firstLine="640"/>
        <w:textAlignment w:val="auto"/>
        <w:rPr>
          <w:rFonts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914.55</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311.25</w:t>
      </w:r>
      <w:r>
        <w:rPr>
          <w:rFonts w:hint="eastAsia" w:ascii="仿宋" w:eastAsia="仿宋"/>
          <w:color w:val="000000"/>
          <w:sz w:val="32"/>
          <w:szCs w:val="32"/>
        </w:rPr>
        <w:t>万元，占</w:t>
      </w:r>
      <w:r>
        <w:rPr>
          <w:rFonts w:hint="eastAsia" w:ascii="仿宋" w:eastAsia="仿宋"/>
          <w:color w:val="000000"/>
          <w:sz w:val="32"/>
          <w:szCs w:val="32"/>
          <w:lang w:val="en-US" w:eastAsia="zh-CN"/>
        </w:rPr>
        <w:t>33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62.84</w:t>
      </w:r>
      <w:r>
        <w:rPr>
          <w:rFonts w:hint="eastAsia" w:ascii="仿宋" w:eastAsia="仿宋"/>
          <w:color w:val="000000"/>
          <w:sz w:val="32"/>
          <w:szCs w:val="32"/>
        </w:rPr>
        <w:t>万元，占</w:t>
      </w:r>
      <w:r>
        <w:rPr>
          <w:rFonts w:hint="eastAsia" w:ascii="仿宋" w:eastAsia="仿宋"/>
          <w:color w:val="000000"/>
          <w:sz w:val="32"/>
          <w:szCs w:val="32"/>
          <w:lang w:val="en-US" w:eastAsia="zh-CN"/>
        </w:rPr>
        <w:t>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color w:val="000000"/>
          <w:sz w:val="32"/>
          <w:szCs w:val="32"/>
          <w:lang w:val="en-US" w:eastAsia="zh-CN"/>
        </w:rPr>
        <w:t>25.78</w:t>
      </w:r>
      <w:r>
        <w:rPr>
          <w:rFonts w:hint="eastAsia" w:ascii="仿宋" w:eastAsia="仿宋"/>
          <w:color w:val="000000"/>
          <w:sz w:val="32"/>
          <w:szCs w:val="32"/>
        </w:rPr>
        <w:t>万元，占</w:t>
      </w:r>
      <w:r>
        <w:rPr>
          <w:rFonts w:hint="eastAsia" w:ascii="仿宋" w:eastAsia="仿宋"/>
          <w:color w:val="000000"/>
          <w:sz w:val="32"/>
          <w:szCs w:val="32"/>
          <w:lang w:val="en-US" w:eastAsia="zh-CN"/>
        </w:rPr>
        <w:t>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lang w:eastAsia="zh-CN"/>
        </w:rPr>
        <w:t>农林水支出</w:t>
      </w:r>
      <w:r>
        <w:rPr>
          <w:rFonts w:hint="eastAsia" w:ascii="仿宋" w:eastAsia="仿宋"/>
          <w:color w:val="000000"/>
          <w:sz w:val="32"/>
          <w:szCs w:val="32"/>
          <w:lang w:val="en-US" w:eastAsia="zh-CN"/>
        </w:rPr>
        <w:t>383.25</w:t>
      </w:r>
      <w:r>
        <w:rPr>
          <w:rFonts w:hint="eastAsia" w:ascii="仿宋" w:eastAsia="仿宋"/>
          <w:color w:val="000000"/>
          <w:sz w:val="32"/>
          <w:szCs w:val="32"/>
        </w:rPr>
        <w:t>万元</w:t>
      </w:r>
      <w:r>
        <w:rPr>
          <w:rFonts w:hint="eastAsia" w:ascii="仿宋" w:eastAsia="仿宋"/>
          <w:color w:val="000000"/>
          <w:sz w:val="32"/>
          <w:szCs w:val="32"/>
          <w:lang w:eastAsia="zh-CN"/>
        </w:rPr>
        <w:t>，</w:t>
      </w:r>
      <w:r>
        <w:rPr>
          <w:rFonts w:hint="eastAsia" w:ascii="仿宋" w:eastAsia="仿宋"/>
          <w:color w:val="000000"/>
          <w:sz w:val="32"/>
          <w:szCs w:val="32"/>
        </w:rPr>
        <w:t>占</w:t>
      </w:r>
      <w:r>
        <w:rPr>
          <w:rFonts w:hint="eastAsia" w:ascii="仿宋" w:eastAsia="仿宋"/>
          <w:color w:val="000000"/>
          <w:sz w:val="32"/>
          <w:szCs w:val="32"/>
          <w:lang w:val="en-US" w:eastAsia="zh-CN"/>
        </w:rPr>
        <w:t>41</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40.6</w:t>
      </w:r>
      <w:r>
        <w:rPr>
          <w:rFonts w:hint="eastAsia" w:ascii="仿宋" w:eastAsia="仿宋"/>
          <w:color w:val="000000"/>
          <w:sz w:val="32"/>
          <w:szCs w:val="32"/>
        </w:rPr>
        <w:t>万元，占</w:t>
      </w:r>
      <w:r>
        <w:rPr>
          <w:rFonts w:hint="eastAsia" w:ascii="仿宋" w:eastAsia="仿宋"/>
          <w:color w:val="000000"/>
          <w:sz w:val="32"/>
          <w:szCs w:val="32"/>
          <w:lang w:val="en-US" w:eastAsia="zh-CN"/>
        </w:rPr>
        <w:t>5</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bCs/>
          <w:color w:val="000000"/>
          <w:sz w:val="32"/>
          <w:szCs w:val="32"/>
          <w:lang w:eastAsia="zh-CN"/>
        </w:rPr>
        <w:t>灾害防治与应急管理</w:t>
      </w:r>
      <w:r>
        <w:rPr>
          <w:rFonts w:hint="eastAsia" w:ascii="仿宋" w:eastAsia="仿宋"/>
          <w:color w:val="000000"/>
          <w:sz w:val="32"/>
          <w:szCs w:val="32"/>
        </w:rPr>
        <w:t>支出</w:t>
      </w:r>
      <w:r>
        <w:rPr>
          <w:rFonts w:hint="eastAsia" w:ascii="仿宋" w:eastAsia="仿宋"/>
          <w:color w:val="000000"/>
          <w:sz w:val="32"/>
          <w:szCs w:val="32"/>
          <w:lang w:val="en-US" w:eastAsia="zh-CN"/>
        </w:rPr>
        <w:t>33</w:t>
      </w:r>
      <w:r>
        <w:rPr>
          <w:rFonts w:hint="eastAsia" w:ascii="仿宋" w:eastAsia="仿宋"/>
          <w:color w:val="000000"/>
          <w:sz w:val="32"/>
          <w:szCs w:val="32"/>
        </w:rPr>
        <w:t>万元，占</w:t>
      </w:r>
      <w:r>
        <w:rPr>
          <w:rFonts w:hint="eastAsia" w:ascii="仿宋" w:eastAsia="仿宋"/>
          <w:color w:val="000000"/>
          <w:sz w:val="32"/>
          <w:szCs w:val="32"/>
          <w:lang w:val="en-US" w:eastAsia="zh-CN"/>
        </w:rPr>
        <w:t>4</w:t>
      </w:r>
      <w:r>
        <w:rPr>
          <w:rFonts w:ascii="仿宋" w:eastAsia="仿宋"/>
          <w:color w:val="000000"/>
          <w:sz w:val="32"/>
          <w:szCs w:val="32"/>
        </w:rPr>
        <w:t>%</w:t>
      </w:r>
      <w:r>
        <w:rPr>
          <w:rFonts w:hint="eastAsia" w:ascii="仿宋" w:eastAsia="仿宋"/>
          <w:b/>
          <w:bCs/>
          <w:color w:val="000000"/>
          <w:sz w:val="32"/>
          <w:szCs w:val="32"/>
          <w:lang w:eastAsia="zh-CN"/>
        </w:rPr>
        <w:t>其他支出</w:t>
      </w:r>
      <w:r>
        <w:rPr>
          <w:rFonts w:hint="eastAsia" w:ascii="仿宋" w:eastAsia="仿宋"/>
          <w:color w:val="000000"/>
          <w:sz w:val="32"/>
          <w:szCs w:val="32"/>
          <w:lang w:val="en-US" w:eastAsia="zh-CN"/>
        </w:rPr>
        <w:t>57.83</w:t>
      </w:r>
      <w:r>
        <w:rPr>
          <w:rFonts w:hint="eastAsia" w:ascii="仿宋" w:eastAsia="仿宋"/>
          <w:color w:val="000000"/>
          <w:sz w:val="32"/>
          <w:szCs w:val="32"/>
        </w:rPr>
        <w:t>万元</w:t>
      </w:r>
      <w:r>
        <w:rPr>
          <w:rFonts w:hint="eastAsia" w:ascii="仿宋" w:eastAsia="仿宋"/>
          <w:color w:val="000000"/>
          <w:sz w:val="32"/>
          <w:szCs w:val="32"/>
          <w:lang w:val="en-US" w:eastAsia="zh-CN"/>
        </w:rPr>
        <w:t>，</w:t>
      </w:r>
      <w:r>
        <w:rPr>
          <w:rFonts w:hint="eastAsia" w:ascii="仿宋" w:eastAsia="仿宋"/>
          <w:color w:val="000000"/>
          <w:sz w:val="32"/>
          <w:szCs w:val="32"/>
        </w:rPr>
        <w:t>占</w:t>
      </w:r>
      <w:r>
        <w:rPr>
          <w:rFonts w:hint="eastAsia" w:ascii="仿宋" w:eastAsia="仿宋"/>
          <w:color w:val="000000"/>
          <w:sz w:val="32"/>
          <w:szCs w:val="32"/>
          <w:lang w:val="en-US" w:eastAsia="zh-CN"/>
        </w:rPr>
        <w:t>7%。</w:t>
      </w:r>
    </w:p>
    <w:p>
      <w:pPr>
        <w:spacing w:line="600" w:lineRule="exact"/>
        <w:ind w:firstLine="8320" w:firstLineChars="2600"/>
        <w:outlineLvl w:val="2"/>
        <w:rPr>
          <w:rFonts w:hint="eastAsia" w:ascii="仿宋" w:eastAsia="仿宋"/>
          <w:b/>
          <w:color w:val="000000"/>
          <w:sz w:val="32"/>
          <w:szCs w:val="32"/>
          <w:lang w:val="en-US" w:eastAsia="zh-CN"/>
        </w:rPr>
      </w:pPr>
      <w:bookmarkStart w:id="36" w:name="_Toc15377444"/>
      <w:bookmarkStart w:id="37" w:name="_Toc15378460"/>
      <w:bookmarkStart w:id="38" w:name="_Toc15377213"/>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540385</wp:posOffset>
            </wp:positionH>
            <wp:positionV relativeFrom="paragraph">
              <wp:posOffset>99695</wp:posOffset>
            </wp:positionV>
            <wp:extent cx="5161915" cy="2541270"/>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outlineLvl w:val="2"/>
        <w:rPr>
          <w:rFonts w:hint="eastAsia" w:ascii="仿宋" w:eastAsia="仿宋"/>
          <w:b/>
          <w:color w:val="000000"/>
          <w:sz w:val="32"/>
          <w:szCs w:val="32"/>
          <w:highlight w:val="none"/>
          <w:lang w:val="en-US" w:eastAsia="zh-CN"/>
        </w:rPr>
      </w:pPr>
      <w:bookmarkStart w:id="39" w:name="_Toc15377212"/>
      <w:r>
        <w:rPr>
          <w:rFonts w:hint="eastAsia" w:ascii="仿宋" w:eastAsia="仿宋"/>
          <w:b/>
          <w:color w:val="000000"/>
          <w:sz w:val="32"/>
          <w:szCs w:val="32"/>
          <w:highlight w:val="none"/>
        </w:rPr>
        <w:t>（三）一般公共预算财政拨款支出决算具体情况</w:t>
      </w:r>
      <w:bookmarkEnd w:id="39"/>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2"/>
        <w:rPr>
          <w:rFonts w:ascii="仿宋" w:eastAsia="仿宋"/>
          <w:b w:val="0"/>
          <w:bCs/>
          <w:color w:val="FF0000"/>
          <w:sz w:val="32"/>
          <w:szCs w:val="32"/>
          <w:highlight w:val="none"/>
        </w:rPr>
      </w:pPr>
      <w:r>
        <w:rPr>
          <w:rFonts w:hint="eastAsia" w:ascii="仿宋" w:eastAsia="仿宋"/>
          <w:b w:val="0"/>
          <w:bCs/>
          <w:color w:val="000000"/>
          <w:sz w:val="32"/>
          <w:szCs w:val="32"/>
          <w:highlight w:val="none"/>
          <w:lang w:val="en-US" w:eastAsia="zh-CN"/>
        </w:rPr>
        <w:t xml:space="preserve">    </w:t>
      </w:r>
      <w:r>
        <w:rPr>
          <w:rFonts w:hint="eastAsia" w:ascii="仿宋" w:eastAsia="仿宋"/>
          <w:b w:val="0"/>
          <w:bCs/>
          <w:color w:val="000000"/>
          <w:sz w:val="32"/>
          <w:szCs w:val="32"/>
          <w:highlight w:val="none"/>
        </w:rPr>
        <w:t>20</w:t>
      </w:r>
      <w:r>
        <w:rPr>
          <w:rFonts w:hint="eastAsia" w:ascii="仿宋" w:eastAsia="仿宋"/>
          <w:b w:val="0"/>
          <w:bCs/>
          <w:color w:val="000000"/>
          <w:sz w:val="32"/>
          <w:szCs w:val="32"/>
          <w:highlight w:val="none"/>
          <w:lang w:val="en-US" w:eastAsia="zh-CN"/>
        </w:rPr>
        <w:t>21</w:t>
      </w:r>
      <w:r>
        <w:rPr>
          <w:rFonts w:hint="eastAsia" w:ascii="仿宋" w:eastAsia="仿宋"/>
          <w:b w:val="0"/>
          <w:bCs/>
          <w:color w:val="000000"/>
          <w:sz w:val="32"/>
          <w:szCs w:val="32"/>
          <w:highlight w:val="none"/>
        </w:rPr>
        <w:t>年</w:t>
      </w:r>
      <w:r>
        <w:rPr>
          <w:rFonts w:hint="eastAsia" w:ascii="仿宋" w:eastAsia="仿宋"/>
          <w:b w:val="0"/>
          <w:bCs/>
          <w:color w:val="000000"/>
          <w:sz w:val="32"/>
          <w:szCs w:val="32"/>
          <w:highlight w:val="none"/>
          <w:lang w:eastAsia="zh-CN"/>
        </w:rPr>
        <w:t>一</w:t>
      </w:r>
      <w:r>
        <w:rPr>
          <w:rFonts w:hint="eastAsia" w:ascii="仿宋" w:eastAsia="仿宋"/>
          <w:b w:val="0"/>
          <w:bCs/>
          <w:color w:val="000000"/>
          <w:sz w:val="32"/>
          <w:szCs w:val="32"/>
          <w:highlight w:val="none"/>
        </w:rPr>
        <w:t>般公共预算</w:t>
      </w:r>
      <w:r>
        <w:rPr>
          <w:rFonts w:hint="eastAsia" w:ascii="仿宋" w:eastAsia="仿宋"/>
          <w:b w:val="0"/>
          <w:bCs/>
          <w:color w:val="000000"/>
          <w:sz w:val="32"/>
          <w:szCs w:val="32"/>
          <w:highlight w:val="none"/>
          <w:lang w:val="en-US" w:eastAsia="zh-CN"/>
        </w:rPr>
        <w:t>数为608.78万元，</w:t>
      </w:r>
      <w:r>
        <w:rPr>
          <w:rFonts w:hint="eastAsia" w:ascii="仿宋" w:eastAsia="仿宋"/>
          <w:b w:val="0"/>
          <w:bCs/>
          <w:color w:val="000000"/>
          <w:sz w:val="32"/>
          <w:szCs w:val="32"/>
          <w:highlight w:val="none"/>
        </w:rPr>
        <w:t>支出决算数为</w:t>
      </w:r>
      <w:r>
        <w:rPr>
          <w:rFonts w:hint="eastAsia" w:ascii="仿宋" w:eastAsia="仿宋"/>
          <w:b w:val="0"/>
          <w:bCs/>
          <w:color w:val="000000"/>
          <w:sz w:val="32"/>
          <w:szCs w:val="32"/>
          <w:highlight w:val="none"/>
          <w:lang w:val="en-US" w:eastAsia="zh-CN"/>
        </w:rPr>
        <w:t>914.55万元</w:t>
      </w:r>
      <w:r>
        <w:rPr>
          <w:rFonts w:hint="eastAsia" w:ascii="仿宋" w:eastAsia="仿宋"/>
          <w:b w:val="0"/>
          <w:bCs/>
          <w:color w:val="000000"/>
          <w:sz w:val="32"/>
          <w:szCs w:val="32"/>
          <w:highlight w:val="none"/>
        </w:rPr>
        <w:t>，完</w:t>
      </w:r>
      <w:r>
        <w:rPr>
          <w:rStyle w:val="16"/>
          <w:rFonts w:hint="eastAsia" w:ascii="仿宋" w:eastAsia="仿宋"/>
          <w:b w:val="0"/>
          <w:bCs/>
          <w:color w:val="000000"/>
          <w:sz w:val="32"/>
          <w:szCs w:val="32"/>
          <w:highlight w:val="none"/>
        </w:rPr>
        <w:t>成预算</w:t>
      </w:r>
      <w:r>
        <w:rPr>
          <w:rStyle w:val="16"/>
          <w:rFonts w:hint="eastAsia" w:ascii="仿宋" w:eastAsia="仿宋"/>
          <w:b w:val="0"/>
          <w:bCs/>
          <w:color w:val="000000"/>
          <w:sz w:val="32"/>
          <w:szCs w:val="32"/>
          <w:highlight w:val="none"/>
          <w:lang w:val="en-US" w:eastAsia="zh-CN"/>
        </w:rPr>
        <w:t>100</w:t>
      </w:r>
      <w:r>
        <w:rPr>
          <w:rStyle w:val="16"/>
          <w:rFonts w:ascii="仿宋" w:eastAsia="仿宋"/>
          <w:b w:val="0"/>
          <w:bCs/>
          <w:color w:val="000000"/>
          <w:sz w:val="32"/>
          <w:szCs w:val="32"/>
          <w:highlight w:val="none"/>
        </w:rPr>
        <w:t>%</w:t>
      </w:r>
      <w:r>
        <w:rPr>
          <w:rStyle w:val="16"/>
          <w:rFonts w:hint="eastAsia" w:ascii="仿宋" w:eastAsia="仿宋"/>
          <w:b w:val="0"/>
          <w:bCs/>
          <w:color w:val="000000"/>
          <w:sz w:val="32"/>
          <w:szCs w:val="32"/>
          <w:highlight w:val="none"/>
        </w:rPr>
        <w:t>。</w:t>
      </w:r>
      <w:r>
        <w:rPr>
          <w:rStyle w:val="16"/>
          <w:rFonts w:hint="eastAsia" w:ascii="仿宋" w:eastAsia="仿宋"/>
          <w:b w:val="0"/>
          <w:bCs/>
          <w:color w:val="000000"/>
          <w:sz w:val="32"/>
          <w:szCs w:val="32"/>
          <w:highlight w:val="none"/>
          <w:lang w:val="en-US" w:eastAsia="zh-CN"/>
        </w:rPr>
        <w:t>结转下年0万元。</w:t>
      </w:r>
      <w:r>
        <w:rPr>
          <w:rStyle w:val="16"/>
          <w:rFonts w:hint="eastAsia" w:ascii="仿宋" w:eastAsia="仿宋"/>
          <w:b w:val="0"/>
          <w:bCs/>
          <w:color w:val="000000"/>
          <w:sz w:val="32"/>
          <w:szCs w:val="32"/>
          <w:highlight w:val="none"/>
        </w:rPr>
        <w:t>其中：</w:t>
      </w:r>
      <w:bookmarkEnd w:id="36"/>
      <w:bookmarkEnd w:id="37"/>
      <w:bookmarkEnd w:id="38"/>
    </w:p>
    <w:p>
      <w:pPr>
        <w:keepNext w:val="0"/>
        <w:keepLines w:val="0"/>
        <w:pageBreakBefore w:val="0"/>
        <w:widowControl w:val="0"/>
        <w:kinsoku/>
        <w:wordWrap/>
        <w:overflowPunct/>
        <w:topLinePunct w:val="0"/>
        <w:autoSpaceDE/>
        <w:autoSpaceDN/>
        <w:bidi w:val="0"/>
        <w:adjustRightInd/>
        <w:snapToGrid/>
        <w:spacing w:line="480" w:lineRule="exact"/>
        <w:ind w:left="0" w:firstLine="643" w:firstLineChars="200"/>
        <w:textAlignment w:val="auto"/>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1.</w:t>
      </w:r>
      <w:r>
        <w:rPr>
          <w:rStyle w:val="16"/>
          <w:rFonts w:hint="eastAsia" w:ascii="仿宋" w:eastAsia="仿宋"/>
          <w:bCs/>
          <w:color w:val="000000"/>
          <w:sz w:val="32"/>
          <w:szCs w:val="32"/>
        </w:rPr>
        <w:t>一般公共服务（类）</w:t>
      </w:r>
      <w:r>
        <w:rPr>
          <w:rStyle w:val="16"/>
          <w:rFonts w:hint="eastAsia" w:ascii="仿宋" w:eastAsia="仿宋"/>
          <w:bCs/>
          <w:color w:val="000000"/>
          <w:sz w:val="32"/>
          <w:szCs w:val="32"/>
          <w:lang w:val="en-US" w:eastAsia="zh-CN"/>
        </w:rPr>
        <w:t>人大事务</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11.62</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Style w:val="16"/>
          <w:rFonts w:hint="eastAsia" w:ascii="仿宋" w:eastAsia="仿宋"/>
          <w:b w:val="0"/>
          <w:bCs/>
          <w:color w:val="000000"/>
          <w:sz w:val="32"/>
          <w:szCs w:val="32"/>
          <w:lang w:eastAsia="zh-CN"/>
        </w:rPr>
      </w:pPr>
      <w:r>
        <w:rPr>
          <w:rStyle w:val="16"/>
          <w:rFonts w:ascii="仿宋" w:eastAsia="仿宋"/>
          <w:bCs/>
          <w:color w:val="000000"/>
          <w:sz w:val="32"/>
          <w:szCs w:val="32"/>
        </w:rPr>
        <w:t>2.</w:t>
      </w:r>
      <w:r>
        <w:rPr>
          <w:rStyle w:val="16"/>
          <w:rFonts w:hint="eastAsia" w:ascii="仿宋" w:eastAsia="仿宋"/>
          <w:bCs/>
          <w:color w:val="000000"/>
          <w:sz w:val="32"/>
          <w:szCs w:val="32"/>
        </w:rPr>
        <w:t>一般公共服务（类）</w:t>
      </w:r>
      <w:r>
        <w:rPr>
          <w:rStyle w:val="16"/>
          <w:rFonts w:hint="eastAsia" w:ascii="仿宋" w:eastAsia="仿宋"/>
          <w:bCs/>
          <w:color w:val="000000"/>
          <w:sz w:val="32"/>
          <w:szCs w:val="32"/>
          <w:lang w:val="en-US" w:eastAsia="zh-CN"/>
        </w:rPr>
        <w:t>政府办公厅（室）及相关机构事务</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一般行政管理事务</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277.8</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Style w:val="16"/>
          <w:rFonts w:hint="eastAsia" w:ascii="仿宋" w:eastAsia="仿宋"/>
          <w:b w:val="0"/>
          <w:bCs/>
          <w:color w:val="000000"/>
          <w:sz w:val="32"/>
          <w:szCs w:val="32"/>
          <w:lang w:eastAsia="zh-CN"/>
        </w:rPr>
      </w:pPr>
      <w:r>
        <w:rPr>
          <w:rStyle w:val="16"/>
          <w:rFonts w:hint="eastAsia" w:ascii="仿宋" w:eastAsia="仿宋"/>
          <w:bCs/>
          <w:color w:val="000000"/>
          <w:sz w:val="32"/>
          <w:szCs w:val="32"/>
          <w:lang w:val="en-US" w:eastAsia="zh-CN"/>
        </w:rPr>
        <w:t>3</w:t>
      </w:r>
      <w:r>
        <w:rPr>
          <w:rStyle w:val="16"/>
          <w:rFonts w:ascii="仿宋" w:eastAsia="仿宋"/>
          <w:bCs/>
          <w:color w:val="000000"/>
          <w:sz w:val="32"/>
          <w:szCs w:val="32"/>
        </w:rPr>
        <w:t>.</w:t>
      </w:r>
      <w:r>
        <w:rPr>
          <w:rStyle w:val="16"/>
          <w:rFonts w:hint="eastAsia" w:ascii="仿宋" w:eastAsia="仿宋"/>
          <w:bCs/>
          <w:color w:val="000000"/>
          <w:sz w:val="32"/>
          <w:szCs w:val="32"/>
        </w:rPr>
        <w:t>一般公共服务（类）</w:t>
      </w:r>
      <w:r>
        <w:rPr>
          <w:rStyle w:val="16"/>
          <w:rFonts w:hint="eastAsia" w:ascii="仿宋" w:eastAsia="仿宋"/>
          <w:bCs/>
          <w:color w:val="000000"/>
          <w:sz w:val="32"/>
          <w:szCs w:val="32"/>
          <w:lang w:val="en-US" w:eastAsia="zh-CN"/>
        </w:rPr>
        <w:t>党委办公厅（室）及相关机构事务</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一般行政管理事务</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21.82</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Style w:val="16"/>
          <w:rFonts w:hint="eastAsia" w:ascii="仿宋" w:eastAsia="仿宋"/>
          <w:bCs/>
          <w:color w:val="000000"/>
          <w:sz w:val="32"/>
          <w:szCs w:val="32"/>
          <w:lang w:val="en-US" w:eastAsia="zh-CN"/>
        </w:rPr>
      </w:pPr>
      <w:r>
        <w:rPr>
          <w:rStyle w:val="16"/>
          <w:rFonts w:hint="eastAsia" w:ascii="仿宋" w:eastAsia="仿宋"/>
          <w:bCs/>
          <w:color w:val="000000"/>
          <w:sz w:val="32"/>
          <w:szCs w:val="32"/>
          <w:lang w:val="en-US" w:eastAsia="zh-CN"/>
        </w:rPr>
        <w:t>4.</w:t>
      </w:r>
      <w:r>
        <w:rPr>
          <w:rStyle w:val="16"/>
          <w:rFonts w:hint="eastAsia" w:ascii="仿宋" w:eastAsia="仿宋"/>
          <w:bCs/>
          <w:color w:val="000000"/>
          <w:sz w:val="32"/>
          <w:szCs w:val="32"/>
        </w:rPr>
        <w:t>社会保障和就业（类）</w:t>
      </w:r>
      <w:r>
        <w:rPr>
          <w:rStyle w:val="16"/>
          <w:rFonts w:hint="eastAsia" w:ascii="仿宋" w:eastAsia="仿宋"/>
          <w:bCs/>
          <w:color w:val="000000"/>
          <w:sz w:val="32"/>
          <w:szCs w:val="32"/>
          <w:lang w:eastAsia="zh-CN"/>
        </w:rPr>
        <w:t>民政管理事务</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基层政权建设和社区治理</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7</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ascii="仿宋" w:eastAsia="仿宋"/>
          <w:b/>
          <w:color w:val="000000"/>
          <w:sz w:val="32"/>
          <w:szCs w:val="32"/>
        </w:rPr>
      </w:pPr>
      <w:r>
        <w:rPr>
          <w:rStyle w:val="16"/>
          <w:rFonts w:hint="eastAsia" w:ascii="仿宋" w:eastAsia="仿宋"/>
          <w:bCs/>
          <w:color w:val="000000"/>
          <w:sz w:val="32"/>
          <w:szCs w:val="32"/>
          <w:lang w:val="en-US" w:eastAsia="zh-CN"/>
        </w:rPr>
        <w:t>5</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Cs/>
          <w:color w:val="000000"/>
          <w:sz w:val="32"/>
          <w:szCs w:val="32"/>
        </w:rPr>
        <w:t>社会保障和就业（类）</w:t>
      </w:r>
      <w:r>
        <w:rPr>
          <w:rStyle w:val="16"/>
          <w:rFonts w:hint="eastAsia" w:ascii="仿宋" w:eastAsia="仿宋"/>
          <w:bCs/>
          <w:color w:val="000000"/>
          <w:sz w:val="32"/>
          <w:szCs w:val="32"/>
          <w:lang w:val="en-US" w:eastAsia="zh-CN"/>
        </w:rPr>
        <w:t>行政事业单位离退休</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机关事业单位基本养老保险缴费支出</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37.38</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eastAsia="仿宋"/>
          <w:b/>
          <w:color w:val="000000"/>
          <w:sz w:val="32"/>
          <w:szCs w:val="32"/>
          <w:lang w:eastAsia="zh-CN"/>
        </w:rPr>
      </w:pPr>
      <w:r>
        <w:rPr>
          <w:rStyle w:val="16"/>
          <w:rFonts w:hint="eastAsia" w:ascii="仿宋" w:eastAsia="仿宋"/>
          <w:bCs/>
          <w:color w:val="000000"/>
          <w:sz w:val="32"/>
          <w:szCs w:val="32"/>
          <w:lang w:val="en-US" w:eastAsia="zh-CN"/>
        </w:rPr>
        <w:t>6</w:t>
      </w:r>
      <w:r>
        <w:rPr>
          <w:rStyle w:val="16"/>
          <w:rFonts w:ascii="仿宋" w:eastAsia="仿宋"/>
          <w:bCs/>
          <w:color w:val="000000"/>
          <w:sz w:val="32"/>
          <w:szCs w:val="32"/>
        </w:rPr>
        <w:t>.</w:t>
      </w:r>
      <w:r>
        <w:rPr>
          <w:rStyle w:val="16"/>
          <w:rFonts w:hint="eastAsia" w:ascii="仿宋" w:eastAsia="仿宋"/>
          <w:bCs/>
          <w:color w:val="000000"/>
          <w:sz w:val="32"/>
          <w:szCs w:val="32"/>
        </w:rPr>
        <w:t>社会保障和就业（类）</w:t>
      </w:r>
      <w:r>
        <w:rPr>
          <w:rStyle w:val="16"/>
          <w:rFonts w:hint="eastAsia" w:ascii="仿宋" w:eastAsia="仿宋"/>
          <w:bCs/>
          <w:color w:val="000000"/>
          <w:sz w:val="32"/>
          <w:szCs w:val="32"/>
          <w:lang w:val="en-US" w:eastAsia="zh-CN"/>
        </w:rPr>
        <w:t>行政事业单位离退休</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机关事业单位基本职业年金缴费支出</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18.45</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Style w:val="16"/>
          <w:rFonts w:hint="eastAsia" w:ascii="仿宋" w:eastAsia="仿宋"/>
          <w:b w:val="0"/>
          <w:bCs/>
          <w:color w:val="000000"/>
          <w:sz w:val="32"/>
          <w:szCs w:val="32"/>
          <w:lang w:eastAsia="zh-CN"/>
        </w:rPr>
      </w:pPr>
      <w:r>
        <w:rPr>
          <w:rStyle w:val="16"/>
          <w:rFonts w:hint="eastAsia" w:ascii="仿宋" w:eastAsia="仿宋"/>
          <w:b w:val="0"/>
          <w:bCs/>
          <w:color w:val="000000"/>
          <w:sz w:val="32"/>
          <w:szCs w:val="32"/>
          <w:lang w:val="en-US" w:eastAsia="zh-CN"/>
        </w:rPr>
        <w:t>6.卫生健</w:t>
      </w:r>
      <w:r>
        <w:rPr>
          <w:rStyle w:val="16"/>
          <w:rFonts w:hint="eastAsia" w:ascii="仿宋" w:eastAsia="仿宋"/>
          <w:bCs/>
          <w:color w:val="000000"/>
          <w:sz w:val="32"/>
          <w:szCs w:val="32"/>
          <w:lang w:val="en-US" w:eastAsia="zh-CN"/>
        </w:rPr>
        <w:t>康支出（类）行政事业单位医疗</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行政单位医疗</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19.9</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Style w:val="16"/>
          <w:rFonts w:hint="eastAsia" w:ascii="仿宋" w:eastAsia="仿宋"/>
          <w:b w:val="0"/>
          <w:bCs/>
          <w:color w:val="000000"/>
          <w:sz w:val="32"/>
          <w:szCs w:val="32"/>
          <w:lang w:eastAsia="zh-CN"/>
        </w:rPr>
      </w:pPr>
      <w:r>
        <w:rPr>
          <w:rStyle w:val="16"/>
          <w:rFonts w:hint="eastAsia" w:ascii="仿宋" w:eastAsia="仿宋"/>
          <w:bCs/>
          <w:color w:val="000000"/>
          <w:sz w:val="32"/>
          <w:szCs w:val="32"/>
          <w:lang w:val="en-US" w:eastAsia="zh-CN"/>
        </w:rPr>
        <w:t>7.</w:t>
      </w:r>
      <w:r>
        <w:rPr>
          <w:rStyle w:val="16"/>
          <w:rFonts w:hint="eastAsia" w:ascii="仿宋" w:eastAsia="仿宋"/>
          <w:bCs/>
          <w:color w:val="000000"/>
          <w:sz w:val="32"/>
          <w:szCs w:val="32"/>
          <w:lang w:eastAsia="zh-CN"/>
        </w:rPr>
        <w:t>卫生健康支出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行政事业单位医疗</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公务员医疗补助</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5.87</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Style w:val="16"/>
          <w:rFonts w:hint="eastAsia" w:ascii="仿宋" w:eastAsia="仿宋"/>
          <w:b w:val="0"/>
          <w:bCs/>
          <w:color w:val="000000"/>
          <w:sz w:val="32"/>
          <w:szCs w:val="32"/>
          <w:lang w:eastAsia="zh-CN"/>
        </w:rPr>
      </w:pPr>
      <w:r>
        <w:rPr>
          <w:rStyle w:val="16"/>
          <w:rFonts w:hint="eastAsia" w:ascii="仿宋" w:eastAsia="仿宋"/>
          <w:bCs/>
          <w:color w:val="000000"/>
          <w:sz w:val="32"/>
          <w:szCs w:val="32"/>
          <w:lang w:val="en-US" w:eastAsia="zh-CN"/>
        </w:rPr>
        <w:t>8.农林水</w:t>
      </w:r>
      <w:r>
        <w:rPr>
          <w:rStyle w:val="16"/>
          <w:rFonts w:hint="eastAsia" w:ascii="仿宋" w:eastAsia="仿宋"/>
          <w:bCs/>
          <w:color w:val="000000"/>
          <w:sz w:val="32"/>
          <w:szCs w:val="32"/>
          <w:lang w:eastAsia="zh-CN"/>
        </w:rPr>
        <w:t>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农业农村</w:t>
      </w:r>
      <w:r>
        <w:rPr>
          <w:rStyle w:val="16"/>
          <w:rFonts w:hint="eastAsia" w:ascii="仿宋" w:eastAsia="仿宋"/>
          <w:bCs/>
          <w:color w:val="000000"/>
          <w:sz w:val="32"/>
          <w:szCs w:val="32"/>
        </w:rPr>
        <w:t>（款）</w:t>
      </w:r>
      <w:r>
        <w:rPr>
          <w:rStyle w:val="19"/>
          <w:rFonts w:hint="eastAsia"/>
          <w:lang w:val="en-US" w:eastAsia="zh-CN"/>
        </w:rPr>
        <w:t>农村道路建设</w:t>
      </w:r>
      <w:r>
        <w:rPr>
          <w:rStyle w:val="19"/>
          <w:rFonts w:hint="eastAsia"/>
        </w:rPr>
        <w:t>（</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59.56</w:t>
      </w:r>
      <w:r>
        <w:rPr>
          <w:rStyle w:val="16"/>
          <w:rFonts w:hint="eastAsia" w:ascii="仿宋" w:eastAsia="仿宋"/>
          <w:b w:val="0"/>
          <w:bCs/>
          <w:color w:val="000000"/>
          <w:sz w:val="32"/>
          <w:szCs w:val="32"/>
        </w:rPr>
        <w:t>万元</w:t>
      </w:r>
      <w:r>
        <w:rPr>
          <w:rStyle w:val="16"/>
          <w:rFonts w:hint="eastAsia" w:ascii="仿宋" w:eastAsia="仿宋"/>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Style w:val="16"/>
          <w:rFonts w:hint="eastAsia" w:ascii="仿宋" w:eastAsia="仿宋"/>
          <w:b w:val="0"/>
          <w:bCs/>
          <w:color w:val="000000"/>
          <w:sz w:val="32"/>
          <w:szCs w:val="32"/>
          <w:lang w:eastAsia="zh-CN"/>
        </w:rPr>
      </w:pPr>
      <w:r>
        <w:rPr>
          <w:rStyle w:val="16"/>
          <w:rFonts w:hint="eastAsia" w:ascii="仿宋" w:eastAsia="仿宋"/>
          <w:bCs/>
          <w:color w:val="000000"/>
          <w:sz w:val="32"/>
          <w:szCs w:val="32"/>
          <w:lang w:val="en-US" w:eastAsia="zh-CN"/>
        </w:rPr>
        <w:t>9.农林水</w:t>
      </w:r>
      <w:r>
        <w:rPr>
          <w:rStyle w:val="16"/>
          <w:rFonts w:hint="eastAsia" w:ascii="仿宋" w:eastAsia="仿宋"/>
          <w:bCs/>
          <w:color w:val="000000"/>
          <w:sz w:val="32"/>
          <w:szCs w:val="32"/>
          <w:lang w:eastAsia="zh-CN"/>
        </w:rPr>
        <w:t>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农村综合事务改革</w:t>
      </w:r>
      <w:r>
        <w:rPr>
          <w:rStyle w:val="16"/>
          <w:rFonts w:hint="eastAsia" w:ascii="仿宋" w:eastAsia="仿宋"/>
          <w:bCs/>
          <w:color w:val="000000"/>
          <w:sz w:val="32"/>
          <w:szCs w:val="32"/>
        </w:rPr>
        <w:t>（款）</w:t>
      </w:r>
      <w:r>
        <w:rPr>
          <w:rStyle w:val="19"/>
          <w:rFonts w:hint="eastAsia"/>
          <w:lang w:val="en-US" w:eastAsia="zh-CN"/>
        </w:rPr>
        <w:t>对村民委员会和党支部的支行</w:t>
      </w:r>
      <w:r>
        <w:rPr>
          <w:rStyle w:val="19"/>
          <w:rFonts w:hint="eastAsia"/>
        </w:rPr>
        <w:t>（</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197.45</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bookmarkStart w:id="40" w:name="_Toc15377214"/>
      <w:bookmarkStart w:id="41" w:name="_Toc15396608"/>
      <w:r>
        <w:rPr>
          <w:rStyle w:val="16"/>
          <w:rFonts w:hint="eastAsia" w:ascii="仿宋" w:eastAsia="仿宋"/>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lang w:eastAsia="zh-CN"/>
        </w:rPr>
      </w:pPr>
      <w:r>
        <w:rPr>
          <w:rStyle w:val="16"/>
          <w:rFonts w:hint="eastAsia" w:ascii="仿宋" w:eastAsia="仿宋"/>
          <w:bCs/>
          <w:color w:val="000000"/>
          <w:sz w:val="32"/>
          <w:szCs w:val="32"/>
          <w:lang w:val="en-US" w:eastAsia="zh-CN"/>
        </w:rPr>
        <w:t>10.农林水</w:t>
      </w:r>
      <w:r>
        <w:rPr>
          <w:rStyle w:val="16"/>
          <w:rFonts w:hint="eastAsia" w:ascii="仿宋" w:eastAsia="仿宋"/>
          <w:bCs/>
          <w:color w:val="000000"/>
          <w:sz w:val="32"/>
          <w:szCs w:val="32"/>
          <w:lang w:eastAsia="zh-CN"/>
        </w:rPr>
        <w:t>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农业农村</w:t>
      </w:r>
      <w:r>
        <w:rPr>
          <w:rStyle w:val="16"/>
          <w:rFonts w:hint="eastAsia" w:ascii="仿宋" w:eastAsia="仿宋"/>
          <w:bCs/>
          <w:color w:val="000000"/>
          <w:sz w:val="32"/>
          <w:szCs w:val="32"/>
        </w:rPr>
        <w:t>（款）</w:t>
      </w:r>
      <w:r>
        <w:rPr>
          <w:rStyle w:val="19"/>
          <w:rFonts w:hint="eastAsia"/>
          <w:lang w:val="en-US" w:eastAsia="zh-CN"/>
        </w:rPr>
        <w:t>事业运行</w:t>
      </w:r>
      <w:r>
        <w:rPr>
          <w:rStyle w:val="19"/>
          <w:rFonts w:hint="eastAsia"/>
        </w:rPr>
        <w:t>（</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90.25</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Style w:val="16"/>
          <w:rFonts w:hint="eastAsia" w:ascii="仿宋" w:eastAsia="仿宋"/>
          <w:b w:val="0"/>
          <w:bCs/>
          <w:color w:val="000000"/>
          <w:sz w:val="32"/>
          <w:szCs w:val="32"/>
          <w:highlight w:val="none"/>
          <w:lang w:eastAsia="zh-CN"/>
        </w:rPr>
      </w:pPr>
      <w:r>
        <w:rPr>
          <w:rStyle w:val="16"/>
          <w:rFonts w:hint="eastAsia" w:ascii="仿宋" w:eastAsia="仿宋"/>
          <w:bCs/>
          <w:color w:val="000000"/>
          <w:sz w:val="32"/>
          <w:szCs w:val="32"/>
          <w:highlight w:val="none"/>
          <w:lang w:val="en-US" w:eastAsia="zh-CN"/>
        </w:rPr>
        <w:t>11.住房保障（类）住房改革支出（款）住房公积金（项）：</w:t>
      </w:r>
      <w:r>
        <w:rPr>
          <w:rStyle w:val="16"/>
          <w:rFonts w:hint="eastAsia" w:ascii="仿宋" w:eastAsia="仿宋"/>
          <w:b w:val="0"/>
          <w:bCs/>
          <w:color w:val="000000"/>
          <w:sz w:val="32"/>
          <w:szCs w:val="32"/>
          <w:highlight w:val="none"/>
        </w:rPr>
        <w:t>支出决算为</w:t>
      </w:r>
      <w:r>
        <w:rPr>
          <w:rStyle w:val="16"/>
          <w:rFonts w:hint="eastAsia" w:ascii="仿宋" w:eastAsia="仿宋"/>
          <w:b w:val="0"/>
          <w:bCs/>
          <w:color w:val="000000"/>
          <w:sz w:val="32"/>
          <w:szCs w:val="32"/>
          <w:highlight w:val="none"/>
          <w:lang w:val="en-US" w:eastAsia="zh-CN"/>
        </w:rPr>
        <w:t>40.6</w:t>
      </w:r>
      <w:r>
        <w:rPr>
          <w:rStyle w:val="16"/>
          <w:rFonts w:hint="eastAsia" w:ascii="仿宋" w:eastAsia="仿宋"/>
          <w:b w:val="0"/>
          <w:bCs/>
          <w:color w:val="000000"/>
          <w:sz w:val="32"/>
          <w:szCs w:val="32"/>
          <w:highlight w:val="none"/>
        </w:rPr>
        <w:t>万元</w:t>
      </w:r>
      <w:r>
        <w:rPr>
          <w:rStyle w:val="16"/>
          <w:rFonts w:hint="eastAsia" w:ascii="仿宋" w:eastAsia="仿宋"/>
          <w:b w:val="0"/>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Style w:val="16"/>
          <w:rFonts w:hint="eastAsia" w:ascii="仿宋" w:eastAsia="仿宋"/>
          <w:b w:val="0"/>
          <w:bCs/>
          <w:color w:val="000000"/>
          <w:sz w:val="32"/>
          <w:szCs w:val="32"/>
          <w:lang w:eastAsia="zh-CN"/>
        </w:rPr>
      </w:pPr>
      <w:r>
        <w:rPr>
          <w:rStyle w:val="16"/>
          <w:rFonts w:hint="eastAsia" w:ascii="仿宋" w:eastAsia="仿宋"/>
          <w:bCs/>
          <w:color w:val="000000"/>
          <w:sz w:val="32"/>
          <w:szCs w:val="32"/>
          <w:lang w:val="en-US" w:eastAsia="zh-CN"/>
        </w:rPr>
        <w:t>12.灾害防治与应急管理支出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应急管理事务</w:t>
      </w:r>
      <w:r>
        <w:rPr>
          <w:rStyle w:val="16"/>
          <w:rFonts w:hint="eastAsia" w:ascii="仿宋" w:eastAsia="仿宋"/>
          <w:bCs/>
          <w:color w:val="000000"/>
          <w:sz w:val="32"/>
          <w:szCs w:val="32"/>
        </w:rPr>
        <w:t>（款）</w:t>
      </w:r>
      <w:r>
        <w:rPr>
          <w:rStyle w:val="19"/>
          <w:rFonts w:hint="eastAsia"/>
          <w:lang w:val="en-US" w:eastAsia="zh-CN"/>
        </w:rPr>
        <w:t>应急救援</w:t>
      </w:r>
      <w:r>
        <w:rPr>
          <w:rStyle w:val="19"/>
          <w:rFonts w:hint="eastAsia"/>
        </w:rPr>
        <w:t>（</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26</w:t>
      </w:r>
      <w:r>
        <w:rPr>
          <w:rStyle w:val="16"/>
          <w:rFonts w:hint="eastAsia" w:ascii="仿宋" w:eastAsia="仿宋"/>
          <w:b w:val="0"/>
          <w:bCs/>
          <w:color w:val="000000"/>
          <w:sz w:val="32"/>
          <w:szCs w:val="32"/>
        </w:rPr>
        <w:t>万元</w:t>
      </w:r>
      <w:r>
        <w:rPr>
          <w:rStyle w:val="16"/>
          <w:rFonts w:hint="eastAsia" w:ascii="仿宋" w:eastAsia="仿宋"/>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lang w:eastAsia="zh-CN"/>
        </w:rPr>
      </w:pPr>
      <w:r>
        <w:rPr>
          <w:rStyle w:val="16"/>
          <w:rFonts w:hint="eastAsia" w:ascii="仿宋" w:eastAsia="仿宋"/>
          <w:bCs/>
          <w:color w:val="000000"/>
          <w:sz w:val="32"/>
          <w:szCs w:val="32"/>
          <w:lang w:val="en-US" w:eastAsia="zh-CN"/>
        </w:rPr>
        <w:t>13.灾害防治与应急管理支出</w:t>
      </w:r>
      <w:r>
        <w:rPr>
          <w:rStyle w:val="16"/>
          <w:rFonts w:hint="eastAsia" w:ascii="仿宋" w:eastAsia="仿宋"/>
          <w:bCs/>
          <w:color w:val="000000"/>
          <w:sz w:val="32"/>
          <w:szCs w:val="32"/>
        </w:rPr>
        <w:t>（类）</w:t>
      </w:r>
      <w:r>
        <w:rPr>
          <w:rStyle w:val="16"/>
          <w:rFonts w:hint="eastAsia" w:ascii="仿宋" w:eastAsia="仿宋"/>
          <w:bCs/>
          <w:color w:val="000000"/>
          <w:sz w:val="32"/>
          <w:szCs w:val="32"/>
          <w:lang w:eastAsia="zh-CN"/>
        </w:rPr>
        <w:t>自然灾害防治</w:t>
      </w:r>
      <w:r>
        <w:rPr>
          <w:rStyle w:val="16"/>
          <w:rFonts w:hint="eastAsia" w:ascii="仿宋" w:eastAsia="仿宋"/>
          <w:bCs/>
          <w:color w:val="000000"/>
          <w:sz w:val="32"/>
          <w:szCs w:val="32"/>
        </w:rPr>
        <w:t>（款）</w:t>
      </w:r>
      <w:r>
        <w:rPr>
          <w:rStyle w:val="19"/>
          <w:rFonts w:hint="eastAsia"/>
          <w:lang w:val="en-US" w:eastAsia="zh-CN"/>
        </w:rPr>
        <w:t>地质灾害防治</w:t>
      </w:r>
      <w:r>
        <w:rPr>
          <w:rStyle w:val="19"/>
          <w:rFonts w:hint="eastAsia"/>
        </w:rPr>
        <w:t>（</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7</w:t>
      </w:r>
      <w:r>
        <w:rPr>
          <w:rStyle w:val="16"/>
          <w:rFonts w:hint="eastAsia" w:ascii="仿宋" w:eastAsia="仿宋"/>
          <w:b w:val="0"/>
          <w:bCs/>
          <w:color w:val="000000"/>
          <w:sz w:val="32"/>
          <w:szCs w:val="32"/>
        </w:rPr>
        <w:t>万元</w:t>
      </w:r>
      <w:r>
        <w:rPr>
          <w:rStyle w:val="16"/>
          <w:rFonts w:hint="eastAsia" w:ascii="仿宋" w:eastAsia="仿宋"/>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Style w:val="16"/>
          <w:rFonts w:hint="eastAsia" w:ascii="仿宋" w:eastAsia="仿宋"/>
          <w:b w:val="0"/>
          <w:bCs/>
          <w:color w:val="000000"/>
          <w:sz w:val="32"/>
          <w:szCs w:val="32"/>
          <w:highlight w:val="none"/>
          <w:lang w:val="en-US" w:eastAsia="zh-CN"/>
        </w:rPr>
      </w:pPr>
      <w:r>
        <w:rPr>
          <w:rStyle w:val="16"/>
          <w:rFonts w:hint="eastAsia" w:ascii="仿宋" w:eastAsia="仿宋"/>
          <w:bCs/>
          <w:color w:val="000000"/>
          <w:sz w:val="32"/>
          <w:szCs w:val="32"/>
          <w:highlight w:val="none"/>
          <w:lang w:val="en-US" w:eastAsia="zh-CN"/>
        </w:rPr>
        <w:t>14.其他支出（类）其他支出（款）其他支出（项）：</w:t>
      </w:r>
      <w:r>
        <w:rPr>
          <w:rStyle w:val="16"/>
          <w:rFonts w:hint="eastAsia" w:ascii="仿宋" w:eastAsia="仿宋"/>
          <w:b w:val="0"/>
          <w:bCs/>
          <w:color w:val="000000"/>
          <w:sz w:val="32"/>
          <w:szCs w:val="32"/>
          <w:highlight w:val="none"/>
        </w:rPr>
        <w:t>支出决算为</w:t>
      </w:r>
      <w:r>
        <w:rPr>
          <w:rStyle w:val="16"/>
          <w:rFonts w:hint="eastAsia" w:ascii="仿宋" w:eastAsia="仿宋"/>
          <w:b w:val="0"/>
          <w:bCs/>
          <w:color w:val="000000"/>
          <w:sz w:val="32"/>
          <w:szCs w:val="32"/>
          <w:highlight w:val="none"/>
          <w:lang w:val="en-US" w:eastAsia="zh-CN"/>
        </w:rPr>
        <w:t>57.83</w:t>
      </w:r>
      <w:r>
        <w:rPr>
          <w:rStyle w:val="16"/>
          <w:rFonts w:hint="eastAsia" w:ascii="仿宋" w:eastAsia="仿宋"/>
          <w:b w:val="0"/>
          <w:bCs/>
          <w:color w:val="000000"/>
          <w:sz w:val="32"/>
          <w:szCs w:val="32"/>
          <w:highlight w:val="none"/>
        </w:rPr>
        <w:t>万元</w:t>
      </w:r>
      <w:r>
        <w:rPr>
          <w:rStyle w:val="16"/>
          <w:rFonts w:hint="eastAsia" w:ascii="仿宋" w:eastAsia="仿宋"/>
          <w:b w:val="0"/>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Style w:val="19"/>
        </w:rPr>
      </w:pPr>
      <w:r>
        <w:rPr>
          <w:rFonts w:hint="eastAsia" w:ascii="黑体" w:eastAsia="黑体"/>
          <w:color w:val="000000"/>
          <w:sz w:val="32"/>
          <w:szCs w:val="32"/>
          <w:highlight w:val="none"/>
        </w:rPr>
        <w:t>六</w:t>
      </w:r>
      <w:r>
        <w:rPr>
          <w:rFonts w:hint="eastAsia" w:ascii="黑体" w:eastAsia="黑体"/>
          <w:b/>
          <w:color w:val="000000"/>
          <w:sz w:val="32"/>
          <w:szCs w:val="32"/>
          <w:highlight w:val="none"/>
        </w:rPr>
        <w:t>、一</w:t>
      </w:r>
      <w:r>
        <w:rPr>
          <w:rStyle w:val="19"/>
          <w:rFonts w:hint="eastAsia" w:ascii="黑体" w:eastAsia="黑体"/>
          <w:b w:val="0"/>
          <w:highlight w:val="none"/>
        </w:rPr>
        <w:t>般公共</w:t>
      </w:r>
      <w:r>
        <w:rPr>
          <w:rStyle w:val="19"/>
          <w:rFonts w:hint="eastAsia" w:ascii="黑体" w:eastAsia="黑体"/>
          <w:b w:val="0"/>
        </w:rPr>
        <w:t>预算财政拨款基本支出决算情况说明</w:t>
      </w:r>
      <w:bookmarkEnd w:id="40"/>
      <w:bookmarkEnd w:id="41"/>
      <w:r>
        <w:rPr>
          <w:rStyle w:val="19"/>
          <w:rFonts w:ascii="黑体" w:eastAsia="黑体"/>
          <w:b w:val="0"/>
        </w:rPr>
        <w:tab/>
      </w:r>
    </w:p>
    <w:p>
      <w:pPr>
        <w:keepNext w:val="0"/>
        <w:keepLines w:val="0"/>
        <w:pageBreakBefore w:val="0"/>
        <w:widowControl w:val="0"/>
        <w:kinsoku/>
        <w:wordWrap/>
        <w:overflowPunct/>
        <w:topLinePunct w:val="0"/>
        <w:autoSpaceDE/>
        <w:autoSpaceDN/>
        <w:bidi w:val="0"/>
        <w:adjustRightInd/>
        <w:snapToGrid/>
        <w:spacing w:line="480" w:lineRule="exact"/>
        <w:ind w:firstLine="645"/>
        <w:textAlignment w:val="auto"/>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523.61</w:t>
      </w:r>
      <w:r>
        <w:rPr>
          <w:rFonts w:hint="eastAsia" w:ascii="仿宋" w:eastAsia="仿宋"/>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480" w:lineRule="exact"/>
        <w:ind w:firstLine="645"/>
        <w:textAlignment w:val="auto"/>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489.43</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92.84万元</w:t>
      </w:r>
      <w:r>
        <w:rPr>
          <w:rFonts w:hint="eastAsia" w:ascii="仿宋" w:eastAsia="仿宋"/>
          <w:color w:val="000000"/>
          <w:sz w:val="32"/>
          <w:szCs w:val="32"/>
        </w:rPr>
        <w:t>、津贴补贴</w:t>
      </w:r>
      <w:r>
        <w:rPr>
          <w:rFonts w:hint="eastAsia" w:ascii="仿宋" w:eastAsia="仿宋"/>
          <w:color w:val="000000"/>
          <w:sz w:val="32"/>
          <w:szCs w:val="32"/>
          <w:lang w:val="en-US" w:eastAsia="zh-CN"/>
        </w:rPr>
        <w:t>139.64万元</w:t>
      </w:r>
      <w:r>
        <w:rPr>
          <w:rFonts w:hint="eastAsia" w:ascii="仿宋" w:eastAsia="仿宋"/>
          <w:color w:val="000000"/>
          <w:sz w:val="32"/>
          <w:szCs w:val="32"/>
        </w:rPr>
        <w:t>、奖金</w:t>
      </w:r>
      <w:r>
        <w:rPr>
          <w:rFonts w:hint="eastAsia" w:ascii="仿宋" w:eastAsia="仿宋"/>
          <w:color w:val="000000"/>
          <w:sz w:val="32"/>
          <w:szCs w:val="32"/>
          <w:lang w:val="en-US" w:eastAsia="zh-CN"/>
        </w:rPr>
        <w:t>7.07万元</w:t>
      </w:r>
      <w:r>
        <w:rPr>
          <w:rFonts w:hint="eastAsia" w:ascii="仿宋" w:eastAsia="仿宋"/>
          <w:color w:val="000000"/>
          <w:sz w:val="32"/>
          <w:szCs w:val="32"/>
        </w:rPr>
        <w:t>、伙食补助费</w:t>
      </w:r>
      <w:r>
        <w:rPr>
          <w:rFonts w:hint="eastAsia" w:ascii="仿宋" w:eastAsia="仿宋"/>
          <w:color w:val="000000"/>
          <w:sz w:val="32"/>
          <w:szCs w:val="32"/>
          <w:lang w:val="en-US" w:eastAsia="zh-CN"/>
        </w:rPr>
        <w:t>0万元</w:t>
      </w:r>
      <w:r>
        <w:rPr>
          <w:rFonts w:hint="eastAsia" w:ascii="仿宋" w:eastAsia="仿宋"/>
          <w:color w:val="000000"/>
          <w:sz w:val="32"/>
          <w:szCs w:val="32"/>
        </w:rPr>
        <w:t>、</w:t>
      </w:r>
      <w:r>
        <w:rPr>
          <w:rFonts w:hint="eastAsia" w:ascii="仿宋" w:eastAsia="仿宋"/>
          <w:color w:val="000000"/>
          <w:sz w:val="32"/>
          <w:szCs w:val="32"/>
          <w:lang w:eastAsia="zh-CN"/>
        </w:rPr>
        <w:t>绩效工资</w:t>
      </w:r>
      <w:r>
        <w:rPr>
          <w:rFonts w:hint="eastAsia" w:ascii="仿宋" w:eastAsia="仿宋"/>
          <w:color w:val="000000"/>
          <w:sz w:val="32"/>
          <w:szCs w:val="32"/>
          <w:lang w:val="en-US" w:eastAsia="zh-CN"/>
        </w:rPr>
        <w:t>30.93万元，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37.38万元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18.45万元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职工基本医疗保险缴费19.9万元、公务员医疗补助缴费5.87万元、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3.62万元</w:t>
      </w:r>
      <w:r>
        <w:rPr>
          <w:rFonts w:hint="eastAsia" w:ascii="仿宋" w:eastAsia="仿宋"/>
          <w:color w:val="000000"/>
          <w:sz w:val="32"/>
          <w:szCs w:val="32"/>
        </w:rPr>
        <w:t>、其他工资福利支出</w:t>
      </w:r>
      <w:r>
        <w:rPr>
          <w:rFonts w:hint="eastAsia" w:ascii="仿宋" w:eastAsia="仿宋"/>
          <w:color w:val="000000"/>
          <w:sz w:val="32"/>
          <w:szCs w:val="32"/>
          <w:lang w:val="en-US" w:eastAsia="zh-CN"/>
        </w:rPr>
        <w:t>0万元</w:t>
      </w:r>
      <w:r>
        <w:rPr>
          <w:rFonts w:hint="eastAsia" w:ascii="仿宋" w:eastAsia="仿宋"/>
          <w:color w:val="000000"/>
          <w:sz w:val="32"/>
          <w:szCs w:val="32"/>
        </w:rPr>
        <w:t>、生活补助</w:t>
      </w:r>
      <w:r>
        <w:rPr>
          <w:rFonts w:hint="eastAsia" w:ascii="仿宋" w:eastAsia="仿宋"/>
          <w:color w:val="000000"/>
          <w:sz w:val="32"/>
          <w:szCs w:val="32"/>
          <w:lang w:val="en-US" w:eastAsia="zh-CN"/>
        </w:rPr>
        <w:t>0.35万元</w:t>
      </w:r>
      <w:r>
        <w:rPr>
          <w:rFonts w:hint="eastAsia" w:ascii="仿宋" w:eastAsia="仿宋"/>
          <w:color w:val="000000"/>
          <w:sz w:val="32"/>
          <w:szCs w:val="32"/>
        </w:rPr>
        <w:t>、</w:t>
      </w:r>
      <w:r>
        <w:rPr>
          <w:rFonts w:hint="eastAsia" w:ascii="仿宋" w:eastAsia="仿宋"/>
          <w:color w:val="000000"/>
          <w:sz w:val="32"/>
          <w:szCs w:val="32"/>
          <w:lang w:eastAsia="zh-CN"/>
        </w:rPr>
        <w:t>抚恤金</w:t>
      </w:r>
      <w:r>
        <w:rPr>
          <w:rFonts w:hint="eastAsia" w:ascii="仿宋" w:eastAsia="仿宋"/>
          <w:color w:val="000000"/>
          <w:sz w:val="32"/>
          <w:szCs w:val="32"/>
          <w:lang w:val="en-US" w:eastAsia="zh-CN"/>
        </w:rPr>
        <w:t>0万元、</w:t>
      </w:r>
      <w:r>
        <w:rPr>
          <w:rFonts w:hint="eastAsia" w:ascii="仿宋" w:eastAsia="仿宋"/>
          <w:color w:val="000000"/>
          <w:sz w:val="32"/>
          <w:szCs w:val="32"/>
        </w:rPr>
        <w:t>住房公积金</w:t>
      </w:r>
      <w:r>
        <w:rPr>
          <w:rFonts w:hint="eastAsia" w:ascii="仿宋" w:eastAsia="仿宋"/>
          <w:color w:val="000000"/>
          <w:sz w:val="32"/>
          <w:szCs w:val="32"/>
          <w:lang w:val="en-US" w:eastAsia="zh-CN"/>
        </w:rPr>
        <w:t>40.6万元</w:t>
      </w:r>
      <w:r>
        <w:rPr>
          <w:rFonts w:hint="eastAsia" w:ascii="仿宋" w:eastAsia="仿宋"/>
          <w:color w:val="000000"/>
          <w:sz w:val="32"/>
          <w:szCs w:val="32"/>
        </w:rPr>
        <w:t>、其他对个人和家庭的补助支出</w:t>
      </w:r>
      <w:r>
        <w:rPr>
          <w:rFonts w:hint="eastAsia" w:ascii="仿宋" w:eastAsia="仿宋"/>
          <w:color w:val="000000"/>
          <w:sz w:val="32"/>
          <w:szCs w:val="32"/>
          <w:lang w:val="en-US" w:eastAsia="zh-CN"/>
        </w:rPr>
        <w:t>0万元、奖励金92.78万元</w:t>
      </w:r>
      <w:r>
        <w:rPr>
          <w:rFonts w:hint="eastAsia" w:ascii="仿宋" w:eastAsia="仿宋"/>
          <w:color w:val="000000"/>
          <w:sz w:val="32"/>
          <w:szCs w:val="32"/>
        </w:rPr>
        <w:t>等。</w:t>
      </w:r>
    </w:p>
    <w:p>
      <w:pPr>
        <w:keepNext w:val="0"/>
        <w:keepLines w:val="0"/>
        <w:pageBreakBefore w:val="0"/>
        <w:widowControl w:val="0"/>
        <w:kinsoku/>
        <w:wordWrap/>
        <w:overflowPunct/>
        <w:topLinePunct w:val="0"/>
        <w:autoSpaceDE/>
        <w:autoSpaceDN/>
        <w:bidi w:val="0"/>
        <w:adjustRightInd/>
        <w:snapToGrid/>
        <w:spacing w:line="480" w:lineRule="exact"/>
        <w:ind w:firstLine="645"/>
        <w:textAlignment w:val="auto"/>
        <w:rPr>
          <w:rFonts w:ascii="仿宋" w:eastAsia="仿宋"/>
          <w:color w:val="000000"/>
          <w:sz w:val="32"/>
          <w:szCs w:val="32"/>
        </w:rPr>
      </w:pPr>
      <w:r>
        <w:rPr>
          <w:rFonts w:hint="eastAsia" w:ascii="仿宋" w:eastAsia="仿宋"/>
          <w:color w:val="000000"/>
          <w:sz w:val="32"/>
          <w:szCs w:val="32"/>
        </w:rPr>
        <w:t>公用经费</w:t>
      </w:r>
      <w:r>
        <w:rPr>
          <w:rFonts w:hint="eastAsia" w:ascii="仿宋" w:eastAsia="仿宋"/>
          <w:color w:val="000000"/>
          <w:sz w:val="32"/>
          <w:szCs w:val="32"/>
          <w:lang w:val="en-US" w:eastAsia="zh-CN"/>
        </w:rPr>
        <w:t>34.18</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11.25万元</w:t>
      </w:r>
      <w:r>
        <w:rPr>
          <w:rFonts w:hint="eastAsia" w:ascii="仿宋" w:eastAsia="仿宋"/>
          <w:color w:val="000000"/>
          <w:sz w:val="32"/>
          <w:szCs w:val="32"/>
        </w:rPr>
        <w:t>、</w:t>
      </w:r>
      <w:r>
        <w:rPr>
          <w:rFonts w:hint="eastAsia" w:ascii="仿宋" w:eastAsia="仿宋"/>
          <w:color w:val="000000"/>
          <w:sz w:val="32"/>
          <w:szCs w:val="32"/>
          <w:lang w:eastAsia="zh-CN"/>
        </w:rPr>
        <w:t>印刷费</w:t>
      </w:r>
      <w:r>
        <w:rPr>
          <w:rFonts w:hint="eastAsia" w:ascii="仿宋" w:eastAsia="仿宋"/>
          <w:color w:val="000000"/>
          <w:sz w:val="32"/>
          <w:szCs w:val="32"/>
          <w:lang w:val="en-US" w:eastAsia="zh-CN"/>
        </w:rPr>
        <w:t>5万元、</w:t>
      </w:r>
      <w:r>
        <w:rPr>
          <w:rFonts w:hint="eastAsia" w:ascii="仿宋" w:eastAsia="仿宋"/>
          <w:color w:val="000000"/>
          <w:sz w:val="32"/>
          <w:szCs w:val="32"/>
          <w:lang w:eastAsia="zh-CN"/>
        </w:rPr>
        <w:t>手续费</w:t>
      </w:r>
      <w:r>
        <w:rPr>
          <w:rFonts w:hint="eastAsia" w:ascii="仿宋" w:eastAsia="仿宋"/>
          <w:color w:val="000000"/>
          <w:sz w:val="32"/>
          <w:szCs w:val="32"/>
          <w:lang w:val="en-US" w:eastAsia="zh-CN"/>
        </w:rPr>
        <w:t>0.09万元、</w:t>
      </w:r>
      <w:r>
        <w:rPr>
          <w:rFonts w:hint="eastAsia" w:ascii="仿宋" w:eastAsia="仿宋"/>
          <w:color w:val="000000"/>
          <w:sz w:val="32"/>
          <w:szCs w:val="32"/>
        </w:rPr>
        <w:t>水费</w:t>
      </w:r>
      <w:r>
        <w:rPr>
          <w:rFonts w:hint="eastAsia" w:ascii="仿宋" w:eastAsia="仿宋"/>
          <w:color w:val="000000"/>
          <w:sz w:val="32"/>
          <w:szCs w:val="32"/>
          <w:lang w:val="en-US" w:eastAsia="zh-CN"/>
        </w:rPr>
        <w:t>0万元</w:t>
      </w:r>
      <w:r>
        <w:rPr>
          <w:rFonts w:hint="eastAsia" w:ascii="仿宋" w:eastAsia="仿宋"/>
          <w:color w:val="000000"/>
          <w:sz w:val="32"/>
          <w:szCs w:val="32"/>
        </w:rPr>
        <w:t>、电费</w:t>
      </w:r>
      <w:r>
        <w:rPr>
          <w:rFonts w:hint="eastAsia" w:ascii="仿宋" w:eastAsia="仿宋"/>
          <w:color w:val="000000"/>
          <w:sz w:val="32"/>
          <w:szCs w:val="32"/>
          <w:lang w:val="en-US" w:eastAsia="zh-CN"/>
        </w:rPr>
        <w:t>1.15万元</w:t>
      </w:r>
      <w:r>
        <w:rPr>
          <w:rFonts w:hint="eastAsia" w:ascii="仿宋" w:eastAsia="仿宋"/>
          <w:color w:val="000000"/>
          <w:sz w:val="32"/>
          <w:szCs w:val="32"/>
        </w:rPr>
        <w:t>、邮电费</w:t>
      </w:r>
      <w:r>
        <w:rPr>
          <w:rFonts w:hint="eastAsia" w:ascii="仿宋" w:eastAsia="仿宋"/>
          <w:color w:val="000000"/>
          <w:sz w:val="32"/>
          <w:szCs w:val="32"/>
          <w:lang w:val="en-US" w:eastAsia="zh-CN"/>
        </w:rPr>
        <w:t>2万元</w:t>
      </w:r>
      <w:r>
        <w:rPr>
          <w:rFonts w:hint="eastAsia" w:ascii="仿宋" w:eastAsia="仿宋"/>
          <w:color w:val="000000"/>
          <w:sz w:val="32"/>
          <w:szCs w:val="32"/>
        </w:rPr>
        <w:t>、</w:t>
      </w:r>
      <w:r>
        <w:rPr>
          <w:rFonts w:hint="eastAsia" w:ascii="仿宋" w:eastAsia="仿宋"/>
          <w:color w:val="000000"/>
          <w:sz w:val="32"/>
          <w:szCs w:val="32"/>
          <w:lang w:eastAsia="zh-CN"/>
        </w:rPr>
        <w:t>取暖费</w:t>
      </w:r>
      <w:r>
        <w:rPr>
          <w:rFonts w:hint="eastAsia" w:ascii="仿宋" w:eastAsia="仿宋"/>
          <w:color w:val="000000"/>
          <w:sz w:val="32"/>
          <w:szCs w:val="32"/>
          <w:lang w:val="en-US" w:eastAsia="zh-CN"/>
        </w:rPr>
        <w:t>1万元、</w:t>
      </w:r>
      <w:r>
        <w:rPr>
          <w:rFonts w:hint="eastAsia" w:ascii="仿宋" w:eastAsia="仿宋"/>
          <w:color w:val="000000"/>
          <w:sz w:val="32"/>
          <w:szCs w:val="32"/>
        </w:rPr>
        <w:t>物业管理费</w:t>
      </w:r>
      <w:r>
        <w:rPr>
          <w:rFonts w:hint="eastAsia" w:ascii="仿宋" w:eastAsia="仿宋"/>
          <w:color w:val="000000"/>
          <w:sz w:val="32"/>
          <w:szCs w:val="32"/>
          <w:lang w:val="en-US" w:eastAsia="zh-CN"/>
        </w:rPr>
        <w:t>0万元</w:t>
      </w:r>
      <w:r>
        <w:rPr>
          <w:rFonts w:hint="eastAsia" w:ascii="仿宋" w:eastAsia="仿宋"/>
          <w:color w:val="000000"/>
          <w:sz w:val="32"/>
          <w:szCs w:val="32"/>
        </w:rPr>
        <w:t>、差旅费</w:t>
      </w:r>
      <w:r>
        <w:rPr>
          <w:rFonts w:hint="eastAsia" w:ascii="仿宋" w:eastAsia="仿宋"/>
          <w:color w:val="000000"/>
          <w:sz w:val="32"/>
          <w:szCs w:val="32"/>
          <w:lang w:val="en-US" w:eastAsia="zh-CN"/>
        </w:rPr>
        <w:t>2.99万元</w:t>
      </w:r>
      <w:r>
        <w:rPr>
          <w:rFonts w:hint="eastAsia" w:ascii="仿宋" w:eastAsia="仿宋"/>
          <w:color w:val="000000"/>
          <w:sz w:val="32"/>
          <w:szCs w:val="32"/>
        </w:rPr>
        <w:t>、因公出国（境）费用</w:t>
      </w:r>
      <w:r>
        <w:rPr>
          <w:rFonts w:hint="eastAsia" w:ascii="仿宋" w:eastAsia="仿宋"/>
          <w:color w:val="000000"/>
          <w:sz w:val="32"/>
          <w:szCs w:val="32"/>
          <w:lang w:val="en-US" w:eastAsia="zh-CN"/>
        </w:rPr>
        <w:t>0万元</w:t>
      </w:r>
      <w:r>
        <w:rPr>
          <w:rFonts w:hint="eastAsia" w:ascii="仿宋" w:eastAsia="仿宋"/>
          <w:color w:val="000000"/>
          <w:sz w:val="32"/>
          <w:szCs w:val="32"/>
        </w:rPr>
        <w:t>、维修（护）费</w:t>
      </w:r>
      <w:r>
        <w:rPr>
          <w:rFonts w:hint="eastAsia" w:ascii="仿宋" w:eastAsia="仿宋"/>
          <w:color w:val="000000"/>
          <w:sz w:val="32"/>
          <w:szCs w:val="32"/>
          <w:lang w:val="en-US" w:eastAsia="zh-CN"/>
        </w:rPr>
        <w:t>0万元</w:t>
      </w:r>
      <w:r>
        <w:rPr>
          <w:rFonts w:hint="eastAsia" w:ascii="仿宋" w:eastAsia="仿宋"/>
          <w:color w:val="000000"/>
          <w:sz w:val="32"/>
          <w:szCs w:val="32"/>
        </w:rPr>
        <w:t>、租赁费</w:t>
      </w:r>
      <w:r>
        <w:rPr>
          <w:rFonts w:hint="eastAsia" w:ascii="仿宋" w:eastAsia="仿宋"/>
          <w:color w:val="000000"/>
          <w:sz w:val="32"/>
          <w:szCs w:val="32"/>
          <w:lang w:val="en-US" w:eastAsia="zh-CN"/>
        </w:rPr>
        <w:t>0万元</w:t>
      </w:r>
      <w:r>
        <w:rPr>
          <w:rFonts w:hint="eastAsia" w:ascii="仿宋" w:eastAsia="仿宋"/>
          <w:color w:val="000000"/>
          <w:sz w:val="32"/>
          <w:szCs w:val="32"/>
        </w:rPr>
        <w:t>、会议费</w:t>
      </w:r>
      <w:r>
        <w:rPr>
          <w:rFonts w:hint="eastAsia" w:ascii="仿宋" w:eastAsia="仿宋"/>
          <w:color w:val="000000"/>
          <w:sz w:val="32"/>
          <w:szCs w:val="32"/>
          <w:lang w:val="en-US" w:eastAsia="zh-CN"/>
        </w:rPr>
        <w:t>0万元</w:t>
      </w:r>
      <w:r>
        <w:rPr>
          <w:rFonts w:hint="eastAsia" w:ascii="仿宋" w:eastAsia="仿宋"/>
          <w:color w:val="000000"/>
          <w:sz w:val="32"/>
          <w:szCs w:val="32"/>
        </w:rPr>
        <w:t>、培训费</w:t>
      </w:r>
      <w:r>
        <w:rPr>
          <w:rFonts w:hint="eastAsia" w:ascii="仿宋" w:eastAsia="仿宋"/>
          <w:color w:val="000000"/>
          <w:sz w:val="32"/>
          <w:szCs w:val="32"/>
          <w:lang w:val="en-US" w:eastAsia="zh-CN"/>
        </w:rPr>
        <w:t>0万元</w:t>
      </w:r>
      <w:r>
        <w:rPr>
          <w:rFonts w:hint="eastAsia" w:ascii="仿宋" w:eastAsia="仿宋"/>
          <w:color w:val="000000"/>
          <w:sz w:val="32"/>
          <w:szCs w:val="32"/>
        </w:rPr>
        <w:t>、公务接待费</w:t>
      </w:r>
      <w:r>
        <w:rPr>
          <w:rFonts w:hint="eastAsia" w:ascii="仿宋" w:eastAsia="仿宋"/>
          <w:color w:val="000000"/>
          <w:sz w:val="32"/>
          <w:szCs w:val="32"/>
          <w:lang w:val="en-US" w:eastAsia="zh-CN"/>
        </w:rPr>
        <w:t>0万元</w:t>
      </w:r>
      <w:r>
        <w:rPr>
          <w:rFonts w:hint="eastAsia" w:ascii="仿宋" w:eastAsia="仿宋"/>
          <w:color w:val="000000"/>
          <w:sz w:val="32"/>
          <w:szCs w:val="32"/>
        </w:rPr>
        <w:t>、</w:t>
      </w:r>
      <w:r>
        <w:rPr>
          <w:rFonts w:hint="eastAsia" w:ascii="仿宋" w:eastAsia="仿宋"/>
          <w:color w:val="000000"/>
          <w:sz w:val="32"/>
          <w:szCs w:val="32"/>
          <w:lang w:eastAsia="zh-CN"/>
        </w:rPr>
        <w:t>劳务费</w:t>
      </w:r>
      <w:r>
        <w:rPr>
          <w:rFonts w:hint="eastAsia" w:ascii="仿宋" w:eastAsia="仿宋"/>
          <w:color w:val="000000"/>
          <w:sz w:val="32"/>
          <w:szCs w:val="32"/>
          <w:lang w:val="en-US" w:eastAsia="zh-CN"/>
        </w:rPr>
        <w:t>3万元、</w:t>
      </w:r>
      <w:r>
        <w:rPr>
          <w:rFonts w:hint="eastAsia" w:ascii="仿宋" w:eastAsia="仿宋"/>
          <w:color w:val="000000"/>
          <w:sz w:val="32"/>
          <w:szCs w:val="32"/>
        </w:rPr>
        <w:t>福利费</w:t>
      </w:r>
      <w:r>
        <w:rPr>
          <w:rFonts w:hint="eastAsia" w:ascii="仿宋" w:eastAsia="仿宋"/>
          <w:color w:val="000000"/>
          <w:sz w:val="32"/>
          <w:szCs w:val="32"/>
          <w:lang w:val="en-US" w:eastAsia="zh-CN"/>
        </w:rPr>
        <w:t>0万元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5.5万元、其他交通费2.2元、其他商品和服务支出0万元、办公设备购置0万元、无形资产购置0万元</w:t>
      </w:r>
      <w:r>
        <w:rPr>
          <w:rFonts w:hint="eastAsia" w:ascii="仿宋" w:eastAsia="仿宋"/>
          <w:color w:val="000000"/>
          <w:sz w:val="32"/>
          <w:szCs w:val="32"/>
        </w:rPr>
        <w:t>等。</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1"/>
        <w:rPr>
          <w:rStyle w:val="19"/>
          <w:rFonts w:ascii="黑体" w:eastAsia="黑体"/>
          <w:b w:val="0"/>
        </w:rPr>
      </w:pPr>
      <w:bookmarkStart w:id="42" w:name="_Toc15396609"/>
      <w:bookmarkStart w:id="43" w:name="_Toc15377215"/>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42"/>
      <w:bookmarkEnd w:id="43"/>
    </w:p>
    <w:p>
      <w:pPr>
        <w:keepNext w:val="0"/>
        <w:keepLines w:val="0"/>
        <w:pageBreakBefore w:val="0"/>
        <w:widowControl w:val="0"/>
        <w:kinsoku/>
        <w:wordWrap/>
        <w:overflowPunct/>
        <w:topLinePunct w:val="0"/>
        <w:autoSpaceDE/>
        <w:autoSpaceDN/>
        <w:bidi w:val="0"/>
        <w:adjustRightInd/>
        <w:snapToGrid/>
        <w:spacing w:line="480" w:lineRule="exact"/>
        <w:ind w:firstLine="640"/>
        <w:textAlignment w:val="auto"/>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eastAsia"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w:t>
      </w:r>
      <w:r>
        <w:rPr>
          <w:rFonts w:hint="eastAsia" w:ascii="仿宋" w:eastAsia="仿宋"/>
          <w:color w:val="000000"/>
          <w:sz w:val="32"/>
          <w:szCs w:val="32"/>
          <w:lang w:val="en-US" w:eastAsia="zh-CN"/>
        </w:rPr>
        <w:t>预算为5.5万元，</w:t>
      </w:r>
      <w:r>
        <w:rPr>
          <w:rFonts w:hint="eastAsia" w:ascii="仿宋" w:eastAsia="仿宋"/>
          <w:color w:val="000000"/>
          <w:sz w:val="32"/>
          <w:szCs w:val="32"/>
        </w:rPr>
        <w:t>决算为</w:t>
      </w:r>
      <w:r>
        <w:rPr>
          <w:rFonts w:hint="eastAsia" w:ascii="仿宋" w:eastAsia="仿宋"/>
          <w:color w:val="000000"/>
          <w:sz w:val="32"/>
          <w:szCs w:val="32"/>
          <w:lang w:val="en-US" w:eastAsia="zh-CN"/>
        </w:rPr>
        <w:t>5.5</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0"/>
        <w:textAlignment w:val="auto"/>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5.5万元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5.5</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rPr>
          <w:rFonts w:hint="eastAsia" w:ascii="仿宋" w:eastAsia="仿宋"/>
          <w:color w:val="000000"/>
          <w:sz w:val="32"/>
          <w:szCs w:val="32"/>
          <w:lang w:eastAsia="zh-CN"/>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keepNext w:val="0"/>
        <w:keepLines w:val="0"/>
        <w:pageBreakBefore w:val="0"/>
        <w:widowControl w:val="0"/>
        <w:kinsoku/>
        <w:wordWrap/>
        <w:overflowPunct/>
        <w:topLinePunct w:val="0"/>
        <w:bidi w:val="0"/>
        <w:snapToGrid/>
        <w:spacing w:line="48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w:t>
      </w:r>
      <w:r>
        <w:rPr>
          <w:rFonts w:hint="eastAsia" w:ascii="仿宋_GB2312" w:eastAsia="仿宋_GB2312"/>
          <w:color w:val="000000"/>
          <w:sz w:val="32"/>
          <w:szCs w:val="32"/>
        </w:rPr>
        <w:t>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s="仿宋"/>
          <w:color w:val="000000"/>
          <w:sz w:val="32"/>
          <w:szCs w:val="32"/>
          <w:lang w:val="en-US" w:eastAsia="zh-CN"/>
        </w:rPr>
        <w:t>持平。</w:t>
      </w:r>
    </w:p>
    <w:p>
      <w:pPr>
        <w:keepNext w:val="0"/>
        <w:keepLines w:val="0"/>
        <w:pageBreakBefore w:val="0"/>
        <w:widowControl w:val="0"/>
        <w:kinsoku/>
        <w:wordWrap/>
        <w:overflowPunct/>
        <w:topLinePunct w:val="0"/>
        <w:bidi w:val="0"/>
        <w:snapToGrid/>
        <w:spacing w:line="480" w:lineRule="exact"/>
        <w:ind w:firstLine="640"/>
        <w:textAlignment w:val="auto"/>
        <w:rPr>
          <w:rFonts w:ascii="仿宋_GB2312" w:eastAsia="仿宋_GB2312"/>
          <w:b/>
          <w:color w:val="auto"/>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5.5</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w:t>
      </w:r>
      <w:r>
        <w:rPr>
          <w:rFonts w:hint="eastAsia" w:ascii="仿宋_GB2312" w:eastAsia="仿宋_GB2312"/>
          <w:color w:val="000000"/>
          <w:sz w:val="32"/>
          <w:szCs w:val="32"/>
          <w:lang w:val="en-US" w:eastAsia="zh-CN"/>
        </w:rPr>
        <w:t>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增加1.7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auto"/>
          <w:sz w:val="32"/>
          <w:szCs w:val="32"/>
          <w:lang w:val="en-US" w:eastAsia="zh-CN"/>
        </w:rPr>
        <w:t>45</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s="仿宋"/>
          <w:color w:val="000000"/>
          <w:sz w:val="32"/>
          <w:szCs w:val="32"/>
          <w:lang w:val="en-US" w:eastAsia="zh-CN"/>
        </w:rPr>
        <w:t>增加原因我乡2021年新增一辆公务用车。</w:t>
      </w:r>
    </w:p>
    <w:p>
      <w:pPr>
        <w:keepNext w:val="0"/>
        <w:keepLines w:val="0"/>
        <w:pageBreakBefore w:val="0"/>
        <w:widowControl w:val="0"/>
        <w:kinsoku/>
        <w:wordWrap/>
        <w:overflowPunct/>
        <w:topLinePunct w:val="0"/>
        <w:autoSpaceDE w:val="0"/>
        <w:autoSpaceDN w:val="0"/>
        <w:bidi w:val="0"/>
        <w:adjustRightInd w:val="0"/>
        <w:snapToGrid/>
        <w:spacing w:line="480" w:lineRule="exact"/>
        <w:ind w:firstLine="640" w:firstLineChars="200"/>
        <w:jc w:val="left"/>
        <w:textAlignment w:val="auto"/>
        <w:rPr>
          <w:rFonts w:hint="eastAsia"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bidi w:val="0"/>
        <w:snapToGrid/>
        <w:spacing w:line="48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5.5</w:t>
      </w:r>
      <w:r>
        <w:rPr>
          <w:rFonts w:hint="eastAsia" w:ascii="仿宋_GB2312" w:eastAsia="仿宋_GB2312"/>
          <w:color w:val="auto"/>
          <w:sz w:val="32"/>
          <w:szCs w:val="32"/>
        </w:rPr>
        <w:t>万元。</w:t>
      </w:r>
      <w:r>
        <w:rPr>
          <w:rFonts w:hint="eastAsia" w:ascii="仿宋_GB2312" w:eastAsia="仿宋_GB2312"/>
          <w:color w:val="000000"/>
          <w:sz w:val="32"/>
          <w:szCs w:val="32"/>
        </w:rPr>
        <w:t>主要用</w:t>
      </w:r>
      <w:r>
        <w:rPr>
          <w:rFonts w:hint="eastAsia" w:ascii="仿宋_GB2312" w:eastAsia="仿宋_GB2312"/>
          <w:color w:val="000000"/>
          <w:sz w:val="32"/>
          <w:szCs w:val="32"/>
          <w:lang w:val="en-US" w:eastAsia="zh-CN"/>
        </w:rPr>
        <w:t>我乡</w:t>
      </w:r>
      <w:r>
        <w:rPr>
          <w:rFonts w:hint="eastAsia" w:ascii="仿宋_GB2312" w:eastAsia="仿宋_GB2312"/>
          <w:color w:val="000000"/>
          <w:sz w:val="32"/>
          <w:szCs w:val="32"/>
        </w:rPr>
        <w:t>所需的公务用车燃料费、维修费、过路过桥费、保险费等支出。</w:t>
      </w:r>
    </w:p>
    <w:p>
      <w:pPr>
        <w:keepNext w:val="0"/>
        <w:keepLines w:val="0"/>
        <w:pageBreakBefore w:val="0"/>
        <w:widowControl w:val="0"/>
        <w:numPr>
          <w:ilvl w:val="0"/>
          <w:numId w:val="2"/>
        </w:numPr>
        <w:kinsoku/>
        <w:wordWrap/>
        <w:overflowPunct/>
        <w:topLinePunct w:val="0"/>
        <w:bidi w:val="0"/>
        <w:snapToGrid/>
        <w:spacing w:line="480" w:lineRule="exact"/>
        <w:ind w:left="0" w:firstLine="640"/>
        <w:textAlignment w:val="auto"/>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s="仿宋"/>
          <w:color w:val="000000"/>
          <w:sz w:val="32"/>
          <w:szCs w:val="32"/>
          <w:lang w:val="en-US" w:eastAsia="zh-CN"/>
        </w:rPr>
        <w:t>公务接待费0万元，与上年持平。</w:t>
      </w:r>
    </w:p>
    <w:p>
      <w:pPr>
        <w:keepNext w:val="0"/>
        <w:keepLines w:val="0"/>
        <w:pageBreakBefore w:val="0"/>
        <w:widowControl w:val="0"/>
        <w:kinsoku/>
        <w:wordWrap/>
        <w:overflowPunct/>
        <w:topLinePunct w:val="0"/>
        <w:bidi w:val="0"/>
        <w:snapToGrid/>
        <w:spacing w:line="480" w:lineRule="exact"/>
        <w:ind w:firstLine="640"/>
        <w:textAlignment w:val="auto"/>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46" w:name="_Toc15396610"/>
      <w:bookmarkStart w:id="47" w:name="_Toc15377218"/>
    </w:p>
    <w:p>
      <w:pPr>
        <w:keepNext w:val="0"/>
        <w:keepLines w:val="0"/>
        <w:pageBreakBefore w:val="0"/>
        <w:widowControl w:val="0"/>
        <w:kinsoku/>
        <w:wordWrap/>
        <w:overflowPunct/>
        <w:topLinePunct w:val="0"/>
        <w:bidi w:val="0"/>
        <w:snapToGrid/>
        <w:spacing w:line="480" w:lineRule="exact"/>
        <w:ind w:firstLine="640"/>
        <w:textAlignment w:val="auto"/>
        <w:outlineLvl w:val="1"/>
        <w:rPr>
          <w:rStyle w:val="19"/>
          <w:rFonts w:ascii="黑体" w:eastAsia="黑体"/>
        </w:rPr>
      </w:pPr>
      <w:r>
        <w:rPr>
          <w:rFonts w:hint="eastAsia" w:ascii="黑体" w:eastAsia="黑体"/>
          <w:color w:val="000000"/>
          <w:sz w:val="32"/>
          <w:szCs w:val="32"/>
        </w:rPr>
        <w:t>八、</w:t>
      </w:r>
      <w:r>
        <w:rPr>
          <w:rStyle w:val="19"/>
          <w:rFonts w:hint="eastAsia" w:ascii="黑体" w:eastAsia="黑体"/>
          <w:b w:val="0"/>
        </w:rPr>
        <w:t>政府性基金预算支出决算情况说明</w:t>
      </w:r>
      <w:bookmarkEnd w:id="46"/>
      <w:bookmarkEnd w:id="47"/>
    </w:p>
    <w:p>
      <w:pPr>
        <w:keepNext w:val="0"/>
        <w:keepLines w:val="0"/>
        <w:pageBreakBefore w:val="0"/>
        <w:widowControl w:val="0"/>
        <w:kinsoku/>
        <w:wordWrap/>
        <w:overflowPunct/>
        <w:topLinePunct w:val="0"/>
        <w:bidi w:val="0"/>
        <w:snapToGrid/>
        <w:spacing w:line="480" w:lineRule="exact"/>
        <w:ind w:firstLine="640"/>
        <w:textAlignment w:val="auto"/>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val="0"/>
        <w:numPr>
          <w:ilvl w:val="0"/>
          <w:numId w:val="3"/>
        </w:numPr>
        <w:kinsoku/>
        <w:wordWrap/>
        <w:overflowPunct/>
        <w:topLinePunct w:val="0"/>
        <w:bidi w:val="0"/>
        <w:snapToGrid/>
        <w:spacing w:line="480" w:lineRule="exact"/>
        <w:ind w:left="0" w:firstLine="640"/>
        <w:textAlignment w:val="auto"/>
        <w:outlineLvl w:val="1"/>
        <w:rPr>
          <w:rStyle w:val="19"/>
          <w:rFonts w:ascii="黑体" w:eastAsia="黑体"/>
          <w:b w:val="0"/>
        </w:rPr>
      </w:pPr>
      <w:bookmarkStart w:id="48" w:name="_Toc15396611"/>
      <w:bookmarkStart w:id="49" w:name="_Toc15377219"/>
      <w:r>
        <w:rPr>
          <w:rStyle w:val="19"/>
          <w:rFonts w:hint="eastAsia" w:ascii="黑体" w:eastAsia="黑体"/>
          <w:b w:val="0"/>
        </w:rPr>
        <w:t>国有资本经营预算支出决算情况说明</w:t>
      </w:r>
      <w:bookmarkEnd w:id="48"/>
      <w:bookmarkEnd w:id="49"/>
    </w:p>
    <w:p>
      <w:pPr>
        <w:keepNext w:val="0"/>
        <w:keepLines w:val="0"/>
        <w:pageBreakBefore w:val="0"/>
        <w:widowControl w:val="0"/>
        <w:kinsoku/>
        <w:wordWrap/>
        <w:overflowPunct/>
        <w:topLinePunct w:val="0"/>
        <w:bidi w:val="0"/>
        <w:snapToGrid/>
        <w:spacing w:line="480" w:lineRule="exact"/>
        <w:ind w:firstLine="640"/>
        <w:textAlignment w:val="auto"/>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5"/>
        <w:keepNext w:val="0"/>
        <w:keepLines w:val="0"/>
        <w:pageBreakBefore w:val="0"/>
        <w:widowControl w:val="0"/>
        <w:numPr>
          <w:ilvl w:val="0"/>
          <w:numId w:val="4"/>
        </w:numPr>
        <w:kinsoku/>
        <w:wordWrap/>
        <w:overflowPunct/>
        <w:topLinePunct w:val="0"/>
        <w:bidi w:val="0"/>
        <w:snapToGrid/>
        <w:spacing w:line="480" w:lineRule="exact"/>
        <w:ind w:firstLineChars="0"/>
        <w:textAlignment w:val="auto"/>
        <w:rPr>
          <w:rStyle w:val="19"/>
          <w:rFonts w:ascii="黑体" w:eastAsia="黑体"/>
          <w:b w:val="0"/>
        </w:rPr>
      </w:pPr>
      <w:r>
        <w:rPr>
          <w:rStyle w:val="19"/>
          <w:rFonts w:hint="eastAsia" w:ascii="黑体" w:eastAsia="黑体"/>
          <w:b w:val="0"/>
        </w:rPr>
        <w:t>预算绩效情况说明</w:t>
      </w:r>
    </w:p>
    <w:p>
      <w:pPr>
        <w:keepNext w:val="0"/>
        <w:keepLines w:val="0"/>
        <w:pageBreakBefore w:val="0"/>
        <w:widowControl w:val="0"/>
        <w:numPr>
          <w:ilvl w:val="0"/>
          <w:numId w:val="5"/>
        </w:numPr>
        <w:kinsoku/>
        <w:wordWrap/>
        <w:overflowPunct/>
        <w:topLinePunct w:val="0"/>
        <w:bidi w:val="0"/>
        <w:snapToGrid/>
        <w:spacing w:line="480" w:lineRule="exact"/>
        <w:ind w:left="407" w:firstLine="643"/>
        <w:textAlignment w:val="auto"/>
        <w:rPr>
          <w:rFonts w:ascii="仿宋" w:eastAsia="仿宋" w:cs="楷体_GB2312"/>
          <w:b/>
          <w:bCs/>
          <w:sz w:val="32"/>
          <w:szCs w:val="32"/>
        </w:rPr>
      </w:pPr>
      <w:r>
        <w:rPr>
          <w:rFonts w:hint="eastAsia" w:ascii="仿宋" w:eastAsia="仿宋" w:cs="楷体_GB2312"/>
          <w:b/>
          <w:bCs/>
          <w:sz w:val="32"/>
          <w:szCs w:val="32"/>
        </w:rPr>
        <w:t>预算绩效管理工作开展情况。</w:t>
      </w:r>
    </w:p>
    <w:p>
      <w:pPr>
        <w:keepNext w:val="0"/>
        <w:keepLines w:val="0"/>
        <w:pageBreakBefore w:val="0"/>
        <w:widowControl w:val="0"/>
        <w:kinsoku/>
        <w:wordWrap/>
        <w:overflowPunct/>
        <w:topLinePunct w:val="0"/>
        <w:bidi w:val="0"/>
        <w:snapToGrid/>
        <w:spacing w:line="480" w:lineRule="exact"/>
        <w:ind w:firstLine="640" w:firstLineChars="200"/>
        <w:textAlignment w:val="auto"/>
        <w:rPr>
          <w:rFonts w:ascii="仿宋_GB2312" w:eastAsia="仿宋_GB2312" w:cs="仿宋_GB2312"/>
          <w:sz w:val="32"/>
          <w:szCs w:val="32"/>
          <w:highlight w:val="none"/>
          <w:lang w:val="en-US" w:eastAsia="zh-CN"/>
        </w:rPr>
      </w:pPr>
      <w:r>
        <w:rPr>
          <w:rFonts w:hint="eastAsia" w:ascii="仿宋_GB2312" w:eastAsia="仿宋_GB2312" w:cs="仿宋_GB2312"/>
          <w:sz w:val="32"/>
          <w:szCs w:val="32"/>
        </w:rPr>
        <w:t>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w:t>
      </w:r>
      <w:r>
        <w:rPr>
          <w:rFonts w:hint="eastAsia" w:ascii="仿宋_GB2312" w:eastAsia="仿宋_GB2312"/>
          <w:sz w:val="32"/>
          <w:szCs w:val="32"/>
          <w:lang w:eastAsia="zh-CN"/>
        </w:rPr>
        <w:t>我乡预算</w:t>
      </w:r>
      <w:r>
        <w:rPr>
          <w:rFonts w:hint="eastAsia" w:ascii="仿宋_GB2312" w:eastAsia="仿宋_GB2312"/>
          <w:sz w:val="32"/>
          <w:szCs w:val="32"/>
        </w:rPr>
        <w:t>支出绩效自评得分</w:t>
      </w:r>
      <w:r>
        <w:rPr>
          <w:rFonts w:hint="eastAsia" w:ascii="仿宋_GB2312" w:eastAsia="仿宋_GB2312"/>
          <w:sz w:val="32"/>
          <w:szCs w:val="32"/>
          <w:lang w:val="en-US" w:eastAsia="zh-CN"/>
        </w:rPr>
        <w:t>85</w:t>
      </w:r>
      <w:r>
        <w:rPr>
          <w:rFonts w:hint="eastAsia" w:ascii="仿宋_GB2312" w:eastAsia="仿宋_GB2312"/>
          <w:color w:val="000000"/>
          <w:sz w:val="32"/>
          <w:szCs w:val="32"/>
        </w:rPr>
        <w:t>分</w:t>
      </w:r>
      <w:r>
        <w:rPr>
          <w:rFonts w:hint="eastAsia" w:ascii="仿宋_GB2312" w:eastAsia="仿宋_GB2312"/>
          <w:sz w:val="32"/>
          <w:szCs w:val="32"/>
        </w:rPr>
        <w:t>。</w:t>
      </w:r>
      <w:r>
        <w:rPr>
          <w:rFonts w:hint="eastAsia" w:ascii="仿宋_GB2312" w:eastAsia="仿宋_GB2312"/>
          <w:sz w:val="32"/>
          <w:szCs w:val="32"/>
          <w:lang w:eastAsia="zh-CN"/>
        </w:rPr>
        <w:t>我乡深入贯彻落实十九大关于“全面实施绩效管理”的要求，努力提升本单位绩效预算管理业务水平。主动公开绩效结果，加大资金使用效率，提升政府管理水平。</w:t>
      </w:r>
      <w:r>
        <w:rPr>
          <w:rFonts w:hint="eastAsia" w:ascii="仿宋_GB2312" w:eastAsia="仿宋_GB2312" w:cs="仿宋_GB2312"/>
          <w:sz w:val="32"/>
          <w:szCs w:val="32"/>
        </w:rPr>
        <w:t>还自行组织了</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个项目绩效评价，从评价情况来看</w:t>
      </w:r>
      <w:r>
        <w:rPr>
          <w:rFonts w:hint="eastAsia" w:ascii="仿宋_GB2312" w:eastAsia="仿宋_GB2312" w:cs="仿宋_GB2312"/>
          <w:sz w:val="32"/>
          <w:szCs w:val="32"/>
          <w:lang w:val="en-US" w:eastAsia="zh-CN"/>
        </w:rPr>
        <w:t>我乡年初预算项目基本按照绩效目标完成支付，有部分项目结转质保金在下年质保期后进行支付。</w:t>
      </w:r>
    </w:p>
    <w:p>
      <w:pPr>
        <w:keepNext w:val="0"/>
        <w:keepLines w:val="0"/>
        <w:pageBreakBefore w:val="0"/>
        <w:widowControl w:val="0"/>
        <w:numPr>
          <w:ilvl w:val="0"/>
          <w:numId w:val="5"/>
        </w:numPr>
        <w:kinsoku/>
        <w:wordWrap/>
        <w:overflowPunct/>
        <w:topLinePunct w:val="0"/>
        <w:bidi w:val="0"/>
        <w:snapToGrid/>
        <w:spacing w:line="480" w:lineRule="exact"/>
        <w:ind w:left="407" w:firstLine="643"/>
        <w:jc w:val="left"/>
        <w:textAlignment w:val="auto"/>
        <w:rPr>
          <w:rFonts w:ascii="仿宋_GB2312" w:eastAsia="仿宋_GB2312" w:cs="仿宋_GB2312"/>
          <w:sz w:val="32"/>
          <w:szCs w:val="32"/>
          <w:highlight w:val="none"/>
        </w:rPr>
      </w:pPr>
      <w:r>
        <w:rPr>
          <w:rFonts w:hint="eastAsia" w:ascii="仿宋" w:eastAsia="仿宋" w:cs="楷体_GB2312"/>
          <w:b/>
          <w:bCs/>
          <w:sz w:val="32"/>
          <w:szCs w:val="32"/>
          <w:highlight w:val="none"/>
        </w:rPr>
        <w:t>项目绩效目标完成情况。</w:t>
      </w:r>
    </w:p>
    <w:p>
      <w:pPr>
        <w:keepNext w:val="0"/>
        <w:keepLines w:val="0"/>
        <w:pageBreakBefore w:val="0"/>
        <w:widowControl w:val="0"/>
        <w:numPr>
          <w:ilvl w:val="0"/>
          <w:numId w:val="5"/>
        </w:numPr>
        <w:kinsoku/>
        <w:wordWrap/>
        <w:overflowPunct/>
        <w:topLinePunct w:val="0"/>
        <w:bidi w:val="0"/>
        <w:snapToGrid/>
        <w:spacing w:line="480" w:lineRule="exact"/>
        <w:ind w:left="407" w:firstLine="640"/>
        <w:jc w:val="left"/>
        <w:textAlignment w:val="auto"/>
        <w:rPr>
          <w:rFonts w:ascii="仿宋_GB2312" w:eastAsia="仿宋_GB2312" w:cs="仿宋_GB2312"/>
          <w:sz w:val="32"/>
          <w:szCs w:val="32"/>
          <w:highlight w:val="none"/>
        </w:rPr>
      </w:pPr>
      <w:r>
        <w:rPr>
          <w:rFonts w:hint="eastAsia" w:ascii="仿宋_GB2312" w:eastAsia="仿宋_GB2312" w:cs="仿宋_GB2312"/>
          <w:sz w:val="32"/>
          <w:szCs w:val="32"/>
          <w:highlight w:val="none"/>
        </w:rPr>
        <w:t>本部门在20</w:t>
      </w:r>
      <w:r>
        <w:rPr>
          <w:rFonts w:hint="eastAsia" w:ascii="仿宋_GB2312" w:eastAsia="仿宋_GB2312" w:cs="仿宋_GB2312"/>
          <w:sz w:val="32"/>
          <w:szCs w:val="32"/>
          <w:highlight w:val="none"/>
          <w:lang w:val="en-US" w:eastAsia="zh-CN"/>
        </w:rPr>
        <w:t>21</w:t>
      </w:r>
      <w:r>
        <w:rPr>
          <w:rFonts w:hint="eastAsia" w:ascii="仿宋_GB2312" w:eastAsia="仿宋_GB2312" w:cs="仿宋_GB2312"/>
          <w:sz w:val="32"/>
          <w:szCs w:val="32"/>
          <w:highlight w:val="none"/>
        </w:rPr>
        <w:t>年度部门决算中反映“</w:t>
      </w:r>
      <w:r>
        <w:rPr>
          <w:rFonts w:hint="eastAsia" w:ascii="仿宋_GB2312" w:eastAsia="仿宋_GB2312" w:cs="仿宋_GB2312"/>
          <w:sz w:val="32"/>
          <w:szCs w:val="32"/>
          <w:highlight w:val="none"/>
          <w:lang w:eastAsia="zh-CN"/>
        </w:rPr>
        <w:t>金川县曾达乡木尔都村村道建设项目</w:t>
      </w:r>
      <w:r>
        <w:rPr>
          <w:rFonts w:ascii="仿宋_GB2312" w:eastAsia="仿宋_GB2312" w:cs="仿宋_GB2312"/>
          <w:sz w:val="32"/>
          <w:szCs w:val="32"/>
          <w:highlight w:val="none"/>
        </w:rPr>
        <w:t>”</w:t>
      </w:r>
      <w:r>
        <w:rPr>
          <w:rFonts w:hint="eastAsia" w:ascii="仿宋_GB2312" w:eastAsia="仿宋_GB2312" w:cs="仿宋_GB2312"/>
          <w:sz w:val="32"/>
          <w:szCs w:val="32"/>
          <w:highlight w:val="none"/>
        </w:rPr>
        <w:t>“</w:t>
      </w:r>
      <w:r>
        <w:rPr>
          <w:rFonts w:hint="eastAsia" w:ascii="仿宋_GB2312" w:eastAsia="仿宋_GB2312" w:cs="仿宋_GB2312"/>
          <w:sz w:val="32"/>
          <w:szCs w:val="32"/>
          <w:highlight w:val="none"/>
          <w:lang w:eastAsia="zh-CN"/>
        </w:rPr>
        <w:t>海子坪村色尔足小桥建设工程</w:t>
      </w:r>
      <w:r>
        <w:rPr>
          <w:rFonts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rPr>
        <w:t>等</w:t>
      </w:r>
      <w:r>
        <w:rPr>
          <w:rFonts w:hint="eastAsia" w:ascii="仿宋_GB2312" w:eastAsia="仿宋_GB2312" w:cs="仿宋_GB2312"/>
          <w:sz w:val="32"/>
          <w:szCs w:val="32"/>
          <w:highlight w:val="none"/>
          <w:lang w:val="en-US" w:eastAsia="zh-CN"/>
        </w:rPr>
        <w:t>2</w:t>
      </w:r>
      <w:r>
        <w:rPr>
          <w:rFonts w:hint="eastAsia" w:ascii="仿宋_GB2312" w:eastAsia="仿宋_GB2312" w:cs="仿宋_GB2312"/>
          <w:sz w:val="32"/>
          <w:szCs w:val="32"/>
          <w:highlight w:val="none"/>
        </w:rPr>
        <w:t>个项目绩效目标实际完成情况。</w:t>
      </w:r>
    </w:p>
    <w:p>
      <w:pPr>
        <w:keepNext w:val="0"/>
        <w:keepLines w:val="0"/>
        <w:pageBreakBefore w:val="0"/>
        <w:widowControl w:val="0"/>
        <w:kinsoku/>
        <w:wordWrap/>
        <w:overflowPunct/>
        <w:topLinePunct w:val="0"/>
        <w:bidi w:val="0"/>
        <w:snapToGrid/>
        <w:spacing w:line="480" w:lineRule="exact"/>
        <w:ind w:left="0" w:firstLine="640" w:firstLineChars="200"/>
        <w:textAlignment w:val="auto"/>
        <w:rPr>
          <w:rFonts w:ascii="仿宋_GB2312" w:eastAsia="仿宋_GB2312" w:cs="仿宋_GB2312"/>
          <w:sz w:val="32"/>
          <w:szCs w:val="32"/>
          <w:lang w:val="en-US" w:eastAsia="zh-CN"/>
        </w:rPr>
      </w:pPr>
      <w:r>
        <w:rPr>
          <w:rFonts w:hint="eastAsia" w:ascii="仿宋_GB2312" w:eastAsia="仿宋_GB2312" w:cs="仿宋_GB2312"/>
          <w:sz w:val="32"/>
          <w:szCs w:val="32"/>
          <w:highlight w:val="none"/>
          <w:lang w:val="en-US" w:eastAsia="zh-CN"/>
        </w:rPr>
        <w:t>1.“</w:t>
      </w:r>
      <w:r>
        <w:rPr>
          <w:rFonts w:hint="eastAsia" w:ascii="仿宋_GB2312" w:eastAsia="仿宋_GB2312" w:cs="仿宋_GB2312"/>
          <w:sz w:val="32"/>
          <w:szCs w:val="32"/>
          <w:highlight w:val="none"/>
          <w:lang w:eastAsia="zh-CN"/>
        </w:rPr>
        <w:t>金川县曾达乡木尔都村村道建设项目</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rPr>
        <w:t>项目绩</w:t>
      </w:r>
      <w:r>
        <w:rPr>
          <w:rFonts w:hint="eastAsia" w:ascii="仿宋_GB2312" w:eastAsia="仿宋_GB2312" w:cs="仿宋_GB2312"/>
          <w:sz w:val="32"/>
          <w:szCs w:val="32"/>
        </w:rPr>
        <w:t>效目标完成情况综述。项目全年预算数</w:t>
      </w:r>
      <w:r>
        <w:rPr>
          <w:rFonts w:hint="eastAsia" w:ascii="仿宋_GB2312" w:eastAsia="仿宋_GB2312" w:cs="仿宋_GB2312"/>
          <w:sz w:val="32"/>
          <w:szCs w:val="32"/>
          <w:lang w:val="en-US" w:eastAsia="zh-CN"/>
        </w:rPr>
        <w:t>105</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95.56</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91</w:t>
      </w:r>
      <w:r>
        <w:rPr>
          <w:rFonts w:hint="eastAsia" w:ascii="仿宋_GB2312" w:eastAsia="仿宋_GB2312" w:cs="仿宋_GB2312"/>
          <w:sz w:val="32"/>
          <w:szCs w:val="32"/>
        </w:rPr>
        <w:t>%。</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5"/>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5"/>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w:t>
            </w:r>
            <w:r>
              <w:rPr>
                <w:rFonts w:hint="eastAsia" w:ascii="宋体" w:cs="宋体"/>
                <w:color w:val="000000"/>
                <w:kern w:val="0"/>
                <w:sz w:val="36"/>
                <w:szCs w:val="36"/>
                <w:lang w:val="en-US" w:eastAsia="zh-CN"/>
              </w:rPr>
              <w:t>21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val="en-US" w:eastAsia="zh-CN"/>
              </w:rPr>
              <w:t>院坝地面改造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阿坝州人民政府办公室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95.56万元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95.56万元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both"/>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w:t>
            </w:r>
            <w:r>
              <w:rPr>
                <w:rFonts w:hint="eastAsia" w:ascii="仿宋_GB2312" w:eastAsia="仿宋_GB2312" w:cs="仿宋_GB2312"/>
                <w:sz w:val="32"/>
                <w:szCs w:val="32"/>
                <w:highlight w:val="none"/>
                <w:lang w:eastAsia="zh-CN"/>
              </w:rPr>
              <w:t>金川县曾达乡木尔都村村道建设</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基本实现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金川县曾达乡木尔都村村道</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2021年11月30</w:t>
            </w:r>
            <w:bookmarkStart w:id="73" w:name="_GoBack"/>
            <w:bookmarkEnd w:id="73"/>
            <w:r>
              <w:rPr>
                <w:rFonts w:hint="eastAsia" w:ascii="宋体" w:cs="宋体"/>
                <w:color w:val="000000"/>
                <w:sz w:val="24"/>
                <w:lang w:val="en-US" w:eastAsia="zh-CN"/>
              </w:rPr>
              <w:t>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auto"/>
                <w:sz w:val="24"/>
                <w:shd w:val="clear" w:color="auto" w:fill="auto"/>
                <w:lang w:val="en-US" w:eastAsia="zh-CN"/>
              </w:rPr>
              <w:t>2021年8月完成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kern w:val="0"/>
                <w:sz w:val="24"/>
                <w:lang w:eastAsia="zh-CN"/>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材料、人工等费用控制在95.56万元以内</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宋体" w:cs="宋体"/>
                <w:color w:val="000000"/>
                <w:sz w:val="24"/>
                <w:lang w:val="en-US" w:eastAsia="zh-CN"/>
              </w:rPr>
              <w:t>95.56万元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满意</w:t>
            </w:r>
          </w:p>
        </w:tc>
      </w:tr>
    </w:tbl>
    <w:p>
      <w:pPr>
        <w:spacing w:line="580" w:lineRule="exact"/>
        <w:ind w:left="0" w:firstLine="640" w:firstLineChars="200"/>
        <w:rPr>
          <w:rFonts w:hint="eastAsia" w:asci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highlight w:val="none"/>
          <w:lang w:eastAsia="zh-CN"/>
        </w:rPr>
        <w:t>海子坪村色尔足小桥建设工程</w:t>
      </w:r>
      <w:r>
        <w:rPr>
          <w:rFonts w:hint="eastAsia" w:ascii="仿宋_GB2312" w:eastAsia="仿宋_GB2312" w:cs="仿宋_GB2312"/>
          <w:sz w:val="32"/>
          <w:szCs w:val="32"/>
          <w:lang w:val="en-US" w:eastAsia="zh-CN"/>
        </w:rPr>
        <w:t>”项目绩效目标完成情况综述。项目全年预算数60万元，执行数为52.9万元，完成预算的89%。</w:t>
      </w: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56"/>
        <w:gridCol w:w="2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5"/>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5"/>
              <w:widowControl/>
              <w:ind w:left="4173" w:leftChars="1310" w:hanging="1422" w:hangingChars="395"/>
              <w:textAlignment w:val="center"/>
              <w:rPr>
                <w:rFonts w:hint="eastAsia" w:ascii="宋体" w:cs="宋体"/>
                <w:color w:val="000000"/>
                <w:sz w:val="36"/>
                <w:szCs w:val="36"/>
                <w:lang w:bidi="ar-SA"/>
              </w:rPr>
            </w:pPr>
            <w:r>
              <w:rPr>
                <w:rFonts w:hint="eastAsia" w:ascii="宋体" w:cs="宋体"/>
                <w:color w:val="000000"/>
                <w:kern w:val="0"/>
                <w:sz w:val="36"/>
                <w:szCs w:val="36"/>
              </w:rPr>
              <w:t>(20</w:t>
            </w:r>
            <w:r>
              <w:rPr>
                <w:rFonts w:hint="eastAsia" w:ascii="宋体" w:cs="宋体"/>
                <w:color w:val="000000"/>
                <w:kern w:val="0"/>
                <w:sz w:val="36"/>
                <w:szCs w:val="36"/>
                <w:lang w:val="en-US" w:eastAsia="zh-CN"/>
              </w:rPr>
              <w:t>21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车辆大修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hint="eastAsia" w:ascii="宋体" w:cs="宋体"/>
                <w:color w:val="000000"/>
                <w:sz w:val="24"/>
                <w:lang w:val="en-US" w:eastAsia="zh-CN" w:bidi="ar-SA"/>
              </w:rPr>
              <w:t>阿坝州人民政府办公室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仿宋_GB2312" w:eastAsia="仿宋_GB2312" w:cs="仿宋_GB2312"/>
                <w:sz w:val="32"/>
                <w:szCs w:val="32"/>
                <w:lang w:val="en-US" w:eastAsia="zh-CN"/>
              </w:rPr>
              <w:t>60</w:t>
            </w:r>
            <w:r>
              <w:rPr>
                <w:rFonts w:hint="eastAsia" w:ascii="宋体" w:cs="宋体"/>
                <w:color w:val="000000"/>
                <w:sz w:val="24"/>
                <w:lang w:bidi="ar-SA"/>
              </w:rPr>
              <w:t>万</w:t>
            </w:r>
            <w:r>
              <w:rPr>
                <w:rFonts w:hint="eastAsia" w:ascii="宋体" w:cs="宋体"/>
                <w:color w:val="000000"/>
                <w:sz w:val="24"/>
                <w:lang w:val="en-US" w:eastAsia="zh-CN" w:bidi="ar-SA"/>
              </w:rPr>
              <w:t>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执行数: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仿宋_GB2312" w:eastAsia="仿宋_GB2312" w:cs="仿宋_GB2312"/>
                <w:sz w:val="32"/>
                <w:szCs w:val="32"/>
                <w:lang w:val="en-US" w:eastAsia="zh-CN"/>
              </w:rPr>
              <w:t>52.9</w:t>
            </w:r>
            <w:r>
              <w:rPr>
                <w:rFonts w:hint="eastAsia" w:ascii="宋体" w:cs="宋体"/>
                <w:color w:val="000000"/>
                <w:sz w:val="24"/>
                <w:lang w:bidi="ar-SA"/>
              </w:rPr>
              <w:t>万</w:t>
            </w:r>
            <w:r>
              <w:rPr>
                <w:rFonts w:hint="eastAsia" w:ascii="宋体" w:cs="宋体"/>
                <w:color w:val="000000"/>
                <w:sz w:val="24"/>
                <w:lang w:val="en-US" w:eastAsia="zh-CN" w:bidi="ar-SA"/>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仿宋_GB2312" w:eastAsia="仿宋_GB2312" w:cs="仿宋_GB2312"/>
                <w:sz w:val="32"/>
                <w:szCs w:val="32"/>
                <w:lang w:val="en-US" w:eastAsia="zh-CN"/>
              </w:rPr>
              <w:t>60</w:t>
            </w:r>
            <w:r>
              <w:rPr>
                <w:rFonts w:hint="eastAsia" w:ascii="宋体" w:cs="宋体"/>
                <w:color w:val="000000"/>
                <w:sz w:val="24"/>
                <w:lang w:bidi="ar-SA"/>
              </w:rPr>
              <w:t>万</w:t>
            </w:r>
            <w:r>
              <w:rPr>
                <w:rFonts w:hint="eastAsia" w:ascii="宋体" w:cs="宋体"/>
                <w:color w:val="000000"/>
                <w:sz w:val="24"/>
                <w:lang w:val="en-US" w:eastAsia="zh-CN" w:bidi="ar-SA"/>
              </w:rPr>
              <w:t>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其中-财政拨款:</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仿宋_GB2312" w:eastAsia="仿宋_GB2312" w:cs="仿宋_GB2312"/>
                <w:sz w:val="32"/>
                <w:szCs w:val="32"/>
                <w:lang w:val="en-US" w:eastAsia="zh-CN"/>
              </w:rPr>
              <w:t>52.9</w:t>
            </w:r>
            <w:r>
              <w:rPr>
                <w:rFonts w:hint="eastAsia" w:ascii="宋体" w:cs="宋体"/>
                <w:color w:val="000000"/>
                <w:sz w:val="24"/>
                <w:lang w:bidi="ar-SA"/>
              </w:rPr>
              <w:t>万</w:t>
            </w:r>
            <w:r>
              <w:rPr>
                <w:rFonts w:hint="eastAsia" w:ascii="宋体" w:cs="宋体"/>
                <w:color w:val="000000"/>
                <w:sz w:val="24"/>
                <w:lang w:val="en-US" w:eastAsia="zh-CN" w:bidi="ar-SA"/>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其它资金:</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cs="宋体"/>
                <w:color w:val="000000"/>
                <w:sz w:val="24"/>
                <w:lang w:bidi="ar-SA"/>
              </w:rPr>
            </w:pPr>
            <w:r>
              <w:rPr>
                <w:rFonts w:hint="eastAsia" w:ascii="宋体" w:cs="宋体"/>
                <w:color w:val="000000"/>
                <w:sz w:val="24"/>
                <w:lang w:bidi="ar-SA"/>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保质保量完成大修工作，减少安全隐患。</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按计划保质保量</w:t>
            </w:r>
            <w:r>
              <w:rPr>
                <w:rFonts w:hint="eastAsia" w:ascii="宋体" w:cs="宋体"/>
                <w:color w:val="000000"/>
                <w:sz w:val="24"/>
                <w:lang w:val="en-US" w:eastAsia="zh-CN" w:bidi="ar-SA"/>
              </w:rPr>
              <w:t>完成壳它村三组四组桥建设</w:t>
            </w:r>
            <w:r>
              <w:rPr>
                <w:rFonts w:hint="eastAsia" w:ascii="宋体" w:cs="宋体"/>
                <w:color w:val="000000"/>
                <w:sz w:val="24"/>
                <w:lang w:eastAsia="zh-CN" w:bidi="ar-SA"/>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kern w:val="0"/>
                <w:sz w:val="24"/>
                <w:lang w:eastAsia="zh-CN"/>
              </w:rPr>
              <w:t>海子坪村色尔足小桥建设</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hint="eastAsia" w:ascii="宋体" w:cs="宋体"/>
                <w:color w:val="000000"/>
                <w:kern w:val="0"/>
                <w:sz w:val="24"/>
                <w:lang w:eastAsia="zh-CN"/>
              </w:rPr>
              <w:t>海子坪村色尔足小桥建设</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质量</w:t>
            </w:r>
            <w:r>
              <w:rPr>
                <w:rFonts w:hint="eastAsia" w:ascii="宋体" w:cs="宋体"/>
                <w:color w:val="000000"/>
                <w:sz w:val="24"/>
                <w:lang w:bidi="ar-SA"/>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保质保量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保质保量完成</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b/>
                <w:bCs/>
                <w:color w:val="000000"/>
                <w:sz w:val="24"/>
                <w:lang w:bidi="ar-SA"/>
              </w:rPr>
            </w:pPr>
            <w:r>
              <w:rPr>
                <w:rFonts w:hint="eastAsia" w:ascii="宋体" w:cs="宋体"/>
                <w:color w:val="000000"/>
                <w:sz w:val="24"/>
                <w:lang w:eastAsia="zh-CN" w:bidi="ar-SA"/>
              </w:rPr>
              <w:t>保质保量完成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hint="eastAsia" w:ascii="宋体" w:cs="宋体"/>
                <w:color w:val="000000"/>
                <w:sz w:val="24"/>
                <w:lang w:val="en-US" w:eastAsia="zh-CN" w:bidi="ar-SA"/>
              </w:rPr>
              <w:t>社会效益</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lang w:val="en-US" w:bidi="ar-SA"/>
              </w:rPr>
            </w:pPr>
            <w:r>
              <w:rPr>
                <w:rFonts w:hint="eastAsia" w:ascii="宋体" w:cs="宋体"/>
                <w:color w:val="000000"/>
                <w:sz w:val="24"/>
                <w:lang w:eastAsia="zh-CN" w:bidi="ar-SA"/>
              </w:rPr>
              <w:t>受益人数大于等于</w:t>
            </w:r>
            <w:r>
              <w:rPr>
                <w:rFonts w:hint="eastAsia" w:ascii="宋体" w:cs="宋体"/>
                <w:color w:val="000000"/>
                <w:sz w:val="24"/>
                <w:lang w:val="en-US" w:eastAsia="zh-CN" w:bidi="ar-SA"/>
              </w:rPr>
              <w:t>160人</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受益人数大于等于</w:t>
            </w:r>
            <w:r>
              <w:rPr>
                <w:rFonts w:hint="eastAsia" w:ascii="宋体" w:cs="宋体"/>
                <w:color w:val="000000"/>
                <w:sz w:val="24"/>
                <w:lang w:val="en-US" w:eastAsia="zh-CN" w:bidi="ar-SA"/>
              </w:rPr>
              <w:t>160人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r>
    </w:tbl>
    <w:p>
      <w:pPr>
        <w:spacing w:line="240" w:lineRule="auto"/>
        <w:ind w:left="0" w:firstLine="640" w:firstLineChars="200"/>
        <w:jc w:val="left"/>
        <w:rPr>
          <w:rFonts w:ascii="Calibri" w:hAnsi="Calibri"/>
        </w:rPr>
      </w:pPr>
      <w:r>
        <w:rPr>
          <w:rFonts w:hint="eastAsia" w:ascii="仿宋_GB2312" w:eastAsia="仿宋_GB2312" w:cs="仿宋_GB2312"/>
          <w:sz w:val="32"/>
          <w:szCs w:val="32"/>
          <w:lang w:val="en-US" w:eastAsia="zh-CN"/>
        </w:rPr>
        <w:t xml:space="preserve">                                                                                                                                                                    </w:t>
      </w:r>
    </w:p>
    <w:p>
      <w:pPr>
        <w:pageBreakBefore w:val="0"/>
        <w:widowControl w:val="0"/>
        <w:kinsoku/>
        <w:wordWrap/>
        <w:overflowPunct/>
        <w:topLinePunct w:val="0"/>
        <w:bidi w:val="0"/>
        <w:spacing w:line="480" w:lineRule="exact"/>
        <w:textAlignment w:val="auto"/>
        <w:outlineLvl w:val="1"/>
        <w:rPr>
          <w:rStyle w:val="19"/>
          <w:rFonts w:ascii="黑体" w:eastAsia="黑体"/>
        </w:rPr>
      </w:pPr>
      <w:bookmarkStart w:id="50" w:name="_Toc15377221"/>
      <w:bookmarkStart w:id="51" w:name="_Toc15396612"/>
      <w:r>
        <w:rPr>
          <w:rFonts w:hint="eastAsia" w:ascii="黑体" w:eastAsia="黑体"/>
          <w:color w:val="000000"/>
          <w:sz w:val="32"/>
          <w:szCs w:val="32"/>
        </w:rPr>
        <w:t>十</w:t>
      </w:r>
      <w:r>
        <w:rPr>
          <w:rStyle w:val="19"/>
          <w:rFonts w:hint="eastAsia" w:ascii="黑体" w:eastAsia="黑体"/>
        </w:rPr>
        <w:t>一、</w:t>
      </w:r>
      <w:r>
        <w:rPr>
          <w:rStyle w:val="19"/>
          <w:rFonts w:hint="eastAsia" w:ascii="黑体" w:eastAsia="黑体"/>
          <w:b w:val="0"/>
        </w:rPr>
        <w:t>其他重要事项的情况说明</w:t>
      </w:r>
      <w:bookmarkEnd w:id="50"/>
      <w:bookmarkEnd w:id="51"/>
    </w:p>
    <w:p>
      <w:pPr>
        <w:pageBreakBefore w:val="0"/>
        <w:widowControl w:val="0"/>
        <w:kinsoku/>
        <w:wordWrap/>
        <w:overflowPunct/>
        <w:topLinePunct w:val="0"/>
        <w:bidi w:val="0"/>
        <w:spacing w:line="480" w:lineRule="exact"/>
        <w:ind w:firstLine="643" w:firstLineChars="200"/>
        <w:textAlignment w:val="auto"/>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pageBreakBefore w:val="0"/>
        <w:widowControl w:val="0"/>
        <w:kinsoku/>
        <w:wordWrap/>
        <w:overflowPunct/>
        <w:topLinePunct w:val="0"/>
        <w:bidi w:val="0"/>
        <w:spacing w:line="480" w:lineRule="exact"/>
        <w:ind w:firstLine="640" w:firstLineChars="200"/>
        <w:textAlignment w:val="auto"/>
        <w:rPr>
          <w:rFonts w:hint="eastAsia" w:ascii="仿宋_GB2312" w:eastAsia="仿宋_GB2312"/>
          <w:color w:val="auto"/>
          <w:sz w:val="32"/>
          <w:szCs w:val="32"/>
          <w:highlight w:val="none"/>
          <w:lang w:val="en-US" w:eastAsia="zh-CN"/>
        </w:rPr>
      </w:pPr>
      <w:r>
        <w:rPr>
          <w:rFonts w:ascii="仿宋_GB2312" w:eastAsia="仿宋_GB2312"/>
          <w:color w:val="000000"/>
          <w:sz w:val="32"/>
          <w:szCs w:val="32"/>
          <w:highlight w:val="none"/>
        </w:rPr>
        <w:t>20</w:t>
      </w:r>
      <w:r>
        <w:rPr>
          <w:rFonts w:hint="eastAsia" w:ascii="仿宋_GB2312" w:eastAsia="仿宋_GB2312"/>
          <w:color w:val="000000"/>
          <w:sz w:val="32"/>
          <w:szCs w:val="32"/>
          <w:highlight w:val="none"/>
          <w:lang w:val="en-US" w:eastAsia="zh-CN"/>
        </w:rPr>
        <w:t>21</w:t>
      </w:r>
      <w:r>
        <w:rPr>
          <w:rFonts w:hint="eastAsia" w:ascii="仿宋_GB2312" w:eastAsia="仿宋_GB2312"/>
          <w:color w:val="000000"/>
          <w:sz w:val="32"/>
          <w:szCs w:val="32"/>
          <w:highlight w:val="none"/>
        </w:rPr>
        <w:t>年，</w:t>
      </w:r>
      <w:r>
        <w:rPr>
          <w:rFonts w:hint="eastAsia" w:ascii="仿宋_GB2312" w:eastAsia="仿宋_GB2312"/>
          <w:color w:val="000000"/>
          <w:sz w:val="32"/>
          <w:szCs w:val="32"/>
          <w:highlight w:val="none"/>
          <w:lang w:val="en-US" w:eastAsia="zh-CN"/>
        </w:rPr>
        <w:t>我乡</w:t>
      </w:r>
      <w:r>
        <w:rPr>
          <w:rFonts w:hint="eastAsia" w:ascii="仿宋_GB2312" w:eastAsia="仿宋_GB2312"/>
          <w:color w:val="000000"/>
          <w:sz w:val="32"/>
          <w:szCs w:val="32"/>
          <w:highlight w:val="none"/>
        </w:rPr>
        <w:t>运行经费支出</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eastAsia="zh-CN"/>
        </w:rPr>
        <w:t>与</w:t>
      </w:r>
      <w:r>
        <w:rPr>
          <w:rFonts w:ascii="仿宋_GB2312" w:eastAsia="仿宋_GB2312"/>
          <w:color w:val="000000"/>
          <w:sz w:val="32"/>
          <w:szCs w:val="32"/>
          <w:highlight w:val="none"/>
        </w:rPr>
        <w:t>20</w:t>
      </w:r>
      <w:r>
        <w:rPr>
          <w:rFonts w:hint="eastAsia" w:ascii="仿宋_GB2312" w:eastAsia="仿宋_GB2312"/>
          <w:color w:val="000000"/>
          <w:sz w:val="32"/>
          <w:szCs w:val="32"/>
          <w:highlight w:val="none"/>
          <w:lang w:val="en-US" w:eastAsia="zh-CN"/>
        </w:rPr>
        <w:t>20</w:t>
      </w:r>
      <w:r>
        <w:rPr>
          <w:rFonts w:hint="eastAsia" w:ascii="仿宋_GB2312" w:eastAsia="仿宋_GB2312"/>
          <w:color w:val="000000"/>
          <w:sz w:val="32"/>
          <w:szCs w:val="32"/>
          <w:highlight w:val="none"/>
        </w:rPr>
        <w:t>年</w:t>
      </w:r>
      <w:r>
        <w:rPr>
          <w:rFonts w:hint="eastAsia" w:ascii="仿宋_GB2312" w:eastAsia="仿宋_GB2312"/>
          <w:color w:val="000000"/>
          <w:sz w:val="32"/>
          <w:szCs w:val="32"/>
          <w:highlight w:val="none"/>
          <w:lang w:eastAsia="zh-CN"/>
        </w:rPr>
        <w:t>持平</w:t>
      </w:r>
    </w:p>
    <w:p>
      <w:pPr>
        <w:pageBreakBefore w:val="0"/>
        <w:widowControl w:val="0"/>
        <w:kinsoku/>
        <w:wordWrap/>
        <w:overflowPunct/>
        <w:topLinePunct w:val="0"/>
        <w:autoSpaceDE w:val="0"/>
        <w:autoSpaceDN w:val="0"/>
        <w:bidi w:val="0"/>
        <w:adjustRightInd w:val="0"/>
        <w:spacing w:line="480" w:lineRule="exact"/>
        <w:ind w:firstLine="643" w:firstLineChars="200"/>
        <w:jc w:val="left"/>
        <w:textAlignment w:val="auto"/>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pageBreakBefore w:val="0"/>
        <w:widowControl w:val="0"/>
        <w:kinsoku/>
        <w:wordWrap/>
        <w:overflowPunct/>
        <w:topLinePunct w:val="0"/>
        <w:bidi w:val="0"/>
        <w:spacing w:line="480" w:lineRule="exact"/>
        <w:ind w:firstLine="640" w:firstLineChars="200"/>
        <w:textAlignment w:val="auto"/>
        <w:rPr>
          <w:rFonts w:ascii="仿宋" w:eastAsia="仿宋"/>
          <w:b/>
          <w:color w:val="auto"/>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auto"/>
          <w:sz w:val="32"/>
          <w:szCs w:val="32"/>
        </w:rPr>
        <w:t>主要用于</w:t>
      </w:r>
      <w:r>
        <w:rPr>
          <w:rFonts w:hint="eastAsia" w:ascii="仿宋_GB2312" w:eastAsia="仿宋_GB2312"/>
          <w:color w:val="auto"/>
          <w:sz w:val="32"/>
          <w:szCs w:val="32"/>
          <w:lang w:val="en-US" w:eastAsia="zh-CN"/>
        </w:rPr>
        <w:t>办公设备购置、口岸物流办可研报告编制服务费。</w:t>
      </w:r>
    </w:p>
    <w:p>
      <w:pPr>
        <w:pageBreakBefore w:val="0"/>
        <w:widowControl w:val="0"/>
        <w:kinsoku/>
        <w:wordWrap/>
        <w:overflowPunct/>
        <w:topLinePunct w:val="0"/>
        <w:autoSpaceDE w:val="0"/>
        <w:autoSpaceDN w:val="0"/>
        <w:bidi w:val="0"/>
        <w:adjustRightInd w:val="0"/>
        <w:spacing w:line="480" w:lineRule="exact"/>
        <w:ind w:firstLine="643" w:firstLineChars="200"/>
        <w:jc w:val="left"/>
        <w:textAlignment w:val="auto"/>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pageBreakBefore w:val="0"/>
        <w:widowControl/>
        <w:kinsoku/>
        <w:wordWrap/>
        <w:overflowPunct/>
        <w:topLinePunct w:val="0"/>
        <w:bidi w:val="0"/>
        <w:spacing w:line="480" w:lineRule="exact"/>
        <w:ind w:firstLine="640" w:firstLineChars="200"/>
        <w:jc w:val="left"/>
        <w:textAlignment w:val="auto"/>
        <w:rPr>
          <w:rFonts w:ascii="仿宋_GB2312" w:eastAsia="仿宋_GB2312"/>
          <w:b/>
          <w:color w:val="000000"/>
          <w:sz w:val="32"/>
          <w:szCs w:val="32"/>
          <w:lang w:val="en-US" w:eastAsia="zh-CN"/>
        </w:rPr>
      </w:pPr>
      <w:r>
        <w:rPr>
          <w:rFonts w:hint="eastAsia" w:ascii="仿宋_GB2312" w:eastAsia="仿宋_GB2312"/>
          <w:color w:val="000000"/>
          <w:sz w:val="32"/>
          <w:szCs w:val="32"/>
        </w:rPr>
        <w:t>截至</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为日常工作及</w:t>
      </w:r>
      <w:r>
        <w:rPr>
          <w:rFonts w:hint="eastAsia" w:ascii="仿宋_GB2312" w:eastAsia="仿宋_GB2312"/>
          <w:color w:val="000000"/>
          <w:sz w:val="32"/>
          <w:szCs w:val="32"/>
        </w:rPr>
        <w:t>应急保障用车</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pageBreakBefore w:val="0"/>
        <w:widowControl w:val="0"/>
        <w:numPr>
          <w:ilvl w:val="0"/>
          <w:numId w:val="6"/>
        </w:numPr>
        <w:kinsoku/>
        <w:wordWrap/>
        <w:overflowPunct/>
        <w:topLinePunct w:val="0"/>
        <w:bidi w:val="0"/>
        <w:spacing w:line="480" w:lineRule="exact"/>
        <w:ind w:left="0" w:firstLine="663" w:firstLineChars="150"/>
        <w:jc w:val="center"/>
        <w:textAlignment w:val="auto"/>
        <w:outlineLvl w:val="0"/>
        <w:rPr>
          <w:rStyle w:val="18"/>
          <w:rFonts w:ascii="黑体" w:eastAsia="黑体"/>
          <w:b w:val="0"/>
        </w:rPr>
      </w:pPr>
      <w:bookmarkStart w:id="55" w:name="_Toc15377225"/>
      <w:bookmarkStart w:id="56" w:name="_Toc15396613"/>
      <w:r>
        <w:rPr>
          <w:rFonts w:hint="eastAsia" w:ascii="黑体" w:eastAsia="黑体"/>
          <w:b/>
          <w:color w:val="000000"/>
          <w:sz w:val="44"/>
          <w:szCs w:val="44"/>
        </w:rPr>
        <w:t>名</w:t>
      </w:r>
      <w:r>
        <w:rPr>
          <w:rStyle w:val="18"/>
          <w:rFonts w:hint="eastAsia" w:ascii="黑体" w:eastAsia="黑体"/>
          <w:b w:val="0"/>
        </w:rPr>
        <w:t>词解释</w:t>
      </w:r>
      <w:bookmarkEnd w:id="55"/>
      <w:bookmarkEnd w:id="56"/>
    </w:p>
    <w:p>
      <w:pPr>
        <w:pStyle w:val="24"/>
        <w:pageBreakBefore w:val="0"/>
        <w:widowControl w:val="0"/>
        <w:kinsoku/>
        <w:wordWrap/>
        <w:overflowPunct/>
        <w:topLinePunct w:val="0"/>
        <w:autoSpaceDE w:val="0"/>
        <w:autoSpaceDN w:val="0"/>
        <w:bidi w:val="0"/>
        <w:spacing w:line="48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pageBreakBefore w:val="0"/>
        <w:widowControl w:val="0"/>
        <w:kinsoku/>
        <w:wordWrap/>
        <w:overflowPunct/>
        <w:topLinePunct w:val="0"/>
        <w:autoSpaceDE w:val="0"/>
        <w:autoSpaceDN w:val="0"/>
        <w:bidi w:val="0"/>
        <w:spacing w:line="48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pageBreakBefore w:val="0"/>
        <w:widowControl w:val="0"/>
        <w:kinsoku/>
        <w:wordWrap/>
        <w:overflowPunct/>
        <w:topLinePunct w:val="0"/>
        <w:autoSpaceDE w:val="0"/>
        <w:autoSpaceDN w:val="0"/>
        <w:bidi w:val="0"/>
        <w:spacing w:line="480" w:lineRule="exact"/>
        <w:ind w:firstLine="640" w:firstLineChars="200"/>
        <w:textAlignment w:val="auto"/>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pageBreakBefore w:val="0"/>
        <w:widowControl w:val="0"/>
        <w:kinsoku/>
        <w:wordWrap/>
        <w:overflowPunct/>
        <w:topLinePunct w:val="0"/>
        <w:autoSpaceDE w:val="0"/>
        <w:autoSpaceDN w:val="0"/>
        <w:bidi w:val="0"/>
        <w:spacing w:line="480"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4"/>
        <w:pageBreakBefore w:val="0"/>
        <w:widowControl w:val="0"/>
        <w:kinsoku/>
        <w:wordWrap/>
        <w:overflowPunct/>
        <w:topLinePunct w:val="0"/>
        <w:autoSpaceDE w:val="0"/>
        <w:autoSpaceDN w:val="0"/>
        <w:bidi w:val="0"/>
        <w:spacing w:line="480" w:lineRule="exact"/>
        <w:ind w:firstLine="640" w:firstLineChars="200"/>
        <w:textAlignment w:val="auto"/>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pageBreakBefore w:val="0"/>
        <w:widowControl w:val="0"/>
        <w:kinsoku/>
        <w:wordWrap/>
        <w:overflowPunct/>
        <w:topLinePunct w:val="0"/>
        <w:autoSpaceDE w:val="0"/>
        <w:autoSpaceDN w:val="0"/>
        <w:bidi w:val="0"/>
        <w:spacing w:line="48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pageBreakBefore w:val="0"/>
        <w:widowControl w:val="0"/>
        <w:kinsoku/>
        <w:wordWrap/>
        <w:overflowPunct/>
        <w:topLinePunct w:val="0"/>
        <w:autoSpaceDE w:val="0"/>
        <w:autoSpaceDN w:val="0"/>
        <w:bidi w:val="0"/>
        <w:spacing w:line="48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pageBreakBefore w:val="0"/>
        <w:widowControl w:val="0"/>
        <w:kinsoku/>
        <w:wordWrap/>
        <w:overflowPunct/>
        <w:topLinePunct w:val="0"/>
        <w:bidi w:val="0"/>
        <w:spacing w:line="48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pageBreakBefore w:val="0"/>
        <w:widowControl w:val="0"/>
        <w:kinsoku/>
        <w:wordWrap/>
        <w:overflowPunct/>
        <w:topLinePunct w:val="0"/>
        <w:bidi w:val="0"/>
        <w:spacing w:line="48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pageBreakBefore w:val="0"/>
        <w:widowControl w:val="0"/>
        <w:kinsoku/>
        <w:wordWrap/>
        <w:overflowPunct/>
        <w:topLinePunct w:val="0"/>
        <w:bidi w:val="0"/>
        <w:spacing w:line="48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除上诉项目以外用于教育管理事务方面的支出</w:t>
      </w:r>
      <w:r>
        <w:rPr>
          <w:rFonts w:hint="eastAsia" w:ascii="仿宋_GB2312" w:eastAsia="仿宋_GB2312"/>
          <w:color w:val="000000"/>
          <w:sz w:val="32"/>
          <w:szCs w:val="32"/>
        </w:rPr>
        <w:t>。</w:t>
      </w:r>
    </w:p>
    <w:p>
      <w:pPr>
        <w:pageBreakBefore w:val="0"/>
        <w:widowControl w:val="0"/>
        <w:kinsoku/>
        <w:wordWrap/>
        <w:overflowPunct/>
        <w:topLinePunct w:val="0"/>
        <w:bidi w:val="0"/>
        <w:spacing w:line="48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pageBreakBefore w:val="0"/>
        <w:widowControl w:val="0"/>
        <w:kinsoku/>
        <w:wordWrap/>
        <w:overflowPunct/>
        <w:topLinePunct w:val="0"/>
        <w:bidi w:val="0"/>
        <w:spacing w:line="48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pageBreakBefore w:val="0"/>
        <w:widowControl w:val="0"/>
        <w:kinsoku/>
        <w:wordWrap/>
        <w:overflowPunct/>
        <w:topLinePunct w:val="0"/>
        <w:bidi w:val="0"/>
        <w:spacing w:line="48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pageBreakBefore w:val="0"/>
        <w:widowControl w:val="0"/>
        <w:kinsoku/>
        <w:wordWrap/>
        <w:overflowPunct/>
        <w:topLinePunct w:val="0"/>
        <w:bidi w:val="0"/>
        <w:spacing w:line="48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pageBreakBefore w:val="0"/>
        <w:widowControl w:val="0"/>
        <w:kinsoku/>
        <w:wordWrap/>
        <w:overflowPunct/>
        <w:topLinePunct w:val="0"/>
        <w:bidi w:val="0"/>
        <w:spacing w:line="48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pageBreakBefore w:val="0"/>
        <w:widowControl w:val="0"/>
        <w:kinsoku/>
        <w:wordWrap/>
        <w:overflowPunct/>
        <w:topLinePunct w:val="0"/>
        <w:bidi w:val="0"/>
        <w:spacing w:line="48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widowControl w:val="0"/>
        <w:kinsoku/>
        <w:wordWrap/>
        <w:overflowPunct/>
        <w:topLinePunct w:val="0"/>
        <w:bidi w:val="0"/>
        <w:spacing w:line="48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4"/>
        <w:pageBreakBefore w:val="0"/>
        <w:widowControl w:val="0"/>
        <w:kinsoku/>
        <w:wordWrap/>
        <w:overflowPunct/>
        <w:topLinePunct w:val="0"/>
        <w:autoSpaceDE w:val="0"/>
        <w:autoSpaceDN w:val="0"/>
        <w:bidi w:val="0"/>
        <w:spacing w:line="48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pageBreakBefore w:val="0"/>
        <w:widowControl w:val="0"/>
        <w:kinsoku/>
        <w:wordWrap/>
        <w:overflowPunct/>
        <w:topLinePunct w:val="0"/>
        <w:autoSpaceDE w:val="0"/>
        <w:autoSpaceDN w:val="0"/>
        <w:bidi w:val="0"/>
        <w:spacing w:line="480" w:lineRule="exact"/>
        <w:ind w:firstLine="640" w:firstLineChars="200"/>
        <w:textAlignment w:val="auto"/>
        <w:rPr>
          <w:rFonts w:hint="eastAsia" w:ascii="仿宋_GB2312" w:eastAsia="仿宋_GB2312" w:cs="仿宋_GB2312"/>
          <w:color w:val="000000"/>
          <w:sz w:val="32"/>
          <w:szCs w:val="32"/>
          <w:shd w:val="clear" w:color="auto" w:fill="FFFFFF"/>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80" w:lineRule="exact"/>
        <w:contextualSpacing/>
        <w:jc w:val="left"/>
        <w:rPr>
          <w:rFonts w:hint="eastAsia" w:ascii="宋体" w:eastAsia="宋体"/>
          <w:b/>
          <w:sz w:val="44"/>
          <w:szCs w:val="44"/>
          <w:shd w:val="clear" w:color="auto" w:fill="FFFFFF"/>
          <w:lang w:val="en-US" w:eastAsia="zh-CN"/>
        </w:rPr>
      </w:pPr>
      <w:r>
        <w:rPr>
          <w:rFonts w:hint="eastAsia" w:ascii="宋体" w:eastAsia="宋体"/>
          <w:b/>
          <w:sz w:val="44"/>
          <w:szCs w:val="44"/>
          <w:shd w:val="clear" w:color="auto" w:fill="FFFFFF"/>
          <w:lang w:val="en-US" w:eastAsia="zh-CN"/>
        </w:rPr>
        <w:t>附件</w:t>
      </w:r>
    </w:p>
    <w:p>
      <w:pPr>
        <w:widowControl/>
        <w:spacing w:line="580" w:lineRule="exact"/>
        <w:contextualSpacing/>
        <w:jc w:val="center"/>
        <w:rPr>
          <w:rFonts w:hint="eastAsia" w:ascii="宋体" w:eastAsia="宋体"/>
          <w:b/>
          <w:sz w:val="44"/>
          <w:szCs w:val="44"/>
          <w:shd w:val="clear" w:color="auto" w:fill="FFFFFF"/>
          <w:lang w:eastAsia="zh-CN"/>
        </w:rPr>
      </w:pPr>
      <w:r>
        <w:rPr>
          <w:rFonts w:hint="eastAsia" w:ascii="宋体" w:eastAsia="宋体"/>
          <w:b/>
          <w:sz w:val="44"/>
          <w:szCs w:val="44"/>
          <w:shd w:val="clear" w:color="auto" w:fill="FFFFFF"/>
          <w:lang w:eastAsia="zh-CN"/>
        </w:rPr>
        <w:t>金川县曾达乡人民政府</w:t>
      </w:r>
    </w:p>
    <w:p>
      <w:pPr>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rPr>
        <w:t>20</w:t>
      </w:r>
      <w:r>
        <w:rPr>
          <w:rFonts w:hint="eastAsia" w:ascii="宋体" w:eastAsia="宋体"/>
          <w:b/>
          <w:sz w:val="44"/>
          <w:szCs w:val="44"/>
          <w:shd w:val="clear" w:color="auto" w:fill="FFFFFF"/>
          <w:lang w:val="en-US" w:eastAsia="zh-CN"/>
        </w:rPr>
        <w:t>21</w:t>
      </w:r>
      <w:r>
        <w:rPr>
          <w:rFonts w:hint="eastAsia" w:ascii="宋体" w:eastAsia="宋体"/>
          <w:b/>
          <w:sz w:val="44"/>
          <w:szCs w:val="44"/>
          <w:shd w:val="clear" w:color="auto" w:fill="FFFFFF"/>
        </w:rPr>
        <w:t>年部门整体支出绩效评价报告</w:t>
      </w:r>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contextualSpacing/>
        <w:jc w:val="left"/>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金川县财政局：</w:t>
      </w:r>
    </w:p>
    <w:p>
      <w:pPr>
        <w:widowControl/>
        <w:adjustRightInd w:val="0"/>
        <w:snapToGrid w:val="0"/>
        <w:spacing w:line="580" w:lineRule="exact"/>
        <w:ind w:firstLine="640" w:firstLineChars="200"/>
        <w:contextualSpacing/>
        <w:jc w:val="left"/>
        <w:rPr>
          <w:rFonts w:hint="eastAsia" w:ascii="仿宋_GB2312" w:eastAsia="仿宋_GB2312"/>
          <w:color w:val="auto"/>
          <w:sz w:val="32"/>
          <w:szCs w:val="32"/>
          <w:lang w:eastAsia="zh-CN"/>
        </w:rPr>
      </w:pPr>
      <w:r>
        <w:rPr>
          <w:rFonts w:hint="eastAsia" w:ascii="仿宋_GB2312" w:eastAsia="仿宋_GB2312" w:cs="Times New Roman"/>
          <w:color w:val="auto"/>
          <w:sz w:val="32"/>
          <w:szCs w:val="32"/>
          <w:lang w:val="en-US" w:eastAsia="zh-CN"/>
        </w:rPr>
        <w:t>根据《关于开展2022年部门整体和项目支出绩效评价工作的通知》（金财绩监〔2022〕22号）文件要求，为深入贯彻落实党中央国务院和省委省政府关于全面实施预算绩效管理决策部署和《中共四川省委办公厅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按照财政部《项目支出绩效评价管理办法》（财预〔2020〕10号），以下简称《办法》）、《财政厅关于开展2022年部门、政策和项目支出绩效评价工作的通知》（川财绩〔2022〕 5号）、《阿坝州财政局关于开展2022年部门、政策和项目支出绩效评价工作的通知》（阿州财监绩〔2022〕14号）等文件要求，我乡高度重视，庚即成立了绩效评价工作组负责开展2021年财政支出绩效评价。现将部门整体支出绩效报告如下：</w:t>
      </w:r>
    </w:p>
    <w:p>
      <w:pPr>
        <w:widowControl/>
        <w:adjustRightInd w:val="0"/>
        <w:snapToGrid w:val="0"/>
        <w:spacing w:line="580" w:lineRule="exact"/>
        <w:contextualSpacing/>
        <w:jc w:val="left"/>
        <w:rPr>
          <w:rFonts w:ascii="黑体" w:eastAsia="黑体" w:cs="宋体"/>
          <w:color w:val="auto"/>
          <w:kern w:val="0"/>
          <w:sz w:val="32"/>
          <w:szCs w:val="32"/>
          <w:shd w:val="clear" w:color="auto" w:fill="FFFFFF"/>
          <w:lang w:val="zh-CN"/>
        </w:rPr>
      </w:pPr>
      <w:r>
        <w:rPr>
          <w:rFonts w:hint="eastAsia" w:ascii="黑体" w:eastAsia="黑体" w:cs="宋体"/>
          <w:color w:val="auto"/>
          <w:kern w:val="0"/>
          <w:sz w:val="32"/>
          <w:szCs w:val="32"/>
          <w:shd w:val="clear" w:color="auto" w:fill="FFFFFF"/>
        </w:rPr>
        <w:t>一、</w:t>
      </w:r>
      <w:r>
        <w:rPr>
          <w:rFonts w:hint="eastAsia" w:ascii="黑体" w:eastAsia="黑体" w:cs="宋体"/>
          <w:color w:val="auto"/>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eastAsia="仿宋_GB2312" w:cs="宋体"/>
          <w:color w:val="auto"/>
          <w:kern w:val="0"/>
          <w:sz w:val="32"/>
          <w:szCs w:val="32"/>
          <w:shd w:val="clear" w:color="auto" w:fill="FFFFFF"/>
          <w:lang w:val="zh-CN"/>
        </w:rPr>
      </w:pPr>
      <w:r>
        <w:rPr>
          <w:rFonts w:hint="eastAsia" w:ascii="黑体" w:eastAsia="黑体" w:cs="宋体"/>
          <w:b w:val="0"/>
          <w:color w:val="auto"/>
          <w:kern w:val="0"/>
          <w:sz w:val="32"/>
          <w:szCs w:val="32"/>
          <w:shd w:val="clear" w:color="auto" w:fill="FFFFFF"/>
          <w:lang w:val="zh-CN" w:eastAsia="zh-CN" w:bidi="ar-SA"/>
        </w:rPr>
        <w:t>（一）机构组成</w:t>
      </w:r>
      <w:r>
        <w:rPr>
          <w:rFonts w:hint="eastAsia" w:ascii="仿宋_GB2312" w:eastAsia="仿宋_GB2312"/>
          <w:color w:val="auto"/>
          <w:sz w:val="30"/>
          <w:szCs w:val="30"/>
        </w:rPr>
        <w:t>：</w:t>
      </w:r>
      <w:r>
        <w:rPr>
          <w:rFonts w:hint="eastAsia" w:ascii="仿宋_GB2312" w:eastAsia="仿宋_GB2312"/>
          <w:color w:val="auto"/>
          <w:sz w:val="32"/>
          <w:szCs w:val="32"/>
        </w:rPr>
        <w:t>金川县曾达乡人民政府</w:t>
      </w:r>
      <w:r>
        <w:rPr>
          <w:rFonts w:hint="eastAsia" w:ascii="仿宋_GB2312" w:eastAsia="仿宋_GB2312"/>
          <w:bCs/>
          <w:color w:val="auto"/>
          <w:sz w:val="32"/>
          <w:szCs w:val="32"/>
        </w:rPr>
        <w:t>设</w:t>
      </w:r>
      <w:r>
        <w:rPr>
          <w:rFonts w:hint="eastAsia" w:ascii="仿宋_GB2312" w:eastAsia="仿宋_GB2312"/>
          <w:color w:val="auto"/>
          <w:sz w:val="32"/>
          <w:szCs w:val="32"/>
        </w:rPr>
        <w:t>独立编制机构2个，其中:行政单位1个，参照公务员法管理的事业单位1个。</w:t>
      </w:r>
    </w:p>
    <w:p>
      <w:pPr>
        <w:keepNext/>
        <w:keepLines/>
        <w:pageBreakBefore w:val="0"/>
        <w:widowControl w:val="0"/>
        <w:kinsoku/>
        <w:wordWrap/>
        <w:overflowPunct/>
        <w:topLinePunct w:val="0"/>
        <w:autoSpaceDE/>
        <w:autoSpaceDN/>
        <w:bidi w:val="0"/>
        <w:adjustRightInd/>
        <w:snapToGrid/>
        <w:spacing w:before="0" w:after="0" w:line="480" w:lineRule="exact"/>
        <w:ind w:firstLine="640" w:firstLineChars="200"/>
        <w:jc w:val="both"/>
        <w:textAlignment w:val="auto"/>
        <w:outlineLvl w:val="1"/>
        <w:rPr>
          <w:rFonts w:hint="eastAsia" w:ascii="黑体" w:eastAsia="黑体" w:cs="宋体"/>
          <w:b w:val="0"/>
          <w:color w:val="auto"/>
          <w:kern w:val="0"/>
          <w:sz w:val="32"/>
          <w:szCs w:val="32"/>
          <w:shd w:val="clear" w:color="auto" w:fill="FFFFFF"/>
          <w:lang w:val="zh-CN" w:eastAsia="zh-CN" w:bidi="ar-SA"/>
        </w:rPr>
      </w:pPr>
      <w:r>
        <w:rPr>
          <w:rFonts w:hint="eastAsia" w:ascii="黑体" w:eastAsia="黑体" w:cs="宋体"/>
          <w:b w:val="0"/>
          <w:color w:val="auto"/>
          <w:kern w:val="0"/>
          <w:sz w:val="32"/>
          <w:szCs w:val="32"/>
          <w:shd w:val="clear" w:color="auto" w:fill="FFFFFF"/>
          <w:lang w:val="zh-CN" w:eastAsia="zh-CN" w:bidi="ar-SA"/>
        </w:rPr>
        <w:t>（二）机构职能：</w:t>
      </w:r>
    </w:p>
    <w:p>
      <w:pPr>
        <w:pageBreakBefore w:val="0"/>
        <w:widowControl/>
        <w:kinsoku/>
        <w:wordWrap/>
        <w:overflowPunct/>
        <w:topLinePunct w:val="0"/>
        <w:autoSpaceDE/>
        <w:autoSpaceDN/>
        <w:bidi w:val="0"/>
        <w:adjustRightInd/>
        <w:spacing w:line="480" w:lineRule="exact"/>
        <w:ind w:firstLine="960" w:firstLineChars="300"/>
        <w:jc w:val="left"/>
        <w:textAlignment w:val="auto"/>
        <w:rPr>
          <w:rFonts w:hint="eastAsia" w:ascii="仿宋_GB2312" w:eastAsia="仿宋_GB2312"/>
          <w:color w:val="auto"/>
          <w:sz w:val="32"/>
          <w:szCs w:val="32"/>
        </w:rPr>
      </w:pPr>
      <w:r>
        <w:rPr>
          <w:rFonts w:hint="eastAsia" w:ascii="仿宋_GB2312" w:eastAsia="仿宋_GB2312" w:cs="Times New Roman"/>
          <w:color w:val="auto"/>
          <w:sz w:val="32"/>
          <w:szCs w:val="32"/>
          <w:lang w:val="en-US" w:eastAsia="zh-CN"/>
        </w:rPr>
        <w:t>1、</w:t>
      </w:r>
      <w:r>
        <w:rPr>
          <w:rFonts w:hint="eastAsia" w:ascii="仿宋_GB2312" w:eastAsia="仿宋_GB2312" w:cs="Times New Roman"/>
          <w:color w:val="auto"/>
          <w:sz w:val="32"/>
          <w:szCs w:val="32"/>
        </w:rPr>
        <w:t>根据</w:t>
      </w:r>
      <w:r>
        <w:rPr>
          <w:rFonts w:hint="eastAsia" w:ascii="仿宋_GB2312" w:eastAsia="仿宋_GB2312"/>
          <w:color w:val="auto"/>
          <w:sz w:val="32"/>
          <w:szCs w:val="32"/>
        </w:rPr>
        <w:t>党章和《地方组织法》的规定，乡党委、政府承担辖区内促进经济发展、提供公共服务、加强社会管理、维护社会稳定，推动物质文明、政治文明、精神文明及和谐社会建设等任务。</w:t>
      </w:r>
    </w:p>
    <w:p>
      <w:pPr>
        <w:pageBreakBefore w:val="0"/>
        <w:widowControl w:val="0"/>
        <w:kinsoku/>
        <w:wordWrap/>
        <w:overflowPunct/>
        <w:topLinePunct w:val="0"/>
        <w:autoSpaceDE/>
        <w:autoSpaceDN/>
        <w:bidi w:val="0"/>
        <w:adjustRightInd/>
        <w:snapToGrid w:val="0"/>
        <w:spacing w:line="480" w:lineRule="exact"/>
        <w:ind w:firstLine="800" w:firstLineChars="250"/>
        <w:textAlignment w:val="auto"/>
        <w:rPr>
          <w:rFonts w:hint="eastAsia" w:ascii="仿宋_GB2312" w:eastAsia="仿宋_GB2312"/>
          <w:color w:val="auto"/>
          <w:sz w:val="32"/>
          <w:szCs w:val="32"/>
        </w:rPr>
      </w:pPr>
      <w:r>
        <w:rPr>
          <w:rFonts w:hint="eastAsia" w:ascii="仿宋_GB2312" w:eastAsia="仿宋_GB2312" w:cs="Times New Roman"/>
          <w:color w:val="auto"/>
          <w:sz w:val="32"/>
          <w:szCs w:val="32"/>
          <w:lang w:val="en-US" w:eastAsia="zh-CN"/>
        </w:rPr>
        <w:t>2、</w:t>
      </w:r>
      <w:r>
        <w:rPr>
          <w:rFonts w:hint="eastAsia" w:ascii="仿宋_GB2312" w:eastAsia="仿宋_GB2312"/>
          <w:color w:val="auto"/>
          <w:sz w:val="32"/>
          <w:szCs w:val="32"/>
        </w:rPr>
        <w:t>为经济发展提供服务。加强和改进党和政府对经济工作的领导，重点是加强发展规划并为各类经济主体进行示范引导、提供政策服务以及营造发展环境。</w:t>
      </w:r>
    </w:p>
    <w:p>
      <w:pPr>
        <w:pageBreakBefore w:val="0"/>
        <w:widowControl w:val="0"/>
        <w:kinsoku/>
        <w:wordWrap/>
        <w:overflowPunct/>
        <w:topLinePunct w:val="0"/>
        <w:autoSpaceDE/>
        <w:autoSpaceDN/>
        <w:bidi w:val="0"/>
        <w:adjustRightInd/>
        <w:snapToGrid w:val="0"/>
        <w:spacing w:line="480" w:lineRule="exact"/>
        <w:ind w:firstLine="800" w:firstLineChars="25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rPr>
        <w:t>、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w:t>
      </w:r>
    </w:p>
    <w:p>
      <w:pPr>
        <w:pageBreakBefore w:val="0"/>
        <w:widowControl w:val="0"/>
        <w:kinsoku/>
        <w:wordWrap/>
        <w:overflowPunct/>
        <w:topLinePunct w:val="0"/>
        <w:autoSpaceDE/>
        <w:autoSpaceDN/>
        <w:bidi w:val="0"/>
        <w:adjustRightInd/>
        <w:snapToGrid w:val="0"/>
        <w:spacing w:line="480" w:lineRule="exact"/>
        <w:ind w:firstLine="960" w:firstLineChars="3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、进一步强化社会管理职能，加强辖区内的社会治安综合管理。建立村、企业及单位治安综合治理网络，实行群防群治。</w:t>
      </w:r>
    </w:p>
    <w:p>
      <w:pPr>
        <w:pageBreakBefore w:val="0"/>
        <w:widowControl w:val="0"/>
        <w:kinsoku/>
        <w:wordWrap/>
        <w:overflowPunct/>
        <w:topLinePunct w:val="0"/>
        <w:autoSpaceDE/>
        <w:autoSpaceDN/>
        <w:bidi w:val="0"/>
        <w:adjustRightInd/>
        <w:snapToGrid w:val="0"/>
        <w:spacing w:line="480" w:lineRule="exact"/>
        <w:ind w:firstLine="960" w:firstLineChars="300"/>
        <w:textAlignment w:val="auto"/>
        <w:rPr>
          <w:rFonts w:ascii="仿宋_GB2312" w:eastAsia="仿宋_GB2312" w:cs="宋体"/>
          <w:color w:val="auto"/>
          <w:kern w:val="0"/>
          <w:sz w:val="32"/>
          <w:szCs w:val="32"/>
          <w:shd w:val="clear" w:color="auto" w:fill="FFFFFF"/>
          <w:lang w:val="zh-CN"/>
        </w:rPr>
      </w:pPr>
      <w:r>
        <w:rPr>
          <w:rFonts w:hint="eastAsia" w:ascii="仿宋_GB2312" w:eastAsia="仿宋_GB2312"/>
          <w:color w:val="auto"/>
          <w:sz w:val="32"/>
          <w:szCs w:val="32"/>
          <w:lang w:val="en-US" w:eastAsia="zh-CN"/>
        </w:rPr>
        <w:t>5</w:t>
      </w:r>
      <w:r>
        <w:rPr>
          <w:rFonts w:hint="eastAsia" w:ascii="仿宋_GB2312" w:eastAsia="仿宋_GB2312"/>
          <w:color w:val="auto"/>
          <w:sz w:val="32"/>
          <w:szCs w:val="32"/>
        </w:rPr>
        <w:t>、进一步加强基层组织管理，加强基层领导班子、干部队伍和党员队伍的建设。</w:t>
      </w:r>
    </w:p>
    <w:p>
      <w:pPr>
        <w:pageBreakBefore w:val="0"/>
        <w:widowControl/>
        <w:kinsoku/>
        <w:wordWrap/>
        <w:overflowPunct/>
        <w:topLinePunct w:val="0"/>
        <w:autoSpaceDE/>
        <w:autoSpaceDN/>
        <w:bidi w:val="0"/>
        <w:adjustRightInd/>
        <w:spacing w:line="480" w:lineRule="exact"/>
        <w:ind w:firstLine="640" w:firstLineChars="200"/>
        <w:jc w:val="left"/>
        <w:textAlignment w:val="auto"/>
        <w:rPr>
          <w:rFonts w:ascii="仿宋_GB2312" w:eastAsia="仿宋_GB2312" w:cs="宋体"/>
          <w:color w:val="auto"/>
          <w:kern w:val="0"/>
          <w:sz w:val="32"/>
          <w:szCs w:val="32"/>
          <w:shd w:val="clear" w:color="auto" w:fill="FFFFFF"/>
          <w:lang w:val="zh-CN"/>
        </w:rPr>
      </w:pPr>
      <w:r>
        <w:rPr>
          <w:rFonts w:hint="eastAsia" w:ascii="黑体" w:eastAsia="黑体" w:cs="宋体"/>
          <w:b w:val="0"/>
          <w:color w:val="auto"/>
          <w:kern w:val="0"/>
          <w:sz w:val="32"/>
          <w:szCs w:val="32"/>
          <w:shd w:val="clear" w:color="auto" w:fill="FFFFFF"/>
          <w:lang w:val="zh-CN" w:eastAsia="zh-CN" w:bidi="ar-SA"/>
        </w:rPr>
        <w:t>（三）人员概况</w:t>
      </w:r>
      <w:r>
        <w:rPr>
          <w:rFonts w:hint="eastAsia" w:ascii="仿宋_GB2312" w:eastAsia="仿宋_GB2312" w:cs="宋体"/>
          <w:color w:val="auto"/>
          <w:kern w:val="0"/>
          <w:sz w:val="32"/>
          <w:szCs w:val="32"/>
          <w:shd w:val="clear" w:color="auto" w:fill="FFFFFF"/>
          <w:lang w:val="zh-CN"/>
        </w:rPr>
        <w:t>：</w:t>
      </w:r>
      <w:r>
        <w:rPr>
          <w:rFonts w:ascii="仿宋_GB2312" w:eastAsia="仿宋_GB2312"/>
          <w:bCs/>
          <w:color w:val="auto"/>
          <w:sz w:val="32"/>
        </w:rPr>
        <w:t> </w:t>
      </w:r>
      <w:r>
        <w:rPr>
          <w:rFonts w:hint="eastAsia" w:ascii="仿宋_GB2312" w:eastAsia="仿宋_GB2312"/>
          <w:bCs/>
          <w:color w:val="auto"/>
          <w:sz w:val="32"/>
        </w:rPr>
        <w:t>20</w:t>
      </w:r>
      <w:r>
        <w:rPr>
          <w:rFonts w:hint="eastAsia" w:ascii="仿宋_GB2312" w:eastAsia="仿宋_GB2312"/>
          <w:bCs/>
          <w:color w:val="auto"/>
          <w:sz w:val="32"/>
          <w:lang w:val="en-US" w:eastAsia="zh-CN"/>
        </w:rPr>
        <w:t>21</w:t>
      </w:r>
      <w:r>
        <w:rPr>
          <w:rFonts w:hint="eastAsia" w:ascii="仿宋_GB2312" w:eastAsia="仿宋_GB2312"/>
          <w:bCs/>
          <w:color w:val="auto"/>
          <w:sz w:val="32"/>
        </w:rPr>
        <w:t>年年初在职</w:t>
      </w:r>
      <w:r>
        <w:rPr>
          <w:rFonts w:hint="eastAsia" w:ascii="仿宋_GB2312" w:eastAsia="仿宋_GB2312"/>
          <w:bCs/>
          <w:color w:val="auto"/>
          <w:sz w:val="32"/>
          <w:lang w:val="en-US" w:eastAsia="zh-CN"/>
        </w:rPr>
        <w:t>25</w:t>
      </w:r>
      <w:r>
        <w:rPr>
          <w:rFonts w:hint="eastAsia" w:ascii="仿宋_GB2312" w:eastAsia="仿宋_GB2312"/>
          <w:bCs/>
          <w:color w:val="auto"/>
          <w:sz w:val="32"/>
        </w:rPr>
        <w:t>人（行政人员</w:t>
      </w:r>
      <w:r>
        <w:rPr>
          <w:rFonts w:hint="eastAsia" w:ascii="仿宋_GB2312" w:eastAsia="仿宋_GB2312"/>
          <w:bCs/>
          <w:color w:val="auto"/>
          <w:sz w:val="32"/>
          <w:lang w:val="en-US" w:eastAsia="zh-CN"/>
        </w:rPr>
        <w:t>17</w:t>
      </w:r>
      <w:r>
        <w:rPr>
          <w:rFonts w:hint="eastAsia" w:ascii="仿宋_GB2312" w:eastAsia="仿宋_GB2312"/>
          <w:bCs/>
          <w:color w:val="auto"/>
          <w:sz w:val="32"/>
        </w:rPr>
        <w:t>人,行政工勤</w:t>
      </w:r>
      <w:r>
        <w:rPr>
          <w:rFonts w:hint="eastAsia" w:ascii="仿宋_GB2312" w:eastAsia="仿宋_GB2312"/>
          <w:bCs/>
          <w:color w:val="auto"/>
          <w:sz w:val="32"/>
          <w:lang w:val="en-US" w:eastAsia="zh-CN"/>
        </w:rPr>
        <w:t>1</w:t>
      </w:r>
      <w:r>
        <w:rPr>
          <w:rFonts w:hint="eastAsia" w:ascii="仿宋_GB2312" w:eastAsia="仿宋_GB2312"/>
          <w:bCs/>
          <w:color w:val="auto"/>
          <w:sz w:val="32"/>
        </w:rPr>
        <w:t>人。事业管理</w:t>
      </w:r>
      <w:r>
        <w:rPr>
          <w:rFonts w:hint="eastAsia" w:ascii="仿宋_GB2312" w:eastAsia="仿宋_GB2312"/>
          <w:bCs/>
          <w:color w:val="auto"/>
          <w:sz w:val="32"/>
          <w:lang w:val="en-US" w:eastAsia="zh-CN"/>
        </w:rPr>
        <w:t>3</w:t>
      </w:r>
      <w:r>
        <w:rPr>
          <w:rFonts w:hint="eastAsia" w:ascii="仿宋_GB2312" w:eastAsia="仿宋_GB2312"/>
          <w:bCs/>
          <w:color w:val="auto"/>
          <w:sz w:val="32"/>
        </w:rPr>
        <w:t>人，专业技术人员</w:t>
      </w:r>
      <w:r>
        <w:rPr>
          <w:rFonts w:hint="eastAsia" w:ascii="仿宋_GB2312" w:eastAsia="仿宋_GB2312"/>
          <w:bCs/>
          <w:color w:val="auto"/>
          <w:sz w:val="32"/>
          <w:lang w:val="en-US" w:eastAsia="zh-CN"/>
        </w:rPr>
        <w:t>3</w:t>
      </w:r>
      <w:r>
        <w:rPr>
          <w:rFonts w:hint="eastAsia" w:ascii="仿宋_GB2312" w:eastAsia="仿宋_GB2312"/>
          <w:bCs/>
          <w:color w:val="auto"/>
          <w:sz w:val="32"/>
        </w:rPr>
        <w:t>人，事业工勤</w:t>
      </w:r>
      <w:r>
        <w:rPr>
          <w:rFonts w:hint="eastAsia" w:ascii="仿宋_GB2312" w:eastAsia="仿宋_GB2312"/>
          <w:bCs/>
          <w:color w:val="auto"/>
          <w:sz w:val="32"/>
          <w:lang w:val="en-US" w:eastAsia="zh-CN"/>
        </w:rPr>
        <w:t>1</w:t>
      </w:r>
      <w:r>
        <w:rPr>
          <w:rFonts w:hint="eastAsia" w:ascii="仿宋_GB2312" w:eastAsia="仿宋_GB2312"/>
          <w:bCs/>
          <w:color w:val="auto"/>
          <w:sz w:val="32"/>
        </w:rPr>
        <w:t>人）。20</w:t>
      </w:r>
      <w:r>
        <w:rPr>
          <w:rFonts w:hint="eastAsia" w:ascii="仿宋_GB2312" w:eastAsia="仿宋_GB2312"/>
          <w:bCs/>
          <w:color w:val="auto"/>
          <w:sz w:val="32"/>
          <w:lang w:val="en-US" w:eastAsia="zh-CN"/>
        </w:rPr>
        <w:t>21</w:t>
      </w:r>
      <w:r>
        <w:rPr>
          <w:rFonts w:hint="eastAsia" w:ascii="仿宋_GB2312" w:eastAsia="仿宋_GB2312"/>
          <w:bCs/>
          <w:color w:val="auto"/>
          <w:sz w:val="32"/>
        </w:rPr>
        <w:t>年年末在职</w:t>
      </w:r>
      <w:r>
        <w:rPr>
          <w:rFonts w:hint="eastAsia" w:ascii="仿宋_GB2312" w:eastAsia="仿宋_GB2312"/>
          <w:bCs/>
          <w:color w:val="auto"/>
          <w:sz w:val="32"/>
          <w:lang w:val="en-US" w:eastAsia="zh-CN"/>
        </w:rPr>
        <w:t>28</w:t>
      </w:r>
      <w:r>
        <w:rPr>
          <w:rFonts w:hint="eastAsia" w:ascii="仿宋_GB2312" w:eastAsia="仿宋_GB2312"/>
          <w:bCs/>
          <w:color w:val="auto"/>
          <w:sz w:val="32"/>
        </w:rPr>
        <w:t>人（行政人员</w:t>
      </w:r>
      <w:r>
        <w:rPr>
          <w:rFonts w:hint="eastAsia" w:ascii="仿宋_GB2312" w:eastAsia="仿宋_GB2312"/>
          <w:bCs/>
          <w:color w:val="auto"/>
          <w:sz w:val="32"/>
          <w:lang w:val="en-US" w:eastAsia="zh-CN"/>
        </w:rPr>
        <w:t>17</w:t>
      </w:r>
      <w:r>
        <w:rPr>
          <w:rFonts w:hint="eastAsia" w:ascii="仿宋_GB2312" w:eastAsia="仿宋_GB2312"/>
          <w:bCs/>
          <w:color w:val="auto"/>
          <w:sz w:val="32"/>
        </w:rPr>
        <w:t>人,行政工勤</w:t>
      </w:r>
      <w:r>
        <w:rPr>
          <w:rFonts w:hint="eastAsia" w:ascii="仿宋_GB2312" w:eastAsia="仿宋_GB2312"/>
          <w:bCs/>
          <w:color w:val="auto"/>
          <w:sz w:val="32"/>
          <w:lang w:val="en-US" w:eastAsia="zh-CN"/>
        </w:rPr>
        <w:t>1</w:t>
      </w:r>
      <w:r>
        <w:rPr>
          <w:rFonts w:hint="eastAsia" w:ascii="仿宋_GB2312" w:eastAsia="仿宋_GB2312"/>
          <w:bCs/>
          <w:color w:val="auto"/>
          <w:sz w:val="32"/>
        </w:rPr>
        <w:t>人。事业管理</w:t>
      </w:r>
      <w:r>
        <w:rPr>
          <w:rFonts w:hint="eastAsia" w:ascii="仿宋_GB2312" w:eastAsia="仿宋_GB2312"/>
          <w:bCs/>
          <w:color w:val="auto"/>
          <w:sz w:val="32"/>
          <w:lang w:val="en-US" w:eastAsia="zh-CN"/>
        </w:rPr>
        <w:t>3</w:t>
      </w:r>
      <w:r>
        <w:rPr>
          <w:rFonts w:hint="eastAsia" w:ascii="仿宋_GB2312" w:eastAsia="仿宋_GB2312"/>
          <w:bCs/>
          <w:color w:val="auto"/>
          <w:sz w:val="32"/>
        </w:rPr>
        <w:t>人，专业技术人员</w:t>
      </w:r>
      <w:r>
        <w:rPr>
          <w:rFonts w:hint="eastAsia" w:ascii="仿宋_GB2312" w:eastAsia="仿宋_GB2312"/>
          <w:bCs/>
          <w:color w:val="auto"/>
          <w:sz w:val="32"/>
          <w:lang w:val="en-US" w:eastAsia="zh-CN"/>
        </w:rPr>
        <w:t>6</w:t>
      </w:r>
      <w:r>
        <w:rPr>
          <w:rFonts w:hint="eastAsia" w:ascii="仿宋_GB2312" w:eastAsia="仿宋_GB2312"/>
          <w:bCs/>
          <w:color w:val="auto"/>
          <w:sz w:val="32"/>
        </w:rPr>
        <w:t>人，事业工勤</w:t>
      </w:r>
      <w:r>
        <w:rPr>
          <w:rFonts w:hint="eastAsia" w:ascii="仿宋_GB2312" w:eastAsia="仿宋_GB2312"/>
          <w:bCs/>
          <w:color w:val="auto"/>
          <w:sz w:val="32"/>
          <w:lang w:val="en-US" w:eastAsia="zh-CN"/>
        </w:rPr>
        <w:t>1</w:t>
      </w:r>
      <w:r>
        <w:rPr>
          <w:rFonts w:hint="eastAsia" w:ascii="仿宋_GB2312" w:eastAsia="仿宋_GB2312"/>
          <w:bCs/>
          <w:color w:val="auto"/>
          <w:sz w:val="32"/>
        </w:rPr>
        <w:t>人）</w:t>
      </w:r>
    </w:p>
    <w:p>
      <w:pPr>
        <w:widowControl/>
        <w:adjustRightInd w:val="0"/>
        <w:snapToGrid w:val="0"/>
        <w:spacing w:line="580" w:lineRule="exact"/>
        <w:contextualSpacing/>
        <w:jc w:val="left"/>
        <w:rPr>
          <w:rFonts w:ascii="黑体" w:eastAsia="黑体" w:cs="宋体"/>
          <w:color w:val="auto"/>
          <w:kern w:val="0"/>
          <w:sz w:val="32"/>
          <w:szCs w:val="32"/>
          <w:shd w:val="clear" w:color="auto" w:fill="FFFFFF"/>
        </w:rPr>
      </w:pPr>
      <w:r>
        <w:rPr>
          <w:rFonts w:hint="eastAsia" w:ascii="黑体" w:eastAsia="黑体" w:cs="宋体"/>
          <w:color w:val="auto"/>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eastAsia="仿宋_GB2312" w:cs="宋体"/>
          <w:color w:val="auto"/>
          <w:kern w:val="0"/>
          <w:sz w:val="32"/>
          <w:szCs w:val="32"/>
          <w:shd w:val="clear" w:color="auto" w:fill="FFFFFF"/>
          <w:lang w:val="zh-CN"/>
        </w:rPr>
      </w:pPr>
      <w:r>
        <w:rPr>
          <w:rFonts w:hint="eastAsia" w:ascii="黑体" w:eastAsia="黑体" w:cs="宋体"/>
          <w:b w:val="0"/>
          <w:color w:val="auto"/>
          <w:kern w:val="0"/>
          <w:sz w:val="32"/>
          <w:szCs w:val="32"/>
          <w:shd w:val="clear" w:color="auto" w:fill="FFFFFF"/>
          <w:lang w:val="zh-CN" w:eastAsia="zh-CN" w:bidi="ar-SA"/>
        </w:rPr>
        <w:t>（一）部门财政资金收入情况：</w:t>
      </w:r>
      <w:r>
        <w:rPr>
          <w:rFonts w:hint="eastAsia" w:ascii="仿宋_GB2312" w:eastAsia="仿宋_GB2312"/>
          <w:color w:val="auto"/>
          <w:spacing w:val="-2"/>
          <w:kern w:val="2"/>
          <w:sz w:val="32"/>
          <w:szCs w:val="32"/>
          <w:lang w:val="en-US" w:eastAsia="zh-CN" w:bidi="ar-SA"/>
        </w:rPr>
        <w:t>2021年度我乡总收入861.65万元，较上年收入增加101.24万元，增加14%。增加的主要原因是2021年我乡人员增加。</w:t>
      </w:r>
    </w:p>
    <w:p>
      <w:pPr>
        <w:pageBreakBefore w:val="0"/>
        <w:widowControl w:val="0"/>
        <w:kinsoku/>
        <w:wordWrap/>
        <w:overflowPunct/>
        <w:topLinePunct w:val="0"/>
        <w:autoSpaceDE/>
        <w:autoSpaceDN/>
        <w:bidi w:val="0"/>
        <w:adjustRightInd/>
        <w:snapToGrid w:val="0"/>
        <w:spacing w:line="480" w:lineRule="exact"/>
        <w:ind w:firstLine="640" w:firstLineChars="200"/>
        <w:textAlignment w:val="auto"/>
        <w:rPr>
          <w:rFonts w:hint="eastAsia" w:ascii="仿宋_GB2312" w:eastAsia="仿宋_GB2312" w:cs="Times New Roman"/>
          <w:color w:val="auto"/>
          <w:spacing w:val="-2"/>
          <w:kern w:val="2"/>
          <w:sz w:val="32"/>
          <w:szCs w:val="32"/>
          <w:lang w:val="en-US" w:eastAsia="zh-CN" w:bidi="ar-SA"/>
        </w:rPr>
      </w:pPr>
      <w:r>
        <w:rPr>
          <w:rFonts w:hint="eastAsia" w:ascii="黑体" w:eastAsia="黑体" w:cs="宋体"/>
          <w:b w:val="0"/>
          <w:color w:val="auto"/>
          <w:kern w:val="0"/>
          <w:sz w:val="32"/>
          <w:szCs w:val="32"/>
          <w:shd w:val="clear" w:color="auto" w:fill="FFFFFF"/>
          <w:lang w:val="zh-CN" w:eastAsia="zh-CN" w:bidi="ar-SA"/>
        </w:rPr>
        <w:t>（二）部门财政资金支出情况：</w:t>
      </w:r>
      <w:r>
        <w:rPr>
          <w:rFonts w:hint="eastAsia" w:ascii="仿宋_GB2312" w:eastAsia="仿宋_GB2312"/>
          <w:color w:val="auto"/>
          <w:spacing w:val="-2"/>
          <w:kern w:val="2"/>
          <w:sz w:val="32"/>
          <w:szCs w:val="32"/>
          <w:lang w:val="en-US" w:eastAsia="zh-CN" w:bidi="ar-SA"/>
        </w:rPr>
        <w:t>2021年我乡总支出914.55万元，较上年支出增加63.75万元，增加8%。主要原因一是当年部门预算安排项目经费较上年有所增加；二是2021年支出包含了当年拨入的项目资金。</w:t>
      </w:r>
      <w:r>
        <w:rPr>
          <w:rFonts w:hint="eastAsia" w:ascii="仿宋_GB2312" w:eastAsia="仿宋_GB2312" w:cs="Times New Roman"/>
          <w:color w:val="auto"/>
          <w:spacing w:val="-2"/>
          <w:kern w:val="2"/>
          <w:sz w:val="32"/>
          <w:szCs w:val="32"/>
          <w:lang w:val="en-US" w:eastAsia="zh-CN" w:bidi="ar-SA"/>
        </w:rPr>
        <w:t>其中：人员经费489.43万元，主要包括：基本工资92.84万元、津贴补贴139.64万元、奖金7.07万元、伙食补助费0万元、绩效工资30.93万元，机关事业单位基本养老保险缴费37.38万元、职业年金缴费18.45万元、职工基本医疗保险缴费19.9万元、公务员医疗补助缴费5.87万元、其他社会保障缴费3.62万元、其他工资福利支出0万元、生活补助0.35万元、抚恤金0万元、住房公积金40.6万元、其他对个人和家庭的补助支出0万元、奖励金92.78万元等。</w:t>
      </w:r>
    </w:p>
    <w:p>
      <w:pPr>
        <w:pageBreakBefore w:val="0"/>
        <w:widowControl w:val="0"/>
        <w:kinsoku/>
        <w:wordWrap/>
        <w:overflowPunct/>
        <w:topLinePunct w:val="0"/>
        <w:autoSpaceDE/>
        <w:autoSpaceDN/>
        <w:bidi w:val="0"/>
        <w:adjustRightInd/>
        <w:snapToGrid w:val="0"/>
        <w:spacing w:line="480" w:lineRule="exact"/>
        <w:ind w:firstLine="632" w:firstLineChars="200"/>
        <w:textAlignment w:val="auto"/>
        <w:rPr>
          <w:rFonts w:eastAsia="仿宋_GB2312"/>
          <w:color w:val="auto"/>
          <w:sz w:val="32"/>
          <w:lang w:val="zh-CN"/>
        </w:rPr>
      </w:pPr>
      <w:r>
        <w:rPr>
          <w:rFonts w:hint="eastAsia" w:ascii="仿宋_GB2312" w:eastAsia="仿宋_GB2312" w:cs="Times New Roman"/>
          <w:color w:val="auto"/>
          <w:spacing w:val="-2"/>
          <w:kern w:val="2"/>
          <w:sz w:val="32"/>
          <w:szCs w:val="32"/>
          <w:lang w:val="en-US" w:eastAsia="zh-CN" w:bidi="ar-SA"/>
        </w:rPr>
        <w:t>公用经费34.18万元，主要包括：办公费11.25万元、印刷费5万元、手续费0.09万元、水费0万元、电费1.15万元、邮电费2万元、取暖费1万元、物业管理费0万元、差旅费2.99万元、因公出国（境）费用0万元、维修（护）费0万元、租赁费0万元、会议费0万元、培训费0万元、公务接待费0万元、劳务费3万元、福利费0万元、公务用车运行维护费5.5万元、其他交通费2.2元、其他商品和服务支出0万元、办公设备购置0万元、无形资产购置0万元等。</w:t>
      </w:r>
    </w:p>
    <w:p>
      <w:pPr>
        <w:widowControl/>
        <w:numPr>
          <w:ilvl w:val="0"/>
          <w:numId w:val="7"/>
        </w:numPr>
        <w:adjustRightInd w:val="0"/>
        <w:snapToGrid w:val="0"/>
        <w:spacing w:line="580" w:lineRule="exact"/>
        <w:ind w:left="0" w:firstLine="640" w:firstLineChars="200"/>
        <w:contextualSpacing/>
        <w:jc w:val="left"/>
        <w:rPr>
          <w:rFonts w:hint="eastAsia" w:ascii="黑体" w:eastAsia="黑体" w:cs="宋体"/>
          <w:color w:val="auto"/>
          <w:kern w:val="0"/>
          <w:sz w:val="32"/>
          <w:szCs w:val="32"/>
          <w:shd w:val="clear" w:color="auto" w:fill="FFFFFF"/>
        </w:rPr>
      </w:pPr>
      <w:r>
        <w:rPr>
          <w:rFonts w:hint="eastAsia" w:ascii="黑体" w:eastAsia="黑体" w:cs="宋体"/>
          <w:color w:val="auto"/>
          <w:kern w:val="0"/>
          <w:sz w:val="32"/>
          <w:szCs w:val="32"/>
          <w:shd w:val="clear" w:color="auto" w:fill="FFFFFF"/>
        </w:rPr>
        <w:t>部门整体预算绩效管理情况</w:t>
      </w:r>
    </w:p>
    <w:p>
      <w:pPr>
        <w:widowControl/>
        <w:adjustRightInd w:val="0"/>
        <w:snapToGrid w:val="0"/>
        <w:spacing w:line="580" w:lineRule="exact"/>
        <w:ind w:left="0" w:firstLine="320" w:firstLineChars="100"/>
        <w:contextualSpacing/>
        <w:jc w:val="left"/>
        <w:rPr>
          <w:rFonts w:ascii="仿宋_GB2312" w:eastAsia="仿宋_GB2312" w:cs="宋体"/>
          <w:color w:val="auto"/>
          <w:kern w:val="0"/>
          <w:sz w:val="32"/>
          <w:szCs w:val="32"/>
          <w:shd w:val="clear" w:color="auto" w:fill="FFFFFF"/>
          <w:lang w:val="zh-CN"/>
        </w:rPr>
      </w:pPr>
      <w:r>
        <w:rPr>
          <w:rFonts w:hint="eastAsia" w:ascii="仿宋_GB2312" w:eastAsia="仿宋_GB2312" w:cs="宋体"/>
          <w:color w:val="auto"/>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eastAsia="仿宋_GB2312" w:cs="宋体"/>
          <w:color w:val="auto"/>
          <w:kern w:val="0"/>
          <w:sz w:val="32"/>
          <w:szCs w:val="32"/>
          <w:shd w:val="clear" w:color="auto" w:fill="FFFFFF"/>
          <w:lang w:val="en-US" w:eastAsia="zh-CN" w:bidi="ar-SA"/>
        </w:rPr>
      </w:pPr>
      <w:r>
        <w:rPr>
          <w:rFonts w:hint="eastAsia" w:ascii="仿宋_GB2312" w:eastAsia="仿宋_GB2312" w:cs="宋体"/>
          <w:color w:val="auto"/>
          <w:kern w:val="0"/>
          <w:sz w:val="32"/>
          <w:szCs w:val="32"/>
          <w:shd w:val="clear" w:color="auto" w:fill="FFFFFF"/>
          <w:lang w:val="en-US" w:eastAsia="zh-CN" w:bidi="ar-SA"/>
        </w:rPr>
        <w:t>本单位严格按照县级部门预算编制通知和有关要求，按时完成基础库、项目库报送工作，按时完成2021年预算编制工作，并按时提交部门预算草案。预算编制全面、科学。2021年实际支出和部门决算一致，绩效目标填报及年末结余结转都是严格按照县财政局的要求认真完成，不存在违规违纪使用资金的情况并按时完成2022年预算编制工作，及时提交了部门预算草案。</w:t>
      </w:r>
    </w:p>
    <w:p>
      <w:pPr>
        <w:widowControl/>
        <w:adjustRightInd w:val="0"/>
        <w:snapToGrid w:val="0"/>
        <w:spacing w:line="580" w:lineRule="exact"/>
        <w:ind w:firstLine="640" w:firstLineChars="200"/>
        <w:contextualSpacing/>
        <w:jc w:val="left"/>
        <w:rPr>
          <w:rFonts w:hint="eastAsia" w:ascii="仿宋_GB2312" w:eastAsia="仿宋_GB2312" w:cs="宋体"/>
          <w:color w:val="auto"/>
          <w:kern w:val="0"/>
          <w:sz w:val="32"/>
          <w:szCs w:val="32"/>
          <w:shd w:val="clear" w:color="auto" w:fill="FFFFFF"/>
          <w:lang w:val="zh-CN"/>
        </w:rPr>
      </w:pPr>
      <w:bookmarkStart w:id="57" w:name="_Toc22499"/>
      <w:r>
        <w:rPr>
          <w:rFonts w:hint="eastAsia" w:ascii="仿宋_GB2312" w:eastAsia="仿宋_GB2312" w:cs="宋体"/>
          <w:color w:val="auto"/>
          <w:kern w:val="0"/>
          <w:sz w:val="32"/>
          <w:szCs w:val="32"/>
          <w:shd w:val="clear" w:color="auto" w:fill="FFFFFF"/>
          <w:lang w:val="zh-CN"/>
        </w:rPr>
        <w:t>（二）执行管理情况</w:t>
      </w:r>
      <w:bookmarkEnd w:id="57"/>
    </w:p>
    <w:p>
      <w:pPr>
        <w:widowControl/>
        <w:adjustRightInd w:val="0"/>
        <w:snapToGrid w:val="0"/>
        <w:spacing w:line="580" w:lineRule="exact"/>
        <w:ind w:firstLine="640" w:firstLineChars="200"/>
        <w:contextualSpacing/>
        <w:jc w:val="left"/>
        <w:rPr>
          <w:rFonts w:hint="eastAsia" w:ascii="仿宋_GB2312" w:eastAsia="仿宋_GB2312" w:cs="宋体"/>
          <w:color w:val="auto"/>
          <w:kern w:val="0"/>
          <w:sz w:val="32"/>
          <w:szCs w:val="32"/>
          <w:shd w:val="clear" w:color="auto" w:fill="FFFFFF"/>
          <w:lang w:val="en-US" w:eastAsia="zh-CN"/>
        </w:rPr>
      </w:pPr>
      <w:r>
        <w:rPr>
          <w:rFonts w:hint="eastAsia" w:ascii="仿宋_GB2312" w:eastAsia="仿宋_GB2312" w:cs="宋体"/>
          <w:color w:val="auto"/>
          <w:kern w:val="0"/>
          <w:sz w:val="32"/>
          <w:szCs w:val="32"/>
          <w:shd w:val="clear" w:color="auto" w:fill="FFFFFF"/>
          <w:lang w:val="zh-CN"/>
        </w:rPr>
        <w:t>20</w:t>
      </w:r>
      <w:r>
        <w:rPr>
          <w:rFonts w:hint="eastAsia" w:ascii="仿宋_GB2312" w:eastAsia="仿宋_GB2312" w:cs="宋体"/>
          <w:color w:val="auto"/>
          <w:kern w:val="0"/>
          <w:sz w:val="32"/>
          <w:szCs w:val="32"/>
          <w:shd w:val="clear" w:color="auto" w:fill="FFFFFF"/>
          <w:lang w:val="en-US" w:eastAsia="zh-CN"/>
        </w:rPr>
        <w:t>21</w:t>
      </w:r>
      <w:r>
        <w:rPr>
          <w:rFonts w:hint="eastAsia" w:ascii="仿宋_GB2312" w:eastAsia="仿宋_GB2312" w:cs="宋体"/>
          <w:color w:val="auto"/>
          <w:kern w:val="0"/>
          <w:sz w:val="32"/>
          <w:szCs w:val="32"/>
          <w:shd w:val="clear" w:color="auto" w:fill="FFFFFF"/>
          <w:lang w:val="zh-CN"/>
        </w:rPr>
        <w:t>年“三公”经费财政拨款支出决算为</w:t>
      </w:r>
      <w:r>
        <w:rPr>
          <w:rFonts w:hint="eastAsia" w:ascii="仿宋_GB2312" w:eastAsia="仿宋_GB2312" w:cs="宋体"/>
          <w:color w:val="auto"/>
          <w:kern w:val="0"/>
          <w:sz w:val="32"/>
          <w:szCs w:val="32"/>
          <w:shd w:val="clear" w:color="auto" w:fill="FFFFFF"/>
          <w:lang w:val="en-US" w:eastAsia="zh-CN"/>
        </w:rPr>
        <w:t>5.5</w:t>
      </w:r>
      <w:r>
        <w:rPr>
          <w:rFonts w:hint="eastAsia" w:ascii="仿宋_GB2312" w:eastAsia="仿宋_GB2312" w:cs="宋体"/>
          <w:color w:val="auto"/>
          <w:kern w:val="0"/>
          <w:sz w:val="32"/>
          <w:szCs w:val="32"/>
          <w:shd w:val="clear" w:color="auto" w:fill="FFFFFF"/>
          <w:lang w:val="zh-CN"/>
        </w:rPr>
        <w:t>万元，完成预算</w:t>
      </w:r>
      <w:r>
        <w:rPr>
          <w:rFonts w:hint="eastAsia" w:ascii="仿宋_GB2312" w:eastAsia="仿宋_GB2312" w:cs="宋体"/>
          <w:color w:val="auto"/>
          <w:kern w:val="0"/>
          <w:sz w:val="32"/>
          <w:szCs w:val="32"/>
          <w:shd w:val="clear" w:color="auto" w:fill="FFFFFF"/>
          <w:lang w:val="en-US" w:eastAsia="zh-CN"/>
        </w:rPr>
        <w:t>100</w:t>
      </w:r>
      <w:r>
        <w:rPr>
          <w:rFonts w:hint="eastAsia" w:ascii="仿宋_GB2312" w:eastAsia="仿宋_GB2312" w:cs="宋体"/>
          <w:color w:val="auto"/>
          <w:kern w:val="0"/>
          <w:sz w:val="32"/>
          <w:szCs w:val="32"/>
          <w:shd w:val="clear" w:color="auto" w:fill="FFFFFF"/>
          <w:lang w:val="zh-CN"/>
        </w:rPr>
        <w:t>%。</w:t>
      </w:r>
      <w:r>
        <w:rPr>
          <w:rFonts w:hint="eastAsia" w:ascii="仿宋" w:eastAsia="仿宋"/>
          <w:color w:val="auto"/>
          <w:sz w:val="32"/>
          <w:szCs w:val="32"/>
          <w:lang w:val="en-US" w:eastAsia="zh-CN"/>
        </w:rPr>
        <w:t>其中：</w:t>
      </w:r>
      <w:r>
        <w:rPr>
          <w:rFonts w:hint="eastAsia" w:ascii="仿宋" w:eastAsia="仿宋"/>
          <w:color w:val="auto"/>
          <w:sz w:val="32"/>
          <w:szCs w:val="32"/>
        </w:rPr>
        <w:t>因公出国（境）费支出决算</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；公务用车购置及运行维护费支出决算</w:t>
      </w:r>
      <w:r>
        <w:rPr>
          <w:rFonts w:hint="eastAsia" w:ascii="仿宋" w:eastAsia="仿宋"/>
          <w:color w:val="auto"/>
          <w:sz w:val="32"/>
          <w:szCs w:val="32"/>
          <w:lang w:val="en-US" w:eastAsia="zh-CN"/>
        </w:rPr>
        <w:t>5.5</w:t>
      </w:r>
      <w:r>
        <w:rPr>
          <w:rFonts w:hint="eastAsia" w:ascii="仿宋" w:eastAsia="仿宋"/>
          <w:color w:val="auto"/>
          <w:sz w:val="32"/>
          <w:szCs w:val="32"/>
        </w:rPr>
        <w:t>万元，占</w:t>
      </w:r>
      <w:r>
        <w:rPr>
          <w:rFonts w:hint="eastAsia" w:ascii="仿宋" w:eastAsia="仿宋"/>
          <w:color w:val="auto"/>
          <w:sz w:val="32"/>
          <w:szCs w:val="32"/>
          <w:lang w:val="en-US" w:eastAsia="zh-CN"/>
        </w:rPr>
        <w:t>100</w:t>
      </w:r>
      <w:r>
        <w:rPr>
          <w:rFonts w:ascii="仿宋" w:eastAsia="仿宋"/>
          <w:color w:val="auto"/>
          <w:sz w:val="32"/>
          <w:szCs w:val="32"/>
        </w:rPr>
        <w:t>%</w:t>
      </w:r>
      <w:r>
        <w:rPr>
          <w:rFonts w:hint="eastAsia" w:ascii="仿宋" w:eastAsia="仿宋"/>
          <w:color w:val="auto"/>
          <w:sz w:val="32"/>
          <w:szCs w:val="32"/>
        </w:rPr>
        <w:t>；公务接待费支出决算</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。严格执行厉行节约的要求，认真贯彻落实中央八项规定及省委省政府十项规定要求，严格控制接待规模及接待标准。</w:t>
      </w:r>
    </w:p>
    <w:p>
      <w:pPr>
        <w:widowControl/>
        <w:wordWrap w:val="0"/>
        <w:topLinePunct/>
        <w:adjustRightInd w:val="0"/>
        <w:snapToGrid w:val="0"/>
        <w:ind w:firstLine="779" w:firstLineChars="200"/>
        <w:jc w:val="left"/>
        <w:outlineLvl w:val="2"/>
        <w:rPr>
          <w:rFonts w:hint="eastAsia" w:ascii="楷体" w:eastAsia="楷体" w:cs="楷体"/>
          <w:b/>
          <w:bCs/>
          <w:color w:val="auto"/>
          <w:spacing w:val="34"/>
          <w:sz w:val="32"/>
          <w:szCs w:val="48"/>
          <w:lang w:val="zh-CN"/>
        </w:rPr>
      </w:pPr>
      <w:bookmarkStart w:id="58" w:name="_Toc7445"/>
      <w:r>
        <w:rPr>
          <w:rFonts w:hint="eastAsia" w:ascii="楷体" w:eastAsia="楷体" w:cs="楷体"/>
          <w:b/>
          <w:bCs/>
          <w:color w:val="auto"/>
          <w:spacing w:val="34"/>
          <w:sz w:val="32"/>
          <w:szCs w:val="48"/>
          <w:lang w:val="zh-CN"/>
        </w:rPr>
        <w:t>（三）综合管理情况</w:t>
      </w:r>
      <w:bookmarkEnd w:id="58"/>
    </w:p>
    <w:p>
      <w:pPr>
        <w:widowControl/>
        <w:wordWrap w:val="0"/>
        <w:topLinePunct/>
        <w:adjustRightInd w:val="0"/>
        <w:snapToGrid w:val="0"/>
        <w:spacing w:line="576" w:lineRule="exact"/>
        <w:ind w:firstLine="779" w:firstLineChars="200"/>
        <w:jc w:val="left"/>
        <w:rPr>
          <w:rFonts w:hint="eastAsia" w:ascii="仿宋_GB2312" w:eastAsia="仿宋_GB2312" w:cs="仿宋_GB2312"/>
          <w:b/>
          <w:bCs/>
          <w:color w:val="auto"/>
          <w:spacing w:val="34"/>
          <w:sz w:val="32"/>
          <w:szCs w:val="48"/>
          <w:lang w:val="zh-CN"/>
        </w:rPr>
      </w:pPr>
      <w:r>
        <w:rPr>
          <w:rFonts w:hint="eastAsia" w:ascii="仿宋_GB2312" w:eastAsia="仿宋_GB2312" w:cs="仿宋_GB2312"/>
          <w:b/>
          <w:bCs/>
          <w:color w:val="auto"/>
          <w:spacing w:val="34"/>
          <w:sz w:val="32"/>
          <w:szCs w:val="48"/>
          <w:lang w:val="zh-CN"/>
        </w:rPr>
        <w:t>1、基础管理情况</w:t>
      </w:r>
    </w:p>
    <w:p>
      <w:pPr>
        <w:widowControl/>
        <w:wordWrap w:val="0"/>
        <w:topLinePunct/>
        <w:adjustRightInd w:val="0"/>
        <w:snapToGrid w:val="0"/>
        <w:spacing w:line="576" w:lineRule="exact"/>
        <w:ind w:firstLine="640" w:firstLineChars="200"/>
        <w:jc w:val="left"/>
        <w:rPr>
          <w:rFonts w:hint="eastAsia" w:ascii="仿宋" w:eastAsia="仿宋"/>
          <w:color w:val="auto"/>
          <w:sz w:val="32"/>
          <w:szCs w:val="32"/>
        </w:rPr>
      </w:pPr>
      <w:r>
        <w:rPr>
          <w:rFonts w:hint="eastAsia" w:ascii="仿宋" w:eastAsia="仿宋"/>
          <w:color w:val="auto"/>
          <w:sz w:val="32"/>
          <w:szCs w:val="32"/>
        </w:rPr>
        <w:t>我乡2021年无预算、支出政府采购。所有国有资产纳入资产管理系统，及时准确上报并做好资产的管理工作。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pPr>
        <w:widowControl/>
        <w:numPr>
          <w:ilvl w:val="0"/>
          <w:numId w:val="8"/>
        </w:numPr>
        <w:wordWrap w:val="0"/>
        <w:topLinePunct/>
        <w:adjustRightInd w:val="0"/>
        <w:snapToGrid w:val="0"/>
        <w:spacing w:line="576" w:lineRule="exact"/>
        <w:ind w:left="61" w:firstLine="779"/>
        <w:jc w:val="left"/>
        <w:rPr>
          <w:rFonts w:hint="eastAsia" w:ascii="楷体_GB2312" w:eastAsia="楷体_GB2312" w:cs="楷体_GB2312"/>
          <w:b/>
          <w:bCs/>
          <w:color w:val="auto"/>
          <w:spacing w:val="34"/>
          <w:sz w:val="32"/>
          <w:szCs w:val="32"/>
          <w:lang w:val="zh-CN"/>
        </w:rPr>
      </w:pPr>
      <w:r>
        <w:rPr>
          <w:rFonts w:hint="eastAsia" w:ascii="楷体_GB2312" w:eastAsia="楷体_GB2312" w:cs="楷体_GB2312"/>
          <w:b/>
          <w:bCs/>
          <w:color w:val="auto"/>
          <w:spacing w:val="34"/>
          <w:sz w:val="32"/>
          <w:szCs w:val="32"/>
          <w:lang w:val="zh-CN"/>
        </w:rPr>
        <w:t>政府债务情况</w:t>
      </w:r>
    </w:p>
    <w:p>
      <w:pPr>
        <w:widowControl/>
        <w:wordWrap w:val="0"/>
        <w:topLinePunct/>
        <w:adjustRightInd w:val="0"/>
        <w:snapToGrid w:val="0"/>
        <w:spacing w:line="576" w:lineRule="exact"/>
        <w:ind w:firstLine="640" w:firstLineChars="200"/>
        <w:jc w:val="left"/>
        <w:rPr>
          <w:rFonts w:hint="eastAsia" w:ascii="仿宋" w:eastAsia="仿宋"/>
          <w:color w:val="auto"/>
          <w:sz w:val="32"/>
          <w:szCs w:val="32"/>
        </w:rPr>
      </w:pPr>
      <w:r>
        <w:rPr>
          <w:rFonts w:hint="eastAsia" w:ascii="仿宋" w:eastAsia="仿宋"/>
          <w:color w:val="auto"/>
          <w:sz w:val="32"/>
          <w:szCs w:val="32"/>
        </w:rPr>
        <w:t>2021年度我乡债务合计0万元。</w:t>
      </w:r>
    </w:p>
    <w:p>
      <w:pPr>
        <w:widowControl/>
        <w:numPr>
          <w:ilvl w:val="0"/>
          <w:numId w:val="8"/>
        </w:numPr>
        <w:wordWrap w:val="0"/>
        <w:topLinePunct/>
        <w:adjustRightInd w:val="0"/>
        <w:snapToGrid w:val="0"/>
        <w:spacing w:line="576" w:lineRule="exact"/>
        <w:ind w:left="61" w:firstLine="779"/>
        <w:jc w:val="left"/>
        <w:rPr>
          <w:rFonts w:hint="eastAsia" w:ascii="楷体_GB2312" w:eastAsia="楷体_GB2312" w:cs="楷体_GB2312"/>
          <w:b/>
          <w:bCs/>
          <w:color w:val="auto"/>
          <w:spacing w:val="34"/>
          <w:sz w:val="32"/>
          <w:szCs w:val="32"/>
          <w:lang w:val="zh-CN"/>
        </w:rPr>
      </w:pPr>
      <w:r>
        <w:rPr>
          <w:rFonts w:hint="eastAsia" w:ascii="楷体_GB2312" w:eastAsia="楷体_GB2312" w:cs="楷体_GB2312"/>
          <w:b/>
          <w:bCs/>
          <w:color w:val="auto"/>
          <w:spacing w:val="34"/>
          <w:sz w:val="32"/>
          <w:szCs w:val="32"/>
          <w:lang w:val="zh-CN"/>
        </w:rPr>
        <w:t>非税收入执收情况</w:t>
      </w:r>
    </w:p>
    <w:p>
      <w:pPr>
        <w:widowControl/>
        <w:wordWrap w:val="0"/>
        <w:topLinePunct/>
        <w:adjustRightInd w:val="0"/>
        <w:snapToGrid w:val="0"/>
        <w:spacing w:line="576" w:lineRule="exact"/>
        <w:ind w:firstLine="640" w:firstLineChars="200"/>
        <w:jc w:val="left"/>
        <w:rPr>
          <w:rFonts w:hint="eastAsia" w:ascii="仿宋" w:eastAsia="仿宋"/>
          <w:color w:val="auto"/>
          <w:sz w:val="32"/>
          <w:szCs w:val="32"/>
        </w:rPr>
      </w:pPr>
      <w:r>
        <w:rPr>
          <w:rFonts w:hint="eastAsia" w:ascii="仿宋" w:eastAsia="仿宋"/>
          <w:color w:val="auto"/>
          <w:sz w:val="32"/>
          <w:szCs w:val="32"/>
        </w:rPr>
        <w:t xml:space="preserve">2021年度我乡非税收入合计0元，上缴财政0万元。 </w:t>
      </w:r>
    </w:p>
    <w:p>
      <w:pPr>
        <w:widowControl/>
        <w:numPr>
          <w:ilvl w:val="0"/>
          <w:numId w:val="8"/>
        </w:numPr>
        <w:wordWrap w:val="0"/>
        <w:topLinePunct/>
        <w:adjustRightInd w:val="0"/>
        <w:snapToGrid w:val="0"/>
        <w:spacing w:line="576" w:lineRule="exact"/>
        <w:ind w:left="61" w:firstLine="779"/>
        <w:jc w:val="left"/>
        <w:rPr>
          <w:rFonts w:hint="eastAsia" w:ascii="楷体_GB2312" w:eastAsia="楷体_GB2312" w:cs="楷体_GB2312"/>
          <w:b/>
          <w:bCs/>
          <w:color w:val="auto"/>
          <w:spacing w:val="34"/>
          <w:sz w:val="32"/>
          <w:szCs w:val="32"/>
          <w:lang w:val="zh-CN"/>
        </w:rPr>
      </w:pPr>
      <w:r>
        <w:rPr>
          <w:rFonts w:hint="eastAsia" w:ascii="楷体_GB2312" w:eastAsia="楷体_GB2312" w:cs="楷体_GB2312"/>
          <w:b/>
          <w:bCs/>
          <w:color w:val="auto"/>
          <w:spacing w:val="34"/>
          <w:sz w:val="32"/>
          <w:szCs w:val="32"/>
          <w:lang w:val="zh-CN"/>
        </w:rPr>
        <w:t>政府采购实施计划</w:t>
      </w:r>
    </w:p>
    <w:p>
      <w:pPr>
        <w:widowControl/>
        <w:wordWrap w:val="0"/>
        <w:topLinePunct/>
        <w:adjustRightInd w:val="0"/>
        <w:snapToGrid w:val="0"/>
        <w:spacing w:line="576" w:lineRule="exact"/>
        <w:ind w:firstLine="640" w:firstLineChars="200"/>
        <w:jc w:val="left"/>
        <w:rPr>
          <w:rFonts w:hint="eastAsia" w:ascii="仿宋" w:eastAsia="仿宋"/>
          <w:color w:val="auto"/>
          <w:sz w:val="32"/>
          <w:szCs w:val="32"/>
        </w:rPr>
      </w:pPr>
      <w:r>
        <w:rPr>
          <w:rFonts w:hint="eastAsia" w:ascii="仿宋" w:eastAsia="仿宋"/>
          <w:color w:val="auto"/>
          <w:sz w:val="32"/>
          <w:szCs w:val="32"/>
        </w:rPr>
        <w:t>我乡2021年未制定年度政府采购计划。</w:t>
      </w:r>
    </w:p>
    <w:p>
      <w:pPr>
        <w:widowControl/>
        <w:numPr>
          <w:ilvl w:val="0"/>
          <w:numId w:val="8"/>
        </w:numPr>
        <w:wordWrap w:val="0"/>
        <w:topLinePunct/>
        <w:adjustRightInd w:val="0"/>
        <w:snapToGrid w:val="0"/>
        <w:spacing w:line="576" w:lineRule="exact"/>
        <w:ind w:left="61" w:firstLine="779"/>
        <w:jc w:val="left"/>
        <w:rPr>
          <w:rFonts w:hint="eastAsia" w:ascii="楷体_GB2312" w:eastAsia="楷体_GB2312" w:cs="楷体_GB2312"/>
          <w:b/>
          <w:bCs/>
          <w:color w:val="auto"/>
          <w:spacing w:val="34"/>
          <w:sz w:val="32"/>
          <w:szCs w:val="32"/>
          <w:lang w:val="zh-CN"/>
        </w:rPr>
      </w:pPr>
      <w:r>
        <w:rPr>
          <w:rFonts w:hint="eastAsia" w:ascii="楷体_GB2312" w:eastAsia="楷体_GB2312" w:cs="楷体_GB2312"/>
          <w:b/>
          <w:bCs/>
          <w:color w:val="auto"/>
          <w:spacing w:val="34"/>
          <w:sz w:val="32"/>
          <w:szCs w:val="32"/>
          <w:lang w:val="zh-CN"/>
        </w:rPr>
        <w:t>资产管理情况</w:t>
      </w:r>
    </w:p>
    <w:p>
      <w:pPr>
        <w:widowControl/>
        <w:wordWrap w:val="0"/>
        <w:topLinePunct/>
        <w:adjustRightInd w:val="0"/>
        <w:snapToGrid w:val="0"/>
        <w:spacing w:line="576" w:lineRule="exact"/>
        <w:ind w:firstLine="640" w:firstLineChars="200"/>
        <w:jc w:val="left"/>
        <w:rPr>
          <w:rFonts w:hint="eastAsia" w:ascii="仿宋" w:eastAsia="仿宋"/>
          <w:color w:val="auto"/>
          <w:sz w:val="32"/>
          <w:szCs w:val="32"/>
        </w:rPr>
      </w:pPr>
      <w:r>
        <w:rPr>
          <w:rFonts w:hint="eastAsia" w:ascii="仿宋" w:eastAsia="仿宋"/>
          <w:color w:val="auto"/>
          <w:sz w:val="32"/>
          <w:szCs w:val="32"/>
        </w:rPr>
        <w:t>我乡已将国有资产纳入资产信息系统管理，并落实专人负责管理维护系统，资产变动已及时把资产变动情况录入系统</w:t>
      </w:r>
    </w:p>
    <w:p>
      <w:pPr>
        <w:widowControl/>
        <w:numPr>
          <w:ilvl w:val="0"/>
          <w:numId w:val="8"/>
        </w:numPr>
        <w:wordWrap w:val="0"/>
        <w:topLinePunct/>
        <w:adjustRightInd w:val="0"/>
        <w:snapToGrid w:val="0"/>
        <w:spacing w:line="576" w:lineRule="exact"/>
        <w:ind w:left="61" w:firstLine="779"/>
        <w:jc w:val="left"/>
        <w:rPr>
          <w:rFonts w:hint="eastAsia" w:ascii="楷体_GB2312" w:eastAsia="楷体_GB2312" w:cs="楷体_GB2312"/>
          <w:b/>
          <w:bCs/>
          <w:color w:val="auto"/>
          <w:spacing w:val="34"/>
          <w:sz w:val="32"/>
          <w:szCs w:val="32"/>
          <w:lang w:val="zh-CN"/>
        </w:rPr>
      </w:pPr>
      <w:r>
        <w:rPr>
          <w:rFonts w:hint="eastAsia" w:ascii="楷体_GB2312" w:eastAsia="楷体_GB2312" w:cs="楷体_GB2312"/>
          <w:b/>
          <w:bCs/>
          <w:color w:val="auto"/>
          <w:spacing w:val="34"/>
          <w:sz w:val="32"/>
          <w:szCs w:val="32"/>
          <w:lang w:val="zh-CN"/>
        </w:rPr>
        <w:t>信息公开情况</w:t>
      </w:r>
    </w:p>
    <w:p>
      <w:pPr>
        <w:widowControl/>
        <w:wordWrap w:val="0"/>
        <w:topLinePunct/>
        <w:adjustRightInd w:val="0"/>
        <w:snapToGrid w:val="0"/>
        <w:spacing w:line="576" w:lineRule="exact"/>
        <w:ind w:left="0" w:firstLine="640" w:firstLineChars="200"/>
        <w:jc w:val="left"/>
        <w:rPr>
          <w:rFonts w:hint="eastAsia" w:ascii="仿宋_GB2312" w:eastAsia="仿宋_GB2312" w:cs="宋体"/>
          <w:color w:val="auto"/>
          <w:kern w:val="0"/>
          <w:sz w:val="32"/>
          <w:szCs w:val="32"/>
          <w:shd w:val="clear" w:color="auto" w:fill="FFFFFF"/>
          <w:lang w:val="en-US" w:eastAsia="zh-CN" w:bidi="ar-SA"/>
        </w:rPr>
      </w:pPr>
      <w:r>
        <w:rPr>
          <w:rFonts w:hint="eastAsia" w:ascii="仿宋_GB2312" w:eastAsia="仿宋_GB2312" w:cs="宋体"/>
          <w:color w:val="auto"/>
          <w:kern w:val="0"/>
          <w:sz w:val="32"/>
          <w:szCs w:val="32"/>
          <w:shd w:val="clear" w:color="auto" w:fill="FFFFFF"/>
          <w:lang w:val="en-US" w:eastAsia="zh-CN" w:bidi="ar-SA"/>
        </w:rPr>
        <w:t>我乡2021年的预算、决算编制说明、“三公”经费预算、决算情况；按财政局要求由县财政统一公开，2022年的预算编制说明、三公”经费预算情况在政府网站上以公开。</w:t>
      </w:r>
    </w:p>
    <w:p>
      <w:pPr>
        <w:widowControl w:val="0"/>
        <w:spacing w:before="100" w:beforeAutospacing="1" w:after="100" w:afterAutospacing="1"/>
        <w:ind w:left="1060" w:leftChars="200" w:hanging="640" w:hangingChars="200"/>
        <w:jc w:val="both"/>
        <w:rPr>
          <w:rFonts w:ascii="黑体" w:eastAsia="黑体" w:cs="宋体"/>
          <w:color w:val="auto"/>
          <w:kern w:val="0"/>
          <w:sz w:val="32"/>
          <w:szCs w:val="32"/>
          <w:shd w:val="clear" w:color="auto" w:fill="FFFFFF"/>
          <w:lang w:val="en-US" w:eastAsia="zh-CN" w:bidi="ar-SA"/>
        </w:rPr>
      </w:pPr>
      <w:r>
        <w:rPr>
          <w:rFonts w:hint="eastAsia" w:ascii="黑体" w:eastAsia="黑体" w:cs="宋体"/>
          <w:color w:val="auto"/>
          <w:kern w:val="0"/>
          <w:sz w:val="32"/>
          <w:szCs w:val="32"/>
          <w:shd w:val="clear" w:color="auto" w:fill="FFFFFF"/>
          <w:lang w:val="en-US" w:eastAsia="zh-CN" w:bidi="ar-SA"/>
        </w:rPr>
        <w:t>四、评价结论及建议</w:t>
      </w:r>
    </w:p>
    <w:p>
      <w:pPr>
        <w:tabs>
          <w:tab w:val="left" w:pos="0"/>
        </w:tabs>
        <w:spacing w:line="560" w:lineRule="exact"/>
        <w:ind w:firstLine="640" w:firstLineChars="200"/>
        <w:rPr>
          <w:rFonts w:ascii="仿宋_GB2312" w:eastAsia="仿宋_GB2312" w:cs="宋体"/>
          <w:color w:val="auto"/>
          <w:kern w:val="0"/>
          <w:sz w:val="32"/>
          <w:szCs w:val="32"/>
          <w:shd w:val="clear" w:color="auto" w:fill="FFFFFF"/>
          <w:lang w:val="en-US" w:eastAsia="zh-CN"/>
        </w:rPr>
      </w:pPr>
      <w:r>
        <w:rPr>
          <w:rFonts w:hint="eastAsia" w:ascii="仿宋_GB2312" w:eastAsia="仿宋_GB2312" w:cs="宋体"/>
          <w:color w:val="auto"/>
          <w:kern w:val="0"/>
          <w:sz w:val="32"/>
          <w:szCs w:val="32"/>
          <w:shd w:val="clear" w:color="auto" w:fill="FFFFFF"/>
          <w:lang w:val="zh-CN"/>
        </w:rPr>
        <w:t>（一）评价结论</w:t>
      </w:r>
      <w:r>
        <w:rPr>
          <w:rFonts w:hint="eastAsia" w:ascii="仿宋_GB2312" w:eastAsia="仿宋_GB2312" w:cs="宋体"/>
          <w:color w:val="auto"/>
          <w:kern w:val="0"/>
          <w:sz w:val="32"/>
          <w:szCs w:val="32"/>
          <w:shd w:val="clear" w:color="auto" w:fill="FFFFFF"/>
          <w:lang w:val="en-US" w:eastAsia="zh-CN"/>
        </w:rPr>
        <w:t>:2021年我单位支出绩效总体良好，各项目标达到了相应时期执行进度，各项目经费按预算实施，使财政收支预算执行都得到了良好的制度保障和实施效果。我乡本次自评总分：84分。</w:t>
      </w:r>
      <w:r>
        <w:rPr>
          <w:rFonts w:hint="eastAsia" w:ascii="仿宋" w:eastAsia="仿宋"/>
          <w:color w:val="auto"/>
          <w:sz w:val="32"/>
          <w:szCs w:val="32"/>
        </w:rPr>
        <w:t>社会群众对我乡的工作总体较满意。</w:t>
      </w:r>
    </w:p>
    <w:p>
      <w:pPr>
        <w:widowControl/>
        <w:adjustRightInd w:val="0"/>
        <w:snapToGrid w:val="0"/>
        <w:spacing w:line="580" w:lineRule="exact"/>
        <w:ind w:firstLine="640" w:firstLineChars="200"/>
        <w:contextualSpacing/>
        <w:jc w:val="left"/>
        <w:rPr>
          <w:rFonts w:hint="eastAsia" w:ascii="仿宋_GB2312" w:eastAsia="仿宋_GB2312" w:cs="宋体"/>
          <w:color w:val="auto"/>
          <w:kern w:val="0"/>
          <w:sz w:val="32"/>
          <w:szCs w:val="32"/>
          <w:shd w:val="clear" w:color="auto" w:fill="FFFFFF"/>
          <w:lang w:val="zh-CN" w:eastAsia="zh-CN"/>
        </w:rPr>
      </w:pPr>
      <w:r>
        <w:rPr>
          <w:rFonts w:hint="eastAsia" w:ascii="仿宋_GB2312" w:eastAsia="仿宋_GB2312" w:cs="宋体"/>
          <w:color w:val="auto"/>
          <w:kern w:val="0"/>
          <w:sz w:val="32"/>
          <w:szCs w:val="32"/>
          <w:shd w:val="clear" w:color="auto" w:fill="FFFFFF"/>
          <w:lang w:val="zh-CN"/>
        </w:rPr>
        <w:t>（二）存在问题：</w:t>
      </w:r>
      <w:r>
        <w:rPr>
          <w:rFonts w:hint="eastAsia" w:ascii="仿宋_GB2312" w:eastAsia="仿宋_GB2312" w:cs="宋体"/>
          <w:color w:val="auto"/>
          <w:kern w:val="0"/>
          <w:sz w:val="32"/>
          <w:szCs w:val="32"/>
          <w:shd w:val="clear" w:color="auto" w:fill="FFFFFF"/>
          <w:lang w:val="zh-CN" w:eastAsia="zh-CN"/>
        </w:rPr>
        <w:t>1、由于部分项目支出指标到12月份才下达指示，在预算执行中造成个别预算子项调剂现象。预算系统科目与决算系统科目存在偏差。2、固定资产台账未及时与账面资产金额对账，且未与实物进行清点及及时清理处置报废资产，导致资产台账与账面资产金额存在差异。3、科目运用</w:t>
      </w:r>
      <w:r>
        <w:rPr>
          <w:rFonts w:hint="eastAsia" w:ascii="仿宋_GB2312" w:eastAsia="仿宋_GB2312" w:cs="宋体"/>
          <w:color w:val="auto"/>
          <w:kern w:val="0"/>
          <w:sz w:val="32"/>
          <w:szCs w:val="32"/>
          <w:shd w:val="clear" w:color="auto" w:fill="FFFFFF"/>
          <w:lang w:val="en-US" w:eastAsia="zh-CN"/>
        </w:rPr>
        <w:t>还</w:t>
      </w:r>
      <w:r>
        <w:rPr>
          <w:rFonts w:hint="eastAsia" w:ascii="仿宋_GB2312" w:eastAsia="仿宋_GB2312" w:cs="宋体"/>
          <w:color w:val="auto"/>
          <w:kern w:val="0"/>
          <w:sz w:val="32"/>
          <w:szCs w:val="32"/>
          <w:shd w:val="clear" w:color="auto" w:fill="FFFFFF"/>
          <w:lang w:val="zh-CN" w:eastAsia="zh-CN"/>
        </w:rPr>
        <w:t>不准确。</w:t>
      </w:r>
    </w:p>
    <w:p>
      <w:pPr>
        <w:widowControl/>
        <w:adjustRightInd w:val="0"/>
        <w:snapToGrid w:val="0"/>
        <w:spacing w:line="580" w:lineRule="exact"/>
        <w:ind w:firstLine="640" w:firstLineChars="200"/>
        <w:contextualSpacing/>
        <w:jc w:val="left"/>
        <w:rPr>
          <w:rFonts w:hint="eastAsia" w:ascii="仿宋_GB2312" w:eastAsia="仿宋_GB2312" w:cs="宋体"/>
          <w:color w:val="auto"/>
          <w:kern w:val="0"/>
          <w:sz w:val="32"/>
          <w:szCs w:val="32"/>
          <w:shd w:val="clear" w:color="auto" w:fill="FFFFFF"/>
          <w:lang w:val="zh-CN"/>
        </w:rPr>
      </w:pPr>
      <w:r>
        <w:rPr>
          <w:rFonts w:hint="eastAsia" w:ascii="仿宋_GB2312" w:eastAsia="仿宋_GB2312" w:cs="宋体"/>
          <w:color w:val="auto"/>
          <w:kern w:val="0"/>
          <w:sz w:val="32"/>
          <w:szCs w:val="32"/>
          <w:shd w:val="clear" w:color="auto" w:fill="FFFFFF"/>
          <w:lang w:val="zh-CN"/>
        </w:rPr>
        <w:t>（三）改进建议：1、从源头上强化对专项资金预算管理。实行专项资金预算管理，结合单位实际，按轻重缓急统筹安排编制预算，提高预算编制科学性和合理性，优化资金结构。</w:t>
      </w:r>
    </w:p>
    <w:p>
      <w:pPr>
        <w:widowControl/>
        <w:adjustRightInd w:val="0"/>
        <w:snapToGrid w:val="0"/>
        <w:spacing w:line="580" w:lineRule="exact"/>
        <w:ind w:firstLine="640" w:firstLineChars="200"/>
        <w:contextualSpacing/>
        <w:jc w:val="left"/>
        <w:rPr>
          <w:rFonts w:hint="eastAsia" w:ascii="仿宋_GB2312" w:eastAsia="仿宋_GB2312" w:cs="宋体"/>
          <w:color w:val="auto"/>
          <w:kern w:val="0"/>
          <w:sz w:val="32"/>
          <w:szCs w:val="32"/>
          <w:shd w:val="clear" w:color="auto" w:fill="FFFFFF"/>
          <w:lang w:val="zh-CN"/>
        </w:rPr>
      </w:pPr>
      <w:r>
        <w:rPr>
          <w:rFonts w:hint="eastAsia" w:ascii="仿宋_GB2312" w:eastAsia="仿宋_GB2312" w:cs="宋体"/>
          <w:color w:val="auto"/>
          <w:kern w:val="0"/>
          <w:sz w:val="32"/>
          <w:szCs w:val="32"/>
          <w:shd w:val="clear" w:color="auto" w:fill="FFFFFF"/>
          <w:lang w:val="zh-CN"/>
        </w:rPr>
        <w:t>2、强化财务控制意识，准确定位财务人员角色。将财务的职能定位于全面参与资金使用的决策与控制。</w:t>
      </w:r>
    </w:p>
    <w:p>
      <w:pPr>
        <w:widowControl/>
        <w:adjustRightInd w:val="0"/>
        <w:snapToGrid w:val="0"/>
        <w:spacing w:line="580" w:lineRule="exact"/>
        <w:ind w:firstLine="640" w:firstLineChars="200"/>
        <w:contextualSpacing/>
        <w:jc w:val="left"/>
        <w:rPr>
          <w:rFonts w:hint="eastAsia" w:ascii="仿宋_GB2312" w:eastAsia="仿宋_GB2312" w:cs="宋体"/>
          <w:color w:val="auto"/>
          <w:kern w:val="0"/>
          <w:sz w:val="32"/>
          <w:szCs w:val="32"/>
          <w:shd w:val="clear" w:color="auto" w:fill="FFFFFF"/>
          <w:lang w:val="zh-CN"/>
        </w:rPr>
      </w:pPr>
      <w:r>
        <w:rPr>
          <w:rFonts w:hint="eastAsia" w:ascii="仿宋_GB2312" w:eastAsia="仿宋_GB2312" w:cs="宋体"/>
          <w:color w:val="auto"/>
          <w:kern w:val="0"/>
          <w:sz w:val="32"/>
          <w:szCs w:val="32"/>
          <w:shd w:val="clear" w:color="auto" w:fill="FFFFFF"/>
          <w:lang w:val="zh-CN"/>
        </w:rPr>
        <w:t>3、按时间进度分解资金使用计划。专项资金的使用，要事前做计划，事中进行控制，事后总结提高。合理安排资金使用，充分体现资金投向的目标和效益。完善管理制度，进一步加强资产管理</w:t>
      </w:r>
    </w:p>
    <w:p>
      <w:pPr>
        <w:widowControl/>
        <w:adjustRightInd w:val="0"/>
        <w:snapToGrid w:val="0"/>
        <w:spacing w:line="580" w:lineRule="exact"/>
        <w:ind w:firstLine="640" w:firstLineChars="200"/>
        <w:contextualSpacing/>
        <w:jc w:val="left"/>
        <w:rPr>
          <w:rFonts w:hint="eastAsia" w:ascii="仿宋_GB2312" w:eastAsia="仿宋_GB2312" w:cs="宋体"/>
          <w:color w:val="auto"/>
          <w:kern w:val="0"/>
          <w:sz w:val="32"/>
          <w:szCs w:val="32"/>
          <w:shd w:val="clear" w:color="auto" w:fill="FFFFFF"/>
          <w:lang w:val="zh-CN"/>
        </w:rPr>
      </w:pPr>
      <w:r>
        <w:rPr>
          <w:rFonts w:hint="eastAsia" w:ascii="仿宋_GB2312" w:eastAsia="仿宋_GB2312" w:cs="宋体"/>
          <w:color w:val="auto"/>
          <w:kern w:val="0"/>
          <w:sz w:val="32"/>
          <w:szCs w:val="32"/>
          <w:shd w:val="clear" w:color="auto" w:fill="FFFFFF"/>
          <w:lang w:val="en-US" w:eastAsia="zh-CN"/>
        </w:rPr>
        <w:t>4</w:t>
      </w:r>
      <w:r>
        <w:rPr>
          <w:rFonts w:hint="eastAsia" w:ascii="仿宋_GB2312" w:eastAsia="仿宋_GB2312" w:cs="宋体"/>
          <w:color w:val="auto"/>
          <w:kern w:val="0"/>
          <w:sz w:val="32"/>
          <w:szCs w:val="32"/>
          <w:shd w:val="clear" w:color="auto" w:fill="FFFFFF"/>
          <w:lang w:val="zh-CN"/>
        </w:rPr>
        <w:t>、严格按照《固定资产管理办法》的规定加强固定资产管理，及时登记、更新台账，加强资产卡片管理，对各类实物资产进行全面盘点，确保账账、账实相符。</w:t>
      </w:r>
    </w:p>
    <w:p>
      <w:pPr>
        <w:widowControl w:val="0"/>
        <w:spacing w:before="100" w:beforeAutospacing="1" w:after="100" w:afterAutospacing="1"/>
        <w:ind w:left="1060" w:leftChars="200" w:hanging="640" w:hangingChars="200"/>
        <w:jc w:val="both"/>
        <w:rPr>
          <w:rFonts w:hint="eastAsia" w:ascii="仿宋_GB2312" w:eastAsia="仿宋_GB2312" w:cs="宋体"/>
          <w:color w:val="auto"/>
          <w:kern w:val="0"/>
          <w:sz w:val="32"/>
          <w:szCs w:val="32"/>
          <w:shd w:val="clear" w:color="auto" w:fill="FFFFFF"/>
          <w:lang w:val="zh-CN" w:eastAsia="zh-CN" w:bidi="ar-SA"/>
        </w:rPr>
      </w:pPr>
    </w:p>
    <w:p>
      <w:pPr>
        <w:jc w:val="right"/>
        <w:rPr>
          <w:rFonts w:hint="eastAsia" w:ascii="仿宋_GB2312" w:eastAsia="仿宋_GB2312" w:cs="宋体"/>
          <w:color w:val="auto"/>
          <w:kern w:val="0"/>
          <w:sz w:val="32"/>
          <w:szCs w:val="32"/>
          <w:shd w:val="clear" w:color="auto" w:fill="FFFFFF"/>
          <w:lang w:val="zh-CN"/>
        </w:rPr>
      </w:pPr>
      <w:r>
        <w:rPr>
          <w:rFonts w:hint="eastAsia" w:ascii="仿宋_GB2312" w:eastAsia="仿宋_GB2312" w:cs="宋体"/>
          <w:color w:val="auto"/>
          <w:kern w:val="0"/>
          <w:sz w:val="32"/>
          <w:szCs w:val="32"/>
          <w:shd w:val="clear" w:color="auto" w:fill="FFFFFF"/>
          <w:lang w:val="zh-CN"/>
        </w:rPr>
        <w:t>金川县曾达乡人民政府</w:t>
      </w:r>
    </w:p>
    <w:p>
      <w:pPr>
        <w:widowControl w:val="0"/>
        <w:spacing w:before="100" w:beforeAutospacing="1" w:after="100" w:afterAutospacing="1"/>
        <w:ind w:left="1060" w:leftChars="200" w:hanging="640" w:hangingChars="200"/>
        <w:jc w:val="right"/>
        <w:rPr>
          <w:rFonts w:ascii="Times New Roman" w:hAnsi="Times New Roman" w:eastAsia="仿宋_GB2312" w:cs="Times New Roman"/>
          <w:color w:val="auto"/>
          <w:kern w:val="2"/>
          <w:sz w:val="32"/>
          <w:szCs w:val="24"/>
          <w:lang w:val="en-US" w:eastAsia="zh-CN" w:bidi="ar-SA"/>
        </w:rPr>
      </w:pPr>
      <w:r>
        <w:rPr>
          <w:rFonts w:hint="eastAsia" w:ascii="仿宋_GB2312" w:eastAsia="仿宋_GB2312" w:cs="宋体"/>
          <w:color w:val="auto"/>
          <w:kern w:val="0"/>
          <w:sz w:val="32"/>
          <w:szCs w:val="32"/>
          <w:shd w:val="clear" w:color="auto" w:fill="FFFFFF"/>
          <w:lang w:val="en-US" w:eastAsia="zh-CN" w:bidi="ar-SA"/>
        </w:rPr>
        <w:t>2022年8月29日</w:t>
      </w:r>
    </w:p>
    <w:p>
      <w:pPr>
        <w:pStyle w:val="13"/>
        <w:pageBreakBefore w:val="0"/>
        <w:widowControl/>
        <w:shd w:val="clear" w:color="auto" w:fill="FFFFFF"/>
        <w:kinsoku/>
        <w:wordWrap/>
        <w:overflowPunct/>
        <w:topLinePunct w:val="0"/>
        <w:bidi w:val="0"/>
        <w:spacing w:beforeAutospacing="0" w:afterAutospacing="0" w:line="480" w:lineRule="exact"/>
        <w:ind w:firstLine="640" w:firstLineChars="200"/>
        <w:textAlignment w:val="auto"/>
        <w:rPr>
          <w:rFonts w:ascii="仿宋_GB2312" w:eastAsia="仿宋_GB2312" w:cs="仿宋_GB2312"/>
          <w:color w:val="000000"/>
          <w:sz w:val="32"/>
          <w:szCs w:val="32"/>
          <w:shd w:val="clear" w:color="auto" w:fill="FFFFFF"/>
        </w:rPr>
      </w:pPr>
    </w:p>
    <w:p>
      <w:pPr>
        <w:pStyle w:val="13"/>
        <w:pageBreakBefore w:val="0"/>
        <w:widowControl/>
        <w:shd w:val="clear" w:color="auto" w:fill="FFFFFF"/>
        <w:kinsoku/>
        <w:wordWrap/>
        <w:overflowPunct/>
        <w:topLinePunct w:val="0"/>
        <w:bidi w:val="0"/>
        <w:spacing w:beforeAutospacing="0" w:afterAutospacing="0" w:line="480" w:lineRule="exact"/>
        <w:ind w:firstLine="640" w:firstLineChars="200"/>
        <w:textAlignment w:val="auto"/>
        <w:rPr>
          <w:rFonts w:ascii="仿宋_GB2312" w:eastAsia="仿宋_GB2312" w:cs="仿宋_GB2312"/>
          <w:color w:val="000000"/>
          <w:sz w:val="32"/>
          <w:szCs w:val="32"/>
          <w:shd w:val="clear" w:color="auto" w:fill="FFFFFF"/>
        </w:rPr>
      </w:pPr>
    </w:p>
    <w:p>
      <w:pPr>
        <w:pStyle w:val="13"/>
        <w:pageBreakBefore w:val="0"/>
        <w:widowControl/>
        <w:shd w:val="clear" w:color="auto" w:fill="FFFFFF"/>
        <w:kinsoku/>
        <w:wordWrap/>
        <w:overflowPunct/>
        <w:topLinePunct w:val="0"/>
        <w:bidi w:val="0"/>
        <w:spacing w:beforeAutospacing="0" w:afterAutospacing="0" w:line="480" w:lineRule="exact"/>
        <w:ind w:firstLine="640" w:firstLineChars="200"/>
        <w:textAlignment w:val="auto"/>
        <w:rPr>
          <w:rFonts w:ascii="仿宋_GB2312" w:eastAsia="仿宋_GB2312" w:cs="仿宋_GB2312"/>
          <w:color w:val="000000"/>
          <w:sz w:val="32"/>
          <w:szCs w:val="32"/>
          <w:shd w:val="clear" w:color="auto" w:fill="FFFFFF"/>
        </w:rPr>
      </w:pPr>
    </w:p>
    <w:p>
      <w:pPr>
        <w:pStyle w:val="13"/>
        <w:pageBreakBefore w:val="0"/>
        <w:widowControl/>
        <w:shd w:val="clear" w:color="auto" w:fill="FFFFFF"/>
        <w:kinsoku/>
        <w:wordWrap/>
        <w:overflowPunct/>
        <w:topLinePunct w:val="0"/>
        <w:bidi w:val="0"/>
        <w:spacing w:beforeAutospacing="0" w:afterAutospacing="0" w:line="480" w:lineRule="exact"/>
        <w:ind w:firstLine="640" w:firstLineChars="200"/>
        <w:textAlignment w:val="auto"/>
        <w:rPr>
          <w:rFonts w:ascii="仿宋_GB2312" w:eastAsia="仿宋_GB2312" w:cs="仿宋_GB2312"/>
          <w:color w:val="000000"/>
          <w:sz w:val="32"/>
          <w:szCs w:val="32"/>
          <w:shd w:val="clear" w:color="auto" w:fill="FFFFFF"/>
        </w:rPr>
      </w:pPr>
    </w:p>
    <w:p>
      <w:pPr>
        <w:pStyle w:val="13"/>
        <w:pageBreakBefore w:val="0"/>
        <w:widowControl/>
        <w:shd w:val="clear" w:color="auto" w:fill="FFFFFF"/>
        <w:kinsoku/>
        <w:wordWrap/>
        <w:overflowPunct/>
        <w:topLinePunct w:val="0"/>
        <w:bidi w:val="0"/>
        <w:spacing w:beforeAutospacing="0" w:afterAutospacing="0" w:line="480" w:lineRule="exact"/>
        <w:ind w:firstLine="640" w:firstLineChars="200"/>
        <w:textAlignment w:val="auto"/>
        <w:rPr>
          <w:rFonts w:ascii="仿宋_GB2312" w:eastAsia="仿宋_GB2312" w:cs="仿宋_GB2312"/>
          <w:color w:val="000000"/>
          <w:sz w:val="32"/>
          <w:szCs w:val="32"/>
          <w:shd w:val="clear" w:color="auto" w:fill="FFFFFF"/>
        </w:rPr>
      </w:pPr>
    </w:p>
    <w:p>
      <w:pPr>
        <w:pStyle w:val="13"/>
        <w:pageBreakBefore w:val="0"/>
        <w:widowControl/>
        <w:shd w:val="clear" w:color="auto" w:fill="FFFFFF"/>
        <w:kinsoku/>
        <w:wordWrap/>
        <w:overflowPunct/>
        <w:topLinePunct w:val="0"/>
        <w:bidi w:val="0"/>
        <w:spacing w:beforeAutospacing="0" w:afterAutospacing="0" w:line="480" w:lineRule="exact"/>
        <w:ind w:firstLine="640" w:firstLineChars="200"/>
        <w:textAlignment w:val="auto"/>
        <w:rPr>
          <w:rFonts w:ascii="仿宋_GB2312" w:eastAsia="仿宋_GB2312" w:cs="仿宋_GB2312"/>
          <w:color w:val="000000"/>
          <w:sz w:val="32"/>
          <w:szCs w:val="32"/>
          <w:shd w:val="clear" w:color="auto" w:fill="FFFFFF"/>
        </w:rPr>
      </w:pPr>
    </w:p>
    <w:p>
      <w:pPr>
        <w:pStyle w:val="13"/>
        <w:pageBreakBefore w:val="0"/>
        <w:widowControl/>
        <w:shd w:val="clear" w:color="auto" w:fill="FFFFFF"/>
        <w:kinsoku/>
        <w:wordWrap/>
        <w:overflowPunct/>
        <w:topLinePunct w:val="0"/>
        <w:bidi w:val="0"/>
        <w:spacing w:beforeAutospacing="0" w:afterAutospacing="0" w:line="480" w:lineRule="exact"/>
        <w:ind w:firstLine="640" w:firstLineChars="200"/>
        <w:textAlignment w:val="auto"/>
        <w:rPr>
          <w:rFonts w:ascii="仿宋_GB2312" w:eastAsia="仿宋_GB2312" w:cs="仿宋_GB2312"/>
          <w:color w:val="000000"/>
          <w:sz w:val="32"/>
          <w:szCs w:val="32"/>
          <w:shd w:val="clear" w:color="auto" w:fill="FFFFFF"/>
        </w:rPr>
      </w:pPr>
    </w:p>
    <w:p>
      <w:pPr>
        <w:pStyle w:val="13"/>
        <w:pageBreakBefore w:val="0"/>
        <w:widowControl/>
        <w:shd w:val="clear" w:color="auto" w:fill="FFFFFF"/>
        <w:kinsoku/>
        <w:wordWrap/>
        <w:overflowPunct/>
        <w:topLinePunct w:val="0"/>
        <w:bidi w:val="0"/>
        <w:spacing w:beforeAutospacing="0" w:afterAutospacing="0" w:line="480" w:lineRule="exact"/>
        <w:ind w:firstLine="640" w:firstLineChars="200"/>
        <w:textAlignment w:val="auto"/>
        <w:rPr>
          <w:rFonts w:ascii="仿宋_GB2312" w:eastAsia="仿宋_GB2312" w:cs="仿宋_GB2312"/>
          <w:color w:val="000000"/>
          <w:sz w:val="32"/>
          <w:szCs w:val="32"/>
          <w:shd w:val="clear" w:color="auto" w:fill="FFFFFF"/>
        </w:rPr>
      </w:pPr>
    </w:p>
    <w:p>
      <w:pPr>
        <w:pStyle w:val="13"/>
        <w:pageBreakBefore w:val="0"/>
        <w:widowControl/>
        <w:shd w:val="clear" w:color="auto" w:fill="FFFFFF"/>
        <w:kinsoku/>
        <w:wordWrap/>
        <w:overflowPunct/>
        <w:topLinePunct w:val="0"/>
        <w:bidi w:val="0"/>
        <w:spacing w:beforeAutospacing="0" w:afterAutospacing="0" w:line="480" w:lineRule="exact"/>
        <w:ind w:firstLine="640" w:firstLineChars="200"/>
        <w:textAlignment w:val="auto"/>
        <w:rPr>
          <w:rFonts w:ascii="仿宋_GB2312" w:eastAsia="仿宋_GB2312" w:cs="仿宋_GB2312"/>
          <w:color w:val="000000"/>
          <w:sz w:val="32"/>
          <w:szCs w:val="32"/>
          <w:shd w:val="clear" w:color="auto" w:fill="FFFFFF"/>
        </w:rPr>
      </w:pPr>
    </w:p>
    <w:p>
      <w:pPr>
        <w:pStyle w:val="4"/>
        <w:ind w:firstLine="2209" w:firstLineChars="500"/>
        <w:rPr>
          <w:rFonts w:ascii="黑体" w:eastAsia="黑体"/>
          <w:color w:val="000000"/>
          <w:sz w:val="44"/>
          <w:szCs w:val="44"/>
        </w:rPr>
      </w:pPr>
      <w:r>
        <w:rPr>
          <w:rFonts w:hint="eastAsia" w:ascii="黑体" w:eastAsia="黑体"/>
          <w:color w:val="000000"/>
          <w:sz w:val="44"/>
          <w:szCs w:val="44"/>
        </w:rPr>
        <w:t>第五部分  附表</w:t>
      </w:r>
    </w:p>
    <w:p>
      <w:pPr>
        <w:pStyle w:val="4"/>
        <w:rPr>
          <w:rFonts w:ascii="仿宋" w:eastAsia="仿宋"/>
          <w:color w:val="000000"/>
        </w:rPr>
      </w:pPr>
      <w:r>
        <w:rPr>
          <w:rFonts w:hint="eastAsia" w:ascii="仿宋" w:eastAsia="仿宋"/>
          <w:b w:val="0"/>
          <w:color w:val="000000"/>
        </w:rPr>
        <w:t>一、收</w:t>
      </w:r>
      <w:r>
        <w:rPr>
          <w:rStyle w:val="19"/>
          <w:rFonts w:hint="eastAsia" w:ascii="仿宋" w:eastAsia="仿宋"/>
          <w:b/>
          <w:bCs/>
        </w:rPr>
        <w:t>入支出决算总表</w:t>
      </w:r>
    </w:p>
    <w:p>
      <w:pPr>
        <w:pStyle w:val="4"/>
        <w:rPr>
          <w:rFonts w:ascii="仿宋" w:eastAsia="仿宋"/>
          <w:color w:val="000000"/>
        </w:rPr>
      </w:pPr>
      <w:bookmarkStart w:id="59" w:name="_Toc15396620"/>
      <w:r>
        <w:rPr>
          <w:rFonts w:hint="eastAsia" w:ascii="仿宋" w:eastAsia="仿宋"/>
          <w:b w:val="0"/>
          <w:color w:val="000000"/>
        </w:rPr>
        <w:t>二、收</w:t>
      </w:r>
      <w:r>
        <w:rPr>
          <w:rStyle w:val="19"/>
          <w:rFonts w:hint="eastAsia" w:ascii="仿宋" w:eastAsia="仿宋"/>
          <w:b/>
          <w:bCs/>
        </w:rPr>
        <w:t>入总表</w:t>
      </w:r>
      <w:bookmarkEnd w:id="59"/>
    </w:p>
    <w:p>
      <w:pPr>
        <w:pStyle w:val="4"/>
        <w:rPr>
          <w:rFonts w:ascii="仿宋" w:eastAsia="仿宋"/>
          <w:color w:val="000000"/>
        </w:rPr>
      </w:pPr>
      <w:bookmarkStart w:id="60" w:name="_Toc15396621"/>
      <w:r>
        <w:rPr>
          <w:rStyle w:val="19"/>
          <w:rFonts w:hint="eastAsia" w:ascii="仿宋" w:eastAsia="仿宋"/>
          <w:b/>
          <w:bCs/>
        </w:rPr>
        <w:t>三、</w:t>
      </w:r>
      <w:r>
        <w:rPr>
          <w:rFonts w:hint="eastAsia" w:ascii="仿宋" w:eastAsia="仿宋"/>
          <w:b w:val="0"/>
          <w:color w:val="000000"/>
        </w:rPr>
        <w:t>支</w:t>
      </w:r>
      <w:r>
        <w:rPr>
          <w:rStyle w:val="19"/>
          <w:rFonts w:hint="eastAsia" w:ascii="仿宋" w:eastAsia="仿宋"/>
          <w:b/>
          <w:bCs/>
        </w:rPr>
        <w:t>出总表</w:t>
      </w:r>
      <w:bookmarkEnd w:id="60"/>
    </w:p>
    <w:p>
      <w:pPr>
        <w:pStyle w:val="4"/>
        <w:rPr>
          <w:rFonts w:ascii="仿宋" w:eastAsia="仿宋"/>
          <w:b w:val="0"/>
          <w:color w:val="000000"/>
        </w:rPr>
      </w:pPr>
      <w:bookmarkStart w:id="61" w:name="_Toc15396622"/>
      <w:r>
        <w:rPr>
          <w:rStyle w:val="19"/>
          <w:rFonts w:hint="eastAsia" w:ascii="仿宋" w:eastAsia="仿宋"/>
          <w:b/>
          <w:bCs/>
        </w:rPr>
        <w:t>四、</w:t>
      </w:r>
      <w:r>
        <w:rPr>
          <w:rFonts w:hint="eastAsia" w:ascii="仿宋" w:eastAsia="仿宋"/>
          <w:b w:val="0"/>
          <w:color w:val="000000"/>
        </w:rPr>
        <w:t>财</w:t>
      </w:r>
      <w:r>
        <w:rPr>
          <w:rStyle w:val="19"/>
          <w:rFonts w:hint="eastAsia" w:ascii="仿宋" w:eastAsia="仿宋"/>
          <w:b/>
          <w:bCs/>
        </w:rPr>
        <w:t>政拨款收入支出决算总表</w:t>
      </w:r>
      <w:bookmarkEnd w:id="61"/>
    </w:p>
    <w:p>
      <w:pPr>
        <w:pStyle w:val="4"/>
        <w:rPr>
          <w:rFonts w:ascii="仿宋" w:eastAsia="仿宋"/>
          <w:color w:val="000000"/>
        </w:rPr>
      </w:pPr>
      <w:bookmarkStart w:id="62" w:name="_Toc15396623"/>
      <w:r>
        <w:rPr>
          <w:rStyle w:val="19"/>
          <w:rFonts w:hint="eastAsia" w:ascii="仿宋" w:eastAsia="仿宋"/>
          <w:b/>
          <w:bCs/>
        </w:rPr>
        <w:t>五、</w:t>
      </w:r>
      <w:r>
        <w:rPr>
          <w:rFonts w:hint="eastAsia" w:ascii="仿宋" w:eastAsia="仿宋"/>
          <w:b w:val="0"/>
          <w:color w:val="000000"/>
        </w:rPr>
        <w:t>财</w:t>
      </w:r>
      <w:r>
        <w:rPr>
          <w:rStyle w:val="19"/>
          <w:rFonts w:hint="eastAsia" w:ascii="仿宋" w:eastAsia="仿宋"/>
          <w:b/>
          <w:bCs/>
        </w:rPr>
        <w:t>政拨款支出决算明细表（政府经济分类科目）</w:t>
      </w:r>
      <w:bookmarkEnd w:id="62"/>
    </w:p>
    <w:p>
      <w:pPr>
        <w:pStyle w:val="4"/>
        <w:rPr>
          <w:rFonts w:ascii="仿宋" w:eastAsia="仿宋"/>
          <w:color w:val="000000"/>
        </w:rPr>
      </w:pPr>
      <w:bookmarkStart w:id="63" w:name="_Toc15396624"/>
      <w:r>
        <w:rPr>
          <w:rStyle w:val="19"/>
          <w:rFonts w:hint="eastAsia" w:ascii="仿宋" w:eastAsia="仿宋"/>
          <w:b/>
          <w:bCs/>
        </w:rPr>
        <w:t>六、</w:t>
      </w:r>
      <w:r>
        <w:rPr>
          <w:rFonts w:hint="eastAsia" w:ascii="仿宋" w:eastAsia="仿宋"/>
          <w:b w:val="0"/>
          <w:color w:val="000000"/>
        </w:rPr>
        <w:t>一</w:t>
      </w:r>
      <w:r>
        <w:rPr>
          <w:rStyle w:val="19"/>
          <w:rFonts w:hint="eastAsia" w:ascii="仿宋" w:eastAsia="仿宋"/>
          <w:b/>
          <w:bCs/>
        </w:rPr>
        <w:t>般公共预算财政拨款支出决算表</w:t>
      </w:r>
      <w:bookmarkEnd w:id="63"/>
    </w:p>
    <w:p>
      <w:pPr>
        <w:pStyle w:val="4"/>
        <w:rPr>
          <w:rFonts w:ascii="仿宋" w:eastAsia="仿宋"/>
          <w:color w:val="000000"/>
        </w:rPr>
      </w:pPr>
      <w:bookmarkStart w:id="64" w:name="_Toc15396625"/>
      <w:r>
        <w:rPr>
          <w:rStyle w:val="19"/>
          <w:rFonts w:hint="eastAsia" w:ascii="仿宋" w:eastAsia="仿宋"/>
          <w:b/>
          <w:bCs/>
        </w:rPr>
        <w:t>七、</w:t>
      </w:r>
      <w:r>
        <w:rPr>
          <w:rFonts w:hint="eastAsia" w:ascii="仿宋" w:eastAsia="仿宋"/>
          <w:b w:val="0"/>
          <w:color w:val="000000"/>
        </w:rPr>
        <w:t>一</w:t>
      </w:r>
      <w:r>
        <w:rPr>
          <w:rStyle w:val="19"/>
          <w:rFonts w:hint="eastAsia" w:ascii="仿宋" w:eastAsia="仿宋"/>
          <w:b/>
          <w:bCs/>
        </w:rPr>
        <w:t>般公共预算财政拨款支出决算明细表</w:t>
      </w:r>
      <w:bookmarkEnd w:id="64"/>
    </w:p>
    <w:p>
      <w:pPr>
        <w:pStyle w:val="4"/>
        <w:rPr>
          <w:rFonts w:ascii="仿宋" w:eastAsia="仿宋"/>
          <w:color w:val="000000"/>
        </w:rPr>
      </w:pPr>
      <w:bookmarkStart w:id="65" w:name="_Toc15396626"/>
      <w:r>
        <w:rPr>
          <w:rStyle w:val="19"/>
          <w:rFonts w:hint="eastAsia" w:ascii="仿宋" w:eastAsia="仿宋"/>
          <w:b/>
          <w:bCs/>
        </w:rPr>
        <w:t>八、</w:t>
      </w:r>
      <w:r>
        <w:rPr>
          <w:rFonts w:hint="eastAsia" w:ascii="仿宋" w:eastAsia="仿宋"/>
          <w:b w:val="0"/>
          <w:color w:val="000000"/>
        </w:rPr>
        <w:t>一</w:t>
      </w:r>
      <w:r>
        <w:rPr>
          <w:rStyle w:val="19"/>
          <w:rFonts w:hint="eastAsia" w:ascii="仿宋" w:eastAsia="仿宋"/>
          <w:b/>
          <w:bCs/>
        </w:rPr>
        <w:t>般公共预算财政拨款基本支出决算表</w:t>
      </w:r>
      <w:bookmarkEnd w:id="65"/>
    </w:p>
    <w:p>
      <w:pPr>
        <w:pStyle w:val="4"/>
        <w:rPr>
          <w:rFonts w:ascii="仿宋" w:eastAsia="仿宋"/>
          <w:color w:val="000000"/>
        </w:rPr>
      </w:pPr>
      <w:bookmarkStart w:id="66" w:name="_Toc15396627"/>
      <w:r>
        <w:rPr>
          <w:rStyle w:val="19"/>
          <w:rFonts w:hint="eastAsia" w:ascii="仿宋" w:eastAsia="仿宋"/>
          <w:b/>
          <w:bCs/>
        </w:rPr>
        <w:t>九、</w:t>
      </w:r>
      <w:r>
        <w:rPr>
          <w:rFonts w:hint="eastAsia" w:ascii="仿宋" w:eastAsia="仿宋"/>
          <w:b w:val="0"/>
          <w:color w:val="000000"/>
        </w:rPr>
        <w:t>一</w:t>
      </w:r>
      <w:r>
        <w:rPr>
          <w:rStyle w:val="19"/>
          <w:rFonts w:hint="eastAsia" w:ascii="仿宋" w:eastAsia="仿宋"/>
          <w:b/>
          <w:bCs/>
        </w:rPr>
        <w:t>般公共预算财政拨款项目支出决算表</w:t>
      </w:r>
      <w:bookmarkEnd w:id="66"/>
    </w:p>
    <w:p>
      <w:pPr>
        <w:pStyle w:val="4"/>
        <w:rPr>
          <w:rFonts w:ascii="仿宋" w:eastAsia="仿宋"/>
          <w:color w:val="000000"/>
        </w:rPr>
      </w:pPr>
      <w:bookmarkStart w:id="67" w:name="_Toc15396628"/>
      <w:r>
        <w:rPr>
          <w:rStyle w:val="19"/>
          <w:rFonts w:hint="eastAsia" w:ascii="仿宋" w:eastAsia="仿宋"/>
          <w:b/>
          <w:bCs/>
        </w:rPr>
        <w:t>十、</w:t>
      </w:r>
      <w:r>
        <w:rPr>
          <w:rFonts w:hint="eastAsia" w:ascii="仿宋" w:eastAsia="仿宋"/>
          <w:b w:val="0"/>
          <w:color w:val="000000"/>
        </w:rPr>
        <w:t>一</w:t>
      </w:r>
      <w:r>
        <w:rPr>
          <w:rStyle w:val="19"/>
          <w:rFonts w:hint="eastAsia" w:ascii="仿宋" w:eastAsia="仿宋"/>
          <w:b/>
          <w:bCs/>
        </w:rPr>
        <w:t>般公共预算财政拨款“三公”经费支出决算表</w:t>
      </w:r>
      <w:bookmarkEnd w:id="67"/>
    </w:p>
    <w:p>
      <w:pPr>
        <w:pStyle w:val="4"/>
        <w:rPr>
          <w:rFonts w:ascii="仿宋" w:eastAsia="仿宋"/>
          <w:color w:val="000000"/>
        </w:rPr>
      </w:pPr>
      <w:bookmarkStart w:id="68" w:name="_Toc15396629"/>
      <w:r>
        <w:rPr>
          <w:rStyle w:val="19"/>
          <w:rFonts w:hint="eastAsia" w:ascii="仿宋" w:eastAsia="仿宋"/>
          <w:b/>
          <w:bCs/>
        </w:rPr>
        <w:t>十一、</w:t>
      </w:r>
      <w:r>
        <w:rPr>
          <w:rFonts w:hint="eastAsia" w:ascii="仿宋" w:eastAsia="仿宋"/>
          <w:b w:val="0"/>
          <w:color w:val="000000"/>
        </w:rPr>
        <w:t>政</w:t>
      </w:r>
      <w:r>
        <w:rPr>
          <w:rStyle w:val="19"/>
          <w:rFonts w:hint="eastAsia" w:ascii="仿宋" w:eastAsia="仿宋"/>
          <w:b/>
          <w:bCs/>
        </w:rPr>
        <w:t>府性基金预算财政拨款收入支出决算表</w:t>
      </w:r>
      <w:bookmarkEnd w:id="68"/>
    </w:p>
    <w:p>
      <w:pPr>
        <w:pStyle w:val="4"/>
        <w:rPr>
          <w:rFonts w:ascii="仿宋" w:eastAsia="仿宋"/>
          <w:color w:val="000000"/>
        </w:rPr>
      </w:pPr>
      <w:bookmarkStart w:id="69" w:name="_Toc15396630"/>
      <w:r>
        <w:rPr>
          <w:rStyle w:val="19"/>
          <w:rFonts w:hint="eastAsia" w:ascii="仿宋" w:eastAsia="仿宋"/>
          <w:b/>
          <w:bCs/>
        </w:rPr>
        <w:t>十二、</w:t>
      </w:r>
      <w:r>
        <w:rPr>
          <w:rFonts w:hint="eastAsia" w:ascii="仿宋" w:eastAsia="仿宋"/>
          <w:b w:val="0"/>
          <w:color w:val="000000"/>
        </w:rPr>
        <w:t>政</w:t>
      </w:r>
      <w:r>
        <w:rPr>
          <w:rStyle w:val="19"/>
          <w:rFonts w:hint="eastAsia" w:ascii="仿宋" w:eastAsia="仿宋"/>
          <w:b/>
          <w:bCs/>
        </w:rPr>
        <w:t>府性基金预算财政拨款“三公”经费支出决算表</w:t>
      </w:r>
      <w:bookmarkEnd w:id="69"/>
    </w:p>
    <w:p>
      <w:pPr>
        <w:pStyle w:val="4"/>
        <w:rPr>
          <w:rStyle w:val="19"/>
          <w:rFonts w:ascii="仿宋" w:eastAsia="仿宋"/>
          <w:b/>
          <w:bCs/>
        </w:rPr>
      </w:pPr>
      <w:bookmarkStart w:id="70" w:name="_Toc15396631"/>
      <w:r>
        <w:rPr>
          <w:rStyle w:val="19"/>
          <w:rFonts w:hint="eastAsia" w:ascii="仿宋" w:eastAsia="仿宋"/>
          <w:b/>
          <w:bCs/>
        </w:rPr>
        <w:t>十三、</w:t>
      </w:r>
      <w:r>
        <w:rPr>
          <w:rFonts w:hint="eastAsia" w:ascii="仿宋" w:eastAsia="仿宋"/>
          <w:b w:val="0"/>
          <w:color w:val="000000"/>
        </w:rPr>
        <w:t>国</w:t>
      </w:r>
      <w:r>
        <w:rPr>
          <w:rStyle w:val="19"/>
          <w:rFonts w:hint="eastAsia" w:ascii="仿宋" w:eastAsia="仿宋"/>
          <w:b/>
          <w:bCs/>
        </w:rPr>
        <w:t>有资本经营预算支出决算表</w:t>
      </w:r>
      <w:bookmarkEnd w:id="70"/>
    </w:p>
    <w:p>
      <w:pPr>
        <w:pStyle w:val="4"/>
        <w:rPr>
          <w:rFonts w:ascii="仿宋" w:eastAsia="仿宋"/>
          <w:color w:val="000000"/>
        </w:rPr>
      </w:pPr>
      <w:bookmarkStart w:id="71" w:name="_Toc79163649"/>
      <w:bookmarkStart w:id="72" w:name="_Toc79163899"/>
      <w:r>
        <w:rPr>
          <w:rStyle w:val="19"/>
          <w:rFonts w:hint="eastAsia" w:ascii="仿宋" w:eastAsia="仿宋"/>
          <w:b w:val="0"/>
          <w:bCs w:val="0"/>
        </w:rPr>
        <w:t>十四、国有资本经营预算财政拨款支出决算表</w:t>
      </w:r>
      <w:bookmarkEnd w:id="71"/>
      <w:bookmarkEnd w:id="72"/>
    </w:p>
    <w:p>
      <w:pPr>
        <w:pStyle w:val="13"/>
        <w:pageBreakBefore w:val="0"/>
        <w:widowControl/>
        <w:shd w:val="clear" w:color="auto" w:fill="FFFFFF"/>
        <w:kinsoku/>
        <w:wordWrap/>
        <w:overflowPunct/>
        <w:topLinePunct w:val="0"/>
        <w:bidi w:val="0"/>
        <w:spacing w:beforeAutospacing="0" w:afterAutospacing="0" w:line="480" w:lineRule="exact"/>
        <w:ind w:firstLine="640" w:firstLineChars="200"/>
        <w:textAlignment w:val="auto"/>
        <w:rPr>
          <w:rFonts w:ascii="仿宋_GB2312" w:eastAsia="仿宋_GB2312" w:cs="仿宋_GB2312"/>
          <w:color w:val="000000"/>
          <w:sz w:val="32"/>
          <w:szCs w:val="32"/>
          <w:shd w:val="clear" w:color="auto" w:fill="FFFFFF"/>
        </w:rPr>
      </w:pPr>
    </w:p>
    <w:p>
      <w:pPr>
        <w:pStyle w:val="13"/>
        <w:pageBreakBefore w:val="0"/>
        <w:widowControl/>
        <w:shd w:val="clear" w:color="auto" w:fill="FFFFFF"/>
        <w:kinsoku/>
        <w:wordWrap/>
        <w:overflowPunct/>
        <w:topLinePunct w:val="0"/>
        <w:bidi w:val="0"/>
        <w:spacing w:beforeAutospacing="0" w:afterAutospacing="0" w:line="480" w:lineRule="exact"/>
        <w:ind w:firstLine="640" w:firstLineChars="200"/>
        <w:textAlignment w:val="auto"/>
        <w:rPr>
          <w:rFonts w:ascii="仿宋_GB2312" w:eastAsia="仿宋_GB2312" w:cs="仿宋_GB2312"/>
          <w:color w:val="000000"/>
          <w:sz w:val="32"/>
          <w:szCs w:val="32"/>
          <w:shd w:val="clear" w:color="auto" w:fill="FFFFFF"/>
        </w:rPr>
      </w:pPr>
    </w:p>
    <w:p>
      <w:pPr>
        <w:pStyle w:val="13"/>
        <w:pageBreakBefore w:val="0"/>
        <w:widowControl/>
        <w:shd w:val="clear" w:color="auto" w:fill="FFFFFF"/>
        <w:kinsoku/>
        <w:wordWrap/>
        <w:overflowPunct/>
        <w:topLinePunct w:val="0"/>
        <w:bidi w:val="0"/>
        <w:spacing w:beforeAutospacing="0" w:afterAutospacing="0" w:line="480" w:lineRule="exact"/>
        <w:ind w:firstLine="640" w:firstLineChars="200"/>
        <w:textAlignment w:val="auto"/>
        <w:rPr>
          <w:rFonts w:hint="eastAsia" w:ascii="仿宋_GB2312" w:eastAsia="仿宋_GB2312" w:cs="仿宋_GB2312"/>
          <w:color w:val="000000"/>
          <w:sz w:val="32"/>
          <w:szCs w:val="32"/>
          <w:shd w:val="clear" w:color="auto" w:fill="FFFFFF"/>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w:altName w:val="Lucida Sans Unicode"/>
    <w:panose1 w:val="00000000000000000000"/>
    <w:charset w:val="01"/>
    <w:family w:val="auto"/>
    <w:pitch w:val="default"/>
    <w:sig w:usb0="00000000" w:usb1="00000000" w:usb2="00000000" w:usb3="00000000" w:csb0="00000000" w:csb1="00000000"/>
  </w:font>
  <w:font w:name="AR PL UKai CN">
    <w:altName w:val="Segoe Print"/>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swiss"/>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1901889"/>
      <w:docPartList>
        <w:docPartGallery w:val="autotext"/>
      </w:docPartList>
    </w:sdtPr>
    <w:sdtContent>
      <w:p>
        <w:pPr>
          <w:pStyle w:val="9"/>
          <w:jc w:val="center"/>
        </w:pPr>
        <w:r>
          <w:fldChar w:fldCharType="begin"/>
        </w:r>
        <w:r>
          <w:instrText xml:space="preserve">PAGE   \* MERGEFORMAT</w:instrText>
        </w:r>
        <w:r>
          <w:fldChar w:fldCharType="separate"/>
        </w:r>
        <w:r>
          <w:rPr>
            <w:lang w:val="zh-CN"/>
          </w:rPr>
          <w:t>10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2815E7"/>
    <w:multiLevelType w:val="singleLevel"/>
    <w:tmpl w:val="942815E7"/>
    <w:lvl w:ilvl="0" w:tentative="0">
      <w:start w:val="3"/>
      <w:numFmt w:val="chineseCounting"/>
      <w:suff w:val="nothing"/>
      <w:lvlText w:val="%1、"/>
      <w:lvlJc w:val="left"/>
      <w:pPr>
        <w:tabs>
          <w:tab w:val="left" w:pos="0"/>
        </w:tabs>
        <w:ind w:left="0" w:firstLine="0"/>
      </w:pPr>
      <w:rPr>
        <w:rFonts w:hint="eastAsia"/>
      </w:rPr>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407" w:firstLine="0"/>
      </w:pPr>
      <w:rPr>
        <w:rFonts w:hint="eastAsia" w:ascii="楷体_GB2312" w:hAnsi="楷体_GB2312" w:eastAsia="楷体_GB2312" w:cs="楷体_GB2312"/>
        <w:b/>
        <w:bCs/>
        <w:sz w:val="32"/>
        <w:szCs w:val="32"/>
      </w:rPr>
    </w:lvl>
  </w:abstractNum>
  <w:abstractNum w:abstractNumId="4">
    <w:nsid w:val="FD209342"/>
    <w:multiLevelType w:val="singleLevel"/>
    <w:tmpl w:val="FD209342"/>
    <w:lvl w:ilvl="0" w:tentative="0">
      <w:start w:val="2"/>
      <w:numFmt w:val="decimal"/>
      <w:suff w:val="nothing"/>
      <w:lvlText w:val="%1、"/>
      <w:lvlJc w:val="left"/>
      <w:pPr>
        <w:tabs>
          <w:tab w:val="left" w:pos="0"/>
        </w:tabs>
        <w:ind w:left="61" w:hanging="61"/>
      </w:p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7">
    <w:nsid w:val="78D72DD4"/>
    <w:multiLevelType w:val="singleLevel"/>
    <w:tmpl w:val="78D72DD4"/>
    <w:lvl w:ilvl="0" w:tentative="0">
      <w:start w:val="3"/>
      <w:numFmt w:val="decimal"/>
      <w:lvlText w:val="%1."/>
      <w:lvlJc w:val="left"/>
      <w:pPr>
        <w:tabs>
          <w:tab w:val="left" w:pos="0"/>
        </w:tabs>
        <w:ind w:left="0" w:firstLine="0"/>
      </w:pPr>
    </w:lvl>
  </w:abstractNum>
  <w:num w:numId="1">
    <w:abstractNumId w:val="5"/>
  </w:num>
  <w:num w:numId="2">
    <w:abstractNumId w:val="7"/>
  </w:num>
  <w:num w:numId="3">
    <w:abstractNumId w:val="1"/>
  </w:num>
  <w:num w:numId="4">
    <w:abstractNumId w:val="6"/>
  </w:num>
  <w:num w:numId="5">
    <w:abstractNumId w:val="3"/>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DVjZjE1OTBmZTc4M2ZlNjdmNWM1MmQ5OThkMGU1NjEifQ=="/>
  </w:docVars>
  <w:rsids>
    <w:rsidRoot w:val="00000000"/>
    <w:rsid w:val="109E3DE5"/>
    <w:rsid w:val="79B979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9"/>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5">
    <w:name w:val="Default Paragraph Font"/>
    <w:uiPriority w:val="0"/>
  </w:style>
  <w:style w:type="table" w:default="1" w:styleId="14">
    <w:name w:val="Normal Table"/>
    <w:semiHidden/>
    <w:uiPriority w:val="0"/>
    <w:tblPr>
      <w:tblCellMar>
        <w:top w:w="0" w:type="dxa"/>
        <w:left w:w="108" w:type="dxa"/>
        <w:bottom w:w="0" w:type="dxa"/>
        <w:right w:w="108" w:type="dxa"/>
      </w:tblCellMar>
    </w:tblPr>
  </w:style>
  <w:style w:type="paragraph" w:customStyle="1" w:styleId="2">
    <w:name w:val="table of figures"/>
    <w:basedOn w:val="1"/>
    <w:next w:val="1"/>
    <w:uiPriority w:val="0"/>
    <w:pPr>
      <w:spacing w:before="100" w:beforeAutospacing="1" w:after="100" w:afterAutospacing="1"/>
      <w:ind w:left="400" w:leftChars="200" w:hanging="200" w:hangingChars="200"/>
    </w:p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0"/>
    <w:pPr>
      <w:spacing w:beforeAutospacing="1" w:afterAutospacing="1"/>
      <w:jc w:val="left"/>
    </w:pPr>
    <w:rPr>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heading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5"/>
    <w:link w:val="4"/>
    <w:qFormat/>
    <w:uiPriority w:val="0"/>
    <w:rPr>
      <w:rFonts w:ascii="Cambria" w:hAnsi="Cambria" w:eastAsia="宋体" w:cs="Times New Roman"/>
      <w:b/>
      <w:bCs/>
      <w:kern w:val="2"/>
      <w:sz w:val="32"/>
      <w:szCs w:val="32"/>
      <w:lang w:val="en-US" w:eastAsia="zh-CN" w:bidi="ar-SA"/>
    </w:rPr>
  </w:style>
  <w:style w:type="paragraph" w:customStyle="1" w:styleId="20">
    <w:name w:val="table of figures1"/>
    <w:basedOn w:val="1"/>
    <w:next w:val="1"/>
    <w:qFormat/>
    <w:uiPriority w:val="0"/>
    <w:pPr>
      <w:spacing w:before="100" w:beforeAutospacing="1" w:after="100" w:afterAutospacing="1"/>
      <w:ind w:left="400" w:leftChars="200" w:hanging="200" w:hangingChars="200"/>
    </w:pPr>
  </w:style>
  <w:style w:type="character" w:customStyle="1" w:styleId="21">
    <w:name w:val="Header Char"/>
    <w:basedOn w:val="15"/>
    <w:qFormat/>
    <w:uiPriority w:val="0"/>
    <w:rPr>
      <w:rFonts w:ascii="Times New Roman" w:hAnsi="Times New Roman"/>
      <w:sz w:val="18"/>
      <w:szCs w:val="18"/>
    </w:rPr>
  </w:style>
  <w:style w:type="character" w:customStyle="1" w:styleId="22">
    <w:name w:val="Footer Char"/>
    <w:basedOn w:val="15"/>
    <w:qFormat/>
    <w:uiPriority w:val="0"/>
    <w:rPr>
      <w:rFonts w:ascii="Times New Roman" w:hAnsi="Times New Roman"/>
      <w:sz w:val="18"/>
      <w:szCs w:val="18"/>
    </w:rPr>
  </w:style>
  <w:style w:type="character" w:customStyle="1" w:styleId="23">
    <w:name w:val="Body Text Char"/>
    <w:basedOn w:val="15"/>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5">
    <w:name w:val="List Paragraph"/>
    <w:basedOn w:val="1"/>
    <w:qFormat/>
    <w:uiPriority w:val="0"/>
    <w:pPr>
      <w:ind w:firstLine="200" w:firstLineChars="200"/>
    </w:pPr>
  </w:style>
  <w:style w:type="paragraph" w:customStyle="1" w:styleId="26">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宋体" panose="02010600030101010101" charset="-122"/>
                <a:ea typeface="宋体" panose="02010600030101010101" charset="-122"/>
                <a:cs typeface="Lucida Sans"/>
              </a:defRPr>
            </a:pPr>
            <a:r>
              <a:rPr lang="zh-CN"/>
              <a:t>收入支出对比表</a:t>
            </a:r>
            <a:endParaRPr lang="zh-CN"/>
          </a:p>
        </c:rich>
      </c:tx>
      <c:layout/>
      <c:overlay val="0"/>
      <c:spPr>
        <a:ln>
          <a:noFill/>
        </a:ln>
      </c:spPr>
    </c:title>
    <c:autoTitleDeleted val="0"/>
    <c:plotArea>
      <c:layout>
        <c:manualLayout>
          <c:layoutTarget val="inner"/>
          <c:xMode val="edge"/>
          <c:yMode val="edge"/>
          <c:x val="0.14899445"/>
          <c:y val="0.21594387"/>
          <c:w val="0.749888"/>
          <c:h val="0.6789392"/>
        </c:manualLayout>
      </c:layout>
      <c:barChart>
        <c:barDir val="col"/>
        <c:grouping val="clustered"/>
        <c:varyColors val="0"/>
        <c:ser>
          <c:idx val="0"/>
          <c:order val="0"/>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{"2020年","2021年"}</c:f>
              <c:strCache>
                <c:ptCount val="2"/>
                <c:pt idx="0">
                  <c:v>2020年</c:v>
                </c:pt>
                <c:pt idx="1">
                  <c:v>2021年</c:v>
                </c:pt>
              </c:strCache>
            </c:strRef>
          </c:cat>
          <c:val>
            <c:numRef>
              <c:f>{760.41,861.65}</c:f>
              <c:numCache>
                <c:formatCode>General</c:formatCode>
                <c:ptCount val="2"/>
                <c:pt idx="0">
                  <c:v>760.41</c:v>
                </c:pt>
                <c:pt idx="1">
                  <c:v>861.65</c:v>
                </c:pt>
              </c:numCache>
            </c:numRef>
          </c:val>
        </c:ser>
        <c:ser>
          <c:idx val="1"/>
          <c:order val="1"/>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{"2020年","2021年"}</c:f>
              <c:strCache>
                <c:ptCount val="2"/>
                <c:pt idx="0">
                  <c:v>2020年</c:v>
                </c:pt>
                <c:pt idx="1">
                  <c:v>2021年</c:v>
                </c:pt>
              </c:strCache>
            </c:strRef>
          </c:cat>
          <c:val>
            <c:numRef>
              <c:f>{850.8,914.55}</c:f>
              <c:numCache>
                <c:formatCode>General</c:formatCode>
                <c:ptCount val="2"/>
                <c:pt idx="0">
                  <c:v>850.8</c:v>
                </c:pt>
                <c:pt idx="1">
                  <c:v>914.55</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1"/>
        <c:majorTickMark val="out"/>
        <c:minorTickMark val="none"/>
        <c:tickLblPos val="nextTo"/>
        <c:txPr>
          <a:bodyPr rot="0" spcFirstLastPara="0" vertOverflow="ellipsis" vert="horz" wrap="square" anchor="t" anchorCtr="0"/>
          <a:lstStyle/>
          <a:p>
            <a:pPr>
              <a:defRPr lang="zh-CN" sz="100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numFmt formatCode="General" sourceLinked="1"/>
        <c:majorTickMark val="out"/>
        <c:minorTickMark val="none"/>
        <c:tickLblPos val="nextTo"/>
        <c:txPr>
          <a:bodyPr rot="0" spcFirstLastPara="0" vertOverflow="ellipsis" vert="horz" wrap="square" anchor="t" anchorCtr="0"/>
          <a:lstStyle/>
          <a:p>
            <a:pPr>
              <a:defRPr lang="zh-CN" sz="100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txPr>
    <a:bodyPr/>
    <a:lstStyle/>
    <a:p>
      <a:pPr>
        <a:defRPr lang="zh-CN" sz="10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ln>
              <a:noFill/>
            </a:ln>
          </c:spPr>
          <c:explosion val="0"/>
          <c:dPt>
            <c:idx val="0"/>
            <c:bubble3D val="0"/>
            <c:explosion val="0"/>
            <c:spPr>
              <a:solidFill>
                <a:srgbClr val="4F81BD"/>
              </a:solidFill>
              <a:ln>
                <a:noFill/>
              </a:ln>
            </c:spPr>
          </c:dPt>
          <c:dPt>
            <c:idx val="1"/>
            <c:bubble3D val="0"/>
            <c:explosion val="0"/>
            <c:spPr>
              <a:solidFill>
                <a:srgbClr val="C0504D"/>
              </a:solidFill>
              <a:ln>
                <a:noFill/>
              </a:ln>
            </c:spPr>
          </c:dPt>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861.65</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explosion val="0"/>
            <c:spPr>
              <a:solidFill>
                <a:srgbClr val="4F81BD"/>
              </a:solidFill>
              <a:ln>
                <a:noFill/>
              </a:ln>
            </c:spPr>
          </c:dPt>
          <c:dPt>
            <c:idx val="1"/>
            <c:bubble3D val="0"/>
            <c:explosion val="0"/>
            <c:spPr>
              <a:solidFill>
                <a:srgbClr val="C0504D"/>
              </a:solidFill>
              <a:ln>
                <a:noFill/>
              </a:ln>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r>
                      <a:rPr lang="zh-CN"/>
                      <a:t>523.61</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r>
                      <a:rPr lang="zh-CN"/>
                      <a:t>390.94</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523.61</c:v>
                </c:pt>
                <c:pt idx="1">
                  <c:v>390.94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manualLayout>
          <c:layoutTarget val="inner"/>
          <c:xMode val="edge"/>
          <c:yMode val="edge"/>
          <c:x val="0.10828343"/>
          <c:y val="0.17383358"/>
          <c:w val="0.86427146"/>
          <c:h val="0.6187702"/>
        </c:manualLayout>
      </c:layout>
      <c:barChart>
        <c:barDir val="col"/>
        <c:grouping val="clustered"/>
        <c:varyColors val="0"/>
        <c:ser>
          <c:idx val="0"/>
          <c:order val="0"/>
          <c:tx>
            <c:strRef>
              <c:f>'Sheet1 (4)'!$A$2</c:f>
              <c:strCache>
                <c:ptCount val="1"/>
                <c:pt idx="0">
                  <c:v>2020年 </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(4)'!$B$2:$C$2</c:f>
              <c:numCache>
                <c:formatCode>General</c:formatCode>
                <c:ptCount val="2"/>
                <c:pt idx="0">
                  <c:v>0</c:v>
                </c:pt>
                <c:pt idx="1">
                  <c:v>0</c:v>
                </c:pt>
              </c:numCache>
            </c:numRef>
          </c:val>
        </c:ser>
        <c:ser>
          <c:idx val="1"/>
          <c:order val="1"/>
          <c:tx>
            <c:strRef>
              <c:f>'Sheet1 (4)'!$A$3</c:f>
              <c:strCache>
                <c:ptCount val="1"/>
                <c:pt idx="0">
                  <c:v>2021年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(4)'!$B$3:$C$3</c:f>
              <c:numCache>
                <c:formatCode>General</c:formatCode>
                <c:ptCount val="2"/>
                <c:pt idx="0">
                  <c:v>0</c:v>
                </c:pt>
                <c:pt idx="1">
                  <c:v>0</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1400"/>
          <c:min val="0"/>
        </c:scaling>
        <c:delete val="0"/>
        <c:axPos val="l"/>
        <c:majorGridlines>
          <c:spPr>
            <a:ln w="6350" cap="flat" cmpd="sng" algn="ctr">
              <a:solidFill>
                <a:srgbClr val="808080"/>
              </a:solidFill>
              <a:prstDash val="solid"/>
              <a:round/>
            </a:ln>
          </c:spPr>
        </c:majorGridlines>
        <c:numFmt formatCode="@" sourceLinked="1"/>
        <c:majorTickMark val="none"/>
        <c:minorTickMark val="none"/>
        <c:tickLblPos val="nextTo"/>
        <c:spPr>
          <a:ln w="6350" cap="flat" cmpd="sng" algn="ctr">
            <a:solidFill>
              <a:srgbClr val="80808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2021年</c:v>
                </c:pt>
                <c:pt idx="1">
                  <c:v>2020年</c:v>
                </c:pt>
              </c:strCache>
            </c:strRef>
          </c:cat>
          <c:val>
            <c:numRef>
              <c:f>'Sheet1 (5)'!$B$2:$B$3</c:f>
              <c:numCache>
                <c:formatCode>General</c:formatCode>
                <c:ptCount val="2"/>
                <c:pt idx="0">
                  <c:v>914.55</c:v>
                </c:pt>
                <c:pt idx="1">
                  <c:v>850.8</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1400"/>
          <c:min val="0"/>
        </c:scaling>
        <c:delete val="0"/>
        <c:axPos val="l"/>
        <c:majorGridlines>
          <c:spPr>
            <a:ln w="6350" cap="flat" cmpd="sng" algn="ctr">
              <a:solidFill>
                <a:srgbClr val="808080"/>
              </a:solidFill>
              <a:prstDash val="solid"/>
              <a:round/>
            </a:ln>
          </c:spPr>
        </c:majorGridlines>
        <c:numFmt formatCode="General" sourceLinked="1"/>
        <c:majorTickMark val="out"/>
        <c:minorTickMark val="none"/>
        <c:tickLblPos val="nextTo"/>
        <c:spPr>
          <a:ln w="6350" cap="flat" cmpd="sng" algn="ctr">
            <a:solidFill>
              <a:srgbClr val="80808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explosion val="0"/>
            <c:spPr>
              <a:solidFill>
                <a:srgbClr val="4F81BD"/>
              </a:solidFill>
              <a:ln w="19050">
                <a:solidFill>
                  <a:srgbClr val="FFFFFF"/>
                </a:solidFill>
                <a:prstDash val="solid"/>
              </a:ln>
            </c:spPr>
          </c:dPt>
          <c:dPt>
            <c:idx val="1"/>
            <c:bubble3D val="0"/>
            <c:explosion val="0"/>
            <c:spPr>
              <a:solidFill>
                <a:srgbClr val="C0504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Pt>
            <c:idx val="3"/>
            <c:bubble3D val="0"/>
            <c:explosion val="0"/>
            <c:spPr>
              <a:solidFill>
                <a:srgbClr val="8064A2"/>
              </a:solidFill>
              <a:ln w="19050">
                <a:solidFill>
                  <a:srgbClr val="FFFFFF"/>
                </a:solidFill>
                <a:prstDash val="solid"/>
              </a:ln>
            </c:spPr>
          </c:dPt>
          <c:dPt>
            <c:idx val="4"/>
            <c:bubble3D val="0"/>
            <c:explosion val="0"/>
            <c:spPr>
              <a:solidFill>
                <a:srgbClr val="4F81BD"/>
              </a:solidFill>
              <a:ln>
                <a:noFill/>
              </a:ln>
            </c:spPr>
          </c:dPt>
          <c:dPt>
            <c:idx val="5"/>
            <c:bubble3D val="0"/>
            <c:explosion val="0"/>
            <c:spPr>
              <a:solidFill>
                <a:srgbClr val="4F81BD"/>
              </a:solidFill>
              <a:ln>
                <a:noFill/>
              </a:ln>
            </c:spPr>
          </c:dPt>
          <c:dPt>
            <c:idx val="6"/>
            <c:bubble3D val="0"/>
            <c:explosion val="0"/>
            <c:spPr>
              <a:solidFill>
                <a:srgbClr val="4F81BD"/>
              </a:solidFill>
              <a:ln>
                <a:noFill/>
              </a:ln>
            </c:spPr>
          </c:dPt>
          <c:dPt>
            <c:idx val="7"/>
            <c:bubble3D val="0"/>
            <c:explosion val="0"/>
            <c:spPr>
              <a:solidFill>
                <a:srgbClr val="4F81BD"/>
              </a:solidFill>
              <a:ln>
                <a:noFill/>
              </a:ln>
            </c:spPr>
          </c:dPt>
          <c:dLbls>
            <c:dLbl>
              <c:idx val="1"/>
              <c:layout>
                <c:manualLayout>
                  <c:x val="-0.020973645"/>
                  <c:y val="0.044190824"/>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(6)'!$A$2:$A$9</c:f>
              <c:strCache>
                <c:ptCount val="8"/>
                <c:pt idx="0">
                  <c:v>一般公共服务</c:v>
                </c:pt>
                <c:pt idx="1">
                  <c:v>社会保障和就业</c:v>
                </c:pt>
                <c:pt idx="2">
                  <c:v>医疗卫生支出</c:v>
                </c:pt>
                <c:pt idx="3">
                  <c:v>住房保障支出</c:v>
                </c:pt>
                <c:pt idx="4">
                  <c:v>农林水</c:v>
                </c:pt>
                <c:pt idx="5">
                  <c:v>其他支出</c:v>
                </c:pt>
                <c:pt idx="6">
                  <c:v>灾害防治与应急管理</c:v>
                </c:pt>
              </c:strCache>
            </c:strRef>
          </c:cat>
          <c:val>
            <c:numRef>
              <c:f>'Sheet1 (6)'!$B$2:$B$9</c:f>
              <c:numCache>
                <c:formatCode>General</c:formatCode>
                <c:ptCount val="8"/>
                <c:pt idx="0">
                  <c:v>311.25</c:v>
                </c:pt>
                <c:pt idx="1">
                  <c:v>62.84</c:v>
                </c:pt>
                <c:pt idx="2">
                  <c:v>25.78</c:v>
                </c:pt>
                <c:pt idx="3">
                  <c:v>40.6</c:v>
                </c:pt>
                <c:pt idx="4">
                  <c:v>383.25</c:v>
                </c:pt>
                <c:pt idx="5">
                  <c:v>57.83</c:v>
                </c:pt>
                <c:pt idx="6">
                  <c:v>33</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dLbl>
              <c:idx val="2"/>
              <c:layout>
                <c:manualLayout>
                  <c:x val="-0.07035216"/>
                  <c:y val="0.0052022664"/>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5.5</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28</Pages>
  <Words>10714</Words>
  <Characters>11542</Characters>
  <Lines>692</Lines>
  <Paragraphs>287</Paragraphs>
  <TotalTime>9</TotalTime>
  <ScaleCrop>false</ScaleCrop>
  <LinksUpToDate>false</LinksUpToDate>
  <CharactersWithSpaces>11767</CharactersWithSpaces>
  <Application>WPS Office_11.1.0.14036_F1E327BC-269C-435d-A152-05C5408002CA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2022-06-29T04:14:00Z</cp:lastPrinted>
  <dcterms:modified xsi:type="dcterms:W3CDTF">2023-06-21T01:08:59Z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C386C3B325224AC8BB273BAE185A4389</vt:lpwstr>
  </property>
</Properties>
</file>