
<file path=[Content_Types].xml><?xml version="1.0" encoding="utf-8"?>
<Types xmlns="http://schemas.openxmlformats.org/package/2006/content-types">
  <Default Extension="xml" ContentType="application/xml"/>
  <Default Extension="wmf" ContentType="image/x-wmf"/>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7193"/>
      <w:bookmarkStart w:id="3" w:name="_Toc15378441"/>
      <w:bookmarkStart w:id="4" w:name="_Toc15396475"/>
      <w:bookmarkStart w:id="5" w:name="_Toc15377425"/>
      <w:r>
        <w:rPr>
          <w:rFonts w:hint="eastAsia"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96476"/>
      <w:bookmarkStart w:id="8" w:name="_Toc15378442"/>
      <w:bookmarkStart w:id="9" w:name="_Toc15377194"/>
      <w:bookmarkStart w:id="10" w:name="_Toc15377426"/>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金川县曾达乡部门决算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rPr>
          <w:rFonts w:hint="eastAsia"/>
        </w:rPr>
      </w:pPr>
      <w:r>
        <w:rPr>
          <w:rFonts w:hint="eastAsia"/>
        </w:rPr>
        <w:t>公开时间：20</w:t>
      </w:r>
      <w:r>
        <w:rPr>
          <w:rFonts w:hint="eastAsia"/>
          <w:lang w:val="en-US" w:eastAsia="zh-CN"/>
        </w:rPr>
        <w:t>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rPr>
          <w:rFonts w:hint="eastAsia"/>
        </w:rPr>
      </w:pPr>
    </w:p>
    <w:p>
      <w:pPr>
        <w:rPr>
          <w:rFonts w:hint="eastAsia"/>
        </w:rPr>
      </w:pP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2"/>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fldChar w:fldCharType="end"/>
      </w:r>
    </w:p>
    <w:p>
      <w:pPr>
        <w:pStyle w:val="12"/>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2"/>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2"/>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2"/>
        <w:rPr>
          <w:rFonts w:hint="eastAsia" w:ascii="仿宋" w:eastAsia="仿宋"/>
          <w:sz w:val="28"/>
          <w:szCs w:val="28"/>
        </w:rPr>
      </w:pPr>
      <w:r>
        <w:rPr>
          <w:rStyle w:val="17"/>
          <w:rFonts w:hint="eastAsia" w:ascii="仿宋" w:eastAsia="仿宋" w:cs="Times New Roman"/>
          <w:bCs/>
          <w:kern w:val="2"/>
          <w:sz w:val="28"/>
          <w:szCs w:val="28"/>
          <w:lang w:val="en-US" w:eastAsia="zh-CN" w:bidi="ar-SA"/>
        </w:rPr>
        <w:t xml:space="preserve"> 十、预算绩效情况说明..................................15</w:t>
      </w:r>
    </w:p>
    <w:p>
      <w:pPr>
        <w:rPr>
          <w:lang w:val="en-US" w:eastAsia="zh-CN"/>
        </w:rPr>
      </w:pPr>
    </w:p>
    <w:p>
      <w:pPr>
        <w:pStyle w:val="12"/>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3</w:t>
      </w:r>
    </w:p>
    <w:p>
      <w:pPr>
        <w:pStyle w:val="11"/>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5</w:t>
      </w:r>
    </w:p>
    <w:p>
      <w:pPr>
        <w:pStyle w:val="11"/>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8</w:t>
      </w:r>
    </w:p>
    <w:p>
      <w:pPr>
        <w:pStyle w:val="12"/>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8</w:t>
      </w:r>
    </w:p>
    <w:p>
      <w:pPr>
        <w:pStyle w:val="12"/>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lang w:val="en-US" w:eastAsia="zh-CN"/>
        </w:rPr>
        <w:t>封面代码</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widowControl/>
        <w:jc w:val="left"/>
        <w:rPr>
          <w:rFonts w:ascii="仿宋" w:eastAsia="仿宋"/>
          <w:color w:val="000000"/>
          <w:sz w:val="24"/>
        </w:rPr>
      </w:pPr>
      <w:r>
        <w:rPr>
          <w:rFonts w:ascii="仿宋" w:eastAsia="仿宋"/>
          <w:color w:val="000000"/>
          <w:sz w:val="24"/>
        </w:rPr>
        <w:fldChar w:fldCharType="end"/>
      </w:r>
    </w:p>
    <w:p>
      <w:pPr>
        <w:pStyle w:val="2"/>
        <w:rPr>
          <w:rFonts w:ascii="仿宋" w:eastAsia="仿宋"/>
          <w:color w:val="000000"/>
          <w:sz w:val="24"/>
        </w:rPr>
      </w:pPr>
    </w:p>
    <w:p>
      <w:pPr>
        <w:rPr>
          <w:rFonts w:ascii="仿宋" w:eastAsia="仿宋"/>
          <w:color w:val="000000"/>
          <w:sz w:val="24"/>
        </w:rPr>
      </w:pPr>
    </w:p>
    <w:p>
      <w:pPr>
        <w:pStyle w:val="2"/>
        <w:rPr>
          <w:rFonts w:ascii="仿宋" w:eastAsia="仿宋"/>
          <w:color w:val="000000"/>
          <w:sz w:val="24"/>
        </w:rPr>
      </w:pPr>
    </w:p>
    <w:p>
      <w:pPr>
        <w:rPr>
          <w:rFonts w:ascii="仿宋" w:eastAsia="仿宋"/>
          <w:color w:val="000000"/>
          <w:sz w:val="24"/>
        </w:rPr>
      </w:pPr>
    </w:p>
    <w:p>
      <w:pPr>
        <w:pStyle w:val="2"/>
        <w:rPr>
          <w:rFonts w:ascii="仿宋" w:eastAsia="仿宋"/>
          <w:color w:val="000000"/>
          <w:sz w:val="24"/>
        </w:rPr>
      </w:pPr>
    </w:p>
    <w:p>
      <w:pPr>
        <w:rPr>
          <w:rFonts w:ascii="仿宋" w:eastAsia="仿宋"/>
          <w:color w:val="000000"/>
          <w:sz w:val="24"/>
        </w:rPr>
      </w:pPr>
    </w:p>
    <w:p>
      <w:pPr>
        <w:pStyle w:val="2"/>
      </w:pPr>
    </w:p>
    <w:p>
      <w:pPr>
        <w:widowControl/>
        <w:jc w:val="center"/>
        <w:rPr>
          <w:rFonts w:ascii="黑体" w:eastAsia="黑体"/>
          <w:color w:val="000000"/>
          <w:sz w:val="32"/>
          <w:szCs w:val="32"/>
        </w:rPr>
      </w:pPr>
      <w:bookmarkStart w:id="12" w:name="_Toc15396599"/>
      <w:bookmarkStart w:id="13" w:name="_Toc15377196"/>
      <w:r>
        <w:rPr>
          <w:rStyle w:val="18"/>
          <w:rFonts w:hint="eastAsia" w:ascii="黑体" w:eastAsia="黑体"/>
          <w:b w:val="0"/>
          <w:bCs w:val="0"/>
        </w:rPr>
        <w:t>第一部分 部门概况</w:t>
      </w:r>
      <w:bookmarkEnd w:id="12"/>
      <w:bookmarkEnd w:id="13"/>
    </w:p>
    <w:p>
      <w:pPr>
        <w:pStyle w:val="4"/>
        <w:spacing w:before="0" w:after="0" w:line="240" w:lineRule="auto"/>
        <w:ind w:left="638" w:leftChars="304"/>
        <w:rPr>
          <w:rStyle w:val="19"/>
          <w:rFonts w:ascii="黑体" w:eastAsia="黑体"/>
          <w:b w:val="0"/>
          <w:bCs w:val="0"/>
        </w:rPr>
      </w:pPr>
      <w:bookmarkStart w:id="14" w:name="_Toc15396600"/>
      <w:bookmarkStart w:id="15" w:name="_Toc15377197"/>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widowControl/>
        <w:spacing w:line="560" w:lineRule="exact"/>
        <w:ind w:firstLine="800" w:firstLineChars="250"/>
        <w:jc w:val="left"/>
        <w:rPr>
          <w:rFonts w:ascii="仿宋_GB2312" w:hAnsi="仿宋" w:eastAsia="仿宋_GB2312"/>
          <w:sz w:val="32"/>
          <w:szCs w:val="32"/>
        </w:rPr>
      </w:pPr>
      <w:r>
        <w:rPr>
          <w:rFonts w:hint="eastAsia" w:ascii="仿宋_GB2312" w:hAnsi="仿宋" w:eastAsia="仿宋_GB2312"/>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（1）、贯彻落实党和政府各项路线方针政策。深入贯彻党的十九大、十九届四中、五中全会精神，宣传和贯彻执行党的路线、方针、政策和国家的</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480" w:firstLineChars="150"/>
        <w:rPr>
          <w:rFonts w:ascii="仿宋_GB2312" w:hAnsi="仿宋" w:eastAsia="仿宋_GB2312"/>
          <w:sz w:val="32"/>
          <w:szCs w:val="32"/>
        </w:rPr>
      </w:pPr>
      <w:r>
        <w:rPr>
          <w:rFonts w:hint="eastAsia" w:ascii="仿宋_GB2312" w:hAnsi="仿宋"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480" w:firstLineChars="150"/>
        <w:rPr>
          <w:rFonts w:ascii="仿宋_GB2312" w:hAnsi="仿宋" w:eastAsia="仿宋_GB2312"/>
          <w:sz w:val="32"/>
          <w:szCs w:val="32"/>
        </w:rPr>
      </w:pPr>
      <w:r>
        <w:rPr>
          <w:rFonts w:hint="eastAsia" w:ascii="仿宋_GB2312" w:hAnsi="仿宋"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640" w:firstLineChars="200"/>
        <w:rPr>
          <w:bCs/>
          <w:color w:val="000000"/>
          <w:sz w:val="32"/>
          <w:szCs w:val="32"/>
          <w:highlight w:val="yellow"/>
        </w:rPr>
      </w:pPr>
      <w:r>
        <w:rPr>
          <w:rFonts w:hint="eastAsia" w:ascii="仿宋_GB2312" w:hAnsi="仿宋"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spacing w:line="560" w:lineRule="exact"/>
        <w:ind w:firstLine="420" w:firstLineChars="200"/>
        <w:rPr>
          <w:rFonts w:ascii="仿宋_GB2312" w:hAnsi="仿宋_GB2312"/>
          <w:szCs w:val="32"/>
        </w:rPr>
      </w:pP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pStyle w:val="9"/>
        <w:spacing w:line="550" w:lineRule="exact"/>
        <w:ind w:firstLine="640" w:firstLineChars="200"/>
        <w:rPr>
          <w:rFonts w:ascii="仿宋_GB2312" w:hAnsi="仿宋_GB2312" w:eastAsia="仿宋_GB2312" w:cs="仿宋_GB2312"/>
          <w:bCs/>
          <w:sz w:val="32"/>
          <w:szCs w:val="32"/>
        </w:rPr>
      </w:pPr>
      <w:bookmarkStart w:id="20" w:name="_Toc15377200"/>
      <w:bookmarkStart w:id="21" w:name="_Toc15396601"/>
      <w:r>
        <w:rPr>
          <w:rFonts w:hint="eastAsia" w:ascii="仿宋_GB2312" w:hAnsi="仿宋" w:eastAsia="仿宋_GB2312" w:cstheme="minorBidi"/>
          <w:kern w:val="2"/>
          <w:sz w:val="32"/>
          <w:szCs w:val="32"/>
        </w:rPr>
        <w:t>以邓小平理论、“三个代表”重要思想、科学发展观，习近平新时代中国特色社会主义思想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hint="eastAsia" w:ascii="仿宋_GB2312" w:hAnsi="仿宋" w:eastAsia="仿宋_GB2312" w:cstheme="minorBidi"/>
          <w:kern w:val="2"/>
          <w:sz w:val="32"/>
          <w:szCs w:val="32"/>
          <w:lang w:eastAsia="zh-CN"/>
        </w:rPr>
        <w:t>开辟</w:t>
      </w:r>
      <w:r>
        <w:rPr>
          <w:rFonts w:hint="eastAsia" w:ascii="仿宋_GB2312" w:hAnsi="仿宋" w:eastAsia="仿宋_GB2312" w:cstheme="minorBidi"/>
          <w:kern w:val="2"/>
          <w:sz w:val="32"/>
          <w:szCs w:val="32"/>
        </w:rPr>
        <w:t>发展的新空间，努力开创发展的新局面。</w:t>
      </w:r>
    </w:p>
    <w:p>
      <w:pPr>
        <w:spacing w:line="55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疫情防控期间</w:t>
      </w:r>
      <w:r>
        <w:rPr>
          <w:rFonts w:hint="eastAsia" w:ascii="仿宋_GB2312" w:hAnsi="仿宋_GB2312" w:eastAsia="仿宋_GB2312" w:cs="仿宋_GB2312"/>
          <w:bCs/>
          <w:sz w:val="32"/>
          <w:szCs w:val="32"/>
        </w:rPr>
        <w:t>，我乡始终把打赢疫情防控战作为重要工作之一，努力做到联防联控、严防严守、群防群治，坚决守住曾达“净土”。</w:t>
      </w:r>
      <w:r>
        <w:rPr>
          <w:rFonts w:hint="eastAsia" w:ascii="仿宋_GB2312" w:hAnsi="仿宋_GB2312" w:eastAsia="仿宋_GB2312" w:cs="仿宋_GB2312"/>
          <w:bCs/>
          <w:sz w:val="32"/>
          <w:szCs w:val="32"/>
          <w:lang w:val="zh-CN"/>
        </w:rPr>
        <w:t>一是</w:t>
      </w:r>
      <w:r>
        <w:rPr>
          <w:rFonts w:hint="eastAsia" w:ascii="仿宋_GB2312" w:hAnsi="仿宋_GB2312" w:eastAsia="仿宋_GB2312" w:cs="仿宋_GB2312"/>
          <w:bCs/>
          <w:sz w:val="32"/>
          <w:szCs w:val="32"/>
        </w:rPr>
        <w:t>注重统筹，做到联防联控。自</w:t>
      </w:r>
      <w:r>
        <w:rPr>
          <w:rFonts w:hint="eastAsia" w:ascii="仿宋_GB2312" w:hAnsi="仿宋_GB2312" w:eastAsia="仿宋_GB2312" w:cs="仿宋_GB2312"/>
          <w:bCs/>
          <w:sz w:val="32"/>
          <w:szCs w:val="32"/>
          <w:lang w:eastAsia="zh-CN"/>
        </w:rPr>
        <w:t>新冠</w:t>
      </w:r>
      <w:r>
        <w:rPr>
          <w:rFonts w:hint="eastAsia" w:ascii="仿宋_GB2312" w:hAnsi="仿宋_GB2312" w:eastAsia="仿宋_GB2312" w:cs="仿宋_GB2312"/>
          <w:bCs/>
          <w:sz w:val="32"/>
          <w:szCs w:val="32"/>
        </w:rPr>
        <w:t>肺炎疫情</w:t>
      </w:r>
      <w:r>
        <w:rPr>
          <w:rFonts w:hint="eastAsia" w:ascii="仿宋_GB2312" w:hAnsi="仿宋_GB2312" w:eastAsia="仿宋_GB2312" w:cs="仿宋_GB2312"/>
          <w:bCs/>
          <w:sz w:val="32"/>
          <w:szCs w:val="32"/>
          <w:lang w:eastAsia="zh-CN"/>
        </w:rPr>
        <w:t>暴发</w:t>
      </w:r>
      <w:r>
        <w:rPr>
          <w:rFonts w:hint="eastAsia" w:ascii="仿宋_GB2312" w:hAnsi="仿宋_GB2312" w:eastAsia="仿宋_GB2312" w:cs="仿宋_GB2312"/>
          <w:bCs/>
          <w:sz w:val="32"/>
          <w:szCs w:val="32"/>
        </w:rPr>
        <w:t>以来，我乡按照州、县部署要求，将疫情防控工作作为工作的重中之重，先后召开疫情防控工作会议20次，强化乡村社三级统筹协调、联防联控机制。加强重点环节把控、重点区域防控、重点人员管控。累计排查州外返乡人员245人，车辆1850车次，确保排查到位、隔离到位、防范到位。</w:t>
      </w:r>
      <w:r>
        <w:rPr>
          <w:rFonts w:hint="eastAsia" w:ascii="仿宋_GB2312" w:hAnsi="仿宋_GB2312" w:eastAsia="仿宋_GB2312" w:cs="仿宋_GB2312"/>
          <w:bCs/>
          <w:sz w:val="32"/>
          <w:szCs w:val="32"/>
          <w:lang w:val="zh-CN"/>
        </w:rPr>
        <w:t>二是</w:t>
      </w:r>
      <w:r>
        <w:rPr>
          <w:rFonts w:hint="eastAsia" w:ascii="仿宋_GB2312" w:hAnsi="仿宋_GB2312" w:eastAsia="仿宋_GB2312" w:cs="仿宋_GB2312"/>
          <w:bCs/>
          <w:sz w:val="32"/>
          <w:szCs w:val="32"/>
        </w:rPr>
        <w:t>注重细节，做到严防严守。我乡注重发挥党支部基层堡垒作用和党员先锋模范作用，在辖区各村成立村级疫情防控工作领导小组7个、党员突击队7支、代表先锋队1支、青年志愿队1支，组织党员干部开展疫情防控工作培训，累计培训120余人次，覆盖群众达2000余人，开展消毒防疫工作，分发消毒液46件。开展人居环境综合整治，在全面管好用好生态管护员的基础上，发动党员先锋队、人民代表先锋队、青年志愿者等400余人次，对河道两岸白色垃圾、村庄卫生死角进行全面整治。</w:t>
      </w:r>
      <w:r>
        <w:rPr>
          <w:rFonts w:hint="eastAsia" w:ascii="仿宋_GB2312" w:hAnsi="仿宋_GB2312" w:eastAsia="仿宋_GB2312" w:cs="仿宋_GB2312"/>
          <w:bCs/>
          <w:sz w:val="32"/>
          <w:szCs w:val="32"/>
          <w:lang w:val="zh-CN"/>
        </w:rPr>
        <w:t>三是</w:t>
      </w:r>
      <w:r>
        <w:rPr>
          <w:rFonts w:hint="eastAsia" w:ascii="仿宋_GB2312" w:hAnsi="仿宋_GB2312" w:eastAsia="仿宋_GB2312" w:cs="仿宋_GB2312"/>
          <w:bCs/>
          <w:sz w:val="32"/>
          <w:szCs w:val="32"/>
        </w:rPr>
        <w:t>注重发动，做到群防群治。我乡在疫情防控上注重发动群众的力量，利用标语、横幅及各村微信群等形式开展疫情防控宣传，引导群众养成自觉防控疫情的良好习惯。营造良好氛围，悬挂疫情防控横幅40条、张贴宣传标语400条、公告20条，开展广播流动宣传42场次。取消木尔都观音庙会、各村群众文化活动等各类集会6场次，推迟婚宴8场、烧锅底2场，简办丧事2场。关闭经营性场所，对辖区内农家乐、茶馆等场所严格管理，按要求限时关闭了农家乐3家、茶馆4家、KTV1家。</w:t>
      </w:r>
    </w:p>
    <w:p>
      <w:pPr>
        <w:spacing w:line="550" w:lineRule="exact"/>
        <w:ind w:firstLine="640"/>
        <w:rPr>
          <w:rFonts w:ascii="仿宋_GB2312" w:hAnsi="仿宋_GB2312" w:eastAsia="仿宋_GB2312" w:cs="仿宋_GB2312"/>
          <w:bCs/>
          <w:sz w:val="32"/>
          <w:szCs w:val="32"/>
        </w:rPr>
      </w:pPr>
      <w:r>
        <w:rPr>
          <w:rFonts w:hint="eastAsia" w:ascii="仿宋_GB2312" w:hAnsi="仿宋_GB2312" w:eastAsia="仿宋_GB2312" w:cs="仿宋_GB2312"/>
          <w:sz w:val="32"/>
          <w:szCs w:val="32"/>
        </w:rPr>
        <w:t>汛情期间，</w:t>
      </w:r>
      <w:r>
        <w:rPr>
          <w:rFonts w:hint="eastAsia" w:ascii="仿宋_GB2312" w:hAnsi="仿宋_GB2312" w:eastAsia="仿宋_GB2312" w:cs="仿宋_GB2312"/>
          <w:bCs/>
          <w:sz w:val="32"/>
          <w:szCs w:val="32"/>
        </w:rPr>
        <w:t>深入践行“五个三”“五个一”“五个迅速”工作法，精准预测、及时预警，启动预案、及时响应，有序组织、及时避险，顺畅指挥、及时救援，灵通信息、及时共享，不等不靠、及时争取。“7.25”伍家沟泥石流灾情发生后，我乡科学抢险排险，及时与消防等专业力量联系，成功营救被困人员2名。会同县交通局，组织挖掘机、装载机、工程车等大型机械17台，开展应急便道建设、河道疏浚等抢险排险工作。</w:t>
      </w:r>
      <w:r>
        <w:rPr>
          <w:rFonts w:hint="eastAsia" w:ascii="仿宋_GB2312" w:hAnsi="仿宋_GB2312" w:eastAsia="仿宋_GB2312" w:cs="仿宋_GB2312"/>
          <w:bCs/>
          <w:sz w:val="32"/>
          <w:szCs w:val="32"/>
          <w:lang w:eastAsia="zh-CN"/>
        </w:rPr>
        <w:t>截至</w:t>
      </w:r>
      <w:r>
        <w:rPr>
          <w:rFonts w:hint="eastAsia" w:ascii="仿宋_GB2312" w:hAnsi="仿宋_GB2312" w:eastAsia="仿宋_GB2312" w:cs="仿宋_GB2312"/>
          <w:bCs/>
          <w:sz w:val="32"/>
          <w:szCs w:val="32"/>
        </w:rPr>
        <w:t>10月底，新建便道3段2000米、新建涵桥2座，维修过水路面3处400余米，河道清淤16处4000余方，疏通堵塞桥梁3座，排危有垮塌危险路基4处，对2座涵桥实行了临时夜间管制。在对主干道排险除险的同时，组织包村工作组、村两委干部、党员、群众对各村通村通组入户路进行抢修，确保群众出行安全。</w:t>
      </w:r>
    </w:p>
    <w:p>
      <w:pPr>
        <w:spacing w:line="55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脱贫攻坚战中。</w:t>
      </w:r>
      <w:r>
        <w:rPr>
          <w:rFonts w:hint="eastAsia" w:ascii="仿宋_GB2312" w:hAnsi="仿宋_GB2312" w:eastAsia="仿宋_GB2312" w:cs="仿宋_GB2312"/>
          <w:bCs/>
          <w:sz w:val="32"/>
          <w:szCs w:val="32"/>
        </w:rPr>
        <w:t>在县委、县政府的正确领导下，在各级各部门的大力关心下，在驻村工作队、全乡村组干部群众的努力下，全乡5个贫困村全部脱贫，实现171户585贫困人口销号。全乡有易地扶贫搬迁户10户30人，特殊困难户5户21人，低保户26户35人，残疾人136户146人，五保户32户34人。16户66人贫困人口经过灾后重建，收入达标，“两不愁、三保障”全部达标，没有返贫风险。继续落实教育、医疗政策，自查补短通过脱贫攻坚成效普查，顺利通过省级交叉验收。</w:t>
      </w:r>
    </w:p>
    <w:p>
      <w:pPr>
        <w:spacing w:line="55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经济建设方面，</w:t>
      </w:r>
      <w:r>
        <w:rPr>
          <w:rFonts w:hint="eastAsia" w:ascii="仿宋_GB2312" w:hAnsi="仿宋_GB2312" w:eastAsia="仿宋_GB2312" w:cs="仿宋_GB2312"/>
          <w:bCs/>
          <w:sz w:val="32"/>
          <w:szCs w:val="32"/>
        </w:rPr>
        <w:t>坚持以项目建设为抓手，上争国家投资，外引客商发展，内聚民间资本，全力实施灾后重建、乡村振兴和第一批涉农整合资金等项目，紧盯灾后重建9大类27个项目，估算总投资2.74亿元，中期调整后总投资为2.9911亿元，已到位资金1.685亿元；乡村振兴项目12个514.5万元、第一批涉农整合资金项目匹配曾达乡20个5270.5万元。抓紧抓实曾达灾后重建政治任务，努力将曾达建设成为灾后重建示范、生态保护示范和乡村振兴示范。目前已完成投资61.4%，土地复垦、农业产业、电力通讯恢复等项目全面完成，主干道建设、地灾治理、植被恢复的工</w:t>
      </w:r>
      <w:r>
        <w:rPr>
          <w:rFonts w:hint="eastAsia" w:ascii="仿宋_GB2312" w:hAnsi="仿宋_GB2312" w:eastAsia="仿宋_GB2312" w:cs="仿宋_GB2312"/>
          <w:bCs/>
          <w:sz w:val="32"/>
          <w:szCs w:val="32"/>
          <w:lang w:eastAsia="zh-CN"/>
        </w:rPr>
        <w:t>程</w:t>
      </w:r>
      <w:r>
        <w:rPr>
          <w:rFonts w:hint="eastAsia" w:ascii="仿宋_GB2312" w:hAnsi="仿宋_GB2312" w:eastAsia="仿宋_GB2312" w:cs="仿宋_GB2312"/>
          <w:bCs/>
          <w:sz w:val="32"/>
          <w:szCs w:val="32"/>
        </w:rPr>
        <w:t>项目有序推进，灾后重建的曾达将更加美丽。</w:t>
      </w:r>
    </w:p>
    <w:p>
      <w:pPr>
        <w:spacing w:line="578" w:lineRule="exact"/>
        <w:ind w:firstLine="640" w:firstLineChars="200"/>
        <w:rPr>
          <w:rStyle w:val="19"/>
          <w:b w:val="0"/>
          <w:bCs w:val="0"/>
        </w:rPr>
      </w:pPr>
      <w:r>
        <w:rPr>
          <w:rStyle w:val="19"/>
          <w:rFonts w:hint="eastAsia" w:ascii="黑体" w:eastAsia="黑体"/>
          <w:b w:val="0"/>
          <w:bCs w:val="0"/>
        </w:rPr>
        <w:t>二、机构设置</w:t>
      </w:r>
      <w:bookmarkEnd w:id="20"/>
      <w:bookmarkEnd w:id="21"/>
    </w:p>
    <w:p>
      <w:pPr>
        <w:widowControl/>
        <w:ind w:firstLine="640" w:firstLineChars="200"/>
        <w:jc w:val="left"/>
        <w:rPr>
          <w:rFonts w:ascii="仿宋" w:hAnsi="仿宋" w:eastAsia="仿宋_GB2312"/>
          <w:color w:val="000000"/>
          <w:kern w:val="0"/>
          <w:sz w:val="32"/>
          <w:szCs w:val="32"/>
        </w:rPr>
      </w:pPr>
      <w:r>
        <w:rPr>
          <w:rFonts w:hint="eastAsia" w:ascii="仿宋_GB2312" w:eastAsia="仿宋_GB2312"/>
          <w:color w:val="000000"/>
          <w:sz w:val="32"/>
          <w:szCs w:val="32"/>
        </w:rPr>
        <w:t>阿坝州金川县曾达乡人民政府</w:t>
      </w:r>
      <w:r>
        <w:rPr>
          <w:rFonts w:hint="eastAsia" w:ascii="仿宋_GB2312" w:eastAsia="仿宋_GB2312"/>
          <w:bCs/>
          <w:color w:val="000000"/>
          <w:sz w:val="32"/>
          <w:szCs w:val="32"/>
        </w:rPr>
        <w:t>设</w:t>
      </w:r>
      <w:r>
        <w:rPr>
          <w:rFonts w:hint="eastAsia" w:ascii="仿宋_GB2312" w:eastAsia="仿宋_GB2312"/>
          <w:color w:val="000000"/>
          <w:sz w:val="32"/>
          <w:szCs w:val="32"/>
        </w:rPr>
        <w:t>独立编制机构2个，其中</w:t>
      </w:r>
      <w:r>
        <w:rPr>
          <w:rFonts w:hint="eastAsia" w:ascii="仿宋_GB2312" w:eastAsia="仿宋_GB2312"/>
          <w:color w:val="000000"/>
          <w:sz w:val="32"/>
          <w:szCs w:val="32"/>
          <w:lang w:eastAsia="zh-CN"/>
        </w:rPr>
        <w:t>：</w:t>
      </w:r>
      <w:r>
        <w:rPr>
          <w:rFonts w:hint="eastAsia" w:ascii="仿宋_GB2312" w:eastAsia="仿宋_GB2312"/>
          <w:color w:val="000000"/>
          <w:sz w:val="32"/>
          <w:szCs w:val="32"/>
        </w:rPr>
        <w:t>行政单位1个，参照公务员法管理的事业单位1个。</w:t>
      </w:r>
    </w:p>
    <w:p>
      <w:pPr>
        <w:pStyle w:val="3"/>
        <w:ind w:right="440"/>
        <w:jc w:val="right"/>
      </w:pPr>
      <w:bookmarkStart w:id="22" w:name="_Toc15396602"/>
      <w:bookmarkStart w:id="23" w:name="_Toc15377204"/>
      <w:r>
        <w:rPr>
          <w:rFonts w:hint="eastAsia" w:ascii="黑体" w:eastAsia="黑体"/>
          <w:b w:val="0"/>
          <w:color w:val="000000"/>
        </w:rPr>
        <w:t>第二部分</w:t>
      </w:r>
      <w:r>
        <w:rPr>
          <w:rStyle w:val="18"/>
          <w:rFonts w:hint="eastAsia" w:ascii="黑体" w:eastAsia="黑体"/>
          <w:b w:val="0"/>
          <w:bCs w:val="0"/>
        </w:rPr>
        <w:t>2020年度部门决算情况说明</w:t>
      </w:r>
      <w:bookmarkEnd w:id="22"/>
      <w:bookmarkEnd w:id="23"/>
    </w:p>
    <w:p>
      <w:pPr>
        <w:pStyle w:val="24"/>
        <w:numPr>
          <w:ilvl w:val="0"/>
          <w:numId w:val="1"/>
        </w:numPr>
        <w:ind w:left="0" w:firstLine="0" w:firstLineChars="0"/>
        <w:outlineLvl w:val="1"/>
        <w:rPr>
          <w:rStyle w:val="19"/>
          <w:rFonts w:ascii="黑体" w:eastAsia="黑体"/>
          <w:b w:val="0"/>
        </w:rPr>
      </w:pPr>
      <w:bookmarkStart w:id="24" w:name="_Toc15377205"/>
      <w:bookmarkStart w:id="25" w:name="_Toc15396603"/>
      <w:r>
        <w:rPr>
          <w:rFonts w:hint="eastAsia" w:ascii="黑体" w:eastAsia="黑体"/>
          <w:color w:val="000000"/>
          <w:sz w:val="32"/>
          <w:szCs w:val="32"/>
        </w:rPr>
        <w:t>收</w:t>
      </w:r>
      <w:r>
        <w:rPr>
          <w:rStyle w:val="19"/>
          <w:rFonts w:hint="eastAsia" w:ascii="黑体" w:eastAsia="黑体"/>
          <w:b w:val="0"/>
        </w:rPr>
        <w:t>入支出决算总体情况说明</w:t>
      </w:r>
      <w:bookmarkEnd w:id="24"/>
      <w:bookmarkEnd w:id="25"/>
    </w:p>
    <w:p>
      <w:pPr>
        <w:pStyle w:val="13"/>
        <w:widowControl/>
        <w:ind w:right="75" w:firstLine="640" w:firstLineChars="200"/>
        <w:rPr>
          <w:rFonts w:ascii="仿宋_GB2312" w:hAnsi="仿宋" w:eastAsia="仿宋_GB2312" w:cstheme="minorBidi"/>
          <w:kern w:val="2"/>
          <w:sz w:val="32"/>
          <w:szCs w:val="32"/>
        </w:rPr>
      </w:pPr>
      <w:bookmarkStart w:id="26" w:name="_Toc15377206"/>
      <w:bookmarkStart w:id="27" w:name="_Toc15396604"/>
      <w:r>
        <w:rPr>
          <w:rFonts w:hint="eastAsia" w:ascii="仿宋_GB2312" w:hAnsi="仿宋" w:eastAsia="仿宋_GB2312" w:cstheme="minorBidi"/>
          <w:kern w:val="2"/>
          <w:sz w:val="32"/>
          <w:szCs w:val="32"/>
        </w:rPr>
        <w:t>当年收入支出预算执行基本情况，与上年度对比情况，包括增减绝对值与幅度，增减变动主要原因。2020年总收入760.41万元，总支出850.8万元</w:t>
      </w:r>
      <w:r>
        <w:rPr>
          <w:rFonts w:hint="eastAsia" w:ascii="仿宋_GB2312" w:hAnsi="仿宋" w:eastAsia="仿宋_GB2312" w:cstheme="minorBidi"/>
          <w:kern w:val="2"/>
          <w:sz w:val="32"/>
          <w:szCs w:val="32"/>
          <w:lang w:eastAsia="zh-CN"/>
        </w:rPr>
        <w:t>，</w:t>
      </w:r>
      <w:r>
        <w:rPr>
          <w:rFonts w:hint="eastAsia" w:ascii="仿宋_GB2312" w:hAnsi="仿宋" w:eastAsia="仿宋_GB2312" w:cstheme="minorBidi"/>
          <w:kern w:val="2"/>
          <w:sz w:val="32"/>
          <w:szCs w:val="32"/>
        </w:rPr>
        <w:t>2019年总收入637.14万元，总支出800.1万元与上年度对比，工资规范人员及公务经费增加。</w:t>
      </w:r>
      <w:r>
        <w:drawing>
          <wp:inline distT="0" distB="0" distL="114300" distR="114300">
            <wp:extent cx="4381500" cy="2742565"/>
            <wp:effectExtent l="4445" t="4445" r="14605" b="15240"/>
            <wp:docPr id="110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Style w:val="19"/>
          <w:rFonts w:ascii="黑体" w:eastAsia="黑体"/>
          <w:b w:val="0"/>
        </w:rPr>
      </w:pPr>
      <w:r>
        <w:rPr>
          <w:rFonts w:hint="eastAsia" w:ascii="黑体" w:eastAsia="黑体"/>
          <w:color w:val="000000"/>
          <w:sz w:val="32"/>
          <w:szCs w:val="32"/>
        </w:rPr>
        <w:t>二、收入决</w:t>
      </w:r>
      <w:r>
        <w:rPr>
          <w:rStyle w:val="19"/>
          <w:rFonts w:hint="eastAsia" w:ascii="黑体" w:eastAsia="黑体"/>
          <w:b w:val="0"/>
        </w:rPr>
        <w:t>算情况说明</w:t>
      </w:r>
      <w:bookmarkEnd w:id="26"/>
      <w:bookmarkEnd w:id="27"/>
    </w:p>
    <w:p>
      <w:pPr>
        <w:pStyle w:val="13"/>
        <w:widowControl/>
        <w:ind w:right="75" w:firstLine="640" w:firstLineChars="200"/>
        <w:rPr>
          <w:rFonts w:ascii="仿宋_GB2312" w:hAnsi="仿宋" w:eastAsia="仿宋_GB2312" w:cstheme="minorBidi"/>
          <w:kern w:val="2"/>
          <w:sz w:val="32"/>
          <w:szCs w:val="32"/>
        </w:rPr>
      </w:pPr>
      <w:r>
        <w:rPr>
          <w:rFonts w:ascii="仿宋_GB2312" w:hAnsi="仿宋" w:eastAsia="仿宋_GB2312" w:cstheme="minorBidi"/>
          <w:kern w:val="2"/>
          <w:sz w:val="32"/>
          <w:szCs w:val="32"/>
        </w:rPr>
        <w:t xml:space="preserve"> 本单位本年度总收入为760.41万元。其中：一般公共预算财政拨款收入为760.41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本年度总支出为850.80万元。其中：一般公共服务支出为343.77万元，占比40.41%；外交支出为0.00万元，占比0.00%；国防支出为0.00万元，占比0.00%；公共安全支出为0.00万元，占比0.00%；教育支出为0.00万元，占比0.00%；科学技术支出为0.00万元，占比0.00%；</w:t>
      </w:r>
      <w:r>
        <w:drawing>
          <wp:anchor distT="0" distB="0" distL="114300" distR="114300" simplePos="0" relativeHeight="251659264" behindDoc="1" locked="0" layoutInCell="1" allowOverlap="1">
            <wp:simplePos x="0" y="0"/>
            <wp:positionH relativeFrom="column">
              <wp:posOffset>-61595</wp:posOffset>
            </wp:positionH>
            <wp:positionV relativeFrom="paragraph">
              <wp:posOffset>6450965</wp:posOffset>
            </wp:positionV>
            <wp:extent cx="5691505" cy="3739515"/>
            <wp:effectExtent l="4445" t="4445" r="19050" b="8890"/>
            <wp:wrapNone/>
            <wp:docPr id="22945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_GB2312" w:hAnsi="仿宋" w:eastAsia="仿宋_GB2312" w:cstheme="minorBidi"/>
          <w:kern w:val="2"/>
          <w:sz w:val="32"/>
          <w:szCs w:val="32"/>
        </w:rPr>
        <w:t>文化旅游体育与传媒支出为0.00万元，占比0.00%；社会保障和就业支出为142.28万元，占比16.72%；卫生健康支出为25.05万元，占比2.94%；节能环保支出为0.00万元，占比0.00%；城乡社区支出为0.00万元，占比0.00%；农林水支出为216.61万元，占比25.46%；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30.93万元，占比3.64%；粮油物资储备支出为0.00万元，占比0.00%；国有资本经营预算支出为0.00万元，占比0.00%；灾害防治及应急管理支出为0.00万元，占比0.00%；其他支出为92.16万元，占比10.83%；债务还本支出为0.00万元，占比0.00%；债务付息支出为0.00万元，占比0.00%；抗疫特别国债安排的支出为0.00万元，占比0.00%。</w:t>
      </w:r>
    </w:p>
    <w:p>
      <w:pPr>
        <w:pStyle w:val="13"/>
        <w:widowControl/>
        <w:ind w:right="75" w:firstLine="640" w:firstLineChars="200"/>
        <w:rPr>
          <w:rFonts w:ascii="仿宋_GB2312" w:hAnsi="仿宋" w:eastAsia="仿宋_GB2312" w:cstheme="minorBidi"/>
          <w:kern w:val="2"/>
          <w:sz w:val="32"/>
          <w:szCs w:val="32"/>
        </w:rPr>
      </w:pPr>
    </w:p>
    <w:p>
      <w:pPr>
        <w:pStyle w:val="13"/>
        <w:widowControl/>
        <w:ind w:right="75" w:firstLine="640" w:firstLineChars="200"/>
        <w:rPr>
          <w:rFonts w:ascii="仿宋_GB2312" w:hAnsi="仿宋" w:eastAsia="仿宋_GB2312" w:cstheme="minorBidi"/>
          <w:kern w:val="2"/>
          <w:sz w:val="32"/>
          <w:szCs w:val="32"/>
        </w:rPr>
      </w:pPr>
    </w:p>
    <w:p>
      <w:pPr>
        <w:pStyle w:val="13"/>
        <w:widowControl/>
        <w:ind w:right="75" w:firstLine="640" w:firstLineChars="200"/>
        <w:rPr>
          <w:rFonts w:ascii="仿宋_GB2312" w:hAnsi="仿宋" w:eastAsia="仿宋_GB2312" w:cstheme="minorBidi"/>
          <w:kern w:val="2"/>
          <w:sz w:val="32"/>
          <w:szCs w:val="32"/>
        </w:rPr>
      </w:pPr>
    </w:p>
    <w:p>
      <w:pPr>
        <w:pStyle w:val="13"/>
        <w:widowControl/>
        <w:ind w:right="75"/>
        <w:rPr>
          <w:rFonts w:ascii="仿宋_GB2312" w:hAnsi="仿宋" w:eastAsia="仿宋_GB2312" w:cstheme="minorBidi"/>
          <w:kern w:val="2"/>
          <w:sz w:val="32"/>
          <w:szCs w:val="32"/>
        </w:rPr>
      </w:pPr>
    </w:p>
    <w:p>
      <w:pPr>
        <w:spacing w:line="576" w:lineRule="exact"/>
        <w:ind w:firstLine="640" w:firstLineChars="200"/>
        <w:outlineLvl w:val="1"/>
        <w:rPr>
          <w:rStyle w:val="19"/>
          <w:rFonts w:ascii="黑体" w:eastAsia="黑体"/>
          <w:b w:val="0"/>
        </w:rPr>
      </w:pPr>
      <w:bookmarkStart w:id="28" w:name="_Toc15396605"/>
      <w:bookmarkStart w:id="29" w:name="_Toc15377207"/>
      <w:r>
        <w:rPr>
          <w:rFonts w:hint="eastAsia" w:ascii="黑体" w:eastAsia="黑体"/>
          <w:color w:val="000000"/>
          <w:sz w:val="32"/>
          <w:szCs w:val="32"/>
        </w:rPr>
        <w:t>三、支出决</w:t>
      </w:r>
      <w:r>
        <w:rPr>
          <w:rStyle w:val="19"/>
          <w:rFonts w:hint="eastAsia" w:ascii="黑体" w:eastAsia="黑体"/>
          <w:b w:val="0"/>
        </w:rPr>
        <w:t>算情况说明</w:t>
      </w:r>
      <w:bookmarkEnd w:id="28"/>
      <w:bookmarkEnd w:id="29"/>
    </w:p>
    <w:p>
      <w:pPr>
        <w:pStyle w:val="13"/>
        <w:widowControl/>
        <w:spacing w:beforeAutospacing="0" w:afterAutospacing="0" w:line="576" w:lineRule="exact"/>
        <w:ind w:right="75" w:firstLine="640" w:firstLineChars="200"/>
        <w:rPr>
          <w:rFonts w:ascii="仿宋_GB2312" w:hAnsi="仿宋" w:eastAsia="仿宋_GB2312" w:cstheme="minorBidi"/>
          <w:kern w:val="2"/>
          <w:sz w:val="32"/>
          <w:szCs w:val="32"/>
        </w:rPr>
      </w:pPr>
      <w:bookmarkStart w:id="30" w:name="_Toc15377208"/>
      <w:bookmarkStart w:id="31" w:name="_Toc15396606"/>
      <w:r>
        <w:rPr>
          <w:rFonts w:ascii="仿宋_GB2312" w:hAnsi="仿宋" w:eastAsia="仿宋_GB2312" w:cstheme="minorBidi"/>
          <w:kern w:val="2"/>
          <w:sz w:val="32"/>
          <w:szCs w:val="32"/>
        </w:rPr>
        <w:t>本单位本年度财政拨款支出为850.80万元，其中：基本支出中人员经费支出为368.33万元，公用经费支出为22.14万元。项目支出中基本建设类项目支出为270.39万元</w:t>
      </w:r>
      <w:r>
        <w:rPr>
          <w:rFonts w:hint="eastAsia" w:ascii="仿宋_GB2312" w:hAnsi="仿宋" w:eastAsia="仿宋_GB2312" w:cstheme="minorBidi"/>
          <w:kern w:val="2"/>
          <w:sz w:val="32"/>
          <w:szCs w:val="32"/>
        </w:rPr>
        <w:t>。其他支出189.94元。</w:t>
      </w:r>
    </w:p>
    <w:p>
      <w:pPr>
        <w:pStyle w:val="13"/>
        <w:widowControl/>
        <w:spacing w:beforeAutospacing="0" w:afterAutospacing="0" w:line="576" w:lineRule="exact"/>
        <w:ind w:right="75" w:firstLine="480" w:firstLineChars="200"/>
        <w:rPr>
          <w:rFonts w:ascii="仿宋_GB2312" w:hAnsi="仿宋" w:eastAsia="仿宋_GB2312" w:cstheme="minorBidi"/>
          <w:kern w:val="2"/>
          <w:sz w:val="32"/>
          <w:szCs w:val="32"/>
        </w:rPr>
      </w:pPr>
      <w:r>
        <w:drawing>
          <wp:anchor distT="0" distB="0" distL="114300" distR="114300" simplePos="0" relativeHeight="251661312" behindDoc="1" locked="0" layoutInCell="1" allowOverlap="1">
            <wp:simplePos x="0" y="0"/>
            <wp:positionH relativeFrom="column">
              <wp:posOffset>266065</wp:posOffset>
            </wp:positionH>
            <wp:positionV relativeFrom="paragraph">
              <wp:posOffset>221615</wp:posOffset>
            </wp:positionV>
            <wp:extent cx="4248785" cy="2267585"/>
            <wp:effectExtent l="4445" t="5080" r="13970" b="1333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四、财</w:t>
      </w:r>
      <w:r>
        <w:rPr>
          <w:rStyle w:val="19"/>
          <w:rFonts w:hint="eastAsia" w:ascii="黑体" w:eastAsia="黑体"/>
          <w:b w:val="0"/>
        </w:rPr>
        <w:t>政拨款收入支出决算总体情况说明</w:t>
      </w:r>
      <w:bookmarkEnd w:id="30"/>
      <w:bookmarkEnd w:id="31"/>
    </w:p>
    <w:p>
      <w:pPr>
        <w:pStyle w:val="13"/>
        <w:widowControl/>
        <w:ind w:right="75" w:firstLine="480" w:firstLineChars="200"/>
        <w:rPr>
          <w:rFonts w:ascii="仿宋_GB2312" w:hAnsi="仿宋" w:eastAsia="仿宋_GB2312" w:cstheme="minorBidi"/>
          <w:kern w:val="2"/>
          <w:sz w:val="32"/>
          <w:szCs w:val="32"/>
        </w:rPr>
      </w:pPr>
      <w:r>
        <w:drawing>
          <wp:anchor distT="0" distB="0" distL="114300" distR="114300" simplePos="0" relativeHeight="251661312" behindDoc="1" locked="0" layoutInCell="1" allowOverlap="1">
            <wp:simplePos x="0" y="0"/>
            <wp:positionH relativeFrom="column">
              <wp:posOffset>661670</wp:posOffset>
            </wp:positionH>
            <wp:positionV relativeFrom="paragraph">
              <wp:posOffset>2057400</wp:posOffset>
            </wp:positionV>
            <wp:extent cx="4208780" cy="2726690"/>
            <wp:effectExtent l="4445" t="4445" r="15875" b="12065"/>
            <wp:wrapNone/>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 w:eastAsia="仿宋_GB2312" w:cstheme="minorBidi"/>
          <w:kern w:val="2"/>
          <w:sz w:val="32"/>
          <w:szCs w:val="32"/>
        </w:rPr>
        <w:t>当年收入支出预算执行基本情况，与上年度对比情况，包括增减绝对值与幅度，增减变动主要原因。2020年总收入760.41万元，总支出850.8万元</w:t>
      </w:r>
      <w:r>
        <w:rPr>
          <w:rFonts w:hint="eastAsia" w:ascii="仿宋_GB2312" w:hAnsi="仿宋" w:eastAsia="仿宋_GB2312" w:cstheme="minorBidi"/>
          <w:kern w:val="2"/>
          <w:sz w:val="32"/>
          <w:szCs w:val="32"/>
          <w:lang w:eastAsia="zh-CN"/>
        </w:rPr>
        <w:t>，</w:t>
      </w:r>
      <w:r>
        <w:rPr>
          <w:rFonts w:hint="eastAsia" w:ascii="仿宋_GB2312" w:hAnsi="仿宋" w:eastAsia="仿宋_GB2312" w:cstheme="minorBidi"/>
          <w:kern w:val="2"/>
          <w:sz w:val="32"/>
          <w:szCs w:val="32"/>
        </w:rPr>
        <w:t>2019年总收入637.14万元，总支出800.1万元与上年度对比，工资规范人员及公务经费增加。</w:t>
      </w:r>
    </w:p>
    <w:p>
      <w:pPr>
        <w:spacing w:line="600" w:lineRule="exact"/>
        <w:ind w:firstLine="640" w:firstLineChars="200"/>
        <w:rPr>
          <w:rFonts w:hint="eastAsia" w:ascii="黑体" w:eastAsia="黑体"/>
          <w:color w:val="000000"/>
          <w:sz w:val="32"/>
          <w:szCs w:val="32"/>
        </w:rPr>
      </w:pPr>
      <w:bookmarkStart w:id="32" w:name="_Toc15396607"/>
      <w:bookmarkStart w:id="33" w:name="_Toc15377209"/>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Style w:val="19"/>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pStyle w:val="13"/>
        <w:widowControl/>
        <w:ind w:right="75" w:firstLine="640" w:firstLineChars="200"/>
        <w:rPr>
          <w:rFonts w:ascii="仿宋_GB2312" w:hAnsi="仿宋" w:eastAsia="仿宋_GB2312" w:cstheme="minorBidi"/>
          <w:kern w:val="2"/>
          <w:sz w:val="32"/>
          <w:szCs w:val="32"/>
        </w:rPr>
      </w:pPr>
      <w:r>
        <w:rPr>
          <w:rFonts w:ascii="仿宋_GB2312" w:hAnsi="仿宋" w:eastAsia="仿宋_GB2312" w:cstheme="minorBidi"/>
          <w:kern w:val="2"/>
          <w:sz w:val="32"/>
          <w:szCs w:val="32"/>
        </w:rPr>
        <w:t>本年度一般公共服务支出相比上年度减少97.59万元，主要原因</w:t>
      </w:r>
      <w:r>
        <w:rPr>
          <w:rFonts w:hint="eastAsia" w:ascii="仿宋_GB2312" w:hAnsi="仿宋" w:eastAsia="仿宋_GB2312" w:cstheme="minorBidi"/>
          <w:kern w:val="2"/>
          <w:sz w:val="32"/>
          <w:szCs w:val="32"/>
        </w:rPr>
        <w:t>：</w:t>
      </w:r>
      <w:r>
        <w:rPr>
          <w:rFonts w:ascii="仿宋_GB2312" w:hAnsi="仿宋" w:eastAsia="仿宋_GB2312" w:cstheme="minorBidi"/>
          <w:kern w:val="2"/>
          <w:sz w:val="32"/>
          <w:szCs w:val="32"/>
        </w:rPr>
        <w:t>为</w:t>
      </w:r>
      <w:r>
        <w:rPr>
          <w:rFonts w:hint="eastAsia" w:ascii="仿宋_GB2312" w:hAnsi="仿宋" w:eastAsia="仿宋_GB2312" w:cstheme="minorBidi"/>
          <w:kern w:val="2"/>
          <w:sz w:val="32"/>
          <w:szCs w:val="32"/>
        </w:rPr>
        <w:t>项目减少</w:t>
      </w:r>
      <w:r>
        <w:rPr>
          <w:rFonts w:ascii="仿宋_GB2312" w:hAnsi="仿宋" w:eastAsia="仿宋_GB2312" w:cstheme="minorBidi"/>
          <w:kern w:val="2"/>
          <w:sz w:val="32"/>
          <w:szCs w:val="32"/>
        </w:rPr>
        <w:t>，外交支出相比上年度减少0.00万元；国防支出相比上年度减少0.00万元；公共安全支出相比上年度减少0.00万元；教育支出相比上年度减少0.00万元；科学技术支出相比上年度减少0.00万元；文化旅游体育与传媒支出相比上年度减少0.00万元；社会保障和就业支出相比上年度减少101.45万元，主要原因为</w:t>
      </w:r>
      <w:r>
        <w:rPr>
          <w:rFonts w:hint="eastAsia" w:ascii="仿宋_GB2312" w:hAnsi="仿宋" w:eastAsia="仿宋_GB2312" w:cstheme="minorBidi"/>
          <w:kern w:val="2"/>
          <w:sz w:val="32"/>
          <w:szCs w:val="32"/>
        </w:rPr>
        <w:t>保险基数调整</w:t>
      </w:r>
      <w:r>
        <w:rPr>
          <w:rFonts w:ascii="仿宋_GB2312" w:hAnsi="仿宋" w:eastAsia="仿宋_GB2312" w:cstheme="minorBidi"/>
          <w:kern w:val="2"/>
          <w:sz w:val="32"/>
          <w:szCs w:val="32"/>
        </w:rPr>
        <w:t>；卫生健康支出相比上年度减少8.12万元，主要原因为</w:t>
      </w:r>
      <w:r>
        <w:rPr>
          <w:rFonts w:hint="eastAsia" w:ascii="仿宋_GB2312" w:hAnsi="仿宋" w:eastAsia="仿宋_GB2312" w:cstheme="minorBidi"/>
          <w:kern w:val="2"/>
          <w:sz w:val="32"/>
          <w:szCs w:val="32"/>
        </w:rPr>
        <w:t>险基数调整</w:t>
      </w:r>
      <w:r>
        <w:rPr>
          <w:rFonts w:ascii="仿宋_GB2312" w:hAnsi="仿宋" w:eastAsia="仿宋_GB2312" w:cstheme="minorBidi"/>
          <w:kern w:val="2"/>
          <w:sz w:val="32"/>
          <w:szCs w:val="32"/>
        </w:rPr>
        <w:t>；节能环保支出相比上年度减少0.00万元；城乡社区支出相比上年度减少0.00万元；农林水支出相比上年度减少-6.41万元，主要原因为</w:t>
      </w:r>
      <w:r>
        <w:rPr>
          <w:rFonts w:hint="eastAsia" w:ascii="仿宋_GB2312" w:hAnsi="仿宋" w:eastAsia="仿宋_GB2312" w:cstheme="minorBidi"/>
          <w:kern w:val="2"/>
          <w:sz w:val="32"/>
          <w:szCs w:val="32"/>
        </w:rPr>
        <w:t>险基数调整</w:t>
      </w:r>
      <w:r>
        <w:rPr>
          <w:rFonts w:ascii="仿宋_GB2312" w:hAnsi="仿宋" w:eastAsia="仿宋_GB2312" w:cstheme="minorBidi"/>
          <w:kern w:val="2"/>
          <w:sz w:val="32"/>
          <w:szCs w:val="32"/>
        </w:rPr>
        <w:t>；交通运输支出相比上年度减少0.00万元；资源勘探工业信息等支出相比上年度减少0.00万元；商业服务业等支出相比上年度减少0.00万元；金融支出相比上年度减少0.00万元；援助其他地区支出相比上年度减少0.00万元；自然资源海洋气象等支出相比上年度减少0.00万元；住房保障支出相比上年度减少2.82万元，主要原因为</w:t>
      </w:r>
      <w:r>
        <w:rPr>
          <w:rFonts w:hint="eastAsia" w:ascii="仿宋_GB2312" w:hAnsi="仿宋" w:eastAsia="仿宋_GB2312" w:cstheme="minorBidi"/>
          <w:kern w:val="2"/>
          <w:sz w:val="32"/>
          <w:szCs w:val="32"/>
        </w:rPr>
        <w:t>人员减少</w:t>
      </w:r>
      <w:r>
        <w:rPr>
          <w:rFonts w:ascii="仿宋_GB2312" w:hAnsi="仿宋" w:eastAsia="仿宋_GB2312" w:cstheme="minorBidi"/>
          <w:kern w:val="2"/>
          <w:sz w:val="32"/>
          <w:szCs w:val="32"/>
        </w:rPr>
        <w:t>；粮油物资储备支出相比上年度减少0.00万元；国有资本经营预算支出相比上年度减少0.00万元；灾害防治及应急管理支出相比上年度减少0.00万元；其他支出相比上年度减少-152.87万元，主要原因为</w:t>
      </w:r>
      <w:r>
        <w:rPr>
          <w:rFonts w:hint="eastAsia" w:ascii="仿宋_GB2312" w:hAnsi="仿宋" w:eastAsia="仿宋_GB2312" w:cstheme="minorBidi"/>
          <w:kern w:val="2"/>
          <w:sz w:val="32"/>
          <w:szCs w:val="32"/>
        </w:rPr>
        <w:t>去年6.27洪灾严重，今年地质灾害减少</w:t>
      </w:r>
      <w:r>
        <w:rPr>
          <w:rFonts w:ascii="仿宋_GB2312" w:hAnsi="仿宋" w:eastAsia="仿宋_GB2312" w:cstheme="minorBidi"/>
          <w:kern w:val="2"/>
          <w:sz w:val="32"/>
          <w:szCs w:val="32"/>
        </w:rPr>
        <w:t>；债务还本支出相比上年度减少0.00万元债务付息支出相比上年度减少0.00万元；抗疫特别国债安排的支出相比上年度减少0.00万元。</w:t>
      </w:r>
    </w:p>
    <w:p>
      <w:pPr>
        <w:snapToGrid w:val="0"/>
        <w:spacing w:line="520" w:lineRule="exact"/>
        <w:ind w:firstLine="643" w:firstLineChars="200"/>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hint="eastAsia" w:ascii="仿宋" w:eastAsia="仿宋"/>
          <w:color w:val="000000"/>
          <w:sz w:val="32"/>
          <w:szCs w:val="32"/>
        </w:rPr>
        <w:t>2020年一般公共预算财政拨款支出850.80万元，主要用于以下方面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支出343.77万元，占41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支出142.28万元，占17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25.05万元，占3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hint="eastAsia" w:ascii="仿宋" w:eastAsia="仿宋"/>
          <w:color w:val="000000"/>
          <w:sz w:val="32"/>
          <w:szCs w:val="32"/>
        </w:rPr>
        <w:t>216.61万元，占26%；</w:t>
      </w:r>
      <w:r>
        <w:rPr>
          <w:rFonts w:hint="eastAsia" w:ascii="仿宋" w:eastAsia="仿宋"/>
          <w:b/>
          <w:bCs/>
          <w:color w:val="000000"/>
          <w:sz w:val="32"/>
          <w:szCs w:val="32"/>
        </w:rPr>
        <w:t>住房保障支出</w:t>
      </w:r>
      <w:r>
        <w:rPr>
          <w:rFonts w:hint="eastAsia" w:ascii="仿宋" w:eastAsia="仿宋"/>
          <w:color w:val="000000"/>
          <w:sz w:val="32"/>
          <w:szCs w:val="32"/>
        </w:rPr>
        <w:t>30.93万元，占4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其他支出</w:t>
      </w:r>
      <w:r>
        <w:rPr>
          <w:rFonts w:hint="eastAsia" w:ascii="仿宋" w:eastAsia="仿宋"/>
          <w:color w:val="000000"/>
          <w:sz w:val="32"/>
          <w:szCs w:val="32"/>
        </w:rPr>
        <w:t>92.16万元，占9%。</w:t>
      </w:r>
    </w:p>
    <w:p>
      <w:pPr>
        <w:spacing w:line="600" w:lineRule="exact"/>
        <w:outlineLvl w:val="2"/>
        <w:rPr>
          <w:rFonts w:ascii="仿宋" w:eastAsia="仿宋"/>
          <w:b/>
          <w:color w:val="000000"/>
          <w:sz w:val="32"/>
          <w:szCs w:val="32"/>
        </w:rPr>
      </w:pPr>
      <w:bookmarkStart w:id="36" w:name="_Toc15377213"/>
      <w:bookmarkStart w:id="37" w:name="_Toc15377444"/>
      <w:bookmarkStart w:id="38" w:name="_Toc15378460"/>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-19685</wp:posOffset>
            </wp:positionH>
            <wp:positionV relativeFrom="paragraph">
              <wp:posOffset>180975</wp:posOffset>
            </wp:positionV>
            <wp:extent cx="5080000" cy="3810000"/>
            <wp:effectExtent l="4445" t="4445" r="20955"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2020年一般公共预算数为760.41万元，支出决算数为850.8万元，完</w:t>
      </w:r>
      <w:r>
        <w:rPr>
          <w:rStyle w:val="16"/>
          <w:rFonts w:hint="eastAsia" w:ascii="仿宋" w:eastAsia="仿宋"/>
          <w:b w:val="0"/>
          <w:bCs/>
          <w:color w:val="000000"/>
          <w:sz w:val="32"/>
          <w:szCs w:val="32"/>
        </w:rPr>
        <w:t>成预算112</w:t>
      </w:r>
      <w:r>
        <w:rPr>
          <w:rStyle w:val="16"/>
          <w:rFonts w:ascii="仿宋" w:eastAsia="仿宋"/>
          <w:b w:val="0"/>
          <w:bCs/>
          <w:color w:val="000000"/>
          <w:sz w:val="32"/>
          <w:szCs w:val="32"/>
        </w:rPr>
        <w:t>%</w:t>
      </w:r>
      <w:r>
        <w:rPr>
          <w:rStyle w:val="16"/>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1.一般公共服务（类）政府办公厅（室）及相关机构事务（款）行政运行（项）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支出决算为207.61万元，完成预算100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一般公共服务（类）政府办公厅（室）及相关机构事务（款）一般行政管理事务（项）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支出决算为41.51万元，完成预算100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ind w:left="0" w:leftChars="0" w:firstLine="643" w:firstLineChars="200"/>
        <w:jc w:val="left"/>
        <w:rPr>
          <w:rStyle w:val="16"/>
          <w:rFonts w:ascii="仿宋" w:eastAsia="仿宋"/>
          <w:b w:val="0"/>
          <w:bCs/>
          <w:color w:val="000000"/>
          <w:sz w:val="32"/>
          <w:szCs w:val="32"/>
        </w:rPr>
      </w:pPr>
      <w:r>
        <w:rPr>
          <w:rStyle w:val="16"/>
          <w:rFonts w:hint="eastAsia" w:ascii="仿宋" w:eastAsia="仿宋"/>
          <w:bCs/>
          <w:color w:val="000000"/>
          <w:sz w:val="32"/>
          <w:szCs w:val="32"/>
        </w:rPr>
        <w:t>3.一般公共服务（类）人大事务（款）行政运行（项）：</w:t>
      </w:r>
      <w:r>
        <w:rPr>
          <w:rStyle w:val="16"/>
          <w:rFonts w:hint="eastAsia" w:ascii="仿宋" w:eastAsia="仿宋"/>
          <w:b w:val="0"/>
          <w:bCs/>
          <w:color w:val="000000"/>
          <w:sz w:val="32"/>
          <w:szCs w:val="32"/>
        </w:rPr>
        <w:t>支出决算数为11.51万元，完成预算数100%。</w:t>
      </w:r>
    </w:p>
    <w:p>
      <w:pPr>
        <w:ind w:left="0" w:leftChars="0" w:firstLine="640" w:firstLineChars="200"/>
        <w:jc w:val="left"/>
        <w:rPr>
          <w:rStyle w:val="16"/>
          <w:rFonts w:ascii="仿宋" w:eastAsia="仿宋"/>
          <w:b w:val="0"/>
          <w:bCs/>
          <w:color w:val="000000"/>
          <w:sz w:val="32"/>
          <w:szCs w:val="32"/>
        </w:rPr>
      </w:pPr>
      <w:r>
        <w:rPr>
          <w:rStyle w:val="16"/>
          <w:rFonts w:hint="eastAsia" w:ascii="仿宋" w:eastAsia="仿宋"/>
          <w:b w:val="0"/>
          <w:bCs/>
          <w:color w:val="000000"/>
          <w:sz w:val="32"/>
          <w:szCs w:val="32"/>
        </w:rPr>
        <w:t>4.</w:t>
      </w:r>
      <w:r>
        <w:rPr>
          <w:rStyle w:val="16"/>
          <w:rFonts w:hint="eastAsia" w:ascii="仿宋" w:eastAsia="仿宋"/>
          <w:bCs/>
          <w:color w:val="000000"/>
          <w:sz w:val="32"/>
          <w:szCs w:val="32"/>
        </w:rPr>
        <w:t>一般公共服务（类）人大事务（款）人大会议（项）：</w:t>
      </w:r>
      <w:r>
        <w:rPr>
          <w:rStyle w:val="16"/>
          <w:rFonts w:hint="eastAsia" w:ascii="仿宋" w:eastAsia="仿宋"/>
          <w:b w:val="0"/>
          <w:bCs/>
          <w:color w:val="000000"/>
          <w:sz w:val="32"/>
          <w:szCs w:val="32"/>
        </w:rPr>
        <w:t>支出决算数为0.6万元，完成预算数100%。</w:t>
      </w:r>
    </w:p>
    <w:p>
      <w:pPr>
        <w:ind w:firstLine="643" w:firstLineChars="200"/>
      </w:pPr>
      <w:r>
        <w:rPr>
          <w:rStyle w:val="16"/>
          <w:rFonts w:hint="eastAsia" w:ascii="仿宋" w:eastAsia="仿宋"/>
          <w:bCs/>
          <w:color w:val="000000"/>
          <w:sz w:val="32"/>
          <w:szCs w:val="32"/>
        </w:rPr>
        <w:t>5.一般公共服务（类）人大事务（款）代表工作（项）：</w:t>
      </w:r>
      <w:r>
        <w:rPr>
          <w:rStyle w:val="16"/>
          <w:rFonts w:hint="eastAsia" w:ascii="仿宋" w:eastAsia="仿宋"/>
          <w:b w:val="0"/>
          <w:bCs/>
          <w:color w:val="000000"/>
          <w:sz w:val="32"/>
          <w:szCs w:val="32"/>
        </w:rPr>
        <w:t>支出决算数为2万元，完成预算数100%。</w:t>
      </w:r>
    </w:p>
    <w:p>
      <w:pPr>
        <w:ind w:left="0" w:leftChars="0" w:firstLine="643" w:firstLineChars="200"/>
        <w:jc w:val="left"/>
        <w:rPr>
          <w:rStyle w:val="16"/>
          <w:rFonts w:ascii="仿宋" w:eastAsia="仿宋"/>
          <w:b w:val="0"/>
          <w:bCs/>
          <w:color w:val="000000"/>
          <w:sz w:val="32"/>
          <w:szCs w:val="32"/>
        </w:rPr>
      </w:pPr>
      <w:r>
        <w:rPr>
          <w:rStyle w:val="16"/>
          <w:rFonts w:hint="eastAsia" w:ascii="仿宋" w:eastAsia="仿宋"/>
          <w:bCs/>
          <w:color w:val="000000"/>
          <w:sz w:val="32"/>
          <w:szCs w:val="32"/>
        </w:rPr>
        <w:t>6.一般公共服务（类）财政事务（款）行政运行（项）：</w:t>
      </w:r>
      <w:r>
        <w:rPr>
          <w:rStyle w:val="16"/>
          <w:rFonts w:hint="eastAsia" w:ascii="仿宋" w:eastAsia="仿宋"/>
          <w:b w:val="0"/>
          <w:bCs/>
          <w:color w:val="000000"/>
          <w:sz w:val="32"/>
          <w:szCs w:val="32"/>
        </w:rPr>
        <w:t>支出决算数为8.56万元，完成预算数100%。</w:t>
      </w:r>
    </w:p>
    <w:p>
      <w:pPr>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7.一般公共服务（类）党委办公厅（室）及相关机构事务（款）行政运行（项）：</w:t>
      </w:r>
      <w:r>
        <w:rPr>
          <w:rStyle w:val="16"/>
          <w:rFonts w:hint="eastAsia" w:ascii="仿宋" w:eastAsia="仿宋"/>
          <w:b w:val="0"/>
          <w:bCs/>
          <w:color w:val="000000"/>
          <w:sz w:val="32"/>
          <w:szCs w:val="32"/>
        </w:rPr>
        <w:t>支出决算数为21.9万元，完成预算数100%。</w:t>
      </w:r>
    </w:p>
    <w:p>
      <w:pPr>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8.一般公共服务（类）其他一般公共服务支出（款）其他一般公共服务支出（项）：</w:t>
      </w:r>
      <w:r>
        <w:rPr>
          <w:rStyle w:val="16"/>
          <w:rFonts w:hint="eastAsia" w:ascii="仿宋" w:eastAsia="仿宋"/>
          <w:b w:val="0"/>
          <w:bCs/>
          <w:color w:val="000000"/>
          <w:sz w:val="32"/>
          <w:szCs w:val="32"/>
        </w:rPr>
        <w:t>支出决算数为50.09万元，完成预算数167%。</w:t>
      </w:r>
    </w:p>
    <w:p>
      <w:pPr>
        <w:ind w:left="0" w:leftChars="0" w:firstLine="643" w:firstLineChars="200"/>
      </w:pPr>
      <w:r>
        <w:rPr>
          <w:rStyle w:val="16"/>
          <w:rFonts w:hint="eastAsia" w:ascii="仿宋" w:eastAsia="仿宋"/>
          <w:bCs/>
          <w:color w:val="000000"/>
          <w:sz w:val="32"/>
          <w:szCs w:val="32"/>
        </w:rPr>
        <w:t>9</w:t>
      </w:r>
      <w:r>
        <w:rPr>
          <w:rStyle w:val="16"/>
          <w:rFonts w:ascii="仿宋" w:eastAsia="仿宋"/>
          <w:bCs/>
          <w:color w:val="000000"/>
          <w:sz w:val="32"/>
          <w:szCs w:val="32"/>
        </w:rPr>
        <w:t>.</w:t>
      </w:r>
      <w:r>
        <w:rPr>
          <w:rStyle w:val="16"/>
          <w:rFonts w:hint="eastAsia" w:ascii="仿宋" w:eastAsia="仿宋"/>
          <w:bCs/>
          <w:color w:val="000000"/>
          <w:sz w:val="32"/>
          <w:szCs w:val="32"/>
        </w:rPr>
        <w:t>社会保障和就业（类）民政管理事务（款） 基层政权建设和社区治理（项）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支出决算为100万元，完成预算100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pPr>
      <w:r>
        <w:rPr>
          <w:rStyle w:val="16"/>
          <w:rFonts w:hint="eastAsia" w:ascii="仿宋" w:eastAsia="仿宋"/>
          <w:bCs/>
          <w:color w:val="000000"/>
          <w:sz w:val="32"/>
          <w:szCs w:val="32"/>
        </w:rPr>
        <w:t>10</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社会保障和就业（类）行政事业单位离退休（款）机关事业单位基本养老保险缴费支出（项）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支出决算为28.19万元，完成预算100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11</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社会保障和就业（类）行政事业单位离退休（款）机关事业单位基本职业年金缴费支出（项）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支出决算为14.09万元，完成预算100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12.卫生健康支出（类）公共卫生（款） 突发公共卫生事件应急处理（项）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支出决算为6.46万元，完成预算100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13.卫生健康支出（类）行政事业单位医疗（款）行政单位医疗（项）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支出决算为14.25万元，完成预算100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14.卫生健康支出（类）行政事业单位医疗（款）公务员医疗补助（项）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支出决算为4.34万元，完成预算100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15.农林水支出（类）农业农村（款）事业运行（项）：</w:t>
      </w:r>
      <w:r>
        <w:rPr>
          <w:rStyle w:val="16"/>
          <w:rFonts w:hint="eastAsia" w:ascii="仿宋" w:eastAsia="仿宋"/>
          <w:b w:val="0"/>
          <w:bCs/>
          <w:color w:val="000000"/>
          <w:sz w:val="32"/>
          <w:szCs w:val="32"/>
        </w:rPr>
        <w:t>支出决算为49.09万元，完成预算100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Cs/>
          <w:color w:val="000000"/>
          <w:sz w:val="32"/>
          <w:szCs w:val="32"/>
        </w:rPr>
      </w:pPr>
      <w:r>
        <w:rPr>
          <w:rStyle w:val="16"/>
          <w:rFonts w:hint="eastAsia" w:ascii="仿宋" w:eastAsia="仿宋"/>
          <w:bCs/>
          <w:color w:val="000000"/>
          <w:sz w:val="32"/>
          <w:szCs w:val="32"/>
        </w:rPr>
        <w:t>16.农林水支出（类）农村综合改革（款） 对村民委员会和村党支部的补助（项）：</w:t>
      </w:r>
      <w:r>
        <w:rPr>
          <w:rStyle w:val="16"/>
          <w:rFonts w:hint="eastAsia" w:ascii="仿宋" w:eastAsia="仿宋"/>
          <w:b w:val="0"/>
          <w:bCs/>
          <w:color w:val="000000"/>
          <w:sz w:val="32"/>
          <w:szCs w:val="32"/>
        </w:rPr>
        <w:t>支出决算为167.52万元，完成预算100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，决算数等于预算数。x</w:t>
      </w:r>
    </w:p>
    <w:p>
      <w:pPr>
        <w:numPr>
          <w:ilvl w:val="0"/>
          <w:numId w:val="2"/>
        </w:numPr>
        <w:spacing w:line="600" w:lineRule="exact"/>
        <w:ind w:firstLine="643" w:firstLineChars="200"/>
        <w:rPr>
          <w:rStyle w:val="16"/>
          <w:rFonts w:ascii="仿宋" w:eastAsia="仿宋"/>
          <w:b w:val="0"/>
          <w:bCs/>
          <w:color w:val="000000"/>
          <w:sz w:val="32"/>
          <w:szCs w:val="32"/>
        </w:rPr>
      </w:pPr>
      <w:bookmarkStart w:id="40" w:name="_Toc15377214"/>
      <w:bookmarkStart w:id="41" w:name="_Toc15396608"/>
      <w:r>
        <w:rPr>
          <w:rStyle w:val="16"/>
          <w:rFonts w:hint="eastAsia" w:ascii="仿宋" w:eastAsia="仿宋"/>
          <w:bCs/>
          <w:color w:val="000000"/>
          <w:sz w:val="32"/>
          <w:szCs w:val="32"/>
        </w:rPr>
        <w:t>住房保障（类）住房改革支出（款）住房公积金（项）：</w:t>
      </w:r>
      <w:r>
        <w:rPr>
          <w:rStyle w:val="16"/>
          <w:rFonts w:hint="eastAsia" w:ascii="仿宋" w:eastAsia="仿宋"/>
          <w:b w:val="0"/>
          <w:bCs/>
          <w:color w:val="000000"/>
          <w:sz w:val="32"/>
          <w:szCs w:val="32"/>
        </w:rPr>
        <w:t>支出决算为30.93万元，完成预算100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ind w:left="0" w:leftChars="0" w:firstLine="643" w:firstLineChars="200"/>
      </w:pPr>
      <w:r>
        <w:rPr>
          <w:rStyle w:val="16"/>
          <w:rFonts w:hint="eastAsia" w:ascii="仿宋" w:eastAsia="仿宋"/>
          <w:bCs/>
          <w:color w:val="000000"/>
          <w:sz w:val="32"/>
          <w:szCs w:val="32"/>
        </w:rPr>
        <w:t>18.其他支出（类）其他支出（款）其他支出（项）：</w:t>
      </w:r>
      <w:r>
        <w:rPr>
          <w:rStyle w:val="16"/>
          <w:rFonts w:hint="eastAsia" w:ascii="仿宋" w:eastAsia="仿宋"/>
          <w:b w:val="0"/>
          <w:bCs/>
          <w:color w:val="000000"/>
          <w:sz w:val="32"/>
          <w:szCs w:val="32"/>
        </w:rPr>
        <w:t>支出决算为92.16万元，项目支出结转和结余60万元。</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0"/>
      <w:bookmarkEnd w:id="41"/>
      <w:r>
        <w:rPr>
          <w:rStyle w:val="1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9年一般公共预算财政拨款基本支出390.47万元，其中：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368.33万元，主要包括：基本工资73.16万元、津贴补贴116.18万元、奖金6.25万元、绩效工资18.14万元、机关事业单位基本养老保险缴费28.19万元、职业年金缴费14.09万元、职工基本医疗保险缴费14.25万元、公务员医疗补助缴费4.34万元、其他社会保障缴费2.48万元、生活补助0.35万元、奖励金59.97万元、住房公积金30.93万元等。</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公用经费22.14万元，主要包括：办公费5.1万元、印刷费1.9万元、电费1.15万元、邮电费1万元、差旅费2.99万元、取暖费0.5万元、劳务费3万元、公务用车运行维护费3.8万元、其他交通费2.7万元等。</w:t>
      </w:r>
    </w:p>
    <w:p>
      <w:pPr>
        <w:spacing w:line="600" w:lineRule="exact"/>
        <w:ind w:firstLine="640" w:firstLineChars="200"/>
        <w:outlineLvl w:val="1"/>
        <w:rPr>
          <w:rStyle w:val="19"/>
          <w:rFonts w:ascii="黑体" w:eastAsia="黑体"/>
          <w:b w:val="0"/>
        </w:rPr>
      </w:pPr>
      <w:bookmarkStart w:id="42" w:name="_Toc15396609"/>
      <w:bookmarkStart w:id="43" w:name="_Toc15377215"/>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hint="eastAsia" w:ascii="仿宋" w:eastAsia="仿宋"/>
          <w:color w:val="000000"/>
          <w:sz w:val="32"/>
          <w:szCs w:val="32"/>
        </w:rPr>
        <w:t>2020年“三公”经费财政拨款支出决算为3.8万元，完成预算100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pStyle w:val="13"/>
        <w:widowControl/>
        <w:ind w:right="75" w:firstLine="640" w:firstLineChars="200"/>
        <w:rPr>
          <w:rFonts w:hint="eastAsia" w:ascii="仿宋_GB2312" w:hAnsi="仿宋" w:eastAsia="仿宋_GB2312" w:cstheme="minorBidi"/>
          <w:kern w:val="2"/>
          <w:sz w:val="32"/>
          <w:szCs w:val="32"/>
        </w:rPr>
      </w:pPr>
      <w:bookmarkStart w:id="46" w:name="_Toc15377218"/>
      <w:bookmarkStart w:id="47" w:name="_Toc15396610"/>
      <w:r>
        <w:rPr>
          <w:rFonts w:ascii="仿宋_GB2312" w:hAnsi="仿宋" w:eastAsia="仿宋_GB2312" w:cstheme="minorBidi"/>
          <w:kern w:val="2"/>
          <w:sz w:val="32"/>
          <w:szCs w:val="32"/>
        </w:rPr>
        <w:t>（1）“三公”经费支出情况：本单位本年度“三公”经费支出决算数为3.80万元。其中:因公出国（</w:t>
      </w:r>
    </w:p>
    <w:p>
      <w:pPr>
        <w:pStyle w:val="13"/>
        <w:widowControl/>
        <w:ind w:right="75" w:firstLine="640" w:firstLineChars="200"/>
        <w:rPr>
          <w:rFonts w:ascii="仿宋_GB2312" w:hAnsi="仿宋" w:eastAsia="仿宋_GB2312" w:cstheme="minorBidi"/>
          <w:kern w:val="2"/>
          <w:sz w:val="32"/>
          <w:szCs w:val="32"/>
        </w:rPr>
      </w:pPr>
      <w:r>
        <w:rPr>
          <w:rFonts w:hint="eastAsia" w:ascii="仿宋_GB2312" w:hAnsi="仿宋" w:eastAsia="仿宋_GB2312" w:cstheme="minorBidi"/>
          <w:kern w:val="2"/>
          <w:sz w:val="32"/>
          <w:szCs w:val="32"/>
        </w:rPr>
        <w:t>.</w:t>
      </w:r>
      <w:r>
        <w:rPr>
          <w:rFonts w:ascii="仿宋_GB2312" w:hAnsi="仿宋" w:eastAsia="仿宋_GB2312" w:cstheme="minorBidi"/>
          <w:kern w:val="2"/>
          <w:sz w:val="32"/>
          <w:szCs w:val="32"/>
        </w:rPr>
        <w:t>境）费支出决算数为0.00万元，相比上年度减少0.00万元；公务用车购置及运行维护费支出决算数为3.80万元，相比上年度减少-0.20万元，主要原因为</w:t>
      </w:r>
      <w:r>
        <w:rPr>
          <w:rFonts w:hint="eastAsia" w:ascii="仿宋_GB2312" w:hAnsi="仿宋" w:eastAsia="仿宋_GB2312" w:cstheme="minorBidi"/>
          <w:kern w:val="2"/>
          <w:sz w:val="32"/>
          <w:szCs w:val="32"/>
        </w:rPr>
        <w:t>厉行节约、减少支出</w:t>
      </w:r>
      <w:r>
        <w:rPr>
          <w:rFonts w:ascii="仿宋_GB2312" w:hAnsi="仿宋" w:eastAsia="仿宋_GB2312" w:cstheme="minorBidi"/>
          <w:kern w:val="2"/>
          <w:sz w:val="32"/>
          <w:szCs w:val="32"/>
        </w:rPr>
        <w:t>；公务接待费支出决算数为0.00万元，相比上年度减少0.00万元。本年度“三公”经费支出预算数为3.80万元，决算数为3.80万元，预算完成度为100.00%。本年度因公出国（境）费人均支出为0.00万元</w:t>
      </w:r>
      <w:r>
        <w:rPr>
          <w:rFonts w:hint="eastAsia" w:ascii="仿宋_GB2312" w:hAnsi="仿宋" w:eastAsia="仿宋_GB2312" w:cstheme="minorBidi"/>
          <w:kern w:val="2"/>
          <w:sz w:val="32"/>
          <w:szCs w:val="32"/>
        </w:rPr>
        <w:t>，</w:t>
      </w:r>
      <w:r>
        <w:rPr>
          <w:rFonts w:ascii="仿宋_GB2312" w:hAnsi="仿宋" w:eastAsia="仿宋_GB2312" w:cstheme="minorBidi"/>
          <w:kern w:val="2"/>
          <w:sz w:val="32"/>
          <w:szCs w:val="32"/>
        </w:rPr>
        <w:t>公务接待费人均支出为0.00万元。</w:t>
      </w:r>
      <w:r>
        <w:drawing>
          <wp:inline distT="0" distB="0" distL="114300" distR="114300">
            <wp:extent cx="4381500" cy="2743200"/>
            <wp:effectExtent l="4445" t="4445" r="14605" b="14605"/>
            <wp:docPr id="233594"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3"/>
        <w:widowControl/>
        <w:ind w:right="75" w:firstLine="640" w:firstLineChars="200"/>
        <w:rPr>
          <w:rFonts w:ascii="仿宋_GB2312" w:hAnsi="仿宋" w:eastAsia="仿宋_GB2312" w:cstheme="minorBidi"/>
          <w:kern w:val="2"/>
          <w:sz w:val="32"/>
          <w:szCs w:val="32"/>
        </w:rPr>
      </w:pPr>
      <w:r>
        <w:rPr>
          <w:rFonts w:ascii="仿宋_GB2312" w:hAnsi="仿宋" w:eastAsia="仿宋_GB2312" w:cstheme="minorBidi"/>
          <w:kern w:val="2"/>
          <w:sz w:val="32"/>
          <w:szCs w:val="32"/>
        </w:rPr>
        <w:t>（2）会议费支出情况：本单位本年度会议费支出决算数为2.60万元，相比上年度</w:t>
      </w:r>
      <w:r>
        <w:rPr>
          <w:rFonts w:hint="eastAsia" w:ascii="仿宋_GB2312" w:hAnsi="仿宋" w:eastAsia="仿宋_GB2312" w:cstheme="minorBidi"/>
          <w:kern w:val="2"/>
          <w:sz w:val="32"/>
          <w:szCs w:val="32"/>
        </w:rPr>
        <w:t>增加</w:t>
      </w:r>
      <w:r>
        <w:rPr>
          <w:rFonts w:ascii="仿宋_GB2312" w:hAnsi="仿宋" w:eastAsia="仿宋_GB2312" w:cstheme="minorBidi"/>
          <w:kern w:val="2"/>
          <w:sz w:val="32"/>
          <w:szCs w:val="32"/>
        </w:rPr>
        <w:t>0.50万元，</w:t>
      </w:r>
      <w:r>
        <w:rPr>
          <w:rFonts w:hint="eastAsia" w:ascii="仿宋_GB2312" w:hAnsi="仿宋" w:eastAsia="仿宋_GB2312" w:cstheme="minorBidi"/>
          <w:kern w:val="2"/>
          <w:sz w:val="32"/>
          <w:szCs w:val="32"/>
        </w:rPr>
        <w:t>主要原因为任务加重会议增多</w:t>
      </w:r>
      <w:r>
        <w:rPr>
          <w:rFonts w:ascii="仿宋_GB2312" w:hAnsi="仿宋" w:eastAsia="仿宋_GB2312" w:cstheme="minorBidi"/>
          <w:kern w:val="2"/>
          <w:sz w:val="32"/>
          <w:szCs w:val="32"/>
        </w:rPr>
        <w:t>；会议费人均支出为0.11万元。（3）培训费支出情况：本单位本年度培训费支出决算数为0.00万元，相比上年度减少0.00万元</w:t>
      </w:r>
      <w:r>
        <w:rPr>
          <w:rFonts w:hint="eastAsia" w:ascii="仿宋_GB2312" w:hAnsi="仿宋" w:eastAsia="仿宋_GB2312" w:cstheme="minorBidi"/>
          <w:kern w:val="2"/>
          <w:sz w:val="32"/>
          <w:szCs w:val="32"/>
          <w:lang w:eastAsia="zh-CN"/>
        </w:rPr>
        <w:t>.</w:t>
      </w:r>
      <w:r>
        <w:rPr>
          <w:rFonts w:ascii="仿宋_GB2312" w:hAnsi="仿宋" w:eastAsia="仿宋_GB2312" w:cstheme="minorBidi"/>
          <w:kern w:val="2"/>
          <w:sz w:val="32"/>
          <w:szCs w:val="32"/>
        </w:rPr>
        <w:t>培训费人均支出为0.00万元。</w:t>
      </w:r>
    </w:p>
    <w:p>
      <w:pPr>
        <w:pStyle w:val="13"/>
        <w:widowControl/>
        <w:ind w:right="75" w:firstLine="480" w:firstLineChars="200"/>
        <w:rPr>
          <w:rFonts w:ascii="仿宋_GB2312" w:hAnsi="仿宋" w:eastAsia="仿宋_GB2312" w:cstheme="minorBidi"/>
          <w:kern w:val="2"/>
          <w:sz w:val="32"/>
          <w:szCs w:val="32"/>
        </w:rPr>
      </w:pPr>
      <w:r>
        <w:drawing>
          <wp:inline distT="0" distB="0" distL="114300" distR="114300">
            <wp:extent cx="4381500" cy="2743200"/>
            <wp:effectExtent l="4445" t="4445" r="14605" b="14605"/>
            <wp:docPr id="23359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2020年政府性基金预算拨款支出0万元。</w:t>
      </w:r>
    </w:p>
    <w:p>
      <w:pPr>
        <w:numPr>
          <w:ilvl w:val="0"/>
          <w:numId w:val="3"/>
        </w:numPr>
        <w:spacing w:line="600" w:lineRule="exact"/>
        <w:ind w:firstLine="640"/>
        <w:outlineLvl w:val="1"/>
        <w:rPr>
          <w:rStyle w:val="19"/>
          <w:rFonts w:ascii="黑体" w:eastAsia="黑体"/>
          <w:b w:val="0"/>
        </w:rPr>
      </w:pPr>
      <w:bookmarkStart w:id="48" w:name="_Toc15377219"/>
      <w:bookmarkStart w:id="49" w:name="_Toc15396611"/>
      <w:r>
        <w:rPr>
          <w:rStyle w:val="19"/>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2020年国有资本经营预算拨款支出0万元。</w:t>
      </w:r>
    </w:p>
    <w:p>
      <w:pPr>
        <w:pStyle w:val="24"/>
        <w:numPr>
          <w:ilvl w:val="0"/>
          <w:numId w:val="4"/>
        </w:numPr>
        <w:spacing w:line="580" w:lineRule="exact"/>
        <w:ind w:firstLineChars="0"/>
        <w:rPr>
          <w:rStyle w:val="19"/>
          <w:rFonts w:ascii="黑体" w:eastAsia="黑体"/>
          <w:b w:val="0"/>
        </w:rPr>
      </w:pPr>
      <w:r>
        <w:rPr>
          <w:rStyle w:val="19"/>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pStyle w:val="13"/>
        <w:widowControl/>
        <w:ind w:right="75" w:firstLine="640" w:firstLineChars="200"/>
        <w:rPr>
          <w:rFonts w:ascii="仿宋_GB2312" w:hAnsi="仿宋" w:eastAsia="仿宋_GB2312" w:cstheme="minorBidi"/>
          <w:kern w:val="2"/>
          <w:sz w:val="32"/>
          <w:szCs w:val="32"/>
        </w:rPr>
      </w:pPr>
      <w:r>
        <w:rPr>
          <w:rFonts w:ascii="仿宋_GB2312" w:hAnsi="仿宋" w:eastAsia="仿宋_GB2312" w:cstheme="minorBidi"/>
          <w:kern w:val="2"/>
          <w:sz w:val="32"/>
          <w:szCs w:val="32"/>
        </w:rPr>
        <w:t>1.概述项目绩效目标完成情况。</w:t>
      </w:r>
    </w:p>
    <w:p>
      <w:pPr>
        <w:spacing w:line="600" w:lineRule="atLeast"/>
        <w:ind w:firstLine="640" w:firstLineChars="200"/>
        <w:rPr>
          <w:rFonts w:ascii="仿宋_GB2312" w:hAnsi="仿宋" w:eastAsia="仿宋_GB2312" w:cstheme="minorBidi"/>
          <w:sz w:val="32"/>
          <w:szCs w:val="32"/>
        </w:rPr>
      </w:pPr>
      <w:r>
        <w:rPr>
          <w:rFonts w:hint="eastAsia" w:ascii="仿宋_GB2312" w:eastAsia="仿宋_GB2312"/>
          <w:color w:val="000000"/>
          <w:sz w:val="32"/>
          <w:szCs w:val="32"/>
        </w:rPr>
        <w:t>按照预算绩效管理要求，本部门对2020年一般公共预算项目支出开展了绩效目标管理，共编制绩效目标0个，涉及财政资金0元，覆盖率达到0%。</w:t>
      </w:r>
    </w:p>
    <w:p>
      <w:pPr>
        <w:pStyle w:val="13"/>
        <w:widowControl/>
        <w:ind w:right="75" w:firstLine="640" w:firstLineChars="200"/>
        <w:rPr>
          <w:rFonts w:ascii="仿宋_GB2312" w:hAnsi="仿宋" w:eastAsia="仿宋_GB2312" w:cstheme="minorBidi"/>
          <w:kern w:val="2"/>
          <w:sz w:val="32"/>
          <w:szCs w:val="32"/>
        </w:rPr>
      </w:pPr>
      <w:r>
        <w:rPr>
          <w:rFonts w:ascii="仿宋_GB2312" w:hAnsi="仿宋" w:eastAsia="仿宋_GB2312" w:cstheme="minorBidi"/>
          <w:kern w:val="2"/>
          <w:sz w:val="32"/>
          <w:szCs w:val="32"/>
        </w:rPr>
        <w:t>（六）当年预算执行及绩效管理中存在问题、原因及改进措施。</w:t>
      </w:r>
    </w:p>
    <w:p>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2020年整体支出开展绩效自评，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pPr>
        <w:spacing w:line="600" w:lineRule="exact"/>
        <w:ind w:firstLine="640" w:firstLineChars="200"/>
        <w:outlineLvl w:val="1"/>
        <w:rPr>
          <w:rStyle w:val="19"/>
          <w:rFonts w:ascii="黑体" w:eastAsia="黑体"/>
        </w:rPr>
      </w:pPr>
      <w:bookmarkStart w:id="50" w:name="_Toc15377221"/>
      <w:bookmarkStart w:id="51" w:name="_Toc15396612"/>
      <w:r>
        <w:rPr>
          <w:rFonts w:hint="eastAsia" w:ascii="黑体" w:eastAsia="黑体"/>
          <w:color w:val="000000"/>
          <w:sz w:val="32"/>
          <w:szCs w:val="32"/>
        </w:rPr>
        <w:t>十</w:t>
      </w:r>
      <w:r>
        <w:rPr>
          <w:rStyle w:val="19"/>
          <w:rFonts w:hint="eastAsia" w:ascii="黑体" w:eastAsia="黑体"/>
        </w:rPr>
        <w:t>一、其他重要事项的情况说明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sz w:val="32"/>
          <w:szCs w:val="32"/>
        </w:rPr>
      </w:pPr>
      <w:bookmarkStart w:id="53" w:name="_Toc15377223"/>
      <w:r>
        <w:rPr>
          <w:rFonts w:hint="eastAsia" w:ascii="仿宋_GB2312" w:eastAsia="仿宋_GB2312"/>
          <w:color w:val="000000"/>
          <w:sz w:val="32"/>
          <w:szCs w:val="32"/>
        </w:rPr>
        <w:t>2020年度曾达乡乡机关运行经费支出0万元， 2019年0万元，与2019年持平。</w:t>
      </w:r>
    </w:p>
    <w:p>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hint="eastAsia" w:ascii="仿宋_GB2312" w:eastAsia="仿宋_GB2312"/>
          <w:color w:val="000000"/>
          <w:sz w:val="32"/>
          <w:szCs w:val="32"/>
        </w:rPr>
        <w:t>2020年，政府采购支出总额0万元.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p>
    <w:p>
      <w:pPr>
        <w:pStyle w:val="2"/>
        <w:rPr>
          <w:rFonts w:hint="eastAsia" w:ascii="仿宋_GB2312" w:eastAsia="仿宋_GB2312"/>
          <w:color w:val="000000"/>
          <w:sz w:val="32"/>
          <w:szCs w:val="32"/>
        </w:rPr>
      </w:pPr>
    </w:p>
    <w:p>
      <w:pPr>
        <w:rPr>
          <w:rFonts w:hint="eastAsia" w:ascii="仿宋_GB2312" w:eastAsia="仿宋_GB2312"/>
          <w:color w:val="000000"/>
          <w:sz w:val="32"/>
          <w:szCs w:val="32"/>
        </w:rPr>
      </w:pPr>
    </w:p>
    <w:p>
      <w:pPr>
        <w:pStyle w:val="2"/>
      </w:pPr>
    </w:p>
    <w:p>
      <w:pPr>
        <w:ind w:left="840" w:hanging="420"/>
      </w:pPr>
    </w:p>
    <w:p>
      <w:pPr>
        <w:numPr>
          <w:ilvl w:val="0"/>
          <w:numId w:val="6"/>
        </w:numPr>
        <w:spacing w:line="600" w:lineRule="exact"/>
        <w:ind w:firstLine="663" w:firstLineChars="150"/>
        <w:jc w:val="center"/>
        <w:outlineLvl w:val="0"/>
        <w:rPr>
          <w:rStyle w:val="18"/>
          <w:rFonts w:ascii="黑体" w:eastAsia="黑体"/>
          <w:b w:val="0"/>
        </w:rPr>
      </w:pPr>
      <w:bookmarkStart w:id="55" w:name="_Toc15396613"/>
      <w:bookmarkStart w:id="56" w:name="_Toc15377225"/>
      <w:r>
        <w:rPr>
          <w:rFonts w:hint="eastAsia" w:ascii="黑体" w:eastAsia="黑体"/>
          <w:b/>
          <w:color w:val="000000"/>
          <w:sz w:val="44"/>
          <w:szCs w:val="44"/>
        </w:rPr>
        <w:t>名</w:t>
      </w:r>
      <w:r>
        <w:rPr>
          <w:rStyle w:val="18"/>
          <w:rFonts w:hint="eastAsia" w:ascii="黑体" w:eastAsia="黑体"/>
          <w:b w:val="0"/>
        </w:rPr>
        <w:t>词解释</w:t>
      </w:r>
      <w:bookmarkEnd w:id="55"/>
      <w:bookmarkEnd w:id="56"/>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rPr>
          <w:rFonts w:ascii="黑体" w:eastAsia="黑体"/>
          <w:color w:val="000000"/>
          <w:sz w:val="44"/>
          <w:szCs w:val="44"/>
        </w:rPr>
      </w:pPr>
    </w:p>
    <w:p>
      <w:pPr>
        <w:rPr>
          <w:rFonts w:ascii="黑体" w:eastAsia="黑体"/>
          <w:color w:val="000000"/>
          <w:sz w:val="44"/>
          <w:szCs w:val="44"/>
        </w:rPr>
      </w:pPr>
    </w:p>
    <w:p>
      <w:pPr>
        <w:rPr>
          <w:rFonts w:ascii="黑体" w:eastAsia="黑体"/>
          <w:color w:val="000000"/>
          <w:sz w:val="44"/>
          <w:szCs w:val="44"/>
        </w:rPr>
      </w:pPr>
    </w:p>
    <w:p>
      <w:pPr>
        <w:rPr>
          <w:rFonts w:ascii="黑体" w:eastAsia="黑体"/>
          <w:color w:val="000000"/>
          <w:sz w:val="44"/>
          <w:szCs w:val="44"/>
        </w:rPr>
      </w:pPr>
    </w:p>
    <w:p>
      <w:pPr>
        <w:rPr>
          <w:rFonts w:ascii="黑体" w:eastAsia="黑体"/>
          <w:color w:val="000000"/>
          <w:sz w:val="44"/>
          <w:szCs w:val="44"/>
        </w:rPr>
      </w:pPr>
    </w:p>
    <w:p>
      <w:pPr>
        <w:rPr>
          <w:rFonts w:ascii="黑体" w:eastAsia="黑体"/>
          <w:color w:val="000000"/>
          <w:sz w:val="44"/>
          <w:szCs w:val="44"/>
        </w:rPr>
      </w:pPr>
    </w:p>
    <w:p>
      <w:pPr>
        <w:pStyle w:val="2"/>
        <w:rPr>
          <w:rFonts w:ascii="黑体" w:eastAsia="黑体"/>
          <w:color w:val="000000"/>
          <w:sz w:val="44"/>
          <w:szCs w:val="44"/>
        </w:rPr>
      </w:pPr>
    </w:p>
    <w:p>
      <w:pPr>
        <w:rPr>
          <w:rFonts w:ascii="黑体" w:eastAsia="黑体"/>
          <w:color w:val="000000"/>
          <w:sz w:val="44"/>
          <w:szCs w:val="44"/>
        </w:rPr>
      </w:pPr>
    </w:p>
    <w:p>
      <w:pPr>
        <w:pStyle w:val="2"/>
        <w:rPr>
          <w:rFonts w:ascii="黑体" w:eastAsia="黑体"/>
          <w:color w:val="000000"/>
          <w:sz w:val="44"/>
          <w:szCs w:val="44"/>
        </w:rPr>
      </w:pPr>
    </w:p>
    <w:p>
      <w:pPr>
        <w:rPr>
          <w:rFonts w:ascii="黑体" w:eastAsia="黑体"/>
          <w:color w:val="000000"/>
          <w:sz w:val="44"/>
          <w:szCs w:val="44"/>
        </w:rPr>
      </w:pPr>
    </w:p>
    <w:p>
      <w:pPr>
        <w:pStyle w:val="2"/>
      </w:pPr>
    </w:p>
    <w:p>
      <w:pPr>
        <w:pStyle w:val="4"/>
        <w:rPr>
          <w:rStyle w:val="26"/>
          <w:rFonts w:ascii="仿宋" w:eastAsia="仿宋"/>
          <w:b w:val="0"/>
          <w:bCs w:val="0"/>
          <w:sz w:val="32"/>
          <w:szCs w:val="32"/>
        </w:rPr>
      </w:pPr>
      <w:bookmarkStart w:id="59" w:name="_Toc15396615"/>
      <w:r>
        <w:rPr>
          <w:rStyle w:val="26"/>
          <w:rFonts w:hint="eastAsia" w:ascii="仿宋" w:eastAsia="仿宋"/>
          <w:b w:val="0"/>
          <w:bCs w:val="0"/>
          <w:sz w:val="32"/>
          <w:szCs w:val="32"/>
        </w:rPr>
        <w:t>附件1</w:t>
      </w:r>
      <w:bookmarkEnd w:id="59"/>
    </w:p>
    <w:p>
      <w:pPr>
        <w:numPr>
          <w:ilvl w:val="0"/>
          <w:numId w:val="6"/>
        </w:numPr>
        <w:spacing w:line="600" w:lineRule="exact"/>
        <w:ind w:left="0" w:firstLine="660" w:firstLineChars="150"/>
        <w:jc w:val="center"/>
        <w:outlineLvl w:val="0"/>
        <w:rPr>
          <w:rStyle w:val="26"/>
          <w:rFonts w:hint="eastAsia" w:ascii="黑体" w:eastAsia="黑体"/>
          <w:b w:val="0"/>
        </w:rPr>
      </w:pPr>
      <w:r>
        <w:rPr>
          <w:rStyle w:val="26"/>
          <w:rFonts w:hint="eastAsia" w:ascii="黑体" w:eastAsia="黑体"/>
          <w:b w:val="0"/>
        </w:rPr>
        <w:t>附件</w:t>
      </w:r>
    </w:p>
    <w:p>
      <w:pPr>
        <w:spacing w:line="240" w:lineRule="auto"/>
        <w:jc w:val="both"/>
        <w:outlineLvl w:val="0"/>
        <w:rPr>
          <w:rStyle w:val="26"/>
          <w:rFonts w:hint="eastAsia" w:ascii="黑体" w:eastAsia="黑体"/>
          <w:b w:val="0"/>
        </w:rPr>
      </w:pPr>
    </w:p>
    <w:p>
      <w:pPr>
        <w:spacing w:line="5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金川县曾达乡人民政府</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2020</w:t>
      </w:r>
      <w:r>
        <w:rPr>
          <w:rFonts w:hint="eastAsia" w:ascii="方正小标宋简体" w:eastAsia="方正小标宋简体"/>
          <w:sz w:val="44"/>
          <w:szCs w:val="44"/>
        </w:rPr>
        <w:t>年</w:t>
      </w:r>
      <w:r>
        <w:rPr>
          <w:rFonts w:hint="eastAsia" w:ascii="方正小标宋简体" w:eastAsia="方正小标宋简体"/>
          <w:sz w:val="44"/>
          <w:szCs w:val="44"/>
          <w:lang w:val="en-US" w:eastAsia="zh-CN"/>
        </w:rPr>
        <w:t>部门整体</w:t>
      </w:r>
      <w:r>
        <w:rPr>
          <w:rFonts w:hint="eastAsia" w:ascii="方正小标宋简体" w:eastAsia="方正小标宋简体"/>
          <w:sz w:val="44"/>
          <w:szCs w:val="44"/>
        </w:rPr>
        <w:t>支出绩效</w:t>
      </w:r>
      <w:r>
        <w:rPr>
          <w:rFonts w:hint="eastAsia" w:ascii="方正小标宋简体" w:eastAsia="方正小标宋简体"/>
          <w:sz w:val="44"/>
          <w:szCs w:val="44"/>
          <w:lang w:val="en-US" w:eastAsia="zh-CN"/>
        </w:rPr>
        <w:t>评价</w:t>
      </w:r>
      <w:r>
        <w:rPr>
          <w:rFonts w:hint="eastAsia" w:ascii="方正小标宋简体" w:eastAsia="方正小标宋简体"/>
          <w:sz w:val="44"/>
          <w:szCs w:val="44"/>
        </w:rPr>
        <w:t>报告</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根据《阿坝州财政局关于开展</w:t>
      </w:r>
      <w:r>
        <w:rPr>
          <w:rFonts w:hint="eastAsia" w:ascii="仿宋_GB2312" w:eastAsia="仿宋_GB2312"/>
          <w:sz w:val="32"/>
          <w:szCs w:val="32"/>
          <w:lang w:val="en-US" w:eastAsia="zh-CN"/>
        </w:rPr>
        <w:t>2020</w:t>
      </w:r>
      <w:r>
        <w:rPr>
          <w:rFonts w:hint="eastAsia" w:ascii="仿宋_GB2312" w:eastAsia="仿宋_GB2312"/>
          <w:sz w:val="32"/>
          <w:szCs w:val="32"/>
        </w:rPr>
        <w:t>年财政支出绩效评价工作的通知》（阿州财</w:t>
      </w:r>
      <w:r>
        <w:rPr>
          <w:rFonts w:hint="eastAsia" w:ascii="仿宋_GB2312" w:eastAsia="仿宋_GB2312"/>
          <w:sz w:val="32"/>
          <w:szCs w:val="32"/>
          <w:lang w:val="en-US" w:eastAsia="zh-CN"/>
        </w:rPr>
        <w:t>监绩</w:t>
      </w:r>
      <w:r>
        <w:rPr>
          <w:rFonts w:hint="eastAsia" w:ascii="仿宋_GB2312" w:eastAsia="仿宋_GB2312"/>
          <w:sz w:val="32"/>
          <w:szCs w:val="32"/>
        </w:rPr>
        <w:t>〔</w:t>
      </w:r>
      <w:r>
        <w:rPr>
          <w:rFonts w:hint="eastAsia" w:ascii="仿宋_GB2312" w:eastAsia="仿宋_GB2312"/>
          <w:sz w:val="32"/>
          <w:szCs w:val="32"/>
          <w:lang w:val="en-US" w:eastAsia="zh-CN"/>
        </w:rPr>
        <w:t>2020</w:t>
      </w:r>
      <w:r>
        <w:rPr>
          <w:rFonts w:hint="eastAsia" w:ascii="仿宋_GB2312" w:eastAsia="仿宋_GB2312"/>
          <w:sz w:val="32"/>
          <w:szCs w:val="32"/>
        </w:rPr>
        <w:t>〕</w:t>
      </w:r>
      <w:r>
        <w:rPr>
          <w:rFonts w:hint="eastAsia" w:ascii="仿宋_GB2312" w:eastAsia="仿宋_GB2312"/>
          <w:sz w:val="32"/>
          <w:szCs w:val="32"/>
          <w:lang w:val="en-US" w:eastAsia="zh-CN"/>
        </w:rPr>
        <w:t>11</w:t>
      </w:r>
      <w:r>
        <w:rPr>
          <w:rFonts w:hint="eastAsia" w:ascii="仿宋_GB2312" w:eastAsia="仿宋_GB2312"/>
          <w:sz w:val="32"/>
          <w:szCs w:val="32"/>
        </w:rPr>
        <w:t>号）精神，</w:t>
      </w:r>
      <w:r>
        <w:rPr>
          <w:rFonts w:hint="eastAsia" w:ascii="仿宋_GB2312" w:eastAsia="仿宋_GB2312"/>
          <w:sz w:val="32"/>
          <w:szCs w:val="32"/>
          <w:lang w:eastAsia="zh-CN"/>
        </w:rPr>
        <w:t>曾达乡人民政府</w:t>
      </w:r>
      <w:r>
        <w:rPr>
          <w:rFonts w:hint="eastAsia" w:ascii="仿宋_GB2312" w:eastAsia="仿宋_GB2312"/>
          <w:sz w:val="32"/>
          <w:szCs w:val="32"/>
        </w:rPr>
        <w:t>对</w:t>
      </w:r>
      <w:r>
        <w:rPr>
          <w:rFonts w:hint="eastAsia" w:ascii="仿宋_GB2312" w:eastAsia="仿宋_GB2312"/>
          <w:sz w:val="32"/>
          <w:szCs w:val="32"/>
          <w:lang w:val="en-US" w:eastAsia="zh-CN"/>
        </w:rPr>
        <w:t>2020年全年和</w:t>
      </w:r>
      <w:r>
        <w:rPr>
          <w:rFonts w:hint="eastAsia"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w:t>
      </w:r>
      <w:r>
        <w:rPr>
          <w:rFonts w:hint="eastAsia" w:ascii="仿宋_GB2312" w:eastAsia="仿宋_GB2312"/>
          <w:sz w:val="32"/>
          <w:szCs w:val="32"/>
          <w:lang w:val="en-US" w:eastAsia="zh-CN"/>
        </w:rPr>
        <w:t>1-6月</w:t>
      </w:r>
      <w:r>
        <w:rPr>
          <w:rFonts w:hint="eastAsia" w:ascii="仿宋_GB2312" w:eastAsia="仿宋_GB2312"/>
          <w:sz w:val="32"/>
          <w:szCs w:val="32"/>
        </w:rPr>
        <w:t>部门</w:t>
      </w:r>
      <w:r>
        <w:rPr>
          <w:rFonts w:hint="eastAsia" w:ascii="仿宋_GB2312" w:eastAsia="仿宋_GB2312"/>
          <w:sz w:val="32"/>
          <w:szCs w:val="32"/>
          <w:lang w:val="en-US" w:eastAsia="zh-CN"/>
        </w:rPr>
        <w:t>整体</w:t>
      </w:r>
      <w:r>
        <w:rPr>
          <w:rFonts w:hint="eastAsia" w:ascii="仿宋_GB2312" w:eastAsia="仿宋_GB2312"/>
          <w:sz w:val="32"/>
          <w:szCs w:val="32"/>
        </w:rPr>
        <w:t>支出绩效进行了全面综合评价。现将有关情况报告如下：</w:t>
      </w:r>
    </w:p>
    <w:p>
      <w:pPr>
        <w:ind w:firstLine="640" w:firstLineChars="200"/>
        <w:rPr>
          <w:rFonts w:hint="eastAsia" w:ascii="黑体" w:eastAsia="黑体"/>
          <w:sz w:val="32"/>
          <w:szCs w:val="32"/>
        </w:rPr>
      </w:pPr>
      <w:r>
        <w:rPr>
          <w:rFonts w:hint="eastAsia" w:ascii="黑体" w:eastAsia="黑体"/>
          <w:sz w:val="32"/>
          <w:szCs w:val="32"/>
        </w:rPr>
        <w:t>一、部门概况</w:t>
      </w:r>
    </w:p>
    <w:p>
      <w:pPr>
        <w:ind w:firstLine="643" w:firstLineChars="200"/>
        <w:rPr>
          <w:rFonts w:hint="eastAsia" w:ascii="楷体_GB2312" w:eastAsia="楷体_GB2312"/>
          <w:b/>
          <w:sz w:val="32"/>
          <w:szCs w:val="32"/>
        </w:rPr>
      </w:pPr>
      <w:r>
        <w:rPr>
          <w:rFonts w:hint="eastAsia" w:ascii="楷体_GB2312" w:eastAsia="楷体_GB2312"/>
          <w:b/>
          <w:sz w:val="32"/>
          <w:szCs w:val="32"/>
        </w:rPr>
        <w:t>（一）机构组成</w:t>
      </w:r>
    </w:p>
    <w:p>
      <w:pPr>
        <w:ind w:firstLine="640" w:firstLineChars="200"/>
        <w:rPr>
          <w:rFonts w:ascii="仿宋_GB2312" w:eastAsia="仿宋_GB2312"/>
          <w:sz w:val="32"/>
          <w:szCs w:val="32"/>
          <w:lang w:val="en-US" w:eastAsia="zh-CN"/>
        </w:rPr>
      </w:pPr>
      <w:r>
        <w:rPr>
          <w:rFonts w:hint="eastAsia" w:ascii="仿宋_GB2312" w:hAnsi="仿宋_GB2312" w:eastAsia="仿宋_GB2312" w:cs="仿宋_GB2312"/>
          <w:color w:val="000000"/>
          <w:sz w:val="32"/>
          <w:szCs w:val="32"/>
          <w:lang w:val="zh-CN"/>
        </w:rPr>
        <w:t>曾达乡人民政府下设“一办四中心一所”：具体组成为：党政综合办公室、综合文化发展中心、社会保障综合服务中心、经济发展中心、曾达乡财政所。</w:t>
      </w:r>
    </w:p>
    <w:p>
      <w:pPr>
        <w:ind w:firstLine="643" w:firstLineChars="200"/>
        <w:rPr>
          <w:rFonts w:hint="eastAsia" w:ascii="楷体_GB2312" w:eastAsia="楷体_GB2312"/>
          <w:b/>
          <w:sz w:val="32"/>
          <w:szCs w:val="32"/>
        </w:rPr>
      </w:pPr>
      <w:r>
        <w:rPr>
          <w:rFonts w:hint="eastAsia" w:ascii="楷体_GB2312" w:eastAsia="楷体_GB2312"/>
          <w:b/>
          <w:sz w:val="32"/>
          <w:szCs w:val="32"/>
        </w:rPr>
        <w:t>（二）机构职能</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ind w:firstLine="643" w:firstLineChars="200"/>
        <w:rPr>
          <w:rFonts w:hint="eastAsia" w:ascii="楷体_GB2312" w:eastAsia="楷体_GB2312"/>
          <w:b/>
          <w:sz w:val="32"/>
          <w:szCs w:val="32"/>
        </w:rPr>
      </w:pPr>
      <w:r>
        <w:rPr>
          <w:rFonts w:hint="eastAsia" w:ascii="楷体_GB2312" w:eastAsia="楷体_GB2312"/>
          <w:b/>
          <w:sz w:val="32"/>
          <w:szCs w:val="32"/>
        </w:rPr>
        <w:t>（三）人员概况</w:t>
      </w:r>
    </w:p>
    <w:p>
      <w:pPr>
        <w:ind w:firstLine="640" w:firstLineChars="200"/>
        <w:rPr>
          <w:rFonts w:hint="eastAsia" w:ascii="黑体" w:eastAsia="黑体"/>
          <w:color w:val="auto"/>
          <w:sz w:val="32"/>
          <w:szCs w:val="32"/>
        </w:rPr>
      </w:pPr>
      <w:r>
        <w:rPr>
          <w:rFonts w:hint="eastAsia" w:ascii="仿宋_GB2312" w:hAnsi="仿宋_GB2312" w:eastAsia="仿宋_GB2312" w:cs="仿宋_GB2312"/>
          <w:color w:val="000000"/>
          <w:sz w:val="32"/>
          <w:szCs w:val="32"/>
          <w:lang w:eastAsia="zh-CN"/>
        </w:rPr>
        <w:t>曾达</w:t>
      </w:r>
      <w:r>
        <w:rPr>
          <w:rFonts w:hint="eastAsia" w:ascii="仿宋_GB2312" w:hAnsi="仿宋_GB2312" w:eastAsia="仿宋_GB2312" w:cs="仿宋_GB2312"/>
          <w:color w:val="000000"/>
          <w:sz w:val="32"/>
          <w:szCs w:val="32"/>
        </w:rPr>
        <w:t>乡人民政府20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年年初在职</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人，其中行政人员13人，行政工勤</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人，事业人员5人；20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年年末在职2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人，其中行政人员</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人，行政工勤</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人，事业人员</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人。20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年1-6月独立编制单位机构数为1个，财政供养人员编制为</w:t>
      </w:r>
      <w:r>
        <w:rPr>
          <w:rFonts w:hint="eastAsia" w:ascii="仿宋_GB2312" w:hAnsi="仿宋_GB2312" w:eastAsia="仿宋_GB2312" w:cs="仿宋_GB2312"/>
          <w:color w:val="000000"/>
          <w:sz w:val="32"/>
          <w:szCs w:val="32"/>
          <w:lang w:val="en-US" w:eastAsia="zh-CN"/>
        </w:rPr>
        <w:t>33</w:t>
      </w:r>
      <w:r>
        <w:rPr>
          <w:rFonts w:hint="eastAsia" w:ascii="仿宋_GB2312" w:hAnsi="仿宋_GB2312" w:eastAsia="仿宋_GB2312" w:cs="仿宋_GB2312"/>
          <w:color w:val="000000"/>
          <w:sz w:val="32"/>
          <w:szCs w:val="32"/>
        </w:rPr>
        <w:t>名，其中行政编制</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名，行政工勤编制</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名，事业编制</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名（其中参照公务员法管理人员编制0人）；20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 xml:space="preserve">年1-6月实际财政供养人员 </w:t>
      </w:r>
      <w:r>
        <w:rPr>
          <w:rFonts w:hint="eastAsia" w:ascii="仿宋_GB2312" w:hAnsi="仿宋_GB2312" w:eastAsia="仿宋_GB2312" w:cs="仿宋_GB2312"/>
          <w:color w:val="000000"/>
          <w:sz w:val="32"/>
          <w:szCs w:val="32"/>
          <w:lang w:val="en-US" w:eastAsia="zh-CN"/>
        </w:rPr>
        <w:t>31</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其中：行政</w:t>
      </w:r>
      <w:r>
        <w:rPr>
          <w:rFonts w:hint="eastAsia" w:ascii="仿宋_GB2312" w:hAnsi="仿宋_GB2312" w:eastAsia="仿宋_GB2312" w:cs="仿宋_GB2312"/>
          <w:b w:val="0"/>
          <w:bCs w:val="0"/>
          <w:color w:val="000000"/>
          <w:sz w:val="32"/>
          <w:szCs w:val="32"/>
          <w:lang w:val="en-US" w:eastAsia="zh-CN"/>
        </w:rPr>
        <w:t>19</w:t>
      </w:r>
      <w:r>
        <w:rPr>
          <w:rFonts w:hint="eastAsia" w:ascii="仿宋_GB2312" w:hAnsi="仿宋_GB2312" w:eastAsia="仿宋_GB2312" w:cs="仿宋_GB2312"/>
          <w:b w:val="0"/>
          <w:bCs w:val="0"/>
          <w:color w:val="000000"/>
          <w:sz w:val="32"/>
          <w:szCs w:val="32"/>
        </w:rPr>
        <w:t>人，行政工勤</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人， 事业</w:t>
      </w:r>
      <w:r>
        <w:rPr>
          <w:rFonts w:hint="eastAsia" w:ascii="仿宋_GB2312" w:hAnsi="仿宋_GB2312" w:eastAsia="仿宋_GB2312" w:cs="仿宋_GB2312"/>
          <w:b w:val="0"/>
          <w:bCs w:val="0"/>
          <w:color w:val="000000"/>
          <w:sz w:val="32"/>
          <w:szCs w:val="32"/>
          <w:lang w:val="en-US" w:eastAsia="zh-CN"/>
        </w:rPr>
        <w:t>11</w:t>
      </w:r>
      <w:r>
        <w:rPr>
          <w:rFonts w:hint="eastAsia" w:ascii="仿宋_GB2312" w:hAnsi="仿宋_GB2312" w:eastAsia="仿宋_GB2312" w:cs="仿宋_GB2312"/>
          <w:b w:val="0"/>
          <w:bCs w:val="0"/>
          <w:color w:val="000000"/>
          <w:sz w:val="32"/>
          <w:szCs w:val="32"/>
        </w:rPr>
        <w:t>人</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color w:val="000000"/>
          <w:sz w:val="32"/>
          <w:szCs w:val="32"/>
        </w:rPr>
        <w:t>较上年</w:t>
      </w:r>
      <w:r>
        <w:rPr>
          <w:rFonts w:hint="eastAsia" w:ascii="仿宋_GB2312" w:hAnsi="仿宋_GB2312" w:eastAsia="仿宋_GB2312" w:cs="仿宋_GB2312"/>
          <w:color w:val="000000"/>
          <w:sz w:val="32"/>
          <w:szCs w:val="32"/>
          <w:lang w:val="en-US" w:eastAsia="zh-CN"/>
        </w:rPr>
        <w:t>增加7</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 xml:space="preserve">， </w:t>
      </w:r>
      <w:r>
        <w:rPr>
          <w:rFonts w:hint="eastAsia" w:ascii="仿宋_GB2312" w:hAnsi="仿宋" w:eastAsia="仿宋_GB2312"/>
          <w:sz w:val="32"/>
          <w:szCs w:val="32"/>
          <w:lang w:val="en-US" w:eastAsia="zh-CN"/>
        </w:rPr>
        <w:t>主要原因是机构改革，人员增加，三站人员编制下划给乡镇，新招录</w:t>
      </w:r>
      <w:bookmarkStart w:id="74" w:name="_GoBack"/>
      <w:bookmarkEnd w:id="74"/>
      <w:r>
        <w:rPr>
          <w:rFonts w:hint="eastAsia" w:ascii="仿宋_GB2312" w:hAnsi="仿宋" w:eastAsia="仿宋_GB2312"/>
          <w:sz w:val="32"/>
          <w:szCs w:val="32"/>
          <w:lang w:val="en-US" w:eastAsia="zh-CN"/>
        </w:rPr>
        <w:t>公务员</w:t>
      </w:r>
      <w:r>
        <w:rPr>
          <w:rFonts w:hint="eastAsia" w:ascii="仿宋_GB2312" w:hAnsi="仿宋" w:eastAsia="仿宋_GB2312"/>
          <w:sz w:val="32"/>
          <w:szCs w:val="32"/>
          <w:lang w:eastAsia="zh-CN"/>
        </w:rPr>
        <w:t>。</w:t>
      </w:r>
      <w:r>
        <w:rPr>
          <w:rFonts w:hint="eastAsia" w:ascii="黑体" w:eastAsia="黑体"/>
          <w:color w:val="auto"/>
          <w:sz w:val="32"/>
          <w:szCs w:val="32"/>
        </w:rPr>
        <w:t>二、</w:t>
      </w:r>
      <w:r>
        <w:rPr>
          <w:rFonts w:hint="eastAsia" w:ascii="黑体" w:eastAsia="黑体"/>
          <w:color w:val="auto"/>
          <w:sz w:val="32"/>
          <w:szCs w:val="32"/>
          <w:lang w:val="en-US" w:eastAsia="zh-CN"/>
        </w:rPr>
        <w:t>2019年及</w:t>
      </w:r>
      <w:r>
        <w:rPr>
          <w:rFonts w:hint="eastAsia" w:ascii="黑体" w:eastAsia="黑体"/>
          <w:color w:val="auto"/>
          <w:sz w:val="32"/>
          <w:szCs w:val="32"/>
        </w:rPr>
        <w:t>20</w:t>
      </w:r>
      <w:r>
        <w:rPr>
          <w:rFonts w:hint="eastAsia" w:ascii="黑体" w:eastAsia="黑体"/>
          <w:color w:val="auto"/>
          <w:sz w:val="32"/>
          <w:szCs w:val="32"/>
          <w:lang w:val="en-US" w:eastAsia="zh-CN"/>
        </w:rPr>
        <w:t>20</w:t>
      </w:r>
      <w:r>
        <w:rPr>
          <w:rFonts w:hint="eastAsia" w:ascii="黑体" w:eastAsia="黑体"/>
          <w:color w:val="auto"/>
          <w:sz w:val="32"/>
          <w:szCs w:val="32"/>
        </w:rPr>
        <w:t>年</w:t>
      </w:r>
      <w:r>
        <w:rPr>
          <w:rFonts w:hint="eastAsia" w:ascii="黑体" w:eastAsia="黑体"/>
          <w:color w:val="auto"/>
          <w:sz w:val="32"/>
          <w:szCs w:val="32"/>
          <w:lang w:val="en-US" w:eastAsia="zh-CN"/>
        </w:rPr>
        <w:t>1-6月</w:t>
      </w:r>
      <w:r>
        <w:rPr>
          <w:rFonts w:hint="eastAsia" w:ascii="黑体" w:eastAsia="黑体"/>
          <w:color w:val="auto"/>
          <w:sz w:val="32"/>
          <w:szCs w:val="32"/>
        </w:rPr>
        <w:t>财政资金当年收支情况</w:t>
      </w:r>
    </w:p>
    <w:p>
      <w:pPr>
        <w:numPr>
          <w:ilvl w:val="0"/>
          <w:numId w:val="7"/>
        </w:numPr>
        <w:ind w:left="0" w:firstLine="643" w:firstLineChars="200"/>
        <w:rPr>
          <w:rFonts w:hint="eastAsia" w:ascii="楷体_GB2312" w:eastAsia="楷体_GB2312"/>
          <w:b/>
          <w:color w:val="auto"/>
          <w:sz w:val="32"/>
          <w:szCs w:val="32"/>
        </w:rPr>
      </w:pPr>
      <w:r>
        <w:rPr>
          <w:rFonts w:hint="eastAsia" w:ascii="楷体_GB2312" w:eastAsia="楷体_GB2312"/>
          <w:b/>
          <w:color w:val="auto"/>
          <w:sz w:val="32"/>
          <w:szCs w:val="32"/>
        </w:rPr>
        <w:t>收入情况</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曾达</w:t>
      </w:r>
      <w:r>
        <w:rPr>
          <w:rFonts w:hint="eastAsia" w:ascii="仿宋_GB2312" w:hAnsi="仿宋_GB2312" w:eastAsia="仿宋_GB2312" w:cs="仿宋_GB2312"/>
          <w:bCs/>
          <w:sz w:val="32"/>
          <w:szCs w:val="32"/>
        </w:rPr>
        <w:t>乡本年收入合计</w:t>
      </w:r>
      <w:r>
        <w:rPr>
          <w:rFonts w:hint="eastAsia" w:ascii="仿宋_GB2312" w:hAnsi="仿宋" w:eastAsia="仿宋_GB2312" w:cstheme="minorBidi"/>
          <w:kern w:val="2"/>
          <w:sz w:val="32"/>
          <w:szCs w:val="32"/>
          <w:lang w:val="en-US" w:eastAsia="zh-CN" w:bidi="ar-SA"/>
        </w:rPr>
        <w:t>760.41</w:t>
      </w:r>
      <w:r>
        <w:rPr>
          <w:rFonts w:hint="eastAsia" w:ascii="仿宋_GB2312" w:hAnsi="仿宋_GB2312" w:eastAsia="仿宋_GB2312" w:cs="仿宋_GB2312"/>
          <w:bCs/>
          <w:sz w:val="32"/>
          <w:szCs w:val="32"/>
        </w:rPr>
        <w:t>万元，其中：一般公共预算财政拨款收入</w:t>
      </w:r>
      <w:r>
        <w:rPr>
          <w:rFonts w:hint="eastAsia" w:ascii="仿宋_GB2312" w:hAnsi="仿宋" w:eastAsia="仿宋_GB2312" w:cstheme="minorBidi"/>
          <w:kern w:val="2"/>
          <w:sz w:val="32"/>
          <w:szCs w:val="32"/>
          <w:lang w:val="en-US" w:eastAsia="zh-CN" w:bidi="ar-SA"/>
        </w:rPr>
        <w:t>760.41</w:t>
      </w:r>
      <w:r>
        <w:rPr>
          <w:rFonts w:hint="eastAsia" w:ascii="仿宋_GB2312" w:hAnsi="仿宋_GB2312" w:eastAsia="仿宋_GB2312" w:cs="仿宋_GB2312"/>
          <w:bCs/>
          <w:sz w:val="32"/>
          <w:szCs w:val="32"/>
        </w:rPr>
        <w:t>万元，占100%；政府性基金预算财政拨款收入0元，占0%；国有资本经营预算财政拨款收入0万元，占0%；事业收入0万元，占0%；经营收入0万元，占0%；附属单位上缴收入0万元，占0%；其他</w:t>
      </w:r>
      <w:r>
        <w:rPr>
          <w:rFonts w:hint="eastAsia" w:ascii="仿宋_GB2312" w:hAnsi="仿宋_GB2312" w:eastAsia="仿宋_GB2312" w:cs="仿宋_GB2312"/>
          <w:bCs/>
          <w:color w:val="auto"/>
          <w:sz w:val="32"/>
          <w:szCs w:val="32"/>
        </w:rPr>
        <w:t>收入0万元，占0%。</w:t>
      </w:r>
    </w:p>
    <w:p>
      <w:pPr>
        <w:snapToGrid w:val="0"/>
        <w:spacing w:line="520" w:lineRule="exact"/>
        <w:ind w:firstLine="640" w:firstLineChars="200"/>
        <w:rPr>
          <w:rFonts w:hint="eastAsia" w:ascii="仿宋_GB2312" w:eastAsia="仿宋_GB2312"/>
          <w:color w:val="auto"/>
          <w:sz w:val="32"/>
          <w:szCs w:val="32"/>
          <w:lang w:val="en-US" w:eastAsia="zh-CN"/>
        </w:rPr>
      </w:pPr>
      <w:r>
        <w:rPr>
          <w:rFonts w:hint="eastAsia" w:ascii="仿宋_GB2312" w:hAnsi="仿宋" w:eastAsia="仿宋_GB2312" w:cstheme="minorBidi"/>
          <w:kern w:val="2"/>
          <w:sz w:val="32"/>
          <w:szCs w:val="32"/>
          <w:lang w:val="en-US" w:eastAsia="zh-CN" w:bidi="ar-SA"/>
        </w:rPr>
        <w:t>2021年1-6月收入合计500.27万元，其中：一般公共预算财政拨款收入500.27万元。</w:t>
      </w:r>
    </w:p>
    <w:p>
      <w:pPr>
        <w:ind w:firstLine="643" w:firstLineChars="200"/>
        <w:rPr>
          <w:rFonts w:hint="eastAsia" w:ascii="楷体_GB2312" w:eastAsia="楷体_GB2312"/>
          <w:b/>
          <w:color w:val="auto"/>
          <w:sz w:val="32"/>
          <w:szCs w:val="32"/>
        </w:rPr>
      </w:pPr>
      <w:r>
        <w:rPr>
          <w:rFonts w:hint="eastAsia" w:ascii="楷体_GB2312" w:eastAsia="楷体_GB2312"/>
          <w:b/>
          <w:color w:val="auto"/>
          <w:sz w:val="32"/>
          <w:szCs w:val="32"/>
        </w:rPr>
        <w:t>（二）支出情况</w:t>
      </w:r>
    </w:p>
    <w:p>
      <w:pPr>
        <w:snapToGrid w:val="0"/>
        <w:spacing w:line="520" w:lineRule="exact"/>
        <w:ind w:firstLine="640" w:firstLineChars="200"/>
        <w:rPr>
          <w:rFonts w:hint="eastAsia" w:ascii="仿宋_GB2312" w:hAnsi="仿宋" w:eastAsia="仿宋_GB2312" w:cstheme="minorBidi"/>
          <w:kern w:val="2"/>
          <w:sz w:val="32"/>
          <w:szCs w:val="32"/>
          <w:lang w:val="en-US" w:eastAsia="zh-CN" w:bidi="ar-SA"/>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年一般公共预算财政拨款支出</w:t>
      </w:r>
      <w:r>
        <w:rPr>
          <w:rFonts w:hint="default" w:ascii="仿宋_GB2312" w:hAnsi="仿宋" w:eastAsia="仿宋_GB2312" w:cstheme="minorBidi"/>
          <w:kern w:val="2"/>
          <w:sz w:val="32"/>
          <w:szCs w:val="32"/>
          <w:lang w:val="en-US" w:eastAsia="zh-CN" w:bidi="ar-SA"/>
        </w:rPr>
        <w:t>850.80</w:t>
      </w:r>
      <w:r>
        <w:rPr>
          <w:rFonts w:hint="eastAsia" w:ascii="仿宋_GB2312" w:hAnsi="仿宋_GB2312" w:eastAsia="仿宋_GB2312" w:cs="仿宋_GB2312"/>
          <w:bCs/>
          <w:sz w:val="32"/>
          <w:szCs w:val="32"/>
        </w:rPr>
        <w:t>万元，主要用于以下方面:</w:t>
      </w:r>
      <w:r>
        <w:rPr>
          <w:rFonts w:hint="eastAsia" w:ascii="仿宋_GB2312" w:hAnsi="仿宋_GB2312" w:eastAsia="仿宋_GB2312" w:cs="仿宋_GB2312"/>
          <w:color w:val="000000"/>
          <w:sz w:val="32"/>
          <w:szCs w:val="32"/>
        </w:rPr>
        <w:t xml:space="preserve"> </w:t>
      </w:r>
      <w:r>
        <w:rPr>
          <w:rFonts w:hint="default" w:ascii="仿宋_GB2312" w:hAnsi="仿宋" w:eastAsia="仿宋_GB2312" w:cstheme="minorBidi"/>
          <w:kern w:val="2"/>
          <w:sz w:val="32"/>
          <w:szCs w:val="32"/>
          <w:lang w:val="en-US" w:eastAsia="zh-CN" w:bidi="ar-SA"/>
        </w:rPr>
        <w:t>基本支出中人员经费支出为368.33万元，公用经费支出为22.14万元。项目支出中基本建设类项目支出为270.39万元</w:t>
      </w:r>
      <w:r>
        <w:rPr>
          <w:rFonts w:hint="eastAsia" w:ascii="仿宋_GB2312" w:hAnsi="仿宋" w:eastAsia="仿宋_GB2312" w:cstheme="minorBidi"/>
          <w:kern w:val="2"/>
          <w:sz w:val="32"/>
          <w:szCs w:val="32"/>
          <w:lang w:val="en-US" w:eastAsia="zh-CN" w:bidi="ar-SA"/>
        </w:rPr>
        <w:t>。其他支出189.94元。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年1-6月财政总支出为</w:t>
      </w:r>
      <w:r>
        <w:rPr>
          <w:rFonts w:hint="eastAsia" w:ascii="仿宋_GB2312" w:hAnsi="仿宋_GB2312" w:eastAsia="仿宋_GB2312" w:cs="仿宋_GB2312"/>
          <w:color w:val="auto"/>
          <w:sz w:val="32"/>
          <w:szCs w:val="32"/>
          <w:lang w:val="en-US" w:eastAsia="zh-CN"/>
        </w:rPr>
        <w:t>500.27</w:t>
      </w:r>
      <w:r>
        <w:rPr>
          <w:rFonts w:hint="eastAsia" w:ascii="仿宋_GB2312" w:hAnsi="仿宋_GB2312" w:eastAsia="仿宋_GB2312" w:cs="仿宋_GB2312"/>
          <w:color w:val="auto"/>
          <w:sz w:val="32"/>
          <w:szCs w:val="32"/>
        </w:rPr>
        <w:t>万元，其中：</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278.80</w:t>
      </w:r>
      <w:r>
        <w:rPr>
          <w:rFonts w:hint="eastAsia" w:ascii="仿宋_GB2312" w:hAnsi="仿宋_GB2312" w:eastAsia="仿宋_GB2312" w:cs="仿宋_GB2312"/>
          <w:color w:val="auto"/>
          <w:sz w:val="32"/>
          <w:szCs w:val="32"/>
        </w:rPr>
        <w:t>万元，主要包括：基本工资</w:t>
      </w:r>
      <w:r>
        <w:rPr>
          <w:rFonts w:hint="eastAsia" w:ascii="仿宋_GB2312" w:hAnsi="仿宋_GB2312" w:eastAsia="仿宋_GB2312" w:cs="仿宋_GB2312"/>
          <w:color w:val="auto"/>
          <w:sz w:val="32"/>
          <w:szCs w:val="32"/>
          <w:lang w:val="en-US" w:eastAsia="zh-CN"/>
        </w:rPr>
        <w:t>49.55</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73.8</w:t>
      </w:r>
      <w:r>
        <w:rPr>
          <w:rFonts w:hint="eastAsia" w:ascii="仿宋_GB2312" w:hAnsi="仿宋_GB2312" w:eastAsia="仿宋_GB2312" w:cs="仿宋_GB2312"/>
          <w:color w:val="auto"/>
          <w:sz w:val="32"/>
          <w:szCs w:val="32"/>
        </w:rPr>
        <w:t>万元、绩效工资</w:t>
      </w:r>
      <w:r>
        <w:rPr>
          <w:rFonts w:hint="eastAsia" w:ascii="仿宋_GB2312" w:hAnsi="仿宋_GB2312" w:eastAsia="仿宋_GB2312" w:cs="仿宋_GB2312"/>
          <w:color w:val="auto"/>
          <w:sz w:val="32"/>
          <w:szCs w:val="32"/>
          <w:lang w:val="en-US" w:eastAsia="zh-CN"/>
        </w:rPr>
        <w:t>11.74</w:t>
      </w:r>
      <w:r>
        <w:rPr>
          <w:rFonts w:hint="eastAsia" w:ascii="仿宋_GB2312" w:hAnsi="仿宋_GB2312" w:eastAsia="仿宋_GB2312" w:cs="仿宋_GB2312"/>
          <w:color w:val="auto"/>
          <w:sz w:val="32"/>
          <w:szCs w:val="32"/>
        </w:rPr>
        <w:t>万元、机关事业单位基本养老保险缴费</w:t>
      </w:r>
      <w:r>
        <w:rPr>
          <w:rFonts w:hint="eastAsia" w:ascii="仿宋_GB2312" w:hAnsi="仿宋_GB2312" w:eastAsia="仿宋_GB2312" w:cs="仿宋_GB2312"/>
          <w:color w:val="auto"/>
          <w:sz w:val="32"/>
          <w:szCs w:val="32"/>
          <w:lang w:val="en-US" w:eastAsia="zh-CN"/>
        </w:rPr>
        <w:t>19.97</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9.83</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10.75</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3.09</w:t>
      </w:r>
      <w:r>
        <w:rPr>
          <w:rFonts w:hint="eastAsia" w:ascii="仿宋_GB2312" w:hAnsi="仿宋_GB2312" w:eastAsia="仿宋_GB2312" w:cs="仿宋_GB2312"/>
          <w:color w:val="auto"/>
          <w:sz w:val="32"/>
          <w:szCs w:val="32"/>
        </w:rPr>
        <w:t>万元、其他社会保障缴费</w:t>
      </w:r>
      <w:r>
        <w:rPr>
          <w:rFonts w:hint="eastAsia" w:ascii="仿宋_GB2312" w:hAnsi="仿宋_GB2312" w:eastAsia="仿宋_GB2312" w:cs="仿宋_GB2312"/>
          <w:color w:val="auto"/>
          <w:sz w:val="32"/>
          <w:szCs w:val="32"/>
          <w:lang w:val="en-US" w:eastAsia="zh-CN"/>
        </w:rPr>
        <w:t>0.67</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20.31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、奖励金79.1万元</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FF0000"/>
          <w:sz w:val="32"/>
          <w:szCs w:val="32"/>
        </w:rPr>
        <w:t>　　</w:t>
      </w: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szCs w:val="32"/>
          <w:lang w:val="en-US" w:eastAsia="zh-CN"/>
        </w:rPr>
        <w:t>9.99</w:t>
      </w:r>
      <w:r>
        <w:rPr>
          <w:rFonts w:hint="eastAsia" w:ascii="仿宋_GB2312" w:hAnsi="仿宋_GB2312" w:eastAsia="仿宋_GB2312" w:cs="仿宋_GB2312"/>
          <w:color w:val="auto"/>
          <w:sz w:val="32"/>
          <w:szCs w:val="32"/>
        </w:rPr>
        <w:t>万元，主要包括：办公费</w:t>
      </w:r>
      <w:r>
        <w:rPr>
          <w:rFonts w:hint="eastAsia" w:ascii="仿宋_GB2312" w:hAnsi="仿宋_GB2312" w:eastAsia="仿宋_GB2312" w:cs="仿宋_GB2312"/>
          <w:color w:val="auto"/>
          <w:sz w:val="32"/>
          <w:szCs w:val="32"/>
          <w:lang w:val="en-US" w:eastAsia="zh-CN"/>
        </w:rPr>
        <w:t>3.15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印刷费</w:t>
      </w:r>
      <w:r>
        <w:rPr>
          <w:rFonts w:hint="eastAsia" w:ascii="仿宋_GB2312" w:hAnsi="仿宋_GB2312" w:eastAsia="仿宋_GB2312" w:cs="仿宋_GB2312"/>
          <w:color w:val="auto"/>
          <w:sz w:val="32"/>
          <w:szCs w:val="32"/>
          <w:lang w:val="en-US" w:eastAsia="zh-CN"/>
        </w:rPr>
        <w:t>0.05万元、手续费0.04万元、</w:t>
      </w:r>
      <w:r>
        <w:rPr>
          <w:rFonts w:hint="eastAsia" w:ascii="仿宋_GB2312" w:hAnsi="仿宋_GB2312" w:eastAsia="仿宋_GB2312" w:cs="仿宋_GB2312"/>
          <w:color w:val="auto"/>
          <w:sz w:val="32"/>
          <w:szCs w:val="32"/>
        </w:rPr>
        <w:t>电费</w:t>
      </w:r>
      <w:r>
        <w:rPr>
          <w:rFonts w:hint="eastAsia" w:ascii="仿宋_GB2312" w:hAnsi="仿宋_GB2312" w:eastAsia="仿宋_GB2312" w:cs="仿宋_GB2312"/>
          <w:color w:val="auto"/>
          <w:sz w:val="32"/>
          <w:szCs w:val="32"/>
          <w:lang w:val="en-US" w:eastAsia="zh-CN"/>
        </w:rPr>
        <w:t>0.54</w:t>
      </w:r>
      <w:r>
        <w:rPr>
          <w:rFonts w:hint="eastAsia" w:ascii="仿宋_GB2312" w:hAnsi="仿宋_GB2312" w:eastAsia="仿宋_GB2312" w:cs="仿宋_GB2312"/>
          <w:color w:val="auto"/>
          <w:sz w:val="32"/>
          <w:szCs w:val="32"/>
        </w:rPr>
        <w:t>万元、邮电费</w:t>
      </w:r>
      <w:r>
        <w:rPr>
          <w:rFonts w:hint="eastAsia" w:ascii="仿宋_GB2312" w:hAnsi="仿宋_GB2312" w:eastAsia="仿宋_GB2312" w:cs="仿宋_GB2312"/>
          <w:color w:val="auto"/>
          <w:sz w:val="32"/>
          <w:szCs w:val="32"/>
          <w:lang w:val="en-US" w:eastAsia="zh-CN"/>
        </w:rPr>
        <w:t>0.42</w:t>
      </w:r>
      <w:r>
        <w:rPr>
          <w:rFonts w:hint="eastAsia" w:ascii="仿宋_GB2312" w:hAnsi="仿宋_GB2312" w:eastAsia="仿宋_GB2312" w:cs="仿宋_GB2312"/>
          <w:color w:val="auto"/>
          <w:sz w:val="32"/>
          <w:szCs w:val="32"/>
        </w:rPr>
        <w:t>万元、差旅费</w:t>
      </w:r>
      <w:r>
        <w:rPr>
          <w:rFonts w:hint="eastAsia" w:ascii="仿宋_GB2312" w:hAnsi="仿宋_GB2312" w:eastAsia="仿宋_GB2312" w:cs="仿宋_GB2312"/>
          <w:color w:val="auto"/>
          <w:sz w:val="32"/>
          <w:szCs w:val="32"/>
          <w:lang w:val="en-US" w:eastAsia="zh-CN"/>
        </w:rPr>
        <w:t>0.29</w:t>
      </w:r>
      <w:r>
        <w:rPr>
          <w:rFonts w:hint="eastAsia" w:ascii="仿宋_GB2312" w:hAnsi="仿宋_GB2312" w:eastAsia="仿宋_GB2312" w:cs="仿宋_GB2312"/>
          <w:color w:val="auto"/>
          <w:sz w:val="32"/>
          <w:szCs w:val="32"/>
        </w:rPr>
        <w:t>万元、公务用车运行维护费</w:t>
      </w:r>
      <w:r>
        <w:rPr>
          <w:rFonts w:hint="eastAsia" w:ascii="仿宋_GB2312" w:hAnsi="仿宋_GB2312" w:eastAsia="仿宋_GB2312" w:cs="仿宋_GB2312"/>
          <w:color w:val="auto"/>
          <w:sz w:val="32"/>
          <w:szCs w:val="32"/>
          <w:lang w:val="en-US" w:eastAsia="zh-CN"/>
        </w:rPr>
        <w:t>5.5</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color w:val="auto"/>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年1-6月项目支出</w:t>
      </w:r>
      <w:r>
        <w:rPr>
          <w:rFonts w:hint="eastAsia" w:ascii="仿宋_GB2312" w:hAnsi="仿宋_GB2312" w:eastAsia="仿宋_GB2312" w:cs="仿宋_GB2312"/>
          <w:color w:val="auto"/>
          <w:sz w:val="32"/>
          <w:szCs w:val="32"/>
          <w:lang w:val="en-US" w:eastAsia="zh-CN"/>
        </w:rPr>
        <w:t>211.48</w:t>
      </w:r>
      <w:r>
        <w:rPr>
          <w:rFonts w:hint="eastAsia" w:ascii="仿宋_GB2312" w:hAnsi="仿宋_GB2312" w:eastAsia="仿宋_GB2312" w:cs="仿宋_GB2312"/>
          <w:color w:val="auto"/>
          <w:sz w:val="32"/>
          <w:szCs w:val="32"/>
        </w:rPr>
        <w:t>万元，主要包括:2020年革命老区海子坪村色尔足小桥建设工程</w:t>
      </w:r>
      <w:r>
        <w:rPr>
          <w:rFonts w:hint="eastAsia" w:ascii="仿宋_GB2312" w:hAnsi="仿宋_GB2312" w:eastAsia="仿宋_GB2312" w:cs="仿宋_GB2312"/>
          <w:color w:val="auto"/>
          <w:sz w:val="32"/>
          <w:szCs w:val="32"/>
          <w:lang w:val="en-US" w:eastAsia="zh-CN"/>
        </w:rPr>
        <w:t>52.9</w:t>
      </w:r>
      <w:r>
        <w:rPr>
          <w:rFonts w:hint="eastAsia" w:ascii="仿宋_GB2312" w:hAnsi="仿宋_GB2312" w:eastAsia="仿宋_GB2312" w:cs="仿宋_GB2312"/>
          <w:color w:val="auto"/>
          <w:sz w:val="32"/>
          <w:szCs w:val="32"/>
        </w:rPr>
        <w:t>万元、曾达乡安全饮水及沟渠项目资金</w:t>
      </w:r>
      <w:r>
        <w:rPr>
          <w:rFonts w:hint="eastAsia" w:ascii="仿宋_GB2312" w:hAnsi="仿宋_GB2312" w:eastAsia="仿宋_GB2312" w:cs="仿宋_GB2312"/>
          <w:color w:val="auto"/>
          <w:sz w:val="32"/>
          <w:szCs w:val="32"/>
          <w:lang w:val="en-US" w:eastAsia="zh-CN"/>
        </w:rPr>
        <w:t>1.38万元、金川县曾达乡政府维修提升项目资金19.68万元其他农村综合改革支出8.62万元、劳务费用1.5万元、曾达乡特大山洪泥石流灾害抢险机械费用90.15万元、曾达乡2020年应急抢险资金37万元</w:t>
      </w:r>
      <w:r>
        <w:rPr>
          <w:rFonts w:hint="eastAsia" w:ascii="仿宋_GB2312" w:hAnsi="仿宋_GB2312" w:eastAsia="仿宋_GB2312" w:cs="仿宋_GB2312"/>
          <w:color w:val="auto"/>
          <w:sz w:val="32"/>
          <w:szCs w:val="32"/>
          <w:lang w:eastAsia="zh-CN"/>
        </w:rPr>
        <w:t>其他支出</w:t>
      </w:r>
      <w:r>
        <w:rPr>
          <w:rFonts w:hint="eastAsia" w:ascii="仿宋_GB2312" w:hAnsi="仿宋_GB2312" w:eastAsia="仿宋_GB2312" w:cs="仿宋_GB2312"/>
          <w:color w:val="auto"/>
          <w:sz w:val="32"/>
          <w:szCs w:val="32"/>
          <w:lang w:val="en-US" w:eastAsia="zh-CN"/>
        </w:rPr>
        <w:t>0.25万元</w:t>
      </w:r>
      <w:r>
        <w:rPr>
          <w:rFonts w:hint="eastAsia" w:ascii="仿宋_GB2312" w:hAnsi="仿宋_GB2312" w:eastAsia="仿宋_GB2312" w:cs="仿宋_GB2312"/>
          <w:color w:val="auto"/>
          <w:sz w:val="32"/>
          <w:szCs w:val="32"/>
        </w:rPr>
        <w:t>。</w:t>
      </w:r>
    </w:p>
    <w:p>
      <w:pPr>
        <w:numPr>
          <w:ilvl w:val="0"/>
          <w:numId w:val="8"/>
        </w:numPr>
        <w:ind w:left="0" w:firstLine="640" w:firstLineChars="200"/>
        <w:rPr>
          <w:rFonts w:hint="eastAsia" w:ascii="黑体" w:eastAsia="黑体"/>
          <w:sz w:val="32"/>
          <w:szCs w:val="32"/>
        </w:rPr>
      </w:pPr>
      <w:r>
        <w:rPr>
          <w:rFonts w:hint="eastAsia" w:ascii="黑体" w:eastAsia="黑体"/>
          <w:sz w:val="32"/>
          <w:szCs w:val="32"/>
          <w:lang w:val="en-US" w:eastAsia="zh-CN"/>
        </w:rPr>
        <w:t>2020年及</w:t>
      </w:r>
      <w:r>
        <w:rPr>
          <w:rFonts w:hint="eastAsia" w:ascii="黑体" w:eastAsia="黑体"/>
          <w:sz w:val="32"/>
          <w:szCs w:val="32"/>
        </w:rPr>
        <w:t>20</w:t>
      </w:r>
      <w:r>
        <w:rPr>
          <w:rFonts w:hint="eastAsia" w:ascii="黑体" w:eastAsia="黑体"/>
          <w:sz w:val="32"/>
          <w:szCs w:val="32"/>
          <w:lang w:val="en-US" w:eastAsia="zh-CN"/>
        </w:rPr>
        <w:t>21</w:t>
      </w:r>
      <w:r>
        <w:rPr>
          <w:rFonts w:hint="eastAsia" w:ascii="黑体" w:eastAsia="黑体"/>
          <w:sz w:val="32"/>
          <w:szCs w:val="32"/>
        </w:rPr>
        <w:t>年</w:t>
      </w:r>
      <w:r>
        <w:rPr>
          <w:rFonts w:hint="eastAsia" w:ascii="黑体" w:eastAsia="黑体"/>
          <w:sz w:val="32"/>
          <w:szCs w:val="32"/>
          <w:lang w:val="en-US" w:eastAsia="zh-CN"/>
        </w:rPr>
        <w:t>1-6月年</w:t>
      </w:r>
      <w:r>
        <w:rPr>
          <w:rFonts w:hint="eastAsia" w:ascii="黑体" w:eastAsia="黑体"/>
          <w:sz w:val="32"/>
          <w:szCs w:val="32"/>
        </w:rPr>
        <w:t>财政支出管理情况</w:t>
      </w:r>
    </w:p>
    <w:p>
      <w:pPr>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hint="eastAsia" w:ascii="仿宋" w:eastAsia="仿宋" w:cs="仿宋"/>
          <w:sz w:val="32"/>
          <w:szCs w:val="32"/>
        </w:rPr>
      </w:pPr>
      <w:r>
        <w:rPr>
          <w:rFonts w:hint="eastAsia" w:ascii="仿宋" w:eastAsia="仿宋" w:cs="仿宋"/>
          <w:sz w:val="32"/>
          <w:szCs w:val="32"/>
          <w:lang w:eastAsia="zh-CN"/>
        </w:rPr>
        <w:t>我乡</w:t>
      </w:r>
      <w:r>
        <w:rPr>
          <w:rFonts w:hint="eastAsia" w:ascii="仿宋" w:eastAsia="仿宋" w:cs="仿宋"/>
          <w:sz w:val="32"/>
          <w:szCs w:val="32"/>
        </w:rPr>
        <w:t>严格按照</w:t>
      </w:r>
      <w:r>
        <w:rPr>
          <w:rFonts w:hint="eastAsia" w:ascii="仿宋" w:eastAsia="仿宋" w:cs="仿宋"/>
          <w:sz w:val="32"/>
          <w:szCs w:val="32"/>
          <w:lang w:eastAsia="zh-CN"/>
        </w:rPr>
        <w:t>县</w:t>
      </w:r>
      <w:r>
        <w:rPr>
          <w:rFonts w:hint="eastAsia" w:ascii="仿宋" w:eastAsia="仿宋" w:cs="仿宋"/>
          <w:sz w:val="32"/>
          <w:szCs w:val="32"/>
        </w:rPr>
        <w:t>级部门预算编制通知和有关要求，按时完成基础库、项目库报送工作，按时完成</w:t>
      </w:r>
      <w:r>
        <w:rPr>
          <w:rFonts w:hint="eastAsia" w:ascii="仿宋" w:eastAsia="仿宋" w:cs="仿宋"/>
          <w:sz w:val="32"/>
          <w:szCs w:val="32"/>
          <w:lang w:val="en-US" w:eastAsia="zh-CN"/>
        </w:rPr>
        <w:t>2020、</w:t>
      </w:r>
      <w:r>
        <w:rPr>
          <w:rFonts w:hint="eastAsia" w:ascii="仿宋" w:eastAsia="仿宋" w:cs="仿宋"/>
          <w:sz w:val="32"/>
          <w:szCs w:val="32"/>
        </w:rPr>
        <w:t>20</w:t>
      </w:r>
      <w:r>
        <w:rPr>
          <w:rFonts w:hint="eastAsia" w:ascii="仿宋" w:eastAsia="仿宋" w:cs="仿宋"/>
          <w:sz w:val="32"/>
          <w:szCs w:val="32"/>
          <w:lang w:val="en-US" w:eastAsia="zh-CN"/>
        </w:rPr>
        <w:t>21</w:t>
      </w:r>
      <w:r>
        <w:rPr>
          <w:rFonts w:hint="eastAsia" w:ascii="仿宋" w:eastAsia="仿宋" w:cs="仿宋"/>
          <w:sz w:val="32"/>
          <w:szCs w:val="32"/>
        </w:rPr>
        <w:t>年预算编制工作，并</w:t>
      </w:r>
      <w:r>
        <w:rPr>
          <w:rFonts w:hint="eastAsia" w:ascii="仿宋" w:eastAsia="仿宋" w:cs="仿宋"/>
          <w:sz w:val="32"/>
          <w:szCs w:val="32"/>
          <w:lang w:eastAsia="zh-CN"/>
        </w:rPr>
        <w:t>及</w:t>
      </w:r>
      <w:r>
        <w:rPr>
          <w:rFonts w:hint="eastAsia" w:ascii="仿宋" w:eastAsia="仿宋" w:cs="仿宋"/>
          <w:sz w:val="32"/>
          <w:szCs w:val="32"/>
        </w:rPr>
        <w:t>时提交部门预算草案。按规定编制政府采购预算，预算编制全面、科学。</w:t>
      </w:r>
    </w:p>
    <w:p>
      <w:pPr>
        <w:rPr>
          <w:rFonts w:hint="eastAsia" w:ascii="楷体_GB2312" w:eastAsia="楷体_GB2312"/>
          <w:b/>
          <w:sz w:val="32"/>
          <w:szCs w:val="32"/>
          <w:lang w:val="zh-CN"/>
        </w:rPr>
      </w:pPr>
      <w:r>
        <w:rPr>
          <w:rFonts w:hint="eastAsia" w:ascii="楷体_GB2312" w:eastAsia="楷体_GB2312"/>
          <w:b/>
          <w:sz w:val="32"/>
          <w:szCs w:val="32"/>
          <w:lang w:val="en-US" w:eastAsia="zh-CN"/>
        </w:rPr>
        <w:t xml:space="preserve">    </w:t>
      </w:r>
      <w:r>
        <w:rPr>
          <w:rFonts w:hint="eastAsia" w:ascii="楷体_GB2312" w:eastAsia="楷体_GB2312"/>
          <w:b/>
          <w:sz w:val="32"/>
          <w:szCs w:val="32"/>
          <w:lang w:val="zh-CN"/>
        </w:rPr>
        <w:t>（二）执行管理情况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年预算</w:t>
      </w:r>
      <w:r>
        <w:rPr>
          <w:rFonts w:hint="eastAsia" w:ascii="仿宋_GB2312" w:hAnsi="仿宋_GB2312" w:eastAsia="仿宋_GB2312" w:cs="仿宋_GB2312"/>
          <w:color w:val="auto"/>
          <w:sz w:val="32"/>
          <w:szCs w:val="32"/>
          <w:lang w:val="en-US" w:eastAsia="zh-CN"/>
        </w:rPr>
        <w:t>477.86</w:t>
      </w:r>
      <w:r>
        <w:rPr>
          <w:rFonts w:hint="eastAsia" w:ascii="仿宋_GB2312" w:hAnsi="仿宋_GB2312" w:eastAsia="仿宋_GB2312" w:cs="仿宋_GB2312"/>
          <w:color w:val="auto"/>
          <w:sz w:val="32"/>
          <w:szCs w:val="32"/>
        </w:rPr>
        <w:t>万元，其中人员经费</w:t>
      </w:r>
      <w:r>
        <w:rPr>
          <w:rFonts w:hint="eastAsia" w:ascii="仿宋_GB2312" w:hAnsi="仿宋_GB2312" w:eastAsia="仿宋_GB2312" w:cs="仿宋_GB2312"/>
          <w:color w:val="auto"/>
          <w:sz w:val="32"/>
          <w:szCs w:val="32"/>
          <w:lang w:val="en-US" w:eastAsia="zh-CN"/>
        </w:rPr>
        <w:t>378.6</w:t>
      </w:r>
      <w:r>
        <w:rPr>
          <w:rFonts w:hint="eastAsia" w:ascii="仿宋_GB2312" w:hAnsi="仿宋_GB2312" w:eastAsia="仿宋_GB2312" w:cs="仿宋_GB2312"/>
          <w:color w:val="auto"/>
          <w:sz w:val="32"/>
          <w:szCs w:val="32"/>
        </w:rPr>
        <w:t>万元，公用经费</w:t>
      </w:r>
      <w:r>
        <w:rPr>
          <w:rFonts w:hint="eastAsia" w:ascii="仿宋_GB2312" w:hAnsi="仿宋_GB2312" w:eastAsia="仿宋_GB2312" w:cs="仿宋_GB2312"/>
          <w:color w:val="auto"/>
          <w:sz w:val="32"/>
          <w:szCs w:val="32"/>
          <w:lang w:val="en-US" w:eastAsia="zh-CN"/>
        </w:rPr>
        <w:t>99.26</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年部门收入预算总额</w:t>
      </w:r>
      <w:r>
        <w:rPr>
          <w:rFonts w:hint="eastAsia" w:ascii="仿宋_GB2312" w:hAnsi="仿宋_GB2312" w:eastAsia="仿宋_GB2312" w:cs="仿宋_GB2312"/>
          <w:color w:val="auto"/>
          <w:sz w:val="32"/>
          <w:szCs w:val="32"/>
          <w:lang w:val="en-US" w:eastAsia="zh-CN"/>
        </w:rPr>
        <w:t>608.78</w:t>
      </w:r>
      <w:r>
        <w:rPr>
          <w:rFonts w:hint="eastAsia" w:ascii="仿宋_GB2312" w:hAnsi="仿宋_GB2312" w:eastAsia="仿宋_GB2312" w:cs="仿宋_GB2312"/>
          <w:color w:val="auto"/>
          <w:sz w:val="32"/>
          <w:szCs w:val="32"/>
        </w:rPr>
        <w:t>元，较上年增加</w:t>
      </w:r>
      <w:r>
        <w:rPr>
          <w:rFonts w:hint="eastAsia" w:ascii="仿宋_GB2312" w:hAnsi="仿宋_GB2312" w:eastAsia="仿宋_GB2312" w:cs="仿宋_GB2312"/>
          <w:color w:val="auto"/>
          <w:sz w:val="32"/>
          <w:szCs w:val="32"/>
          <w:lang w:val="en-US" w:eastAsia="zh-CN"/>
        </w:rPr>
        <w:t>130.92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增加22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机构改革三站人员编制下划给乡镇、行政村个数增加、经费标准变更、财政信息化建设等需求增加。</w:t>
      </w:r>
      <w:r>
        <w:rPr>
          <w:rFonts w:hint="eastAsia" w:ascii="仿宋_GB2312" w:hAnsi="仿宋_GB2312" w:eastAsia="仿宋_GB2312" w:cs="仿宋_GB2312"/>
          <w:color w:val="auto"/>
          <w:sz w:val="32"/>
          <w:szCs w:val="32"/>
        </w:rPr>
        <w:t>其中：当年财政拨款收入</w:t>
      </w:r>
      <w:r>
        <w:rPr>
          <w:rFonts w:hint="eastAsia" w:ascii="仿宋_GB2312" w:hAnsi="仿宋_GB2312" w:eastAsia="仿宋_GB2312" w:cs="仿宋_GB2312"/>
          <w:color w:val="auto"/>
          <w:sz w:val="32"/>
          <w:szCs w:val="32"/>
          <w:lang w:val="en-US" w:eastAsia="zh-CN"/>
        </w:rPr>
        <w:t>608.78</w:t>
      </w:r>
      <w:r>
        <w:rPr>
          <w:rFonts w:hint="eastAsia" w:ascii="仿宋_GB2312" w:hAnsi="仿宋_GB2312" w:eastAsia="仿宋_GB2312" w:cs="仿宋_GB2312"/>
          <w:color w:val="auto"/>
          <w:sz w:val="32"/>
          <w:szCs w:val="32"/>
        </w:rPr>
        <w:t>万元，其他收入 0万元，上年结转收入0万元。相应安排支出预算</w:t>
      </w:r>
      <w:r>
        <w:rPr>
          <w:rFonts w:hint="eastAsia" w:ascii="仿宋_GB2312" w:hAnsi="仿宋_GB2312" w:eastAsia="仿宋_GB2312" w:cs="仿宋_GB2312"/>
          <w:color w:val="auto"/>
          <w:sz w:val="32"/>
          <w:szCs w:val="32"/>
          <w:lang w:val="en-US" w:eastAsia="zh-CN"/>
        </w:rPr>
        <w:t>608.78</w:t>
      </w:r>
      <w:r>
        <w:rPr>
          <w:rFonts w:hint="eastAsia" w:ascii="仿宋_GB2312" w:hAnsi="仿宋_GB2312" w:eastAsia="仿宋_GB2312" w:cs="仿宋_GB2312"/>
          <w:color w:val="auto"/>
          <w:sz w:val="32"/>
          <w:szCs w:val="32"/>
        </w:rPr>
        <w:t>万元，其中：基本支出预算</w:t>
      </w:r>
      <w:r>
        <w:rPr>
          <w:rFonts w:hint="eastAsia" w:ascii="仿宋_GB2312" w:hAnsi="仿宋_GB2312" w:eastAsia="仿宋_GB2312" w:cs="仿宋_GB2312"/>
          <w:color w:val="auto"/>
          <w:sz w:val="32"/>
          <w:szCs w:val="32"/>
          <w:lang w:val="en-US" w:eastAsia="zh-CN"/>
        </w:rPr>
        <w:t>608.78</w:t>
      </w:r>
      <w:r>
        <w:rPr>
          <w:rFonts w:hint="eastAsia" w:ascii="仿宋_GB2312" w:hAnsi="仿宋_GB2312" w:eastAsia="仿宋_GB2312" w:cs="仿宋_GB2312"/>
          <w:color w:val="auto"/>
          <w:sz w:val="32"/>
          <w:szCs w:val="32"/>
        </w:rPr>
        <w:t>万元，项目支出0万元。</w:t>
      </w:r>
    </w:p>
    <w:p>
      <w:pPr>
        <w:ind w:firstLine="640" w:firstLineChars="200"/>
        <w:rPr>
          <w:rFonts w:ascii="仿宋" w:eastAsia="仿宋" w:cs="仿宋"/>
          <w:color w:val="auto"/>
          <w:sz w:val="32"/>
          <w:szCs w:val="32"/>
          <w:lang w:val="en-US" w:eastAsia="zh-CN"/>
        </w:rPr>
      </w:pPr>
      <w:r>
        <w:rPr>
          <w:rFonts w:hint="eastAsia" w:ascii="仿宋" w:eastAsia="仿宋" w:cs="仿宋"/>
          <w:color w:val="auto"/>
          <w:sz w:val="32"/>
          <w:szCs w:val="32"/>
          <w:lang w:val="en-US" w:eastAsia="zh-CN"/>
        </w:rPr>
        <w:t>2021年1-6月</w:t>
      </w:r>
      <w:r>
        <w:rPr>
          <w:rFonts w:hint="eastAsia" w:ascii="仿宋" w:eastAsia="仿宋" w:cs="仿宋"/>
          <w:color w:val="auto"/>
          <w:spacing w:val="0"/>
          <w:kern w:val="2"/>
          <w:sz w:val="32"/>
          <w:szCs w:val="32"/>
          <w:lang w:val="en-US" w:eastAsia="zh-CN" w:bidi="ar-SA"/>
        </w:rPr>
        <w:t>“三公”经费公务用车运行费支出5.5万元，支出进度为100%。</w:t>
      </w:r>
    </w:p>
    <w:p>
      <w:pPr>
        <w:ind w:firstLine="607"/>
        <w:rPr>
          <w:rFonts w:hint="eastAsia" w:ascii="楷体_GB2312" w:eastAsia="楷体_GB2312"/>
          <w:b/>
          <w:sz w:val="32"/>
          <w:szCs w:val="32"/>
          <w:lang w:val="zh-CN" w:eastAsia="zh-CN"/>
        </w:rPr>
      </w:pPr>
      <w:r>
        <w:rPr>
          <w:rFonts w:hint="eastAsia" w:ascii="楷体_GB2312" w:eastAsia="楷体_GB2312"/>
          <w:b/>
          <w:color w:val="auto"/>
          <w:sz w:val="32"/>
          <w:szCs w:val="32"/>
          <w:lang w:val="zh-CN" w:eastAsia="zh-CN"/>
        </w:rPr>
        <w:t>（三）综合管理情况</w:t>
      </w:r>
    </w:p>
    <w:p>
      <w:pPr>
        <w:ind w:firstLine="604"/>
        <w:rPr>
          <w:rFonts w:hint="eastAsia" w:ascii="仿宋_GB2312" w:eastAsia="仿宋_GB2312"/>
          <w:sz w:val="32"/>
          <w:szCs w:val="32"/>
          <w:lang w:eastAsia="zh-CN"/>
        </w:rPr>
      </w:pPr>
      <w:r>
        <w:rPr>
          <w:rFonts w:hint="eastAsia" w:ascii="仿宋_GB2312" w:eastAsia="仿宋_GB2312"/>
          <w:sz w:val="32"/>
          <w:szCs w:val="32"/>
          <w:lang w:eastAsia="zh-CN"/>
        </w:rPr>
        <w:t>我乡</w:t>
      </w:r>
      <w:r>
        <w:rPr>
          <w:rFonts w:hint="eastAsia" w:ascii="仿宋_GB2312" w:eastAsia="仿宋_GB2312"/>
          <w:sz w:val="32"/>
          <w:szCs w:val="32"/>
        </w:rPr>
        <w:t>财务管理制度健全，执行制度严格合规，会计核算符合相关规定，资金专款专用，资金支付依据和开支标准合法合规，严格执行政府采购</w:t>
      </w:r>
      <w:r>
        <w:rPr>
          <w:rFonts w:hint="eastAsia" w:ascii="仿宋_GB2312" w:eastAsia="仿宋_GB2312"/>
          <w:sz w:val="32"/>
          <w:szCs w:val="32"/>
          <w:lang w:eastAsia="zh-CN"/>
        </w:rPr>
        <w:t>，并依法接受财政监督。</w:t>
      </w:r>
    </w:p>
    <w:p>
      <w:pPr>
        <w:ind w:firstLine="604"/>
        <w:rPr>
          <w:rFonts w:hint="eastAsia" w:ascii="楷体_GB2312" w:eastAsia="楷体_GB2312"/>
          <w:b/>
          <w:sz w:val="32"/>
          <w:szCs w:val="32"/>
          <w:lang w:val="zh-CN" w:eastAsia="zh-CN"/>
        </w:rPr>
      </w:pPr>
      <w:r>
        <w:rPr>
          <w:rFonts w:hint="eastAsia" w:ascii="楷体_GB2312" w:eastAsia="楷体_GB2312"/>
          <w:b/>
          <w:sz w:val="32"/>
          <w:szCs w:val="32"/>
          <w:lang w:val="zh-CN" w:eastAsia="zh-CN"/>
        </w:rPr>
        <w:t>（</w:t>
      </w:r>
      <w:r>
        <w:rPr>
          <w:rFonts w:hint="eastAsia" w:ascii="楷体_GB2312" w:eastAsia="楷体_GB2312"/>
          <w:b/>
          <w:sz w:val="32"/>
          <w:szCs w:val="32"/>
          <w:lang w:val="en-US" w:eastAsia="zh-CN"/>
        </w:rPr>
        <w:t>四</w:t>
      </w:r>
      <w:r>
        <w:rPr>
          <w:rFonts w:hint="eastAsia" w:ascii="楷体_GB2312" w:eastAsia="楷体_GB2312"/>
          <w:b/>
          <w:sz w:val="32"/>
          <w:szCs w:val="32"/>
          <w:lang w:val="zh-CN" w:eastAsia="zh-CN"/>
        </w:rPr>
        <w:t>）整体绩效</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eastAsia="仿宋_GB2312"/>
          <w:sz w:val="32"/>
          <w:szCs w:val="32"/>
          <w:lang w:eastAsia="zh-CN"/>
        </w:rPr>
      </w:pPr>
      <w:r>
        <w:rPr>
          <w:rFonts w:hint="eastAsia" w:ascii="仿宋_GB2312" w:hAnsi="仿宋_GB2312" w:eastAsia="仿宋_GB2312" w:cs="仿宋_GB2312"/>
          <w:color w:val="000000"/>
          <w:sz w:val="32"/>
          <w:szCs w:val="32"/>
          <w:lang w:val="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numPr>
          <w:ilvl w:val="0"/>
          <w:numId w:val="8"/>
        </w:numPr>
        <w:ind w:left="0" w:firstLine="640" w:firstLineChars="200"/>
        <w:rPr>
          <w:rFonts w:hint="eastAsia" w:ascii="黑体" w:eastAsia="黑体"/>
          <w:sz w:val="32"/>
          <w:szCs w:val="32"/>
        </w:rPr>
      </w:pPr>
      <w:r>
        <w:rPr>
          <w:rFonts w:hint="eastAsia" w:ascii="黑体" w:eastAsia="黑体"/>
          <w:sz w:val="32"/>
          <w:szCs w:val="32"/>
        </w:rPr>
        <w:t>评价结论及建议</w:t>
      </w:r>
    </w:p>
    <w:p>
      <w:pPr>
        <w:numPr>
          <w:ilvl w:val="0"/>
          <w:numId w:val="9"/>
        </w:numPr>
        <w:ind w:left="420"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评价结论</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pPr>
        <w:numPr>
          <w:ilvl w:val="0"/>
          <w:numId w:val="9"/>
        </w:numPr>
        <w:ind w:left="420"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存在的问题</w:t>
      </w:r>
    </w:p>
    <w:p>
      <w:pPr>
        <w:ind w:firstLine="643" w:firstLineChars="200"/>
        <w:rPr>
          <w:rFonts w:hint="eastAsia" w:ascii="楷体_GB2312" w:eastAsia="楷体_GB2312"/>
          <w:b/>
          <w:sz w:val="32"/>
          <w:szCs w:val="32"/>
          <w:lang w:val="zh-CN" w:eastAsia="zh-CN"/>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二是绩效目标设立不够明确、细化和量化。虽然设立了项目资金绩效目标，但目标不够明确、细化和量化。</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楷体_GB2312" w:eastAsia="楷体_GB2312"/>
          <w:b/>
          <w:sz w:val="32"/>
          <w:szCs w:val="32"/>
          <w:lang w:val="zh-CN" w:eastAsia="zh-CN"/>
        </w:rPr>
        <w:t>（三）改进建议</w:t>
      </w:r>
    </w:p>
    <w:p>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outlineLvl w:val="0"/>
        <w:rPr>
          <w:rFonts w:ascii="仿宋" w:eastAsia="仿宋"/>
          <w:b/>
          <w:color w:val="000000"/>
          <w:sz w:val="44"/>
          <w:szCs w:val="44"/>
        </w:rPr>
      </w:pPr>
    </w:p>
    <w:p>
      <w:pPr>
        <w:spacing w:line="600" w:lineRule="exact"/>
        <w:jc w:val="center"/>
        <w:outlineLvl w:val="0"/>
        <w:rPr>
          <w:rFonts w:hint="eastAsia" w:ascii="黑体" w:eastAsia="黑体"/>
          <w:color w:val="000000"/>
          <w:sz w:val="44"/>
          <w:szCs w:val="44"/>
        </w:rPr>
      </w:pPr>
      <w:bookmarkStart w:id="60" w:name="_Toc15396618"/>
      <w:bookmarkStart w:id="61" w:name="_Toc15396619"/>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ascii="黑体" w:eastAsia="黑体"/>
          <w:color w:val="000000"/>
          <w:sz w:val="44"/>
          <w:szCs w:val="44"/>
        </w:rPr>
      </w:pPr>
    </w:p>
    <w:p>
      <w:pPr>
        <w:pStyle w:val="2"/>
        <w:rPr>
          <w:rFonts w:hint="eastAsia"/>
        </w:rPr>
      </w:pPr>
    </w:p>
    <w:p>
      <w:pPr>
        <w:spacing w:line="600" w:lineRule="exact"/>
        <w:jc w:val="center"/>
        <w:outlineLvl w:val="0"/>
        <w:rPr>
          <w:rStyle w:val="26"/>
          <w:rFonts w:ascii="黑体" w:eastAsia="黑体"/>
          <w:b w:val="0"/>
        </w:rPr>
      </w:pPr>
      <w:r>
        <w:rPr>
          <w:rFonts w:hint="eastAsia" w:ascii="黑体" w:eastAsia="黑体"/>
          <w:color w:val="000000"/>
          <w:sz w:val="44"/>
          <w:szCs w:val="44"/>
        </w:rPr>
        <w:t>第</w:t>
      </w:r>
      <w:r>
        <w:rPr>
          <w:rStyle w:val="26"/>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27"/>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27"/>
          <w:rFonts w:hint="eastAsia" w:ascii="仿宋" w:eastAsia="仿宋"/>
          <w:b w:val="0"/>
          <w:bCs w:val="0"/>
        </w:rPr>
        <w:t>入总表</w:t>
      </w:r>
      <w:bookmarkEnd w:id="62"/>
    </w:p>
    <w:p>
      <w:pPr>
        <w:pStyle w:val="4"/>
        <w:rPr>
          <w:rFonts w:ascii="仿宋" w:eastAsia="仿宋"/>
          <w:color w:val="000000"/>
        </w:rPr>
      </w:pPr>
      <w:bookmarkStart w:id="63" w:name="_Toc15396621"/>
      <w:r>
        <w:rPr>
          <w:rStyle w:val="27"/>
          <w:rFonts w:hint="eastAsia" w:ascii="仿宋" w:eastAsia="仿宋"/>
          <w:b w:val="0"/>
          <w:bCs w:val="0"/>
        </w:rPr>
        <w:t>三、</w:t>
      </w:r>
      <w:r>
        <w:rPr>
          <w:rFonts w:hint="eastAsia" w:ascii="仿宋" w:eastAsia="仿宋"/>
          <w:b w:val="0"/>
          <w:color w:val="000000"/>
        </w:rPr>
        <w:t>支</w:t>
      </w:r>
      <w:r>
        <w:rPr>
          <w:rStyle w:val="27"/>
          <w:rFonts w:hint="eastAsia" w:ascii="仿宋" w:eastAsia="仿宋"/>
          <w:b w:val="0"/>
          <w:bCs w:val="0"/>
        </w:rPr>
        <w:t>出总表</w:t>
      </w:r>
      <w:bookmarkEnd w:id="63"/>
    </w:p>
    <w:p>
      <w:pPr>
        <w:pStyle w:val="4"/>
        <w:rPr>
          <w:rFonts w:ascii="仿宋" w:eastAsia="仿宋"/>
          <w:b w:val="0"/>
          <w:color w:val="000000"/>
        </w:rPr>
      </w:pPr>
      <w:bookmarkStart w:id="64" w:name="_Toc15396622"/>
      <w:r>
        <w:rPr>
          <w:rStyle w:val="27"/>
          <w:rFonts w:hint="eastAsia" w:ascii="仿宋" w:eastAsia="仿宋"/>
          <w:b w:val="0"/>
          <w:bCs w:val="0"/>
        </w:rPr>
        <w:t>四、</w:t>
      </w:r>
      <w:r>
        <w:rPr>
          <w:rFonts w:hint="eastAsia" w:ascii="仿宋" w:eastAsia="仿宋"/>
          <w:b w:val="0"/>
          <w:color w:val="000000"/>
        </w:rPr>
        <w:t>财</w:t>
      </w:r>
      <w:r>
        <w:rPr>
          <w:rStyle w:val="27"/>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27"/>
          <w:rFonts w:hint="eastAsia" w:ascii="仿宋" w:eastAsia="仿宋"/>
          <w:b w:val="0"/>
          <w:bCs w:val="0"/>
        </w:rPr>
        <w:t>五、</w:t>
      </w:r>
      <w:r>
        <w:rPr>
          <w:rFonts w:hint="eastAsia" w:ascii="仿宋" w:eastAsia="仿宋"/>
          <w:b w:val="0"/>
          <w:color w:val="000000"/>
        </w:rPr>
        <w:t>财</w:t>
      </w:r>
      <w:r>
        <w:rPr>
          <w:rStyle w:val="27"/>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27"/>
          <w:rFonts w:hint="eastAsia" w:ascii="仿宋" w:eastAsia="仿宋"/>
          <w:b w:val="0"/>
          <w:bCs w:val="0"/>
        </w:rPr>
        <w:t>六、</w:t>
      </w:r>
      <w:r>
        <w:rPr>
          <w:rFonts w:hint="eastAsia" w:ascii="仿宋" w:eastAsia="仿宋"/>
          <w:b w:val="0"/>
          <w:color w:val="000000"/>
        </w:rPr>
        <w:t>一</w:t>
      </w:r>
      <w:r>
        <w:rPr>
          <w:rStyle w:val="27"/>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27"/>
          <w:rFonts w:hint="eastAsia" w:ascii="仿宋" w:eastAsia="仿宋"/>
          <w:b w:val="0"/>
          <w:bCs w:val="0"/>
        </w:rPr>
        <w:t>七、</w:t>
      </w:r>
      <w:r>
        <w:rPr>
          <w:rFonts w:hint="eastAsia" w:ascii="仿宋" w:eastAsia="仿宋"/>
          <w:b w:val="0"/>
          <w:color w:val="000000"/>
        </w:rPr>
        <w:t>一</w:t>
      </w:r>
      <w:r>
        <w:rPr>
          <w:rStyle w:val="27"/>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27"/>
          <w:rFonts w:hint="eastAsia" w:ascii="仿宋" w:eastAsia="仿宋"/>
          <w:b w:val="0"/>
          <w:bCs w:val="0"/>
        </w:rPr>
        <w:t>八、</w:t>
      </w:r>
      <w:r>
        <w:rPr>
          <w:rFonts w:hint="eastAsia" w:ascii="仿宋" w:eastAsia="仿宋"/>
          <w:b w:val="0"/>
          <w:color w:val="000000"/>
        </w:rPr>
        <w:t>一</w:t>
      </w:r>
      <w:r>
        <w:rPr>
          <w:rStyle w:val="27"/>
          <w:rFonts w:hint="eastAsia" w:ascii="仿宋" w:eastAsia="仿宋"/>
          <w:b w:val="0"/>
          <w:bCs w:val="0"/>
        </w:rPr>
        <w:t>般公共预算财政拨款基本支出决算表</w:t>
      </w:r>
      <w:bookmarkEnd w:id="68"/>
    </w:p>
    <w:p>
      <w:pPr>
        <w:pStyle w:val="4"/>
        <w:rPr>
          <w:rFonts w:ascii="仿宋" w:eastAsia="仿宋"/>
          <w:color w:val="000000"/>
        </w:rPr>
      </w:pPr>
      <w:bookmarkStart w:id="69" w:name="_Toc15396627"/>
      <w:r>
        <w:rPr>
          <w:rStyle w:val="27"/>
          <w:rFonts w:hint="eastAsia" w:ascii="仿宋" w:eastAsia="仿宋"/>
          <w:b w:val="0"/>
          <w:bCs w:val="0"/>
        </w:rPr>
        <w:t>九、</w:t>
      </w:r>
      <w:r>
        <w:rPr>
          <w:rFonts w:hint="eastAsia" w:ascii="仿宋" w:eastAsia="仿宋"/>
          <w:b w:val="0"/>
          <w:color w:val="000000"/>
        </w:rPr>
        <w:t>一</w:t>
      </w:r>
      <w:r>
        <w:rPr>
          <w:rStyle w:val="27"/>
          <w:rFonts w:hint="eastAsia" w:ascii="仿宋" w:eastAsia="仿宋"/>
          <w:b w:val="0"/>
          <w:bCs w:val="0"/>
        </w:rPr>
        <w:t>般公共预算财政拨款项目支出决算表</w:t>
      </w:r>
      <w:bookmarkEnd w:id="69"/>
    </w:p>
    <w:p>
      <w:pPr>
        <w:pStyle w:val="4"/>
        <w:rPr>
          <w:rFonts w:ascii="仿宋" w:eastAsia="仿宋"/>
          <w:color w:val="000000"/>
        </w:rPr>
      </w:pPr>
      <w:bookmarkStart w:id="70" w:name="_Toc15396628"/>
      <w:r>
        <w:rPr>
          <w:rStyle w:val="27"/>
          <w:rFonts w:hint="eastAsia" w:ascii="仿宋" w:eastAsia="仿宋"/>
          <w:b w:val="0"/>
          <w:bCs w:val="0"/>
        </w:rPr>
        <w:t>十、</w:t>
      </w:r>
      <w:r>
        <w:rPr>
          <w:rFonts w:hint="eastAsia" w:ascii="仿宋" w:eastAsia="仿宋"/>
          <w:b w:val="0"/>
          <w:color w:val="000000"/>
        </w:rPr>
        <w:t>一</w:t>
      </w:r>
      <w:r>
        <w:rPr>
          <w:rStyle w:val="27"/>
          <w:rFonts w:hint="eastAsia" w:ascii="仿宋" w:eastAsia="仿宋"/>
          <w:b w:val="0"/>
          <w:bCs w:val="0"/>
        </w:rPr>
        <w:t>般公共预算财政拨款“三公”经费支出决算表</w:t>
      </w:r>
      <w:bookmarkEnd w:id="70"/>
    </w:p>
    <w:p>
      <w:pPr>
        <w:pStyle w:val="4"/>
        <w:rPr>
          <w:rFonts w:ascii="仿宋" w:eastAsia="仿宋"/>
          <w:color w:val="000000"/>
        </w:rPr>
      </w:pPr>
      <w:bookmarkStart w:id="71" w:name="_Toc15396629"/>
      <w:r>
        <w:rPr>
          <w:rStyle w:val="27"/>
          <w:rFonts w:hint="eastAsia" w:ascii="仿宋" w:eastAsia="仿宋"/>
          <w:b w:val="0"/>
          <w:bCs w:val="0"/>
        </w:rPr>
        <w:t>十一、</w:t>
      </w:r>
      <w:r>
        <w:rPr>
          <w:rFonts w:hint="eastAsia" w:ascii="仿宋" w:eastAsia="仿宋"/>
          <w:b w:val="0"/>
          <w:color w:val="000000"/>
        </w:rPr>
        <w:t>政</w:t>
      </w:r>
      <w:r>
        <w:rPr>
          <w:rStyle w:val="27"/>
          <w:rFonts w:hint="eastAsia" w:ascii="仿宋" w:eastAsia="仿宋"/>
          <w:b w:val="0"/>
          <w:bCs w:val="0"/>
        </w:rPr>
        <w:t>府性基金预算财政拨款收入支出决算表</w:t>
      </w:r>
      <w:bookmarkEnd w:id="71"/>
    </w:p>
    <w:p>
      <w:pPr>
        <w:pStyle w:val="4"/>
        <w:rPr>
          <w:rFonts w:ascii="仿宋" w:eastAsia="仿宋"/>
          <w:color w:val="000000"/>
        </w:rPr>
      </w:pPr>
      <w:bookmarkStart w:id="72" w:name="_Toc15396630"/>
      <w:r>
        <w:rPr>
          <w:rStyle w:val="27"/>
          <w:rFonts w:hint="eastAsia" w:ascii="仿宋" w:eastAsia="仿宋"/>
          <w:b w:val="0"/>
          <w:bCs w:val="0"/>
        </w:rPr>
        <w:t>十二、</w:t>
      </w:r>
      <w:r>
        <w:rPr>
          <w:rFonts w:hint="eastAsia" w:ascii="仿宋" w:eastAsia="仿宋"/>
          <w:b w:val="0"/>
          <w:color w:val="000000"/>
        </w:rPr>
        <w:t>政</w:t>
      </w:r>
      <w:r>
        <w:rPr>
          <w:rStyle w:val="27"/>
          <w:rFonts w:hint="eastAsia" w:ascii="仿宋" w:eastAsia="仿宋"/>
          <w:b w:val="0"/>
          <w:bCs w:val="0"/>
        </w:rPr>
        <w:t>府性基金预算财政拨款“三公”经费支出决算表</w:t>
      </w:r>
      <w:bookmarkEnd w:id="72"/>
    </w:p>
    <w:p>
      <w:pPr>
        <w:pStyle w:val="4"/>
        <w:rPr>
          <w:rFonts w:ascii="仿宋" w:eastAsia="仿宋"/>
          <w:color w:val="000000"/>
        </w:rPr>
      </w:pPr>
      <w:bookmarkStart w:id="73" w:name="_Toc15396631"/>
      <w:r>
        <w:rPr>
          <w:rStyle w:val="27"/>
          <w:rFonts w:hint="eastAsia" w:ascii="仿宋" w:eastAsia="仿宋"/>
          <w:b w:val="0"/>
          <w:bCs w:val="0"/>
        </w:rPr>
        <w:t>十三、</w:t>
      </w:r>
      <w:r>
        <w:rPr>
          <w:rFonts w:hint="eastAsia" w:ascii="仿宋" w:eastAsia="仿宋"/>
          <w:b w:val="0"/>
          <w:color w:val="000000"/>
        </w:rPr>
        <w:t>国</w:t>
      </w:r>
      <w:r>
        <w:rPr>
          <w:rStyle w:val="27"/>
          <w:rFonts w:hint="eastAsia" w:ascii="仿宋" w:eastAsia="仿宋"/>
          <w:b w:val="0"/>
          <w:bCs w:val="0"/>
        </w:rPr>
        <w:t>有资本经营预算支出决算表</w:t>
      </w:r>
      <w:bookmarkEnd w:id="73"/>
    </w:p>
    <w:p>
      <w:pPr>
        <w:spacing w:line="600" w:lineRule="exact"/>
        <w:jc w:val="both"/>
        <w:outlineLvl w:val="0"/>
        <w:rPr>
          <w:rFonts w:ascii="黑体" w:eastAsia="黑体"/>
          <w:color w:val="000000"/>
          <w:sz w:val="44"/>
          <w:szCs w:val="44"/>
        </w:rPr>
      </w:pPr>
    </w:p>
    <w:bookmarkEnd w:id="57"/>
    <w:bookmarkEnd w:id="58"/>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16</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45917EBB"/>
    <w:multiLevelType w:val="singleLevel"/>
    <w:tmpl w:val="45917EBB"/>
    <w:lvl w:ilvl="0" w:tentative="0">
      <w:start w:val="17"/>
      <w:numFmt w:val="decimal"/>
      <w:lvlText w:val="%1."/>
      <w:lvlJc w:val="left"/>
      <w:pPr>
        <w:tabs>
          <w:tab w:val="left" w:pos="312"/>
        </w:tabs>
      </w:pPr>
    </w:lvl>
  </w:abstractNum>
  <w:abstractNum w:abstractNumId="7">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8">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num w:numId="1">
    <w:abstractNumId w:val="4"/>
  </w:num>
  <w:num w:numId="2">
    <w:abstractNumId w:val="6"/>
  </w:num>
  <w:num w:numId="3">
    <w:abstractNumId w:val="0"/>
  </w:num>
  <w:num w:numId="4">
    <w:abstractNumId w:val="5"/>
  </w:num>
  <w:num w:numId="5">
    <w:abstractNumId w:val="2"/>
  </w:num>
  <w:num w:numId="6">
    <w:abstractNumId w:val="1"/>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A7A9A"/>
    <w:rsid w:val="002C5285"/>
    <w:rsid w:val="009F0C79"/>
    <w:rsid w:val="00B7231D"/>
    <w:rsid w:val="00EB51F7"/>
    <w:rsid w:val="00FA7A9A"/>
    <w:rsid w:val="13BF3BFA"/>
    <w:rsid w:val="19202CEB"/>
    <w:rsid w:val="19EE3F36"/>
    <w:rsid w:val="4752741E"/>
    <w:rsid w:val="674267A2"/>
    <w:rsid w:val="67EB63B3"/>
    <w:rsid w:val="694B548B"/>
    <w:rsid w:val="74313B11"/>
    <w:rsid w:val="7FC445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table of figures1"/>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spacing w:beforeAutospacing="1"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26">
    <w:name w:val="heading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27">
    <w:name w:val="heading 2 Char"/>
    <w:basedOn w:val="15"/>
    <w:link w:val="4"/>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收入支出对比表</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06086956521739"/>
          <c:y val="0.0277842093077101"/>
        </c:manualLayout>
      </c:layout>
      <c:overlay val="0"/>
    </c:title>
    <c:autoTitleDeleted val="0"/>
    <c:plotArea>
      <c:layout>
        <c:manualLayout>
          <c:layoutTarget val="inner"/>
          <c:xMode val="edge"/>
          <c:yMode val="edge"/>
          <c:x val="0.105516185476815"/>
          <c:y val="0.168993146689997"/>
          <c:w val="0.74988801399825"/>
          <c:h val="0.678939195100612"/>
        </c:manualLayout>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 (1).xls]Sheet1'!$A$2:$A$3</c:f>
              <c:numCache>
                <c:formatCode>General</c:formatCode>
                <c:ptCount val="2"/>
                <c:pt idx="0">
                  <c:v>2019</c:v>
                </c:pt>
                <c:pt idx="1">
                  <c:v>2020</c:v>
                </c:pt>
              </c:numCache>
            </c:numRef>
          </c:cat>
          <c:val>
            <c:numRef>
              <c:f>'[决算编制说明图标 (1).xls]Sheet1'!$B$2:$B$3</c:f>
              <c:numCache>
                <c:formatCode>General</c:formatCode>
                <c:ptCount val="2"/>
                <c:pt idx="0">
                  <c:v>637.14</c:v>
                </c:pt>
                <c:pt idx="1">
                  <c:v>760.41</c:v>
                </c:pt>
              </c:numCache>
            </c:numRef>
          </c:val>
        </c:ser>
        <c:ser>
          <c:idx val="1"/>
          <c:order val="1"/>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 (1).xls]Sheet1'!$A$2:$A$3</c:f>
              <c:numCache>
                <c:formatCode>General</c:formatCode>
                <c:ptCount val="2"/>
                <c:pt idx="0">
                  <c:v>2019</c:v>
                </c:pt>
                <c:pt idx="1">
                  <c:v>2020</c:v>
                </c:pt>
              </c:numCache>
            </c:numRef>
          </c:cat>
          <c:val>
            <c:numRef>
              <c:f>'[决算编制说明图标 (1).xls]Sheet1'!$C$2:$C$3</c:f>
              <c:numCache>
                <c:formatCode>General</c:formatCode>
                <c:ptCount val="2"/>
                <c:pt idx="0">
                  <c:v>800.1</c:v>
                </c:pt>
                <c:pt idx="1">
                  <c:v>850.8</c:v>
                </c:pt>
              </c:numCache>
            </c:numRef>
          </c:val>
        </c:ser>
        <c:dLbls>
          <c:showLegendKey val="0"/>
          <c:showVal val="0"/>
          <c:showCatName val="0"/>
          <c:showSerName val="0"/>
          <c:showPercent val="0"/>
          <c:showBubbleSize val="0"/>
        </c:dLbls>
        <c:gapWidth val="150"/>
        <c:axId val="129923712"/>
        <c:axId val="130167168"/>
      </c:barChart>
      <c:catAx>
        <c:axId val="129923712"/>
        <c:scaling>
          <c:orientation val="minMax"/>
        </c:scaling>
        <c:delete val="0"/>
        <c:axPos val="b"/>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167168"/>
        <c:crosses val="autoZero"/>
        <c:auto val="1"/>
        <c:lblAlgn val="ctr"/>
        <c:lblOffset val="100"/>
        <c:noMultiLvlLbl val="0"/>
      </c:catAx>
      <c:valAx>
        <c:axId val="130167168"/>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29923712"/>
        <c:crosses val="autoZero"/>
        <c:crossBetween val="between"/>
      </c:valAx>
      <c:spPr>
        <a:noFill/>
        <a:ln w="3175">
          <a:noFill/>
        </a:ln>
      </c:spPr>
    </c:plotArea>
    <c:plotVisOnly val="1"/>
    <c:dispBlanksAs val="gap"/>
    <c:showDLblsOverMax val="0"/>
  </c:chart>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654977607353"/>
          <c:y val="0.047523138555049"/>
          <c:w val="0.242117495536106"/>
          <c:h val="0.428484251968504"/>
        </c:manualLayout>
      </c:layout>
      <c:pieChart>
        <c:varyColors val="1"/>
        <c:ser>
          <c:idx val="0"/>
          <c:order val="0"/>
          <c:tx>
            <c:strRef>
              <c:f>'[决算编制说明图标 (1).xls]Sheet2'!$C$1:$C$2</c:f>
              <c:strCache>
                <c:ptCount val="1"/>
                <c:pt idx="0">
                  <c:v>2018年支出决算数与年初预算数对比表 支出决算数</c:v>
                </c:pt>
              </c:strCache>
            </c:strRef>
          </c:tx>
          <c:spPr/>
          <c:explosion val="8"/>
          <c:dPt>
            <c:idx val="0"/>
            <c:bubble3D val="0"/>
            <c:spPr>
              <a:solidFill>
                <a:schemeClr val="accent1">
                  <a:shade val="58000"/>
                </a:schemeClr>
              </a:solidFill>
              <a:ln w="19050">
                <a:solidFill>
                  <a:schemeClr val="lt1"/>
                </a:solidFill>
              </a:ln>
              <a:effectLst/>
            </c:spPr>
          </c:dPt>
          <c:dPt>
            <c:idx val="1"/>
            <c:bubble3D val="0"/>
            <c:spPr>
              <a:solidFill>
                <a:schemeClr val="accent2">
                  <a:shade val="58000"/>
                </a:schemeClr>
              </a:solidFill>
              <a:ln w="19050">
                <a:solidFill>
                  <a:schemeClr val="lt1"/>
                </a:solidFill>
              </a:ln>
              <a:effectLst/>
            </c:spPr>
          </c:dPt>
          <c:dPt>
            <c:idx val="2"/>
            <c:bubble3D val="0"/>
            <c:spPr>
              <a:solidFill>
                <a:schemeClr val="accent3">
                  <a:shade val="58000"/>
                </a:schemeClr>
              </a:solidFill>
              <a:ln w="19050">
                <a:solidFill>
                  <a:schemeClr val="lt1"/>
                </a:solidFill>
              </a:ln>
              <a:effectLst/>
            </c:spPr>
          </c:dPt>
          <c:dPt>
            <c:idx val="3"/>
            <c:bubble3D val="0"/>
            <c:spPr>
              <a:solidFill>
                <a:schemeClr val="accent4">
                  <a:shade val="58000"/>
                </a:schemeClr>
              </a:solidFill>
              <a:ln w="19050">
                <a:solidFill>
                  <a:schemeClr val="lt1"/>
                </a:solidFill>
              </a:ln>
              <a:effectLst/>
            </c:spPr>
          </c:dPt>
          <c:dPt>
            <c:idx val="4"/>
            <c:bubble3D val="0"/>
            <c:spPr>
              <a:solidFill>
                <a:schemeClr val="accent5">
                  <a:shade val="58000"/>
                </a:schemeClr>
              </a:solidFill>
              <a:ln w="19050">
                <a:solidFill>
                  <a:schemeClr val="lt1"/>
                </a:solidFill>
              </a:ln>
              <a:effectLst/>
            </c:spPr>
          </c:dPt>
          <c:dPt>
            <c:idx val="5"/>
            <c:bubble3D val="0"/>
            <c:spPr>
              <a:solidFill>
                <a:schemeClr val="accent6">
                  <a:shade val="58000"/>
                </a:schemeClr>
              </a:solidFill>
              <a:ln w="19050">
                <a:solidFill>
                  <a:schemeClr val="lt1"/>
                </a:solidFill>
              </a:ln>
              <a:effectLst/>
            </c:spPr>
          </c:dPt>
          <c:dPt>
            <c:idx val="6"/>
            <c:bubble3D val="0"/>
            <c:spPr>
              <a:solidFill>
                <a:schemeClr val="accent1">
                  <a:shade val="86000"/>
                </a:schemeClr>
              </a:solidFill>
              <a:ln w="19050">
                <a:solidFill>
                  <a:schemeClr val="lt1"/>
                </a:solidFill>
              </a:ln>
              <a:effectLst/>
            </c:spPr>
          </c:dPt>
          <c:dPt>
            <c:idx val="7"/>
            <c:bubble3D val="0"/>
            <c:spPr>
              <a:solidFill>
                <a:schemeClr val="accent2">
                  <a:shade val="86000"/>
                </a:schemeClr>
              </a:solidFill>
              <a:ln w="19050">
                <a:solidFill>
                  <a:schemeClr val="lt1"/>
                </a:solidFill>
              </a:ln>
              <a:effectLst/>
            </c:spPr>
          </c:dPt>
          <c:dPt>
            <c:idx val="8"/>
            <c:bubble3D val="0"/>
            <c:spPr>
              <a:solidFill>
                <a:schemeClr val="accent3">
                  <a:shade val="86000"/>
                </a:schemeClr>
              </a:solidFill>
              <a:ln w="19050">
                <a:solidFill>
                  <a:schemeClr val="lt1"/>
                </a:solidFill>
              </a:ln>
              <a:effectLst/>
            </c:spPr>
          </c:dPt>
          <c:dPt>
            <c:idx val="9"/>
            <c:bubble3D val="0"/>
            <c:spPr>
              <a:solidFill>
                <a:schemeClr val="accent4">
                  <a:shade val="86000"/>
                </a:schemeClr>
              </a:solidFill>
              <a:ln w="19050">
                <a:solidFill>
                  <a:schemeClr val="lt1"/>
                </a:solidFill>
              </a:ln>
              <a:effectLst/>
            </c:spPr>
          </c:dPt>
          <c:dPt>
            <c:idx val="10"/>
            <c:bubble3D val="0"/>
            <c:spPr>
              <a:solidFill>
                <a:schemeClr val="accent5">
                  <a:shade val="86000"/>
                </a:schemeClr>
              </a:solidFill>
              <a:ln w="19050">
                <a:solidFill>
                  <a:schemeClr val="lt1"/>
                </a:solidFill>
              </a:ln>
              <a:effectLst/>
            </c:spPr>
          </c:dPt>
          <c:dPt>
            <c:idx val="11"/>
            <c:bubble3D val="0"/>
            <c:spPr>
              <a:solidFill>
                <a:schemeClr val="accent6">
                  <a:shade val="86000"/>
                </a:schemeClr>
              </a:solidFill>
              <a:ln w="19050">
                <a:solidFill>
                  <a:schemeClr val="lt1"/>
                </a:solidFill>
              </a:ln>
              <a:effectLst/>
            </c:spPr>
          </c:dPt>
          <c:dPt>
            <c:idx val="12"/>
            <c:bubble3D val="0"/>
            <c:spPr>
              <a:solidFill>
                <a:schemeClr val="accent1">
                  <a:tint val="86000"/>
                </a:schemeClr>
              </a:solidFill>
              <a:ln w="19050">
                <a:solidFill>
                  <a:schemeClr val="lt1"/>
                </a:solidFill>
              </a:ln>
              <a:effectLst/>
            </c:spPr>
          </c:dPt>
          <c:dPt>
            <c:idx val="13"/>
            <c:bubble3D val="0"/>
            <c:spPr>
              <a:solidFill>
                <a:schemeClr val="accent2">
                  <a:tint val="86000"/>
                </a:schemeClr>
              </a:solidFill>
              <a:ln w="19050">
                <a:solidFill>
                  <a:schemeClr val="lt1"/>
                </a:solidFill>
              </a:ln>
              <a:effectLst/>
            </c:spPr>
          </c:dPt>
          <c:dPt>
            <c:idx val="14"/>
            <c:bubble3D val="0"/>
            <c:spPr>
              <a:solidFill>
                <a:schemeClr val="accent3">
                  <a:tint val="86000"/>
                </a:schemeClr>
              </a:solidFill>
              <a:ln w="19050">
                <a:solidFill>
                  <a:schemeClr val="lt1"/>
                </a:solidFill>
              </a:ln>
              <a:effectLst/>
            </c:spPr>
          </c:dPt>
          <c:dPt>
            <c:idx val="15"/>
            <c:bubble3D val="0"/>
            <c:spPr>
              <a:solidFill>
                <a:schemeClr val="accent4">
                  <a:tint val="86000"/>
                </a:schemeClr>
              </a:solidFill>
              <a:ln w="19050">
                <a:solidFill>
                  <a:schemeClr val="lt1"/>
                </a:solidFill>
              </a:ln>
              <a:effectLst/>
            </c:spPr>
          </c:dPt>
          <c:dPt>
            <c:idx val="16"/>
            <c:bubble3D val="0"/>
            <c:spPr>
              <a:solidFill>
                <a:schemeClr val="accent5">
                  <a:tint val="86000"/>
                </a:schemeClr>
              </a:solidFill>
              <a:ln w="19050">
                <a:solidFill>
                  <a:schemeClr val="lt1"/>
                </a:solidFill>
              </a:ln>
              <a:effectLst/>
            </c:spPr>
          </c:dPt>
          <c:dPt>
            <c:idx val="17"/>
            <c:bubble3D val="0"/>
            <c:spPr>
              <a:solidFill>
                <a:schemeClr val="accent6">
                  <a:tint val="86000"/>
                </a:schemeClr>
              </a:solidFill>
              <a:ln w="19050">
                <a:solidFill>
                  <a:schemeClr val="lt1"/>
                </a:solidFill>
              </a:ln>
              <a:effectLst/>
            </c:spPr>
          </c:dPt>
          <c:dPt>
            <c:idx val="18"/>
            <c:bubble3D val="0"/>
            <c:spPr>
              <a:solidFill>
                <a:schemeClr val="accent1">
                  <a:tint val="58000"/>
                </a:schemeClr>
              </a:solidFill>
              <a:ln w="19050">
                <a:solidFill>
                  <a:schemeClr val="lt1"/>
                </a:solidFill>
              </a:ln>
              <a:effectLst/>
            </c:spPr>
          </c:dPt>
          <c:dPt>
            <c:idx val="19"/>
            <c:bubble3D val="0"/>
            <c:spPr>
              <a:solidFill>
                <a:schemeClr val="accent2">
                  <a:tint val="58000"/>
                </a:schemeClr>
              </a:solidFill>
              <a:ln w="19050">
                <a:solidFill>
                  <a:schemeClr val="lt1"/>
                </a:solidFill>
              </a:ln>
              <a:effectLst/>
            </c:spPr>
          </c:dPt>
          <c:dPt>
            <c:idx val="20"/>
            <c:bubble3D val="0"/>
            <c:explosion val="10"/>
            <c:spPr>
              <a:solidFill>
                <a:schemeClr val="accent3">
                  <a:tint val="58000"/>
                </a:schemeClr>
              </a:solidFill>
              <a:ln w="19050">
                <a:solidFill>
                  <a:schemeClr val="lt1"/>
                </a:solidFill>
              </a:ln>
              <a:effectLst/>
            </c:spPr>
          </c:dPt>
          <c:dLbls>
            <c:dLbl>
              <c:idx val="0"/>
              <c:layout>
                <c:manualLayout>
                  <c:x val="0.0118331525490583"/>
                  <c:y val="-0.026105873821609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08766393846761"/>
                  <c:y val="-0.01522842639593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28951779903363"/>
                  <c:y val="-0.023930384336475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739572034316142"/>
                  <c:y val="-0.0087019579405366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923971994872301"/>
                  <c:y val="-0.052211747643219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48013016467804"/>
                  <c:y val="-0.043509789702683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95148407454886"/>
                  <c:y val="-0.028136330674401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22867567301055"/>
                  <c:y val="0.07063089195068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11685238142195"/>
                  <c:y val="0.027121102248005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851000887486441"/>
                  <c:y val="0.001160261058738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990040429937876"/>
                  <c:y val="0.079477882523567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0.0332314367419387"/>
                  <c:y val="0.013052936910804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0.00364855536929297"/>
                  <c:y val="0.05873821609862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8"/>
              <c:layout>
                <c:manualLayout>
                  <c:x val="-0.101370673503599"/>
                  <c:y val="0.022417871395458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9"/>
              <c:layout>
                <c:manualLayout>
                  <c:x val="-0.0281037373040134"/>
                  <c:y val="-0.016388687454677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0"/>
              <c:layout>
                <c:manualLayout>
                  <c:x val="-0.041416033921704"/>
                  <c:y val="-0.026496648624124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'[决算编制说明图标 (1).xls]Sheet2'!$A$3:$B$23</c:f>
              <c:multiLvlStrCache>
                <c:ptCount val="21"/>
                <c:lvl>
                  <c:pt idx="0">
                    <c:v>  行政运行</c:v>
                  </c:pt>
                  <c:pt idx="1">
                    <c:v>  人大会议</c:v>
                  </c:pt>
                  <c:pt idx="2">
                    <c:v>  行政运行</c:v>
                  </c:pt>
                  <c:pt idx="3">
                    <c:v>  行政运行</c:v>
                  </c:pt>
                  <c:pt idx="4">
                    <c:v>  行政运行</c:v>
                  </c:pt>
                  <c:pt idx="5">
                    <c:v>  行政运行</c:v>
                  </c:pt>
                  <c:pt idx="6">
                    <c:v>  机关事业单位基本养老保险缴费支出</c:v>
                  </c:pt>
                  <c:pt idx="7">
                    <c:v>  机关事业单位职业年金缴费支出 </c:v>
                  </c:pt>
                  <c:pt idx="8">
                    <c:v>  行政单位医疗 </c:v>
                  </c:pt>
                  <c:pt idx="9">
                    <c:v>  公务员医疗 </c:v>
                  </c:pt>
                  <c:pt idx="10">
                    <c:v>  其他一般公共服务支出</c:v>
                  </c:pt>
                  <c:pt idx="11">
                    <c:v>  基层政权建设和社区治理</c:v>
                  </c:pt>
                  <c:pt idx="12">
                    <c:v>  农业事业机构</c:v>
                  </c:pt>
                  <c:pt idx="13">
                    <c:v>  突发公共卫生事件应急处理</c:v>
                  </c:pt>
                  <c:pt idx="15">
                    <c:v>  对村民委员会和村党支部的补助</c:v>
                  </c:pt>
                  <c:pt idx="16">
                    <c:v>  住房公积金</c:v>
                  </c:pt>
                  <c:pt idx="17">
                    <c:v>  其他支出</c:v>
                  </c:pt>
                </c:lvl>
                <c:lvl>
                  <c:pt idx="0">
                    <c:v>2010101</c:v>
                  </c:pt>
                  <c:pt idx="1">
                    <c:v>2010104</c:v>
                  </c:pt>
                  <c:pt idx="2">
                    <c:v>2010301</c:v>
                  </c:pt>
                  <c:pt idx="3">
                    <c:v>2010399</c:v>
                  </c:pt>
                  <c:pt idx="4">
                    <c:v>2010601</c:v>
                  </c:pt>
                  <c:pt idx="5">
                    <c:v>2013101</c:v>
                  </c:pt>
                  <c:pt idx="6">
                    <c:v>2080505</c:v>
                  </c:pt>
                  <c:pt idx="7">
                    <c:v>2080506</c:v>
                  </c:pt>
                  <c:pt idx="8">
                    <c:v>2101101</c:v>
                  </c:pt>
                  <c:pt idx="9">
                    <c:v>2101102</c:v>
                  </c:pt>
                  <c:pt idx="10">
                    <c:v>2019999</c:v>
                  </c:pt>
                  <c:pt idx="11">
                    <c:v>2080208</c:v>
                  </c:pt>
                  <c:pt idx="12">
                    <c:v>2130204</c:v>
                  </c:pt>
                  <c:pt idx="13">
                    <c:v>2100410</c:v>
                  </c:pt>
                  <c:pt idx="15">
                    <c:v>2130705</c:v>
                  </c:pt>
                  <c:pt idx="16">
                    <c:v>2210201</c:v>
                  </c:pt>
                  <c:pt idx="17">
                    <c:v>2299901</c:v>
                  </c:pt>
                </c:lvl>
              </c:multiLvlStrCache>
            </c:multiLvlStrRef>
          </c:cat>
          <c:val>
            <c:numRef>
              <c:f>'[决算编制说明图标 (1).xls]Sheet2'!$C$3:$C$23</c:f>
              <c:numCache>
                <c:formatCode>#,##0.00</c:formatCode>
                <c:ptCount val="21"/>
                <c:pt idx="0">
                  <c:v>11.5</c:v>
                </c:pt>
                <c:pt idx="1">
                  <c:v>0.6</c:v>
                </c:pt>
                <c:pt idx="2">
                  <c:v>207.61</c:v>
                </c:pt>
                <c:pt idx="3">
                  <c:v>41.51</c:v>
                </c:pt>
                <c:pt idx="4">
                  <c:v>8.56</c:v>
                </c:pt>
                <c:pt idx="5">
                  <c:v>21.9</c:v>
                </c:pt>
                <c:pt idx="6">
                  <c:v>28.19</c:v>
                </c:pt>
                <c:pt idx="7">
                  <c:v>14.09</c:v>
                </c:pt>
                <c:pt idx="8">
                  <c:v>14.25</c:v>
                </c:pt>
                <c:pt idx="9">
                  <c:v>4.34</c:v>
                </c:pt>
                <c:pt idx="10">
                  <c:v>50.09</c:v>
                </c:pt>
                <c:pt idx="11">
                  <c:v>1000</c:v>
                </c:pt>
                <c:pt idx="12">
                  <c:v>490.9</c:v>
                </c:pt>
                <c:pt idx="13">
                  <c:v>47.5</c:v>
                </c:pt>
                <c:pt idx="15">
                  <c:v>167.52</c:v>
                </c:pt>
                <c:pt idx="16">
                  <c:v>30.93</c:v>
                </c:pt>
                <c:pt idx="17" c:formatCode="General">
                  <c:v>921.56</c:v>
                </c:pt>
              </c:numCache>
            </c:numRef>
          </c:val>
        </c:ser>
        <c:ser>
          <c:idx val="1"/>
          <c:order val="1"/>
          <c:tx>
            <c:strRef>
              <c:f>'[决算编制说明图标 (1).xls]Sheet2'!$D$1:$D$2</c:f>
              <c:strCache>
                <c:ptCount val="1"/>
                <c:pt idx="0">
                  <c:v>2018年支出决算数与年初预算数对比表 总收入</c:v>
                </c:pt>
              </c:strCache>
            </c:strRef>
          </c:tx>
          <c:spPr/>
          <c:explosion val="0"/>
          <c:dPt>
            <c:idx val="0"/>
            <c:bubble3D val="0"/>
            <c:spPr>
              <a:solidFill>
                <a:schemeClr val="accent1">
                  <a:shade val="58000"/>
                </a:schemeClr>
              </a:solidFill>
              <a:ln w="19050">
                <a:solidFill>
                  <a:schemeClr val="lt1"/>
                </a:solidFill>
              </a:ln>
              <a:effectLst/>
            </c:spPr>
          </c:dPt>
          <c:dPt>
            <c:idx val="1"/>
            <c:bubble3D val="0"/>
            <c:spPr>
              <a:solidFill>
                <a:schemeClr val="accent2">
                  <a:shade val="58000"/>
                </a:schemeClr>
              </a:solidFill>
              <a:ln w="19050">
                <a:solidFill>
                  <a:schemeClr val="lt1"/>
                </a:solidFill>
              </a:ln>
              <a:effectLst/>
            </c:spPr>
          </c:dPt>
          <c:dPt>
            <c:idx val="2"/>
            <c:bubble3D val="0"/>
            <c:spPr>
              <a:solidFill>
                <a:schemeClr val="accent3">
                  <a:shade val="58000"/>
                </a:schemeClr>
              </a:solidFill>
              <a:ln w="19050">
                <a:solidFill>
                  <a:schemeClr val="lt1"/>
                </a:solidFill>
              </a:ln>
              <a:effectLst/>
            </c:spPr>
          </c:dPt>
          <c:dPt>
            <c:idx val="3"/>
            <c:bubble3D val="0"/>
            <c:spPr>
              <a:solidFill>
                <a:schemeClr val="accent4">
                  <a:shade val="58000"/>
                </a:schemeClr>
              </a:solidFill>
              <a:ln w="19050">
                <a:solidFill>
                  <a:schemeClr val="lt1"/>
                </a:solidFill>
              </a:ln>
              <a:effectLst/>
            </c:spPr>
          </c:dPt>
          <c:dPt>
            <c:idx val="4"/>
            <c:bubble3D val="0"/>
            <c:spPr>
              <a:solidFill>
                <a:schemeClr val="accent5">
                  <a:shade val="58000"/>
                </a:schemeClr>
              </a:solidFill>
              <a:ln w="19050">
                <a:solidFill>
                  <a:schemeClr val="lt1"/>
                </a:solidFill>
              </a:ln>
              <a:effectLst/>
            </c:spPr>
          </c:dPt>
          <c:dPt>
            <c:idx val="5"/>
            <c:bubble3D val="0"/>
            <c:spPr>
              <a:solidFill>
                <a:schemeClr val="accent6">
                  <a:shade val="58000"/>
                </a:schemeClr>
              </a:solidFill>
              <a:ln w="19050">
                <a:solidFill>
                  <a:schemeClr val="lt1"/>
                </a:solidFill>
              </a:ln>
              <a:effectLst/>
            </c:spPr>
          </c:dPt>
          <c:dPt>
            <c:idx val="6"/>
            <c:bubble3D val="0"/>
            <c:spPr>
              <a:solidFill>
                <a:schemeClr val="accent1">
                  <a:shade val="86000"/>
                </a:schemeClr>
              </a:solidFill>
              <a:ln w="19050">
                <a:solidFill>
                  <a:schemeClr val="lt1"/>
                </a:solidFill>
              </a:ln>
              <a:effectLst/>
            </c:spPr>
          </c:dPt>
          <c:dPt>
            <c:idx val="7"/>
            <c:bubble3D val="0"/>
            <c:spPr>
              <a:solidFill>
                <a:schemeClr val="accent2">
                  <a:shade val="86000"/>
                </a:schemeClr>
              </a:solidFill>
              <a:ln w="19050">
                <a:solidFill>
                  <a:schemeClr val="lt1"/>
                </a:solidFill>
              </a:ln>
              <a:effectLst/>
            </c:spPr>
          </c:dPt>
          <c:dPt>
            <c:idx val="8"/>
            <c:bubble3D val="0"/>
            <c:spPr>
              <a:solidFill>
                <a:schemeClr val="accent3">
                  <a:shade val="86000"/>
                </a:schemeClr>
              </a:solidFill>
              <a:ln w="19050">
                <a:solidFill>
                  <a:schemeClr val="lt1"/>
                </a:solidFill>
              </a:ln>
              <a:effectLst/>
            </c:spPr>
          </c:dPt>
          <c:dPt>
            <c:idx val="9"/>
            <c:bubble3D val="0"/>
            <c:spPr>
              <a:solidFill>
                <a:schemeClr val="accent4">
                  <a:shade val="86000"/>
                </a:schemeClr>
              </a:solidFill>
              <a:ln w="19050">
                <a:solidFill>
                  <a:schemeClr val="lt1"/>
                </a:solidFill>
              </a:ln>
              <a:effectLst/>
            </c:spPr>
          </c:dPt>
          <c:dPt>
            <c:idx val="10"/>
            <c:bubble3D val="0"/>
            <c:spPr>
              <a:solidFill>
                <a:schemeClr val="accent5">
                  <a:shade val="86000"/>
                </a:schemeClr>
              </a:solidFill>
              <a:ln w="19050">
                <a:solidFill>
                  <a:schemeClr val="lt1"/>
                </a:solidFill>
              </a:ln>
              <a:effectLst/>
            </c:spPr>
          </c:dPt>
          <c:dPt>
            <c:idx val="11"/>
            <c:bubble3D val="0"/>
            <c:spPr>
              <a:solidFill>
                <a:schemeClr val="accent6">
                  <a:shade val="86000"/>
                </a:schemeClr>
              </a:solidFill>
              <a:ln w="19050">
                <a:solidFill>
                  <a:schemeClr val="lt1"/>
                </a:solidFill>
              </a:ln>
              <a:effectLst/>
            </c:spPr>
          </c:dPt>
          <c:dPt>
            <c:idx val="12"/>
            <c:bubble3D val="0"/>
            <c:spPr>
              <a:solidFill>
                <a:schemeClr val="accent1">
                  <a:tint val="86000"/>
                </a:schemeClr>
              </a:solidFill>
              <a:ln w="19050">
                <a:solidFill>
                  <a:schemeClr val="lt1"/>
                </a:solidFill>
              </a:ln>
              <a:effectLst/>
            </c:spPr>
          </c:dPt>
          <c:dPt>
            <c:idx val="13"/>
            <c:bubble3D val="0"/>
            <c:spPr>
              <a:solidFill>
                <a:schemeClr val="accent2">
                  <a:tint val="86000"/>
                </a:schemeClr>
              </a:solidFill>
              <a:ln w="19050">
                <a:solidFill>
                  <a:schemeClr val="lt1"/>
                </a:solidFill>
              </a:ln>
              <a:effectLst/>
            </c:spPr>
          </c:dPt>
          <c:dPt>
            <c:idx val="14"/>
            <c:bubble3D val="0"/>
            <c:spPr>
              <a:solidFill>
                <a:schemeClr val="accent3">
                  <a:tint val="86000"/>
                </a:schemeClr>
              </a:solidFill>
              <a:ln w="19050">
                <a:solidFill>
                  <a:schemeClr val="lt1"/>
                </a:solidFill>
              </a:ln>
              <a:effectLst/>
            </c:spPr>
          </c:dPt>
          <c:dPt>
            <c:idx val="15"/>
            <c:bubble3D val="0"/>
            <c:spPr>
              <a:solidFill>
                <a:schemeClr val="accent4">
                  <a:tint val="86000"/>
                </a:schemeClr>
              </a:solidFill>
              <a:ln w="19050">
                <a:solidFill>
                  <a:schemeClr val="lt1"/>
                </a:solidFill>
              </a:ln>
              <a:effectLst/>
            </c:spPr>
          </c:dPt>
          <c:dPt>
            <c:idx val="16"/>
            <c:bubble3D val="0"/>
            <c:spPr>
              <a:solidFill>
                <a:schemeClr val="accent5">
                  <a:tint val="86000"/>
                </a:schemeClr>
              </a:solidFill>
              <a:ln w="19050">
                <a:solidFill>
                  <a:schemeClr val="lt1"/>
                </a:solidFill>
              </a:ln>
              <a:effectLst/>
            </c:spPr>
          </c:dPt>
          <c:dPt>
            <c:idx val="17"/>
            <c:bubble3D val="0"/>
            <c:spPr>
              <a:solidFill>
                <a:schemeClr val="accent6">
                  <a:tint val="86000"/>
                </a:schemeClr>
              </a:solidFill>
              <a:ln w="19050">
                <a:solidFill>
                  <a:schemeClr val="lt1"/>
                </a:solidFill>
              </a:ln>
              <a:effectLst/>
            </c:spPr>
          </c:dPt>
          <c:dPt>
            <c:idx val="18"/>
            <c:bubble3D val="0"/>
            <c:spPr>
              <a:solidFill>
                <a:schemeClr val="accent1">
                  <a:tint val="58000"/>
                </a:schemeClr>
              </a:solidFill>
              <a:ln w="19050">
                <a:solidFill>
                  <a:schemeClr val="lt1"/>
                </a:solidFill>
              </a:ln>
              <a:effectLst/>
            </c:spPr>
          </c:dPt>
          <c:dPt>
            <c:idx val="19"/>
            <c:bubble3D val="0"/>
            <c:spPr>
              <a:solidFill>
                <a:schemeClr val="accent2">
                  <a:tint val="58000"/>
                </a:schemeClr>
              </a:solidFill>
              <a:ln w="19050">
                <a:solidFill>
                  <a:schemeClr val="lt1"/>
                </a:solidFill>
              </a:ln>
              <a:effectLst/>
            </c:spPr>
          </c:dPt>
          <c:dPt>
            <c:idx val="20"/>
            <c:bubble3D val="0"/>
            <c:spPr>
              <a:solidFill>
                <a:schemeClr val="accent3">
                  <a:tint val="58000"/>
                </a:schemeClr>
              </a:solidFill>
              <a:ln w="19050">
                <a:solidFill>
                  <a:schemeClr val="lt1"/>
                </a:solidFill>
              </a:ln>
              <a:effectLst/>
            </c:spPr>
          </c:dPt>
          <c:dLbls>
            <c:delete val="1"/>
          </c:dLbls>
          <c:cat>
            <c:multiLvlStrRef>
              <c:f>'[决算编制说明图标 (1).xls]Sheet2'!$A$3:$B$23</c:f>
              <c:multiLvlStrCache>
                <c:ptCount val="21"/>
                <c:lvl>
                  <c:pt idx="0">
                    <c:v>  行政运行</c:v>
                  </c:pt>
                  <c:pt idx="1">
                    <c:v>  人大会议</c:v>
                  </c:pt>
                  <c:pt idx="2">
                    <c:v>  行政运行</c:v>
                  </c:pt>
                  <c:pt idx="3">
                    <c:v>  行政运行</c:v>
                  </c:pt>
                  <c:pt idx="4">
                    <c:v>  行政运行</c:v>
                  </c:pt>
                  <c:pt idx="5">
                    <c:v>  行政运行</c:v>
                  </c:pt>
                  <c:pt idx="6">
                    <c:v>  机关事业单位基本养老保险缴费支出</c:v>
                  </c:pt>
                  <c:pt idx="7">
                    <c:v>  机关事业单位职业年金缴费支出 </c:v>
                  </c:pt>
                  <c:pt idx="8">
                    <c:v>  行政单位医疗 </c:v>
                  </c:pt>
                  <c:pt idx="9">
                    <c:v>  公务员医疗 </c:v>
                  </c:pt>
                  <c:pt idx="10">
                    <c:v>  其他一般公共服务支出</c:v>
                  </c:pt>
                  <c:pt idx="11">
                    <c:v>  基层政权建设和社区治理</c:v>
                  </c:pt>
                  <c:pt idx="12">
                    <c:v>  农业事业机构</c:v>
                  </c:pt>
                  <c:pt idx="13">
                    <c:v>  突发公共卫生事件应急处理</c:v>
                  </c:pt>
                  <c:pt idx="15">
                    <c:v>  对村民委员会和村党支部的补助</c:v>
                  </c:pt>
                  <c:pt idx="16">
                    <c:v>  住房公积金</c:v>
                  </c:pt>
                  <c:pt idx="17">
                    <c:v>  其他支出</c:v>
                  </c:pt>
                </c:lvl>
                <c:lvl>
                  <c:pt idx="0">
                    <c:v>2010101</c:v>
                  </c:pt>
                  <c:pt idx="1">
                    <c:v>2010104</c:v>
                  </c:pt>
                  <c:pt idx="2">
                    <c:v>2010301</c:v>
                  </c:pt>
                  <c:pt idx="3">
                    <c:v>2010399</c:v>
                  </c:pt>
                  <c:pt idx="4">
                    <c:v>2010601</c:v>
                  </c:pt>
                  <c:pt idx="5">
                    <c:v>2013101</c:v>
                  </c:pt>
                  <c:pt idx="6">
                    <c:v>2080505</c:v>
                  </c:pt>
                  <c:pt idx="7">
                    <c:v>2080506</c:v>
                  </c:pt>
                  <c:pt idx="8">
                    <c:v>2101101</c:v>
                  </c:pt>
                  <c:pt idx="9">
                    <c:v>2101102</c:v>
                  </c:pt>
                  <c:pt idx="10">
                    <c:v>2019999</c:v>
                  </c:pt>
                  <c:pt idx="11">
                    <c:v>2080208</c:v>
                  </c:pt>
                  <c:pt idx="12">
                    <c:v>2130204</c:v>
                  </c:pt>
                  <c:pt idx="13">
                    <c:v>2100410</c:v>
                  </c:pt>
                  <c:pt idx="15">
                    <c:v>2130705</c:v>
                  </c:pt>
                  <c:pt idx="16">
                    <c:v>2210201</c:v>
                  </c:pt>
                  <c:pt idx="17">
                    <c:v>2299901</c:v>
                  </c:pt>
                </c:lvl>
              </c:multiLvlStrCache>
            </c:multiLvlStrRef>
          </c:cat>
          <c:val>
            <c:numRef>
              <c:f>'[决算编制说明图标 (1).xls]Sheet2'!$D$3:$D$23</c:f>
              <c:numCache>
                <c:formatCode>0.00_);[Red]\(0.00\)</c:formatCode>
                <c:ptCount val="21"/>
                <c:pt idx="0">
                  <c:v>760.41</c:v>
                </c:pt>
                <c:pt idx="1">
                  <c:v>760.41</c:v>
                </c:pt>
                <c:pt idx="2">
                  <c:v>760.41</c:v>
                </c:pt>
                <c:pt idx="3">
                  <c:v>760.41</c:v>
                </c:pt>
                <c:pt idx="4">
                  <c:v>760.41</c:v>
                </c:pt>
                <c:pt idx="5">
                  <c:v>760.41</c:v>
                </c:pt>
                <c:pt idx="6">
                  <c:v>760.41</c:v>
                </c:pt>
                <c:pt idx="7">
                  <c:v>760.41</c:v>
                </c:pt>
                <c:pt idx="8">
                  <c:v>760.41</c:v>
                </c:pt>
                <c:pt idx="9">
                  <c:v>760.41</c:v>
                </c:pt>
                <c:pt idx="10">
                  <c:v>760.41</c:v>
                </c:pt>
                <c:pt idx="11">
                  <c:v>760.41</c:v>
                </c:pt>
                <c:pt idx="12">
                  <c:v>760.41</c:v>
                </c:pt>
                <c:pt idx="13">
                  <c:v>760.41</c:v>
                </c:pt>
                <c:pt idx="15">
                  <c:v>760.41</c:v>
                </c:pt>
                <c:pt idx="16">
                  <c:v>760.41</c:v>
                </c:pt>
                <c:pt idx="17">
                  <c:v>760.41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84236111111111"/>
          <c:y val="0.22037037037037"/>
          <c:w val="0.463611111111111"/>
          <c:h val="0.772685185185185"/>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'[决算编制说明图标 (1).xls]Sheet8'!$A$1:$A$4</c:f>
              <c:numCache>
                <c:ptCount val="0"/>
              </c:numCache>
            </c:numRef>
          </c:cat>
          <c:val>
            <c:numRef>
              <c:f>'[决算编制说明图标 (1).xls]Sheet8'!$B$1:$B$4</c:f>
              <c:numCache>
                <c:formatCode>General</c:formatCode>
                <c:ptCount val="4"/>
                <c:pt idx="0">
                  <c:v>22.14</c:v>
                </c:pt>
                <c:pt idx="1">
                  <c:v>368.33</c:v>
                </c:pt>
                <c:pt idx="2">
                  <c:v>270.39</c:v>
                </c:pt>
                <c:pt idx="3">
                  <c:v>189.94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收入支出对比表</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06086956521739"/>
          <c:y val="0.0277842093077101"/>
        </c:manualLayout>
      </c:layout>
      <c:overlay val="0"/>
    </c:title>
    <c:autoTitleDeleted val="0"/>
    <c:plotArea>
      <c:layout>
        <c:manualLayout>
          <c:layoutTarget val="inner"/>
          <c:xMode val="edge"/>
          <c:yMode val="edge"/>
          <c:x val="0.107400243447829"/>
          <c:y val="0.168993146689997"/>
          <c:w val="0.74988801399825"/>
          <c:h val="0.678939195100612"/>
        </c:manualLayout>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 (1).xls]Sheet1'!$A$2:$A$3</c:f>
              <c:numCache>
                <c:formatCode>General</c:formatCode>
                <c:ptCount val="2"/>
                <c:pt idx="0">
                  <c:v>2019</c:v>
                </c:pt>
                <c:pt idx="1">
                  <c:v>2020</c:v>
                </c:pt>
              </c:numCache>
            </c:numRef>
          </c:cat>
          <c:val>
            <c:numRef>
              <c:f>'[决算编制说明图标 (1).xls]Sheet1'!$B$2:$B$3</c:f>
              <c:numCache>
                <c:formatCode>General</c:formatCode>
                <c:ptCount val="2"/>
                <c:pt idx="0">
                  <c:v>637.14</c:v>
                </c:pt>
                <c:pt idx="1">
                  <c:v>760.41</c:v>
                </c:pt>
              </c:numCache>
            </c:numRef>
          </c:val>
        </c:ser>
        <c:ser>
          <c:idx val="1"/>
          <c:order val="1"/>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 (1).xls]Sheet1'!$A$2:$A$3</c:f>
              <c:numCache>
                <c:formatCode>General</c:formatCode>
                <c:ptCount val="2"/>
                <c:pt idx="0">
                  <c:v>2019</c:v>
                </c:pt>
                <c:pt idx="1">
                  <c:v>2020</c:v>
                </c:pt>
              </c:numCache>
            </c:numRef>
          </c:cat>
          <c:val>
            <c:numRef>
              <c:f>'[决算编制说明图标 (1).xls]Sheet1'!$C$2:$C$3</c:f>
              <c:numCache>
                <c:formatCode>General</c:formatCode>
                <c:ptCount val="2"/>
                <c:pt idx="0">
                  <c:v>800.1</c:v>
                </c:pt>
                <c:pt idx="1">
                  <c:v>850.8</c:v>
                </c:pt>
              </c:numCache>
            </c:numRef>
          </c:val>
        </c:ser>
        <c:dLbls>
          <c:showLegendKey val="0"/>
          <c:showVal val="0"/>
          <c:showCatName val="0"/>
          <c:showSerName val="0"/>
          <c:showPercent val="0"/>
          <c:showBubbleSize val="0"/>
        </c:dLbls>
        <c:gapWidth val="150"/>
        <c:axId val="130524672"/>
        <c:axId val="130526208"/>
      </c:barChart>
      <c:catAx>
        <c:axId val="130524672"/>
        <c:scaling>
          <c:orientation val="minMax"/>
        </c:scaling>
        <c:delete val="0"/>
        <c:axPos val="b"/>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526208"/>
        <c:crosses val="autoZero"/>
        <c:auto val="1"/>
        <c:lblAlgn val="ctr"/>
        <c:lblOffset val="100"/>
        <c:noMultiLvlLbl val="0"/>
      </c:catAx>
      <c:valAx>
        <c:axId val="130526208"/>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524672"/>
        <c:crosses val="autoZero"/>
        <c:crossBetween val="between"/>
      </c:valAx>
      <c:spPr>
        <a:noFill/>
        <a:ln w="3175">
          <a:noFill/>
        </a:ln>
      </c:spPr>
    </c:plotArea>
    <c:plotVisOnly val="1"/>
    <c:dispBlanksAs val="gap"/>
    <c:showDLblsOverMax val="0"/>
  </c:chart>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一般公共服务</c:v>
                </c:pt>
                <c:pt idx="1">
                  <c:v>社会保障就业</c:v>
                </c:pt>
                <c:pt idx="2">
                  <c:v>卫生健康支出</c:v>
                </c:pt>
                <c:pt idx="3">
                  <c:v>农林水支出</c:v>
                </c:pt>
                <c:pt idx="4">
                  <c:v>住房保障支出</c:v>
                </c:pt>
                <c:pt idx="5">
                  <c:v>其他支出</c:v>
                </c:pt>
              </c:strCache>
            </c:strRef>
          </c:cat>
          <c:val>
            <c:numRef>
              <c:f>Sheet1!$B$2:$B$7</c:f>
              <c:numCache>
                <c:formatCode>General</c:formatCode>
                <c:ptCount val="6"/>
                <c:pt idx="0">
                  <c:v>343.77</c:v>
                </c:pt>
                <c:pt idx="1">
                  <c:v>142.28</c:v>
                </c:pt>
                <c:pt idx="2">
                  <c:v>25.05</c:v>
                </c:pt>
                <c:pt idx="3">
                  <c:v>216.61</c:v>
                </c:pt>
                <c:pt idx="4">
                  <c:v>30.93</c:v>
                </c:pt>
                <c:pt idx="5">
                  <c:v>92.16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三公经费（万元）</a:t>
            </a:r>
            <a:endParaRPr sz="14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74319297044391"/>
          <c:y val="0.0416666666666667"/>
        </c:manualLayout>
      </c:layout>
      <c:overlay val="0"/>
    </c:title>
    <c:autoTitleDeleted val="0"/>
    <c:plotArea>
      <c:layout/>
      <c:barChart>
        <c:barDir val="col"/>
        <c:grouping val="clustered"/>
        <c:varyColors val="0"/>
        <c:ser>
          <c:idx val="0"/>
          <c:order val="0"/>
          <c:tx>
            <c:strRef>
              <c:f>'[决算编制说明图标 (1).xls]Sheet5'!$B$11</c:f>
              <c:strCache>
                <c:ptCount val="1"/>
                <c:pt idx="0">
                  <c:v>接待费</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'[决算编制说明图标 (1).xls]Sheet5'!$C$10:$D$10</c:f>
              <c:strCache>
                <c:ptCount val="2"/>
                <c:pt idx="0">
                  <c:v>2019年</c:v>
                </c:pt>
                <c:pt idx="1">
                  <c:v>2020年</c:v>
                </c:pt>
              </c:strCache>
            </c:strRef>
          </c:cat>
          <c:val>
            <c:numRef>
              <c:f>'[决算编制说明图标 (1).xls]Sheet5'!$C$11:$D$11</c:f>
              <c:numCache>
                <c:formatCode>General</c:formatCode>
                <c:ptCount val="2"/>
                <c:pt idx="0">
                  <c:v>0</c:v>
                </c:pt>
                <c:pt idx="1">
                  <c:v>0</c:v>
                </c:pt>
              </c:numCache>
            </c:numRef>
          </c:val>
        </c:ser>
        <c:ser>
          <c:idx val="1"/>
          <c:order val="1"/>
          <c:tx>
            <c:strRef>
              <c:f>'[决算编制说明图标 (1).xls]Sheet5'!$B$12</c:f>
              <c:strCache>
                <c:ptCount val="1"/>
                <c:pt idx="0">
                  <c:v>公务用车运行维护费</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'[决算编制说明图标 (1).xls]Sheet5'!$C$10:$D$10</c:f>
              <c:strCache>
                <c:ptCount val="2"/>
                <c:pt idx="0">
                  <c:v>2019年</c:v>
                </c:pt>
                <c:pt idx="1">
                  <c:v>2020年</c:v>
                </c:pt>
              </c:strCache>
            </c:strRef>
          </c:cat>
          <c:val>
            <c:numRef>
              <c:f>'[决算编制说明图标 (1).xls]Sheet5'!$C$12:$D$12</c:f>
              <c:numCache>
                <c:formatCode>General</c:formatCode>
                <c:ptCount val="2"/>
                <c:pt idx="0">
                  <c:v>40000</c:v>
                </c:pt>
                <c:pt idx="1">
                  <c:v>38000</c:v>
                </c:pt>
              </c:numCache>
            </c:numRef>
          </c:val>
        </c:ser>
        <c:dLbls>
          <c:showLegendKey val="0"/>
          <c:showVal val="0"/>
          <c:showCatName val="0"/>
          <c:showSerName val="0"/>
          <c:showPercent val="0"/>
          <c:showBubbleSize val="0"/>
        </c:dLbls>
        <c:gapWidth val="150"/>
        <c:axId val="130641920"/>
        <c:axId val="130643456"/>
      </c:barChart>
      <c:catAx>
        <c:axId val="130641920"/>
        <c:scaling>
          <c:orientation val="minMax"/>
        </c:scaling>
        <c:delete val="0"/>
        <c:axPos val="b"/>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643456"/>
        <c:crosses val="autoZero"/>
        <c:auto val="1"/>
        <c:lblAlgn val="ctr"/>
        <c:lblOffset val="100"/>
        <c:noMultiLvlLbl val="0"/>
      </c:catAx>
      <c:valAx>
        <c:axId val="130643456"/>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641920"/>
        <c:crosses val="autoZero"/>
        <c:crossBetween val="between"/>
      </c:valAx>
    </c:plotArea>
    <c:legend>
      <c:legendPos val="t"/>
      <c:layout>
        <c:manualLayout>
          <c:xMode val="edge"/>
          <c:yMode val="edge"/>
          <c:x val="0.5185"/>
          <c:y val="0.18275"/>
          <c:w val="0.468547134019046"/>
          <c:h val="0.0738180118381852"/>
        </c:manualLayout>
      </c:layout>
      <c:overlay val="0"/>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会议费（元）</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454972269770626"/>
          <c:y val="0.0509259259259259"/>
        </c:manualLayout>
      </c:layout>
      <c:overlay val="1"/>
    </c:title>
    <c:autoTitleDeleted val="0"/>
    <c:plotArea>
      <c:layout>
        <c:manualLayout>
          <c:layoutTarget val="inner"/>
          <c:xMode val="edge"/>
          <c:yMode val="edge"/>
          <c:x val="0.100155074365704"/>
          <c:y val="0.120844998541849"/>
          <c:w val="0.835956036745407"/>
          <c:h val="0.782642898804316"/>
        </c:manualLayout>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'[决算编制说明图标 (1).xls]Sheet5'!$B$2:$B$3</c:f>
              <c:strCache>
                <c:ptCount val="2"/>
                <c:pt idx="0">
                  <c:v>2019年</c:v>
                </c:pt>
                <c:pt idx="1">
                  <c:v>2020</c:v>
                </c:pt>
              </c:strCache>
            </c:strRef>
          </c:cat>
          <c:val>
            <c:numRef>
              <c:f>'[决算编制说明图标 (1).xls]Sheet5'!$C$2:$C$3</c:f>
              <c:numCache>
                <c:formatCode>General</c:formatCode>
                <c:ptCount val="2"/>
                <c:pt idx="0">
                  <c:v>21000</c:v>
                </c:pt>
                <c:pt idx="1">
                  <c:v>26026</c:v>
                </c:pt>
              </c:numCache>
            </c:numRef>
          </c:val>
        </c:ser>
        <c:dLbls>
          <c:showLegendKey val="0"/>
          <c:showVal val="0"/>
          <c:showCatName val="0"/>
          <c:showSerName val="0"/>
          <c:showPercent val="0"/>
          <c:showBubbleSize val="0"/>
        </c:dLbls>
        <c:gapWidth val="150"/>
        <c:axId val="130668032"/>
        <c:axId val="130669568"/>
      </c:barChart>
      <c:catAx>
        <c:axId val="130668032"/>
        <c:scaling>
          <c:orientation val="minMax"/>
        </c:scaling>
        <c:delete val="0"/>
        <c:axPos val="b"/>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669568"/>
        <c:crosses val="autoZero"/>
        <c:auto val="1"/>
        <c:lblAlgn val="ctr"/>
        <c:lblOffset val="100"/>
        <c:noMultiLvlLbl val="0"/>
      </c:catAx>
      <c:valAx>
        <c:axId val="130669568"/>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668032"/>
        <c:crosses val="autoZero"/>
        <c:crossBetween val="between"/>
      </c:valAx>
    </c:plotArea>
    <c:plotVisOnly val="1"/>
    <c:dispBlanksAs val="gap"/>
    <c:showDLblsOverMax val="0"/>
  </c:chart>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0CCDBA-B69A-4067-9BE7-F014F44C996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21</Pages>
  <Words>1413</Words>
  <Characters>8058</Characters>
  <Lines>67</Lines>
  <Paragraphs>18</Paragraphs>
  <TotalTime>2</TotalTime>
  <ScaleCrop>false</ScaleCrop>
  <LinksUpToDate>false</LinksUpToDate>
  <CharactersWithSpaces>9453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2021-09-22T02:37:00Z</cp:lastPrinted>
  <dcterms:modified xsi:type="dcterms:W3CDTF">2021-09-27T02:42:19Z</dcterms:modified>
  <dc:title>四川省***</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AF5C1963E19042B8BEF8B86B6B6FBF42</vt:lpwstr>
  </property>
</Properties>
</file>