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DBF4A">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193"/>
      <w:bookmarkStart w:id="2" w:name="_Toc15378441"/>
      <w:bookmarkStart w:id="3" w:name="_Toc15306267"/>
      <w:bookmarkStart w:id="4" w:name="_Toc15396475"/>
      <w:bookmarkStart w:id="5" w:name="_Toc15377425"/>
    </w:p>
    <w:p w14:paraId="0B4E094F">
      <w:pPr>
        <w:pStyle w:val="6"/>
        <w:rPr>
          <w:rFonts w:hint="eastAsia" w:ascii="Times New Roman" w:hAnsi="Times New Roman" w:eastAsia="方正小标宋简体" w:cs="Times New Roman"/>
          <w:color w:val="auto"/>
          <w:kern w:val="2"/>
          <w:sz w:val="72"/>
          <w:szCs w:val="72"/>
          <w:highlight w:val="none"/>
          <w:lang w:val="en-US" w:eastAsia="zh-CN" w:bidi="ar-SA"/>
        </w:rPr>
      </w:pPr>
    </w:p>
    <w:p w14:paraId="5B91F986">
      <w:pPr>
        <w:pStyle w:val="6"/>
        <w:rPr>
          <w:rFonts w:hint="eastAsia" w:ascii="Times New Roman" w:hAnsi="Times New Roman" w:eastAsia="方正小标宋简体" w:cs="Times New Roman"/>
          <w:color w:val="auto"/>
          <w:kern w:val="2"/>
          <w:sz w:val="72"/>
          <w:szCs w:val="72"/>
          <w:highlight w:val="none"/>
          <w:lang w:val="en-US" w:eastAsia="zh-CN" w:bidi="ar-SA"/>
        </w:rPr>
      </w:pPr>
    </w:p>
    <w:p w14:paraId="4330358A">
      <w:pPr>
        <w:pStyle w:val="6"/>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p>
    <w:p w14:paraId="6A22D8A6">
      <w:pPr>
        <w:pStyle w:val="6"/>
        <w:jc w:val="center"/>
        <w:outlineLvl w:val="0"/>
        <w:rPr>
          <w:rFonts w:hint="eastAsia" w:ascii="Times New Roman" w:eastAsia="方正小标宋简体" w:cs="Times New Roman"/>
          <w:color w:val="auto"/>
          <w:kern w:val="2"/>
          <w:sz w:val="44"/>
          <w:szCs w:val="44"/>
          <w:highlight w:val="none"/>
          <w:lang w:val="en-US" w:eastAsia="zh-CN" w:bidi="ar-SA"/>
        </w:rPr>
      </w:pPr>
      <w:bookmarkStart w:id="6" w:name="_Toc22473"/>
      <w:r>
        <w:rPr>
          <w:rFonts w:hint="eastAsia" w:ascii="Times New Roman" w:eastAsia="方正小标宋简体" w:cs="Times New Roman"/>
          <w:color w:val="auto"/>
          <w:kern w:val="2"/>
          <w:sz w:val="44"/>
          <w:szCs w:val="44"/>
          <w:highlight w:val="none"/>
          <w:lang w:val="en-US" w:eastAsia="zh-CN" w:bidi="ar-SA"/>
        </w:rPr>
        <w:t>金川县卡撒乡人民政府</w:t>
      </w:r>
      <w:bookmarkEnd w:id="6"/>
    </w:p>
    <w:p w14:paraId="29AA4273">
      <w:pPr>
        <w:pStyle w:val="6"/>
        <w:jc w:val="center"/>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eastAsia="方正小标宋简体" w:cs="Times New Roman"/>
          <w:color w:val="auto"/>
          <w:kern w:val="2"/>
          <w:sz w:val="44"/>
          <w:szCs w:val="44"/>
          <w:highlight w:val="none"/>
          <w:lang w:val="en-US" w:eastAsia="zh-CN" w:bidi="ar-SA"/>
        </w:rPr>
        <w:t>部门决算</w:t>
      </w:r>
    </w:p>
    <w:p w14:paraId="66CEB7B7">
      <w:pPr>
        <w:pStyle w:val="3"/>
        <w:jc w:val="both"/>
        <w:outlineLvl w:val="9"/>
        <w:rPr>
          <w:rFonts w:hint="eastAsia" w:ascii="Times New Roman" w:hAnsi="Times New Roman" w:eastAsia="方正小标宋简体" w:cs="方正小标宋简体"/>
          <w:b w:val="0"/>
          <w:color w:val="auto"/>
          <w:highlight w:val="none"/>
        </w:rPr>
      </w:pPr>
    </w:p>
    <w:bookmarkEnd w:id="0"/>
    <w:bookmarkEnd w:id="1"/>
    <w:bookmarkEnd w:id="2"/>
    <w:bookmarkEnd w:id="3"/>
    <w:bookmarkEnd w:id="4"/>
    <w:bookmarkEnd w:id="5"/>
    <w:sdt>
      <w:sdtPr>
        <w:rPr>
          <w:rFonts w:ascii="宋体" w:hAnsi="宋体" w:eastAsia="宋体" w:cs="Times New Roman"/>
          <w:kern w:val="2"/>
          <w:sz w:val="21"/>
          <w:szCs w:val="24"/>
          <w:lang w:val="en-US" w:eastAsia="zh-CN" w:bidi="ar-SA"/>
        </w:rPr>
        <w:id w:val="147451187"/>
        <w15:color w:val="DBDBDB"/>
        <w:docPartObj>
          <w:docPartGallery w:val="Table of Contents"/>
          <w:docPartUnique/>
        </w:docPartObj>
      </w:sdtPr>
      <w:sdtEndPr>
        <w:rPr>
          <w:rFonts w:hint="eastAsia" w:ascii="Times New Roman" w:hAnsi="Times New Roman" w:eastAsia="方正小标宋简体" w:cs="方正小标宋简体"/>
          <w:b w:val="0"/>
          <w:bCs/>
          <w:color w:val="auto"/>
          <w:kern w:val="44"/>
          <w:sz w:val="44"/>
          <w:szCs w:val="44"/>
          <w:highlight w:val="none"/>
          <w:lang w:val="en-US" w:eastAsia="zh-CN" w:bidi="ar-SA"/>
        </w:rPr>
      </w:sdtEndPr>
      <w:sdtContent>
        <w:p w14:paraId="7A367FDE">
          <w:pPr>
            <w:spacing w:before="0" w:beforeLines="0" w:after="0" w:afterLines="0" w:line="240" w:lineRule="auto"/>
            <w:ind w:left="0" w:leftChars="0" w:right="0" w:rightChars="0" w:firstLine="0" w:firstLineChars="0"/>
            <w:jc w:val="center"/>
            <w:rPr>
              <w:rFonts w:hint="eastAsia" w:ascii="黑体" w:hAnsi="黑体" w:eastAsia="黑体" w:cs="黑体"/>
              <w:b/>
              <w:bCs/>
              <w:sz w:val="44"/>
              <w:szCs w:val="44"/>
            </w:rPr>
          </w:pPr>
          <w:r>
            <w:rPr>
              <w:rFonts w:hint="eastAsia" w:ascii="黑体" w:hAnsi="黑体" w:eastAsia="黑体" w:cs="黑体"/>
              <w:b/>
              <w:bCs/>
              <w:sz w:val="44"/>
              <w:szCs w:val="44"/>
            </w:rPr>
            <w:t>目录</w:t>
          </w:r>
        </w:p>
        <w:p w14:paraId="5367BF53">
          <w:pPr>
            <w:pStyle w:val="12"/>
            <w:rPr>
              <w:rFonts w:hint="eastAsia"/>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26 </w:t>
          </w:r>
          <w:r>
            <w:rPr>
              <w:rFonts w:hint="eastAsia" w:ascii="Times New Roman" w:hAnsi="Times New Roman" w:eastAsia="仿宋_GB2312" w:cs="仿宋_GB2312"/>
              <w:color w:val="auto"/>
              <w:sz w:val="32"/>
              <w:szCs w:val="32"/>
              <w:highlight w:val="none"/>
            </w:rPr>
            <w:t>日</w:t>
          </w:r>
        </w:p>
        <w:p w14:paraId="74E372AD">
          <w:pPr>
            <w:pStyle w:val="37"/>
            <w:tabs>
              <w:tab w:val="right" w:leader="dot" w:pos="8306"/>
            </w:tabs>
            <w:rPr>
              <w:b/>
            </w:rPr>
          </w:pPr>
          <w:r>
            <w:rPr>
              <w:rFonts w:ascii="Times New Roman" w:hAnsi="Times New Roman" w:eastAsia="黑体"/>
              <w:color w:val="auto"/>
              <w:sz w:val="32"/>
              <w:szCs w:val="32"/>
              <w:highlight w:val="none"/>
            </w:rPr>
            <w:fldChar w:fldCharType="begin"/>
          </w:r>
          <w:r>
            <w:rPr>
              <w:rFonts w:ascii="Times New Roman" w:hAnsi="Times New Roman" w:eastAsia="黑体"/>
              <w:color w:val="auto"/>
              <w:sz w:val="32"/>
              <w:szCs w:val="32"/>
              <w:highlight w:val="none"/>
            </w:rPr>
            <w:instrText xml:space="preserve">TOC \o "1-2" \h \u </w:instrText>
          </w:r>
          <w:r>
            <w:rPr>
              <w:rFonts w:ascii="Times New Roman" w:hAnsi="Times New Roman" w:eastAsia="黑体"/>
              <w:color w:val="auto"/>
              <w:sz w:val="32"/>
              <w:szCs w:val="32"/>
              <w:highlight w:val="none"/>
            </w:rPr>
            <w:fldChar w:fldCharType="separate"/>
          </w:r>
        </w:p>
        <w:p w14:paraId="2C48A4FB">
          <w:pPr>
            <w:pStyle w:val="37"/>
            <w:tabs>
              <w:tab w:val="right" w:leader="dot" w:pos="8306"/>
            </w:tabs>
            <w:rPr>
              <w:rFonts w:hint="default" w:ascii="Times New Roman" w:hAnsi="Times New Roman" w:cs="Times New Roman"/>
              <w:b/>
              <w:sz w:val="30"/>
              <w:szCs w:val="30"/>
            </w:rPr>
          </w:pPr>
          <w:r>
            <w:rPr>
              <w:rFonts w:hint="default" w:ascii="Times New Roman" w:hAnsi="Times New Roman" w:eastAsia="黑体" w:cs="Times New Roman"/>
              <w:b/>
              <w:color w:val="auto"/>
              <w:sz w:val="30"/>
              <w:szCs w:val="30"/>
              <w:highlight w:val="none"/>
            </w:rPr>
            <w:fldChar w:fldCharType="begin"/>
          </w:r>
          <w:r>
            <w:rPr>
              <w:rFonts w:hint="default" w:ascii="Times New Roman" w:hAnsi="Times New Roman" w:eastAsia="黑体" w:cs="Times New Roman"/>
              <w:b/>
              <w:sz w:val="30"/>
              <w:szCs w:val="30"/>
              <w:highlight w:val="none"/>
            </w:rPr>
            <w:instrText xml:space="preserve"> HYPERLINK \l _Toc17019 </w:instrText>
          </w:r>
          <w:r>
            <w:rPr>
              <w:rFonts w:hint="default" w:ascii="Times New Roman" w:hAnsi="Times New Roman" w:eastAsia="黑体" w:cs="Times New Roman"/>
              <w:b/>
              <w:sz w:val="30"/>
              <w:szCs w:val="30"/>
              <w:highlight w:val="none"/>
            </w:rPr>
            <w:fldChar w:fldCharType="separate"/>
          </w:r>
          <w:r>
            <w:rPr>
              <w:rFonts w:hint="default" w:ascii="Times New Roman" w:hAnsi="Times New Roman" w:eastAsia="黑体" w:cs="Times New Roman"/>
              <w:b/>
              <w:sz w:val="30"/>
              <w:szCs w:val="30"/>
              <w:highlight w:val="none"/>
            </w:rPr>
            <w:t>第一部分 部门概况</w:t>
          </w:r>
          <w:r>
            <w:rPr>
              <w:rFonts w:hint="default" w:ascii="Times New Roman" w:hAnsi="Times New Roman" w:cs="Times New Roman"/>
              <w:b/>
              <w:sz w:val="30"/>
              <w:szCs w:val="30"/>
            </w:rPr>
            <w:tab/>
          </w:r>
          <w:r>
            <w:rPr>
              <w:rFonts w:hint="default" w:ascii="Times New Roman" w:hAnsi="Times New Roman" w:cs="Times New Roman"/>
              <w:b/>
              <w:sz w:val="30"/>
              <w:szCs w:val="30"/>
            </w:rPr>
            <w:fldChar w:fldCharType="begin"/>
          </w:r>
          <w:r>
            <w:rPr>
              <w:rFonts w:hint="default" w:ascii="Times New Roman" w:hAnsi="Times New Roman" w:cs="Times New Roman"/>
              <w:b/>
              <w:sz w:val="30"/>
              <w:szCs w:val="30"/>
            </w:rPr>
            <w:instrText xml:space="preserve"> PAGEREF _Toc17019 \h </w:instrText>
          </w:r>
          <w:r>
            <w:rPr>
              <w:rFonts w:hint="default" w:ascii="Times New Roman" w:hAnsi="Times New Roman" w:cs="Times New Roman"/>
              <w:b/>
              <w:sz w:val="30"/>
              <w:szCs w:val="30"/>
            </w:rPr>
            <w:fldChar w:fldCharType="separate"/>
          </w:r>
          <w:r>
            <w:rPr>
              <w:rFonts w:hint="default" w:ascii="Times New Roman" w:hAnsi="Times New Roman" w:cs="Times New Roman"/>
              <w:b/>
              <w:sz w:val="30"/>
              <w:szCs w:val="30"/>
            </w:rPr>
            <w:t xml:space="preserve">- </w:t>
          </w:r>
          <w:r>
            <w:rPr>
              <w:rFonts w:hint="default" w:ascii="Times New Roman" w:hAnsi="Times New Roman" w:cs="Times New Roman"/>
              <w:b w:val="0"/>
              <w:bCs/>
              <w:sz w:val="30"/>
              <w:szCs w:val="30"/>
            </w:rPr>
            <w:t xml:space="preserve">1 </w:t>
          </w:r>
          <w:r>
            <w:rPr>
              <w:rFonts w:hint="default" w:ascii="Times New Roman" w:hAnsi="Times New Roman" w:cs="Times New Roman"/>
              <w:b/>
              <w:sz w:val="30"/>
              <w:szCs w:val="30"/>
            </w:rPr>
            <w:t>-</w:t>
          </w:r>
          <w:r>
            <w:rPr>
              <w:rFonts w:hint="default" w:ascii="Times New Roman" w:hAnsi="Times New Roman" w:cs="Times New Roman"/>
              <w:b/>
              <w:sz w:val="30"/>
              <w:szCs w:val="30"/>
            </w:rPr>
            <w:fldChar w:fldCharType="end"/>
          </w:r>
          <w:r>
            <w:rPr>
              <w:rFonts w:hint="default" w:ascii="Times New Roman" w:hAnsi="Times New Roman" w:eastAsia="黑体" w:cs="Times New Roman"/>
              <w:b/>
              <w:color w:val="auto"/>
              <w:sz w:val="30"/>
              <w:szCs w:val="30"/>
              <w:highlight w:val="none"/>
            </w:rPr>
            <w:fldChar w:fldCharType="end"/>
          </w:r>
        </w:p>
        <w:p w14:paraId="24533B5D">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_Toc18946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一、</w:t>
          </w:r>
          <w:r>
            <w:rPr>
              <w:rFonts w:hint="default" w:ascii="Times New Roman" w:hAnsi="Times New Roman" w:eastAsia="仿宋_GB2312" w:cs="Times New Roman"/>
              <w:sz w:val="30"/>
              <w:szCs w:val="30"/>
              <w:highlight w:val="none"/>
              <w:lang w:eastAsia="zh-CN"/>
            </w:rPr>
            <w:t>部门职责</w:t>
          </w:r>
          <w:r>
            <w:rPr>
              <w:rFonts w:hint="default" w:ascii="Times New Roman" w:hAnsi="Times New Roman" w:cs="Times New Roman" w:eastAsiaTheme="minorEastAsia"/>
              <w:b/>
              <w:sz w:val="30"/>
              <w:szCs w:val="30"/>
            </w:rPr>
            <w:tab/>
          </w:r>
          <w:r>
            <w:rPr>
              <w:rFonts w:hint="default" w:ascii="Times New Roman" w:hAnsi="Times New Roman" w:cs="Times New Roman" w:eastAsiaTheme="minorEastAsia"/>
              <w:b w:val="0"/>
              <w:bCs/>
              <w:sz w:val="30"/>
              <w:szCs w:val="30"/>
            </w:rPr>
            <w:fldChar w:fldCharType="begin"/>
          </w:r>
          <w:r>
            <w:rPr>
              <w:rFonts w:hint="default" w:ascii="Times New Roman" w:hAnsi="Times New Roman" w:cs="Times New Roman" w:eastAsiaTheme="minorEastAsia"/>
              <w:b w:val="0"/>
              <w:bCs/>
              <w:sz w:val="30"/>
              <w:szCs w:val="30"/>
            </w:rPr>
            <w:instrText xml:space="preserve"> PAGEREF _Toc18946 \h </w:instrText>
          </w:r>
          <w:r>
            <w:rPr>
              <w:rFonts w:hint="default" w:ascii="Times New Roman" w:hAnsi="Times New Roman" w:cs="Times New Roman" w:eastAsiaTheme="minorEastAsia"/>
              <w:b w:val="0"/>
              <w:bCs/>
              <w:sz w:val="30"/>
              <w:szCs w:val="30"/>
            </w:rPr>
            <w:fldChar w:fldCharType="separate"/>
          </w:r>
          <w:r>
            <w:rPr>
              <w:rFonts w:hint="default" w:ascii="Times New Roman" w:hAnsi="Times New Roman" w:cs="Times New Roman" w:eastAsiaTheme="minorEastAsia"/>
              <w:b w:val="0"/>
              <w:bCs/>
              <w:sz w:val="30"/>
              <w:szCs w:val="30"/>
            </w:rPr>
            <w:t>- 3 -</w:t>
          </w:r>
          <w:r>
            <w:rPr>
              <w:rFonts w:hint="default" w:ascii="Times New Roman" w:hAnsi="Times New Roman" w:cs="Times New Roman" w:eastAsiaTheme="minorEastAsia"/>
              <w:b w:val="0"/>
              <w:bCs/>
              <w:sz w:val="30"/>
              <w:szCs w:val="30"/>
            </w:rPr>
            <w:fldChar w:fldCharType="end"/>
          </w:r>
          <w:r>
            <w:rPr>
              <w:rFonts w:hint="default" w:ascii="Times New Roman" w:hAnsi="Times New Roman" w:eastAsia="黑体" w:cs="Times New Roman"/>
              <w:color w:val="auto"/>
              <w:sz w:val="30"/>
              <w:szCs w:val="30"/>
              <w:highlight w:val="none"/>
            </w:rPr>
            <w:fldChar w:fldCharType="end"/>
          </w:r>
        </w:p>
        <w:p w14:paraId="1C2FDA3F">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_Toc12211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二、机构设置</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_Toc12211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- 4 -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4FBFF378">
          <w:pPr>
            <w:pStyle w:val="37"/>
            <w:tabs>
              <w:tab w:val="right" w:leader="dot" w:pos="8306"/>
            </w:tabs>
            <w:rPr>
              <w:rFonts w:hint="default" w:ascii="Times New Roman" w:hAnsi="Times New Roman" w:cs="Times New Roman"/>
              <w:b/>
              <w:sz w:val="30"/>
              <w:szCs w:val="30"/>
            </w:rPr>
          </w:pPr>
          <w:r>
            <w:rPr>
              <w:rFonts w:hint="default" w:ascii="Times New Roman" w:hAnsi="Times New Roman" w:eastAsia="黑体" w:cs="Times New Roman"/>
              <w:b/>
              <w:color w:val="auto"/>
              <w:sz w:val="30"/>
              <w:szCs w:val="30"/>
              <w:highlight w:val="none"/>
            </w:rPr>
            <w:fldChar w:fldCharType="begin"/>
          </w:r>
          <w:r>
            <w:rPr>
              <w:rFonts w:hint="default" w:ascii="Times New Roman" w:hAnsi="Times New Roman" w:eastAsia="黑体" w:cs="Times New Roman"/>
              <w:b/>
              <w:sz w:val="30"/>
              <w:szCs w:val="30"/>
              <w:highlight w:val="none"/>
            </w:rPr>
            <w:instrText xml:space="preserve"> HYPERLINK \l _Toc12263 </w:instrText>
          </w:r>
          <w:r>
            <w:rPr>
              <w:rFonts w:hint="default" w:ascii="Times New Roman" w:hAnsi="Times New Roman" w:eastAsia="黑体" w:cs="Times New Roman"/>
              <w:b/>
              <w:sz w:val="30"/>
              <w:szCs w:val="30"/>
              <w:highlight w:val="none"/>
            </w:rPr>
            <w:fldChar w:fldCharType="separate"/>
          </w:r>
          <w:r>
            <w:rPr>
              <w:rFonts w:hint="default" w:ascii="Times New Roman" w:hAnsi="Times New Roman" w:eastAsia="黑体" w:cs="Times New Roman"/>
              <w:b/>
              <w:sz w:val="30"/>
              <w:szCs w:val="30"/>
              <w:highlight w:val="none"/>
            </w:rPr>
            <w:t>第二部分</w:t>
          </w:r>
          <w:r>
            <w:rPr>
              <w:rFonts w:hint="default" w:ascii="Times New Roman" w:hAnsi="Times New Roman" w:eastAsia="黑体" w:cs="Times New Roman"/>
              <w:b/>
              <w:sz w:val="30"/>
              <w:szCs w:val="30"/>
              <w:highlight w:val="none"/>
              <w:lang w:val="en-US" w:eastAsia="zh-CN"/>
            </w:rPr>
            <w:t xml:space="preserve"> </w:t>
          </w:r>
          <w:r>
            <w:rPr>
              <w:rFonts w:hint="default" w:ascii="Times New Roman" w:hAnsi="Times New Roman" w:eastAsia="黑体" w:cs="Times New Roman"/>
              <w:b/>
              <w:sz w:val="30"/>
              <w:szCs w:val="30"/>
              <w:highlight w:val="none"/>
            </w:rPr>
            <w:t xml:space="preserve"> </w:t>
          </w:r>
          <w:r>
            <w:rPr>
              <w:rFonts w:hint="default" w:ascii="Times New Roman" w:hAnsi="Times New Roman" w:eastAsia="黑体" w:cs="Times New Roman"/>
              <w:b/>
              <w:sz w:val="30"/>
              <w:szCs w:val="30"/>
              <w:highlight w:val="none"/>
              <w:lang w:val="en-US" w:eastAsia="zh-CN"/>
            </w:rPr>
            <w:t>2024年度</w:t>
          </w:r>
          <w:r>
            <w:rPr>
              <w:rFonts w:hint="default" w:ascii="Times New Roman" w:hAnsi="Times New Roman" w:eastAsia="黑体" w:cs="Times New Roman"/>
              <w:b/>
              <w:sz w:val="30"/>
              <w:szCs w:val="30"/>
              <w:highlight w:val="none"/>
            </w:rPr>
            <w:t>部门决算情况说明</w:t>
          </w:r>
          <w:r>
            <w:rPr>
              <w:rFonts w:hint="default" w:ascii="Times New Roman" w:hAnsi="Times New Roman" w:cs="Times New Roman"/>
              <w:b/>
              <w:sz w:val="30"/>
              <w:szCs w:val="30"/>
            </w:rPr>
            <w:tab/>
          </w:r>
          <w:r>
            <w:rPr>
              <w:rFonts w:hint="default" w:ascii="Times New Roman" w:hAnsi="Times New Roman" w:cs="Times New Roman"/>
              <w:b/>
              <w:sz w:val="30"/>
              <w:szCs w:val="30"/>
            </w:rPr>
            <w:fldChar w:fldCharType="begin"/>
          </w:r>
          <w:r>
            <w:rPr>
              <w:rFonts w:hint="default" w:ascii="Times New Roman" w:hAnsi="Times New Roman" w:cs="Times New Roman"/>
              <w:b/>
              <w:sz w:val="30"/>
              <w:szCs w:val="30"/>
            </w:rPr>
            <w:instrText xml:space="preserve"> PAGEREF _Toc12263 \h </w:instrText>
          </w:r>
          <w:r>
            <w:rPr>
              <w:rFonts w:hint="default" w:ascii="Times New Roman" w:hAnsi="Times New Roman" w:cs="Times New Roman"/>
              <w:b/>
              <w:sz w:val="30"/>
              <w:szCs w:val="30"/>
            </w:rPr>
            <w:fldChar w:fldCharType="separate"/>
          </w:r>
          <w:r>
            <w:rPr>
              <w:rFonts w:hint="default" w:ascii="Times New Roman" w:hAnsi="Times New Roman" w:cs="Times New Roman"/>
              <w:b/>
              <w:sz w:val="30"/>
              <w:szCs w:val="30"/>
            </w:rPr>
            <w:t>- 6 -</w:t>
          </w:r>
          <w:r>
            <w:rPr>
              <w:rFonts w:hint="default" w:ascii="Times New Roman" w:hAnsi="Times New Roman" w:cs="Times New Roman"/>
              <w:b/>
              <w:sz w:val="30"/>
              <w:szCs w:val="30"/>
            </w:rPr>
            <w:fldChar w:fldCharType="end"/>
          </w:r>
          <w:r>
            <w:rPr>
              <w:rFonts w:hint="default" w:ascii="Times New Roman" w:hAnsi="Times New Roman" w:eastAsia="黑体" w:cs="Times New Roman"/>
              <w:b/>
              <w:color w:val="auto"/>
              <w:sz w:val="30"/>
              <w:szCs w:val="30"/>
              <w:highlight w:val="none"/>
            </w:rPr>
            <w:fldChar w:fldCharType="end"/>
          </w:r>
        </w:p>
        <w:p w14:paraId="7F85B002">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_Toc14278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一、收入支出决算总体情况说明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_Toc14278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- 6 -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19A65A70">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_Toc684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二、收入决算情况说明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_Toc684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- 6 -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4FAFFD69">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_Toc20237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三、支出决算情况说明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_Toc20237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- 7 -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7A892157">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_Toc31071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四、财政拨款收入支出决算总体情况说明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_Toc31071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- 7 -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2BFE65D5">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_Toc17269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五、一般公共预算财政拨款支出决算情况说明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_Toc17269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- 8 -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4CF8DDB5">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_Toc25539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六、一般公共预算财政拨款基本支出决算情况说明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_Toc25539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- 12 -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4EF3D2B3">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_Toc14873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七、财政拨款“三公”经费支出决算情况说明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_Toc14873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- 12 -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27181E3A">
          <w:pPr>
            <w:pStyle w:val="38"/>
            <w:tabs>
              <w:tab w:val="right" w:leader="dot" w:pos="8306"/>
            </w:tabs>
            <w:rPr>
              <w:rFonts w:hint="default" w:ascii="Times New Roman" w:hAnsi="Times New Roman" w:cs="Times New Roman"/>
              <w:sz w:val="30"/>
              <w:szCs w:val="30"/>
            </w:rPr>
          </w:pPr>
          <w:r>
            <w:rPr>
              <w:rFonts w:hint="default" w:ascii="Times New Roman" w:hAnsi="Times New Roman" w:eastAsia="黑体" w:cs="Times New Roman"/>
              <w:color w:val="auto"/>
              <w:sz w:val="30"/>
              <w:szCs w:val="30"/>
              <w:highlight w:val="none"/>
            </w:rPr>
            <w:fldChar w:fldCharType="begin"/>
          </w:r>
          <w:r>
            <w:rPr>
              <w:rFonts w:hint="default" w:ascii="Times New Roman" w:hAnsi="Times New Roman" w:eastAsia="黑体" w:cs="Times New Roman"/>
              <w:sz w:val="30"/>
              <w:szCs w:val="30"/>
              <w:highlight w:val="none"/>
            </w:rPr>
            <w:instrText xml:space="preserve"> HYPERLINK \l _Toc14470 </w:instrText>
          </w:r>
          <w:r>
            <w:rPr>
              <w:rFonts w:hint="default" w:ascii="Times New Roman" w:hAnsi="Times New Roman" w:eastAsia="黑体" w:cs="Times New Roman"/>
              <w:sz w:val="30"/>
              <w:szCs w:val="30"/>
              <w:highlight w:val="none"/>
            </w:rPr>
            <w:fldChar w:fldCharType="separate"/>
          </w:r>
          <w:r>
            <w:rPr>
              <w:rFonts w:hint="default" w:ascii="Times New Roman" w:hAnsi="Times New Roman" w:eastAsia="仿宋_GB2312" w:cs="Times New Roman"/>
              <w:sz w:val="30"/>
              <w:szCs w:val="30"/>
              <w:lang w:eastAsia="zh-CN"/>
            </w:rPr>
            <w:t>八、政府性基金预算支出决算情况说明</w:t>
          </w:r>
          <w:r>
            <w:rPr>
              <w:rFonts w:hint="default" w:ascii="Times New Roman" w:hAnsi="Times New Roman" w:cs="Times New Roman"/>
              <w:sz w:val="30"/>
              <w:szCs w:val="30"/>
            </w:rPr>
            <w:tab/>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PAGEREF _Toc14470 \h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- 13 -</w:t>
          </w:r>
          <w:r>
            <w:rPr>
              <w:rFonts w:hint="default" w:ascii="Times New Roman" w:hAnsi="Times New Roman" w:cs="Times New Roman"/>
              <w:sz w:val="30"/>
              <w:szCs w:val="30"/>
            </w:rPr>
            <w:fldChar w:fldCharType="end"/>
          </w:r>
          <w:r>
            <w:rPr>
              <w:rFonts w:hint="default" w:ascii="Times New Roman" w:hAnsi="Times New Roman" w:eastAsia="黑体" w:cs="Times New Roman"/>
              <w:color w:val="auto"/>
              <w:sz w:val="30"/>
              <w:szCs w:val="30"/>
              <w:highlight w:val="none"/>
            </w:rPr>
            <w:fldChar w:fldCharType="end"/>
          </w:r>
        </w:p>
        <w:p w14:paraId="4BE232CB">
          <w:pPr>
            <w:pStyle w:val="38"/>
            <w:tabs>
              <w:tab w:val="right" w:leader="dot" w:pos="8306"/>
            </w:tabs>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eastAsia="zh-CN"/>
            </w:rPr>
            <w:fldChar w:fldCharType="begin"/>
          </w:r>
          <w:r>
            <w:rPr>
              <w:rFonts w:hint="default" w:ascii="Times New Roman" w:hAnsi="Times New Roman" w:eastAsia="仿宋_GB2312" w:cs="Times New Roman"/>
              <w:sz w:val="30"/>
              <w:szCs w:val="30"/>
              <w:lang w:eastAsia="zh-CN"/>
            </w:rPr>
            <w:instrText xml:space="preserve"> HYPERLINK \l _Toc865 </w:instrText>
          </w:r>
          <w:r>
            <w:rPr>
              <w:rFonts w:hint="default" w:ascii="Times New Roman" w:hAnsi="Times New Roman" w:eastAsia="仿宋_GB2312" w:cs="Times New Roman"/>
              <w:sz w:val="30"/>
              <w:szCs w:val="30"/>
              <w:lang w:eastAsia="zh-CN"/>
            </w:rPr>
            <w:fldChar w:fldCharType="separate"/>
          </w:r>
          <w:r>
            <w:rPr>
              <w:rFonts w:hint="default" w:ascii="Times New Roman" w:hAnsi="Times New Roman" w:eastAsia="仿宋_GB2312" w:cs="Times New Roman"/>
              <w:sz w:val="30"/>
              <w:szCs w:val="30"/>
              <w:lang w:eastAsia="zh-CN"/>
            </w:rPr>
            <w:t>九、国有资本经营预算支出决算情况说明</w:t>
          </w:r>
          <w:r>
            <w:rPr>
              <w:rFonts w:hint="default" w:ascii="Times New Roman" w:hAnsi="Times New Roman" w:eastAsia="仿宋_GB2312" w:cs="Times New Roman"/>
              <w:sz w:val="30"/>
              <w:szCs w:val="30"/>
              <w:lang w:eastAsia="zh-CN"/>
            </w:rPr>
            <w:tab/>
          </w:r>
          <w:r>
            <w:rPr>
              <w:rFonts w:hint="default" w:ascii="Times New Roman" w:hAnsi="Times New Roman" w:eastAsia="仿宋_GB2312" w:cs="Times New Roman"/>
              <w:sz w:val="30"/>
              <w:szCs w:val="30"/>
              <w:lang w:eastAsia="zh-CN"/>
            </w:rPr>
            <w:fldChar w:fldCharType="begin"/>
          </w:r>
          <w:r>
            <w:rPr>
              <w:rFonts w:hint="default" w:ascii="Times New Roman" w:hAnsi="Times New Roman" w:eastAsia="仿宋_GB2312" w:cs="Times New Roman"/>
              <w:sz w:val="30"/>
              <w:szCs w:val="30"/>
              <w:lang w:eastAsia="zh-CN"/>
            </w:rPr>
            <w:instrText xml:space="preserve"> PAGEREF _Toc865 \h </w:instrText>
          </w:r>
          <w:r>
            <w:rPr>
              <w:rFonts w:hint="default" w:ascii="Times New Roman" w:hAnsi="Times New Roman" w:eastAsia="仿宋_GB2312" w:cs="Times New Roman"/>
              <w:sz w:val="30"/>
              <w:szCs w:val="30"/>
              <w:lang w:eastAsia="zh-CN"/>
            </w:rPr>
            <w:fldChar w:fldCharType="separate"/>
          </w:r>
          <w:r>
            <w:rPr>
              <w:rFonts w:hint="default" w:ascii="Times New Roman" w:hAnsi="Times New Roman" w:eastAsia="仿宋_GB2312" w:cs="Times New Roman"/>
              <w:sz w:val="30"/>
              <w:szCs w:val="30"/>
              <w:lang w:eastAsia="zh-CN"/>
            </w:rPr>
            <w:t>- 14 -</w:t>
          </w:r>
          <w:r>
            <w:rPr>
              <w:rFonts w:hint="default" w:ascii="Times New Roman" w:hAnsi="Times New Roman" w:eastAsia="仿宋_GB2312" w:cs="Times New Roman"/>
              <w:sz w:val="30"/>
              <w:szCs w:val="30"/>
              <w:lang w:eastAsia="zh-CN"/>
            </w:rPr>
            <w:fldChar w:fldCharType="end"/>
          </w:r>
          <w:r>
            <w:rPr>
              <w:rFonts w:hint="default" w:ascii="Times New Roman" w:hAnsi="Times New Roman" w:eastAsia="仿宋_GB2312" w:cs="Times New Roman"/>
              <w:sz w:val="30"/>
              <w:szCs w:val="30"/>
              <w:lang w:eastAsia="zh-CN"/>
            </w:rPr>
            <w:fldChar w:fldCharType="end"/>
          </w:r>
        </w:p>
        <w:p w14:paraId="307E4E8B">
          <w:pPr>
            <w:pStyle w:val="38"/>
            <w:tabs>
              <w:tab w:val="right" w:leader="dot" w:pos="8306"/>
            </w:tabs>
            <w:rPr>
              <w:rFonts w:hint="default" w:ascii="Times New Roman" w:hAnsi="Times New Roman" w:eastAsia="黑体" w:cs="Times New Roman"/>
              <w:b/>
              <w:sz w:val="30"/>
              <w:szCs w:val="30"/>
              <w:highlight w:val="none"/>
            </w:rPr>
          </w:pPr>
          <w:r>
            <w:rPr>
              <w:rFonts w:hint="default" w:ascii="Times New Roman" w:hAnsi="Times New Roman" w:eastAsia="仿宋_GB2312" w:cs="Times New Roman"/>
              <w:sz w:val="30"/>
              <w:szCs w:val="30"/>
              <w:lang w:eastAsia="zh-CN"/>
            </w:rPr>
            <w:fldChar w:fldCharType="begin"/>
          </w:r>
          <w:r>
            <w:rPr>
              <w:rFonts w:hint="default" w:ascii="Times New Roman" w:hAnsi="Times New Roman" w:eastAsia="仿宋_GB2312" w:cs="Times New Roman"/>
              <w:sz w:val="30"/>
              <w:szCs w:val="30"/>
              <w:lang w:eastAsia="zh-CN"/>
            </w:rPr>
            <w:instrText xml:space="preserve"> HYPERLINK \l _Toc12574 </w:instrText>
          </w:r>
          <w:r>
            <w:rPr>
              <w:rFonts w:hint="default" w:ascii="Times New Roman" w:hAnsi="Times New Roman" w:eastAsia="仿宋_GB2312" w:cs="Times New Roman"/>
              <w:sz w:val="30"/>
              <w:szCs w:val="30"/>
              <w:lang w:eastAsia="zh-CN"/>
            </w:rPr>
            <w:fldChar w:fldCharType="separate"/>
          </w:r>
          <w:r>
            <w:rPr>
              <w:rFonts w:hint="default" w:ascii="Times New Roman" w:hAnsi="Times New Roman" w:eastAsia="仿宋_GB2312" w:cs="Times New Roman"/>
              <w:sz w:val="30"/>
              <w:szCs w:val="30"/>
              <w:lang w:eastAsia="zh-CN"/>
            </w:rPr>
            <w:t>十、其他重要事项的情况说明</w:t>
          </w:r>
          <w:r>
            <w:rPr>
              <w:rFonts w:hint="default" w:ascii="Times New Roman" w:hAnsi="Times New Roman" w:eastAsia="仿宋_GB2312" w:cs="Times New Roman"/>
              <w:sz w:val="30"/>
              <w:szCs w:val="30"/>
              <w:lang w:eastAsia="zh-CN"/>
            </w:rPr>
            <w:tab/>
          </w:r>
          <w:r>
            <w:rPr>
              <w:rFonts w:hint="default" w:ascii="Times New Roman" w:hAnsi="Times New Roman" w:eastAsia="仿宋_GB2312" w:cs="Times New Roman"/>
              <w:sz w:val="30"/>
              <w:szCs w:val="30"/>
              <w:lang w:eastAsia="zh-CN"/>
            </w:rPr>
            <w:fldChar w:fldCharType="begin"/>
          </w:r>
          <w:r>
            <w:rPr>
              <w:rFonts w:hint="default" w:ascii="Times New Roman" w:hAnsi="Times New Roman" w:eastAsia="仿宋_GB2312" w:cs="Times New Roman"/>
              <w:sz w:val="30"/>
              <w:szCs w:val="30"/>
              <w:lang w:eastAsia="zh-CN"/>
            </w:rPr>
            <w:instrText xml:space="preserve"> PAGEREF _Toc12574 \h </w:instrText>
          </w:r>
          <w:r>
            <w:rPr>
              <w:rFonts w:hint="default" w:ascii="Times New Roman" w:hAnsi="Times New Roman" w:eastAsia="仿宋_GB2312" w:cs="Times New Roman"/>
              <w:sz w:val="30"/>
              <w:szCs w:val="30"/>
              <w:lang w:eastAsia="zh-CN"/>
            </w:rPr>
            <w:fldChar w:fldCharType="separate"/>
          </w:r>
          <w:r>
            <w:rPr>
              <w:rFonts w:hint="default" w:ascii="Times New Roman" w:hAnsi="Times New Roman" w:eastAsia="仿宋_GB2312" w:cs="Times New Roman"/>
              <w:sz w:val="30"/>
              <w:szCs w:val="30"/>
              <w:lang w:eastAsia="zh-CN"/>
            </w:rPr>
            <w:t>- 14 -</w:t>
          </w:r>
          <w:r>
            <w:rPr>
              <w:rFonts w:hint="default" w:ascii="Times New Roman" w:hAnsi="Times New Roman" w:eastAsia="仿宋_GB2312" w:cs="Times New Roman"/>
              <w:sz w:val="30"/>
              <w:szCs w:val="30"/>
              <w:lang w:eastAsia="zh-CN"/>
            </w:rPr>
            <w:fldChar w:fldCharType="end"/>
          </w:r>
          <w:r>
            <w:rPr>
              <w:rFonts w:hint="default" w:ascii="Times New Roman" w:hAnsi="Times New Roman" w:eastAsia="仿宋_GB2312" w:cs="Times New Roman"/>
              <w:sz w:val="30"/>
              <w:szCs w:val="30"/>
              <w:lang w:eastAsia="zh-CN"/>
            </w:rPr>
            <w:fldChar w:fldCharType="end"/>
          </w:r>
        </w:p>
        <w:p w14:paraId="0A242F0B">
          <w:pPr>
            <w:pStyle w:val="37"/>
            <w:tabs>
              <w:tab w:val="right" w:leader="dot" w:pos="8306"/>
            </w:tabs>
            <w:rPr>
              <w:rFonts w:hint="default" w:ascii="Times New Roman" w:hAnsi="Times New Roman" w:eastAsia="黑体" w:cs="Times New Roman"/>
              <w:b w:val="0"/>
              <w:bCs/>
              <w:sz w:val="30"/>
              <w:szCs w:val="30"/>
              <w:highlight w:val="none"/>
            </w:rPr>
          </w:pPr>
          <w:r>
            <w:rPr>
              <w:rFonts w:hint="default" w:ascii="Times New Roman" w:hAnsi="Times New Roman" w:eastAsia="黑体" w:cs="Times New Roman"/>
              <w:b w:val="0"/>
              <w:bCs/>
              <w:sz w:val="30"/>
              <w:szCs w:val="30"/>
              <w:highlight w:val="none"/>
            </w:rPr>
            <w:fldChar w:fldCharType="begin"/>
          </w:r>
          <w:r>
            <w:rPr>
              <w:rFonts w:hint="default" w:ascii="Times New Roman" w:hAnsi="Times New Roman" w:eastAsia="黑体" w:cs="Times New Roman"/>
              <w:b w:val="0"/>
              <w:bCs/>
              <w:sz w:val="30"/>
              <w:szCs w:val="30"/>
              <w:highlight w:val="none"/>
            </w:rPr>
            <w:instrText xml:space="preserve"> HYPERLINK \l _Toc6892 </w:instrText>
          </w:r>
          <w:r>
            <w:rPr>
              <w:rFonts w:hint="default" w:ascii="Times New Roman" w:hAnsi="Times New Roman" w:eastAsia="黑体" w:cs="Times New Roman"/>
              <w:b w:val="0"/>
              <w:bCs/>
              <w:sz w:val="30"/>
              <w:szCs w:val="30"/>
              <w:highlight w:val="none"/>
            </w:rPr>
            <w:fldChar w:fldCharType="separate"/>
          </w:r>
          <w:r>
            <w:rPr>
              <w:rFonts w:hint="default" w:ascii="Times New Roman" w:hAnsi="Times New Roman" w:eastAsia="黑体" w:cs="Times New Roman"/>
              <w:b/>
              <w:bCs w:val="0"/>
              <w:sz w:val="30"/>
              <w:szCs w:val="30"/>
              <w:highlight w:val="none"/>
            </w:rPr>
            <w:t>第</w:t>
          </w:r>
          <w:r>
            <w:rPr>
              <w:rFonts w:hint="default" w:ascii="Times New Roman" w:hAnsi="Times New Roman" w:eastAsia="黑体" w:cs="Times New Roman"/>
              <w:b/>
              <w:bCs w:val="0"/>
              <w:sz w:val="30"/>
              <w:szCs w:val="30"/>
              <w:highlight w:val="none"/>
              <w:lang w:eastAsia="zh-CN"/>
            </w:rPr>
            <w:t>三</w:t>
          </w:r>
          <w:r>
            <w:rPr>
              <w:rFonts w:hint="default" w:ascii="Times New Roman" w:hAnsi="Times New Roman" w:eastAsia="黑体" w:cs="Times New Roman"/>
              <w:b/>
              <w:bCs w:val="0"/>
              <w:sz w:val="30"/>
              <w:szCs w:val="30"/>
              <w:highlight w:val="none"/>
            </w:rPr>
            <w:t>部分</w:t>
          </w:r>
          <w:r>
            <w:rPr>
              <w:rFonts w:hint="default" w:ascii="Times New Roman" w:hAnsi="Times New Roman" w:eastAsia="黑体" w:cs="Times New Roman"/>
              <w:b/>
              <w:bCs w:val="0"/>
              <w:sz w:val="30"/>
              <w:szCs w:val="30"/>
              <w:highlight w:val="none"/>
              <w:lang w:val="en-US" w:eastAsia="zh-CN"/>
            </w:rPr>
            <w:t xml:space="preserve">  </w:t>
          </w:r>
          <w:r>
            <w:rPr>
              <w:rFonts w:hint="default" w:ascii="Times New Roman" w:hAnsi="Times New Roman" w:eastAsia="黑体" w:cs="Times New Roman"/>
              <w:b/>
              <w:bCs w:val="0"/>
              <w:sz w:val="30"/>
              <w:szCs w:val="30"/>
              <w:highlight w:val="none"/>
            </w:rPr>
            <w:t>名词解释</w:t>
          </w:r>
          <w:r>
            <w:rPr>
              <w:rFonts w:hint="default" w:ascii="Times New Roman" w:hAnsi="Times New Roman" w:eastAsia="黑体" w:cs="Times New Roman"/>
              <w:b w:val="0"/>
              <w:bCs/>
              <w:sz w:val="30"/>
              <w:szCs w:val="30"/>
              <w:highlight w:val="none"/>
            </w:rPr>
            <w:tab/>
          </w:r>
          <w:r>
            <w:rPr>
              <w:rFonts w:hint="default" w:ascii="Times New Roman" w:hAnsi="Times New Roman" w:eastAsia="黑体" w:cs="Times New Roman"/>
              <w:b w:val="0"/>
              <w:bCs/>
              <w:sz w:val="30"/>
              <w:szCs w:val="30"/>
              <w:highlight w:val="none"/>
            </w:rPr>
            <w:fldChar w:fldCharType="begin"/>
          </w:r>
          <w:r>
            <w:rPr>
              <w:rFonts w:hint="default" w:ascii="Times New Roman" w:hAnsi="Times New Roman" w:eastAsia="黑体" w:cs="Times New Roman"/>
              <w:b w:val="0"/>
              <w:bCs/>
              <w:sz w:val="30"/>
              <w:szCs w:val="30"/>
              <w:highlight w:val="none"/>
            </w:rPr>
            <w:instrText xml:space="preserve"> PAGEREF _Toc6892 \h </w:instrText>
          </w:r>
          <w:r>
            <w:rPr>
              <w:rFonts w:hint="default" w:ascii="Times New Roman" w:hAnsi="Times New Roman" w:eastAsia="黑体" w:cs="Times New Roman"/>
              <w:b w:val="0"/>
              <w:bCs/>
              <w:sz w:val="30"/>
              <w:szCs w:val="30"/>
              <w:highlight w:val="none"/>
            </w:rPr>
            <w:fldChar w:fldCharType="separate"/>
          </w:r>
          <w:r>
            <w:rPr>
              <w:rFonts w:hint="default" w:ascii="Times New Roman" w:hAnsi="Times New Roman" w:eastAsia="黑体" w:cs="Times New Roman"/>
              <w:b w:val="0"/>
              <w:bCs/>
              <w:sz w:val="30"/>
              <w:szCs w:val="30"/>
              <w:highlight w:val="none"/>
            </w:rPr>
            <w:t>- 16 -</w:t>
          </w:r>
          <w:r>
            <w:rPr>
              <w:rFonts w:hint="default" w:ascii="Times New Roman" w:hAnsi="Times New Roman" w:eastAsia="黑体" w:cs="Times New Roman"/>
              <w:b w:val="0"/>
              <w:bCs/>
              <w:sz w:val="30"/>
              <w:szCs w:val="30"/>
              <w:highlight w:val="none"/>
            </w:rPr>
            <w:fldChar w:fldCharType="end"/>
          </w:r>
          <w:r>
            <w:rPr>
              <w:rFonts w:hint="default" w:ascii="Times New Roman" w:hAnsi="Times New Roman" w:eastAsia="黑体" w:cs="Times New Roman"/>
              <w:b w:val="0"/>
              <w:bCs/>
              <w:sz w:val="30"/>
              <w:szCs w:val="30"/>
              <w:highlight w:val="none"/>
            </w:rPr>
            <w:fldChar w:fldCharType="end"/>
          </w:r>
        </w:p>
        <w:p w14:paraId="281B7090">
          <w:pPr>
            <w:pStyle w:val="37"/>
            <w:tabs>
              <w:tab w:val="right" w:leader="dot" w:pos="8306"/>
            </w:tabs>
            <w:rPr>
              <w:rFonts w:hint="default" w:ascii="Times New Roman" w:hAnsi="Times New Roman" w:cs="Times New Roman"/>
              <w:b w:val="0"/>
              <w:bCs/>
              <w:sz w:val="30"/>
              <w:szCs w:val="30"/>
            </w:rPr>
          </w:pPr>
          <w:r>
            <w:rPr>
              <w:rFonts w:hint="default" w:ascii="Times New Roman" w:hAnsi="Times New Roman" w:eastAsia="黑体" w:cs="Times New Roman"/>
              <w:b w:val="0"/>
              <w:bCs/>
              <w:sz w:val="30"/>
              <w:szCs w:val="30"/>
              <w:highlight w:val="none"/>
            </w:rPr>
            <w:fldChar w:fldCharType="begin"/>
          </w:r>
          <w:r>
            <w:rPr>
              <w:rFonts w:hint="default" w:ascii="Times New Roman" w:hAnsi="Times New Roman" w:eastAsia="黑体" w:cs="Times New Roman"/>
              <w:b w:val="0"/>
              <w:bCs/>
              <w:sz w:val="30"/>
              <w:szCs w:val="30"/>
              <w:highlight w:val="none"/>
            </w:rPr>
            <w:instrText xml:space="preserve"> HYPERLINK \l _Toc24955 </w:instrText>
          </w:r>
          <w:r>
            <w:rPr>
              <w:rFonts w:hint="default" w:ascii="Times New Roman" w:hAnsi="Times New Roman" w:eastAsia="黑体" w:cs="Times New Roman"/>
              <w:b w:val="0"/>
              <w:bCs/>
              <w:sz w:val="30"/>
              <w:szCs w:val="30"/>
              <w:highlight w:val="none"/>
            </w:rPr>
            <w:fldChar w:fldCharType="separate"/>
          </w:r>
          <w:r>
            <w:rPr>
              <w:rFonts w:hint="default" w:ascii="Times New Roman" w:hAnsi="Times New Roman" w:eastAsia="黑体" w:cs="Times New Roman"/>
              <w:b/>
              <w:bCs w:val="0"/>
              <w:sz w:val="30"/>
              <w:szCs w:val="30"/>
              <w:highlight w:val="none"/>
            </w:rPr>
            <w:t>第四部分</w:t>
          </w:r>
          <w:r>
            <w:rPr>
              <w:rFonts w:hint="default" w:ascii="Times New Roman" w:hAnsi="Times New Roman" w:eastAsia="黑体" w:cs="Times New Roman"/>
              <w:b/>
              <w:bCs w:val="0"/>
              <w:sz w:val="30"/>
              <w:szCs w:val="30"/>
              <w:highlight w:val="none"/>
              <w:lang w:val="en-US" w:eastAsia="zh-CN"/>
            </w:rPr>
            <w:t xml:space="preserve"> </w:t>
          </w:r>
          <w:r>
            <w:rPr>
              <w:rFonts w:hint="default" w:ascii="Times New Roman" w:hAnsi="Times New Roman" w:eastAsia="黑体" w:cs="Times New Roman"/>
              <w:b/>
              <w:bCs w:val="0"/>
              <w:sz w:val="30"/>
              <w:szCs w:val="30"/>
              <w:highlight w:val="none"/>
            </w:rPr>
            <w:t xml:space="preserve"> 附件</w:t>
          </w:r>
          <w:r>
            <w:rPr>
              <w:rFonts w:hint="default" w:ascii="Times New Roman" w:hAnsi="Times New Roman" w:eastAsia="黑体" w:cs="Times New Roman"/>
              <w:b w:val="0"/>
              <w:bCs/>
              <w:sz w:val="30"/>
              <w:szCs w:val="30"/>
              <w:highlight w:val="none"/>
            </w:rPr>
            <w:tab/>
          </w:r>
          <w:r>
            <w:rPr>
              <w:rFonts w:hint="default" w:ascii="Times New Roman" w:hAnsi="Times New Roman" w:eastAsia="黑体" w:cs="Times New Roman"/>
              <w:b w:val="0"/>
              <w:bCs/>
              <w:sz w:val="30"/>
              <w:szCs w:val="30"/>
              <w:highlight w:val="none"/>
            </w:rPr>
            <w:fldChar w:fldCharType="begin"/>
          </w:r>
          <w:r>
            <w:rPr>
              <w:rFonts w:hint="default" w:ascii="Times New Roman" w:hAnsi="Times New Roman" w:eastAsia="黑体" w:cs="Times New Roman"/>
              <w:b w:val="0"/>
              <w:bCs/>
              <w:sz w:val="30"/>
              <w:szCs w:val="30"/>
              <w:highlight w:val="none"/>
            </w:rPr>
            <w:instrText xml:space="preserve"> PAGEREF _Toc24955 \h </w:instrText>
          </w:r>
          <w:r>
            <w:rPr>
              <w:rFonts w:hint="default" w:ascii="Times New Roman" w:hAnsi="Times New Roman" w:eastAsia="黑体" w:cs="Times New Roman"/>
              <w:b w:val="0"/>
              <w:bCs/>
              <w:sz w:val="30"/>
              <w:szCs w:val="30"/>
              <w:highlight w:val="none"/>
            </w:rPr>
            <w:fldChar w:fldCharType="separate"/>
          </w:r>
          <w:r>
            <w:rPr>
              <w:rFonts w:hint="default" w:ascii="Times New Roman" w:hAnsi="Times New Roman" w:eastAsia="黑体" w:cs="Times New Roman"/>
              <w:b w:val="0"/>
              <w:bCs/>
              <w:sz w:val="30"/>
              <w:szCs w:val="30"/>
              <w:highlight w:val="none"/>
            </w:rPr>
            <w:t>- 19 -</w:t>
          </w:r>
          <w:r>
            <w:rPr>
              <w:rFonts w:hint="default" w:ascii="Times New Roman" w:hAnsi="Times New Roman" w:eastAsia="黑体" w:cs="Times New Roman"/>
              <w:b w:val="0"/>
              <w:bCs/>
              <w:sz w:val="30"/>
              <w:szCs w:val="30"/>
              <w:highlight w:val="none"/>
            </w:rPr>
            <w:fldChar w:fldCharType="end"/>
          </w:r>
          <w:r>
            <w:rPr>
              <w:rFonts w:hint="default" w:ascii="Times New Roman" w:hAnsi="Times New Roman" w:eastAsia="黑体" w:cs="Times New Roman"/>
              <w:b w:val="0"/>
              <w:bCs/>
              <w:sz w:val="30"/>
              <w:szCs w:val="30"/>
              <w:highlight w:val="none"/>
            </w:rPr>
            <w:fldChar w:fldCharType="end"/>
          </w:r>
        </w:p>
        <w:p w14:paraId="1FA5B8A9">
          <w:pPr>
            <w:pStyle w:val="37"/>
            <w:tabs>
              <w:tab w:val="right" w:leader="dot" w:pos="8306"/>
            </w:tabs>
            <w:rPr>
              <w:rFonts w:hint="default" w:ascii="Times New Roman" w:hAnsi="Times New Roman" w:cs="Times New Roman"/>
              <w:b/>
            </w:rPr>
          </w:pPr>
          <w:r>
            <w:rPr>
              <w:rFonts w:hint="default" w:ascii="Times New Roman" w:hAnsi="Times New Roman" w:eastAsia="黑体" w:cs="Times New Roman"/>
              <w:b w:val="0"/>
              <w:bCs/>
              <w:color w:val="auto"/>
              <w:sz w:val="30"/>
              <w:szCs w:val="30"/>
              <w:highlight w:val="none"/>
            </w:rPr>
            <w:fldChar w:fldCharType="begin"/>
          </w:r>
          <w:r>
            <w:rPr>
              <w:rFonts w:hint="default" w:ascii="Times New Roman" w:hAnsi="Times New Roman" w:eastAsia="黑体" w:cs="Times New Roman"/>
              <w:b w:val="0"/>
              <w:bCs/>
              <w:sz w:val="30"/>
              <w:szCs w:val="30"/>
              <w:highlight w:val="none"/>
            </w:rPr>
            <w:instrText xml:space="preserve"> HYPERLINK \l _Toc28190 </w:instrText>
          </w:r>
          <w:r>
            <w:rPr>
              <w:rFonts w:hint="default" w:ascii="Times New Roman" w:hAnsi="Times New Roman" w:eastAsia="黑体" w:cs="Times New Roman"/>
              <w:b w:val="0"/>
              <w:bCs/>
              <w:sz w:val="30"/>
              <w:szCs w:val="30"/>
              <w:highlight w:val="none"/>
            </w:rPr>
            <w:fldChar w:fldCharType="separate"/>
          </w:r>
          <w:r>
            <w:rPr>
              <w:rFonts w:hint="default" w:ascii="Times New Roman" w:hAnsi="Times New Roman" w:eastAsia="黑体" w:cs="Times New Roman"/>
              <w:b/>
              <w:bCs w:val="0"/>
              <w:sz w:val="30"/>
              <w:szCs w:val="30"/>
              <w:highlight w:val="none"/>
            </w:rPr>
            <w:t>第五部分 附表</w:t>
          </w:r>
          <w:r>
            <w:rPr>
              <w:rFonts w:hint="default" w:ascii="Times New Roman" w:hAnsi="Times New Roman" w:cs="Times New Roman"/>
              <w:b w:val="0"/>
              <w:bCs/>
              <w:sz w:val="30"/>
              <w:szCs w:val="30"/>
            </w:rPr>
            <w:tab/>
          </w:r>
          <w:r>
            <w:rPr>
              <w:rFonts w:hint="default" w:ascii="Times New Roman" w:hAnsi="Times New Roman" w:cs="Times New Roman"/>
              <w:b w:val="0"/>
              <w:bCs/>
              <w:sz w:val="30"/>
              <w:szCs w:val="30"/>
            </w:rPr>
            <w:fldChar w:fldCharType="begin"/>
          </w:r>
          <w:r>
            <w:rPr>
              <w:rFonts w:hint="default" w:ascii="Times New Roman" w:hAnsi="Times New Roman" w:cs="Times New Roman"/>
              <w:b w:val="0"/>
              <w:bCs/>
              <w:sz w:val="30"/>
              <w:szCs w:val="30"/>
            </w:rPr>
            <w:instrText xml:space="preserve"> PAGEREF _Toc28190 \h </w:instrText>
          </w:r>
          <w:r>
            <w:rPr>
              <w:rFonts w:hint="default" w:ascii="Times New Roman" w:hAnsi="Times New Roman" w:cs="Times New Roman"/>
              <w:b w:val="0"/>
              <w:bCs/>
              <w:sz w:val="30"/>
              <w:szCs w:val="30"/>
            </w:rPr>
            <w:fldChar w:fldCharType="separate"/>
          </w:r>
          <w:r>
            <w:rPr>
              <w:rFonts w:hint="default" w:ascii="Times New Roman" w:hAnsi="Times New Roman" w:cs="Times New Roman"/>
              <w:b w:val="0"/>
              <w:bCs/>
              <w:sz w:val="30"/>
              <w:szCs w:val="30"/>
            </w:rPr>
            <w:t>- 34 -</w:t>
          </w:r>
          <w:r>
            <w:rPr>
              <w:rFonts w:hint="default" w:ascii="Times New Roman" w:hAnsi="Times New Roman" w:cs="Times New Roman"/>
              <w:b w:val="0"/>
              <w:bCs/>
              <w:sz w:val="30"/>
              <w:szCs w:val="30"/>
            </w:rPr>
            <w:fldChar w:fldCharType="end"/>
          </w:r>
          <w:r>
            <w:rPr>
              <w:rFonts w:hint="default" w:ascii="Times New Roman" w:hAnsi="Times New Roman" w:eastAsia="黑体" w:cs="Times New Roman"/>
              <w:b w:val="0"/>
              <w:bCs/>
              <w:color w:val="auto"/>
              <w:sz w:val="30"/>
              <w:szCs w:val="30"/>
              <w:highlight w:val="none"/>
            </w:rPr>
            <w:fldChar w:fldCharType="end"/>
          </w:r>
        </w:p>
        <w:p w14:paraId="0E1B14B0">
          <w:pPr>
            <w:widowControl/>
            <w:jc w:val="center"/>
            <w:rPr>
              <w:rFonts w:hint="eastAsia" w:ascii="Times New Roman" w:hAnsi="Times New Roman" w:eastAsia="方正小标宋简体" w:cs="方正小标宋简体"/>
              <w:b w:val="0"/>
              <w:bCs/>
              <w:color w:val="auto"/>
              <w:kern w:val="44"/>
              <w:sz w:val="44"/>
              <w:szCs w:val="44"/>
              <w:highlight w:val="none"/>
              <w:lang w:val="en-US" w:eastAsia="zh-CN" w:bidi="ar-SA"/>
            </w:rPr>
          </w:pPr>
          <w:r>
            <w:rPr>
              <w:rFonts w:ascii="Times New Roman" w:hAnsi="Times New Roman" w:eastAsia="黑体"/>
              <w:b/>
              <w:color w:val="auto"/>
              <w:szCs w:val="32"/>
              <w:highlight w:val="none"/>
            </w:rPr>
            <w:fldChar w:fldCharType="end"/>
          </w:r>
          <w:r>
            <w:rPr>
              <w:rFonts w:hint="default" w:ascii="Times New Roman" w:hAnsi="Times New Roman" w:eastAsia="方正小标宋简体" w:cs="方正小标宋简体"/>
              <w:b w:val="0"/>
              <w:bCs/>
              <w:color w:val="auto"/>
              <w:kern w:val="44"/>
              <w:sz w:val="44"/>
              <w:szCs w:val="44"/>
              <w:highlight w:val="none"/>
              <w:lang w:val="en-US" w:eastAsia="zh-CN" w:bidi="ar-SA"/>
            </w:rPr>
            <w:t>第一部分 部门概况</w:t>
          </w:r>
        </w:p>
      </w:sdtContent>
    </w:sdt>
    <w:p w14:paraId="01D24FEA">
      <w:pPr>
        <w:pStyle w:val="4"/>
        <w:numPr>
          <w:ilvl w:val="0"/>
          <w:numId w:val="1"/>
        </w:numPr>
        <w:rPr>
          <w:rFonts w:hint="eastAsia"/>
          <w:lang w:eastAsia="zh-CN"/>
        </w:rPr>
      </w:pPr>
      <w:bookmarkStart w:id="7" w:name="_Toc18946"/>
      <w:r>
        <w:rPr>
          <w:rFonts w:hint="eastAsia" w:ascii="Times New Roman" w:hAnsi="Times New Roman" w:eastAsia="黑体"/>
          <w:b w:val="0"/>
          <w:color w:val="auto"/>
          <w:highlight w:val="none"/>
          <w:lang w:eastAsia="zh-CN"/>
        </w:rPr>
        <w:t>部门职责</w:t>
      </w:r>
      <w:bookmarkEnd w:id="7"/>
    </w:p>
    <w:p w14:paraId="2B972586">
      <w:pPr>
        <w:pStyle w:val="4"/>
        <w:spacing w:before="0" w:after="0" w:line="240" w:lineRule="auto"/>
        <w:ind w:left="642" w:leftChars="153" w:hanging="321" w:hangingChars="100"/>
        <w:rPr>
          <w:rFonts w:ascii="楷体" w:eastAsia="楷体" w:cs="楷体"/>
          <w:color w:val="000000"/>
        </w:rPr>
      </w:pPr>
      <w:bookmarkStart w:id="8" w:name="_Toc31800"/>
      <w:bookmarkStart w:id="9" w:name="_Toc985"/>
      <w:r>
        <w:rPr>
          <w:rFonts w:hint="eastAsia" w:ascii="楷体" w:eastAsia="楷体" w:cs="楷体"/>
          <w:color w:val="000000"/>
        </w:rPr>
        <w:t>（一）主要职能</w:t>
      </w:r>
      <w:bookmarkEnd w:id="8"/>
      <w:bookmarkEnd w:id="9"/>
      <w:bookmarkStart w:id="10" w:name="_Toc15378446"/>
      <w:bookmarkStart w:id="11" w:name="_Toc15377199"/>
    </w:p>
    <w:p w14:paraId="38472A54">
      <w:pPr>
        <w:snapToGrid w:val="0"/>
        <w:spacing w:line="360" w:lineRule="auto"/>
        <w:ind w:firstLine="640" w:firstLineChars="200"/>
        <w:outlineLvl w:val="1"/>
        <w:rPr>
          <w:rFonts w:ascii="仿宋_GB2312" w:hAnsi="仿宋" w:eastAsia="仿宋_GB2312" w:cs="仿宋_GB2312"/>
          <w:sz w:val="32"/>
          <w:szCs w:val="32"/>
        </w:rPr>
      </w:pPr>
      <w:bookmarkStart w:id="12" w:name="_Toc32413"/>
      <w:bookmarkStart w:id="13" w:name="_Toc28687"/>
      <w:r>
        <w:rPr>
          <w:rFonts w:hint="eastAsia" w:ascii="仿宋_GB2312" w:hAnsi="仿宋"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hAnsi="仿宋" w:eastAsia="仿宋_GB2312" w:cs="仿宋_GB2312"/>
          <w:sz w:val="32"/>
          <w:szCs w:val="32"/>
          <w:lang w:val="en-US" w:eastAsia="zh-CN"/>
        </w:rPr>
        <w:t>卡撒</w:t>
      </w:r>
      <w:r>
        <w:rPr>
          <w:rFonts w:hint="eastAsia" w:ascii="仿宋_GB2312" w:hAnsi="仿宋" w:eastAsia="仿宋_GB2312" w:cs="仿宋_GB2312"/>
          <w:sz w:val="32"/>
          <w:szCs w:val="32"/>
        </w:rPr>
        <w:t>发展的新局面。</w:t>
      </w:r>
      <w:bookmarkEnd w:id="12"/>
      <w:bookmarkEnd w:id="13"/>
    </w:p>
    <w:p w14:paraId="2CE7FC5B">
      <w:pPr>
        <w:pStyle w:val="4"/>
        <w:spacing w:before="0" w:after="0" w:line="240" w:lineRule="auto"/>
        <w:ind w:firstLine="321" w:firstLineChars="100"/>
        <w:rPr>
          <w:rFonts w:ascii="楷体" w:eastAsia="楷体" w:cs="楷体"/>
          <w:color w:val="000000"/>
        </w:rPr>
      </w:pPr>
      <w:bookmarkStart w:id="14" w:name="_Toc21487"/>
      <w:bookmarkStart w:id="15" w:name="_Toc32688"/>
      <w:r>
        <w:rPr>
          <w:rFonts w:hint="eastAsia" w:ascii="楷体" w:eastAsia="楷体" w:cs="楷体"/>
          <w:color w:val="000000"/>
        </w:rPr>
        <w:t>（二）</w:t>
      </w:r>
      <w:r>
        <w:rPr>
          <w:rFonts w:hint="eastAsia" w:ascii="楷体" w:eastAsia="楷体" w:cs="楷体"/>
          <w:color w:val="000000"/>
          <w:lang w:eastAsia="zh-CN"/>
        </w:rPr>
        <w:t>202</w:t>
      </w:r>
      <w:r>
        <w:rPr>
          <w:rFonts w:hint="eastAsia" w:ascii="楷体" w:eastAsia="楷体" w:cs="楷体"/>
          <w:color w:val="000000"/>
          <w:lang w:val="en-US" w:eastAsia="zh-CN"/>
        </w:rPr>
        <w:t>4</w:t>
      </w:r>
      <w:r>
        <w:rPr>
          <w:rFonts w:hint="eastAsia" w:ascii="楷体" w:eastAsia="楷体" w:cs="楷体"/>
          <w:color w:val="000000"/>
          <w:lang w:eastAsia="zh-CN"/>
        </w:rPr>
        <w:t>年</w:t>
      </w:r>
      <w:r>
        <w:rPr>
          <w:rFonts w:hint="eastAsia" w:ascii="楷体" w:eastAsia="楷体" w:cs="楷体"/>
          <w:color w:val="000000"/>
        </w:rPr>
        <w:t>重点工作完成情况</w:t>
      </w:r>
      <w:bookmarkEnd w:id="10"/>
      <w:bookmarkEnd w:id="11"/>
      <w:bookmarkEnd w:id="14"/>
      <w:bookmarkEnd w:id="15"/>
    </w:p>
    <w:p w14:paraId="600F1E6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仿宋_GB2312" w:hAnsi="仿宋" w:eastAsia="仿宋_GB2312" w:cs="??_GB2312"/>
          <w:color w:val="auto"/>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在县委、县政府和乡党委的坚强领导下，乡人民政府</w:t>
      </w:r>
      <w:r>
        <w:rPr>
          <w:rFonts w:hint="eastAsia" w:eastAsia="仿宋_GB2312"/>
          <w:color w:val="auto"/>
          <w:sz w:val="32"/>
          <w:szCs w:val="32"/>
          <w:shd w:val="clear" w:color="auto" w:fill="FFFFFF"/>
          <w:lang w:val="en-US" w:eastAsia="zh-CN"/>
        </w:rPr>
        <w:t>坚持以习近平新时代中国特色社会主义思想为指导</w:t>
      </w:r>
      <w:r>
        <w:rPr>
          <w:rFonts w:hint="eastAsia" w:ascii="仿宋" w:hAnsi="仿宋" w:eastAsia="仿宋" w:cs="??_GB2312"/>
          <w:color w:val="auto"/>
          <w:sz w:val="32"/>
          <w:szCs w:val="32"/>
          <w:shd w:val="clear" w:color="auto" w:fill="FFFFFF"/>
          <w:lang w:val="en-US" w:eastAsia="zh-CN"/>
        </w:rPr>
        <w:t>，</w:t>
      </w:r>
      <w:r>
        <w:rPr>
          <w:rFonts w:hint="eastAsia" w:ascii="仿宋_GB2312" w:hAnsi="仿宋" w:eastAsia="仿宋_GB2312" w:cs="??_GB2312"/>
          <w:color w:val="auto"/>
          <w:sz w:val="32"/>
          <w:szCs w:val="32"/>
          <w:shd w:val="clear" w:color="auto" w:fill="FFFFFF"/>
          <w:lang w:val="en-US" w:eastAsia="zh-CN"/>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14:paraId="1DC080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cs="??_GB2312"/>
          <w:color w:val="auto"/>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14:paraId="575FBF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 w:eastAsia="仿宋_GB2312" w:cs="??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二是</w:t>
      </w:r>
      <w:r>
        <w:rPr>
          <w:rFonts w:hint="eastAsia" w:ascii="仿宋_GB2312" w:hAnsi="仿宋" w:eastAsia="仿宋_GB2312" w:cs="??_GB2312"/>
          <w:color w:val="auto"/>
          <w:sz w:val="32"/>
          <w:szCs w:val="32"/>
          <w:shd w:val="clear" w:color="auto" w:fill="FFFFFF"/>
          <w:lang w:val="en-US" w:eastAsia="zh-CN"/>
        </w:rPr>
        <w:t>围绕项目建设主线，着力优化发展环境，下好项目建设“先手棋”，五年来，我乡争取基础设施建设项目总投资2.691亿元，有力助推经济社会跨越发展。</w:t>
      </w:r>
    </w:p>
    <w:p w14:paraId="08BD3521">
      <w:pPr>
        <w:pStyle w:val="36"/>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b w:val="0"/>
          <w:bCs w:val="0"/>
          <w:color w:val="000000"/>
          <w:sz w:val="32"/>
          <w:szCs w:val="32"/>
          <w:shd w:val="clear" w:color="auto" w:fill="FFFFFF"/>
          <w:lang w:val="en-US" w:eastAsia="zh-CN"/>
        </w:rPr>
      </w:pPr>
      <w:r>
        <w:rPr>
          <w:rFonts w:hint="eastAsia" w:ascii="仿宋_GB2312" w:hAnsi="仿宋" w:eastAsia="仿宋_GB2312" w:cs="??_GB2312"/>
          <w:color w:val="auto"/>
          <w:sz w:val="32"/>
          <w:szCs w:val="32"/>
          <w:shd w:val="clear" w:color="auto" w:fill="FFFFFF"/>
          <w:lang w:val="en-US" w:eastAsia="zh-CN"/>
        </w:rPr>
        <w:t>三是</w:t>
      </w:r>
      <w:r>
        <w:rPr>
          <w:rFonts w:hint="eastAsia" w:ascii="仿宋_GB2312" w:hAnsi="宋体" w:eastAsia="仿宋_GB2312" w:cs="仿宋_GB2312"/>
          <w:kern w:val="0"/>
          <w:sz w:val="32"/>
          <w:szCs w:val="32"/>
          <w:lang w:val="en-US" w:eastAsia="zh-CN"/>
        </w:rPr>
        <w:t>始终坚持以习近平生态文明思想为指引，认真践行“绿水青山就是金山银山</w:t>
      </w:r>
      <w:r>
        <w:rPr>
          <w:rFonts w:hint="eastAsia" w:ascii="仿宋_GB2312" w:hAnsi="仿宋_GB2312" w:eastAsia="仿宋_GB2312" w:cs="仿宋_GB2312"/>
          <w:b w:val="0"/>
          <w:bCs w:val="0"/>
          <w:color w:val="000000"/>
          <w:sz w:val="32"/>
          <w:szCs w:val="32"/>
          <w:shd w:val="clear" w:color="auto" w:fill="FFFFFF"/>
          <w:lang w:val="en-US" w:eastAsia="zh-CN"/>
        </w:rPr>
        <w:t>”</w:t>
      </w:r>
      <w:r>
        <w:rPr>
          <w:rFonts w:hint="eastAsia" w:ascii="仿宋_GB2312" w:hAnsi="仿宋_GB2312" w:eastAsia="仿宋_GB2312" w:cs="仿宋_GB2312"/>
          <w:b w:val="0"/>
          <w:bCs w:val="0"/>
          <w:color w:val="000000"/>
          <w:sz w:val="32"/>
          <w:szCs w:val="32"/>
          <w:shd w:val="clear" w:color="auto" w:fill="FFFFFF"/>
        </w:rPr>
        <w:t>“重在保护、要在治理、高质量发展”</w:t>
      </w:r>
      <w:r>
        <w:rPr>
          <w:rFonts w:hint="eastAsia" w:ascii="仿宋_GB2312" w:hAnsi="仿宋_GB2312" w:eastAsia="仿宋_GB2312" w:cs="仿宋_GB2312"/>
          <w:b w:val="0"/>
          <w:bCs w:val="0"/>
          <w:color w:val="000000"/>
          <w:sz w:val="32"/>
          <w:szCs w:val="32"/>
          <w:shd w:val="clear" w:color="auto" w:fill="FFFFFF"/>
          <w:lang w:val="en-US" w:eastAsia="zh-CN"/>
        </w:rPr>
        <w:t>理念，切实把生态环境保护摆在压倒性</w:t>
      </w:r>
      <w:r>
        <w:rPr>
          <w:rFonts w:hint="eastAsia" w:ascii="仿宋_GB2312" w:hAnsi="仿宋" w:eastAsia="仿宋_GB2312" w:cs="??_GB2312"/>
          <w:color w:val="auto"/>
          <w:sz w:val="32"/>
          <w:szCs w:val="32"/>
          <w:shd w:val="clear" w:color="auto" w:fill="FFFFFF"/>
          <w:lang w:val="en-US" w:eastAsia="zh-CN"/>
        </w:rPr>
        <w:t>位置</w:t>
      </w:r>
      <w:r>
        <w:rPr>
          <w:rFonts w:hint="eastAsia" w:ascii="仿宋_GB2312" w:hAnsi="仿宋_GB2312" w:eastAsia="仿宋_GB2312" w:cs="仿宋_GB2312"/>
          <w:b w:val="0"/>
          <w:bCs w:val="0"/>
          <w:color w:val="000000"/>
          <w:sz w:val="32"/>
          <w:szCs w:val="32"/>
          <w:shd w:val="clear" w:color="auto" w:fill="FFFFFF"/>
          <w:lang w:val="en-US" w:eastAsia="zh-CN"/>
        </w:rPr>
        <w:t>，共抓大保护、不搞大开发。</w:t>
      </w:r>
    </w:p>
    <w:p w14:paraId="322FE5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eastAsia="仿宋_GB2312"/>
          <w:color w:val="auto"/>
          <w:sz w:val="32"/>
          <w:szCs w:val="32"/>
          <w:shd w:val="clear" w:color="auto" w:fill="FFFFFF"/>
          <w:lang w:val="en-US" w:eastAsia="zh-CN"/>
        </w:rPr>
      </w:pPr>
      <w:r>
        <w:rPr>
          <w:rFonts w:hint="eastAsia" w:ascii="仿宋_GB2312" w:hAnsi="仿宋_GB2312" w:eastAsia="仿宋_GB2312" w:cs="仿宋_GB2312"/>
          <w:b w:val="0"/>
          <w:bCs w:val="0"/>
          <w:color w:val="000000"/>
          <w:sz w:val="32"/>
          <w:szCs w:val="32"/>
          <w:shd w:val="clear" w:color="auto" w:fill="FFFFFF"/>
          <w:lang w:val="en-US" w:eastAsia="zh-CN"/>
        </w:rPr>
        <w:t>四是</w:t>
      </w:r>
      <w:r>
        <w:rPr>
          <w:rFonts w:hint="eastAsia" w:eastAsia="仿宋_GB2312"/>
          <w:color w:val="auto"/>
          <w:sz w:val="32"/>
          <w:szCs w:val="32"/>
          <w:shd w:val="clear" w:color="auto" w:fill="FFFFFF"/>
          <w:lang w:val="en-US" w:eastAsia="zh-CN"/>
        </w:rPr>
        <w:t>坚定贯彻总体国家安全观，旗帜鲜明开展反分维稳斗争，“扫黑除恶”专项斗争强力推进，“天</w:t>
      </w:r>
      <w:r>
        <w:rPr>
          <w:rFonts w:hint="default" w:eastAsia="仿宋_GB2312"/>
          <w:color w:val="auto"/>
          <w:sz w:val="32"/>
          <w:szCs w:val="32"/>
          <w:shd w:val="clear" w:color="auto" w:fill="FFFFFF"/>
          <w:lang w:val="en-US" w:eastAsia="zh-CN"/>
        </w:rPr>
        <w:t>网</w:t>
      </w:r>
      <w:r>
        <w:rPr>
          <w:rFonts w:hint="eastAsia" w:eastAsia="仿宋_GB2312"/>
          <w:color w:val="auto"/>
          <w:sz w:val="32"/>
          <w:szCs w:val="32"/>
          <w:shd w:val="clear" w:color="auto" w:fill="FFFFFF"/>
          <w:lang w:val="en-US" w:eastAsia="zh-CN"/>
        </w:rPr>
        <w:t>”“雪亮”工程拓展延伸，平安防线牢不可破，“两</w:t>
      </w:r>
      <w:r>
        <w:rPr>
          <w:rFonts w:hint="default" w:eastAsia="仿宋_GB2312"/>
          <w:color w:val="auto"/>
          <w:sz w:val="32"/>
          <w:szCs w:val="32"/>
          <w:shd w:val="clear" w:color="auto" w:fill="FFFFFF"/>
          <w:lang w:val="en-US" w:eastAsia="zh-CN"/>
        </w:rPr>
        <w:t>项</w:t>
      </w:r>
      <w:r>
        <w:rPr>
          <w:rFonts w:hint="eastAsia" w:eastAsia="仿宋_GB2312"/>
          <w:color w:val="auto"/>
          <w:sz w:val="32"/>
          <w:szCs w:val="32"/>
          <w:shd w:val="clear" w:color="auto" w:fill="FFFFFF"/>
          <w:lang w:val="en-US" w:eastAsia="zh-CN"/>
        </w:rPr>
        <w:t>”改革调整优化2个村。</w:t>
      </w:r>
    </w:p>
    <w:p w14:paraId="44C90DF4">
      <w:pPr>
        <w:rPr>
          <w:rFonts w:hint="eastAsia"/>
          <w:lang w:eastAsia="zh-CN"/>
        </w:rPr>
      </w:pPr>
    </w:p>
    <w:p w14:paraId="27E4616E">
      <w:pPr>
        <w:pStyle w:val="4"/>
        <w:rPr>
          <w:rStyle w:val="30"/>
          <w:rFonts w:ascii="Times New Roman" w:hAnsi="Times New Roman"/>
          <w:b w:val="0"/>
          <w:bCs w:val="0"/>
          <w:color w:val="auto"/>
          <w:highlight w:val="none"/>
        </w:rPr>
      </w:pPr>
      <w:bookmarkStart w:id="16" w:name="_Toc15377200"/>
      <w:bookmarkStart w:id="17" w:name="_Toc15396601"/>
      <w:bookmarkStart w:id="18" w:name="_Toc1221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6"/>
      <w:bookmarkEnd w:id="17"/>
      <w:bookmarkEnd w:id="18"/>
    </w:p>
    <w:p w14:paraId="4B39ABDC">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金川县卡撒乡人民政府</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0BCCCDEE">
      <w:pPr>
        <w:pStyle w:val="6"/>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金川县卡撒乡人民政府</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790BB877">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9" w:name="_Toc15378449"/>
      <w:bookmarkStart w:id="20" w:name="_Toc15377433"/>
      <w:bookmarkStart w:id="21" w:name="_Toc15306276"/>
      <w:bookmarkStart w:id="22" w:name="_Toc15377202"/>
      <w:r>
        <w:rPr>
          <w:rFonts w:hint="eastAsia" w:ascii="Times New Roman" w:cs="仿宋_GB2312"/>
          <w:color w:val="auto"/>
          <w:sz w:val="32"/>
          <w:szCs w:val="32"/>
          <w:highlight w:val="none"/>
          <w:lang w:eastAsia="zh-CN"/>
        </w:rPr>
        <w:t>卡撒乡人民政府办公室</w:t>
      </w:r>
      <w:bookmarkEnd w:id="19"/>
      <w:bookmarkEnd w:id="20"/>
      <w:bookmarkEnd w:id="21"/>
      <w:bookmarkEnd w:id="22"/>
    </w:p>
    <w:p w14:paraId="176D6AD9">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eastAsia="zh-CN"/>
        </w:rPr>
        <w:t>卡撒乡党委办公室</w:t>
      </w:r>
    </w:p>
    <w:p w14:paraId="07DFAAD6">
      <w:pPr>
        <w:pStyle w:val="6"/>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eastAsia="zh-CN"/>
        </w:rPr>
        <w:t>卡撒乡人大办公室</w:t>
      </w:r>
    </w:p>
    <w:p w14:paraId="0DF04A1A">
      <w:pPr>
        <w:pStyle w:val="6"/>
        <w:numPr>
          <w:ilvl w:val="0"/>
          <w:numId w:val="2"/>
        </w:numPr>
        <w:adjustRightInd w:val="0"/>
        <w:snapToGrid w:val="0"/>
        <w:spacing w:before="93" w:line="600" w:lineRule="exact"/>
        <w:outlineLvl w:val="2"/>
        <w:rPr>
          <w:rFonts w:ascii="Times New Roman" w:hAnsi="Times New Roman" w:eastAsia="仿宋"/>
          <w:color w:val="auto"/>
          <w:kern w:val="0"/>
          <w:sz w:val="32"/>
          <w:szCs w:val="32"/>
          <w:highlight w:val="none"/>
        </w:rPr>
      </w:pPr>
      <w:r>
        <w:rPr>
          <w:rFonts w:hint="eastAsia" w:ascii="Times New Roman" w:cs="仿宋_GB2312"/>
          <w:color w:val="auto"/>
          <w:sz w:val="32"/>
          <w:szCs w:val="32"/>
          <w:highlight w:val="none"/>
          <w:lang w:eastAsia="zh-CN"/>
        </w:rPr>
        <w:t>卡撒乡综合服务中心</w:t>
      </w:r>
      <w:r>
        <w:rPr>
          <w:rFonts w:ascii="Times New Roman" w:hAnsi="Times New Roman" w:eastAsia="仿宋"/>
          <w:color w:val="auto"/>
          <w:sz w:val="32"/>
          <w:szCs w:val="32"/>
          <w:highlight w:val="none"/>
        </w:rPr>
        <w:br w:type="page"/>
      </w:r>
    </w:p>
    <w:p w14:paraId="2A0F391F">
      <w:pPr>
        <w:pStyle w:val="3"/>
        <w:jc w:val="center"/>
        <w:rPr>
          <w:rFonts w:hint="eastAsia" w:ascii="Times New Roman" w:hAnsi="Times New Roman" w:eastAsia="方正小标宋简体" w:cs="方正小标宋简体"/>
          <w:b w:val="0"/>
          <w:color w:val="auto"/>
          <w:highlight w:val="none"/>
        </w:rPr>
      </w:pPr>
      <w:bookmarkStart w:id="23" w:name="_Toc15377204"/>
      <w:bookmarkStart w:id="24" w:name="_Toc15396602"/>
      <w:bookmarkStart w:id="25" w:name="_Toc12263"/>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3"/>
      <w:bookmarkEnd w:id="24"/>
      <w:bookmarkEnd w:id="25"/>
    </w:p>
    <w:p w14:paraId="04835262">
      <w:pPr>
        <w:rPr>
          <w:rFonts w:ascii="Times New Roman" w:hAnsi="Times New Roman"/>
          <w:color w:val="auto"/>
          <w:highlight w:val="none"/>
        </w:rPr>
      </w:pPr>
    </w:p>
    <w:p w14:paraId="094F3B7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6" w:name="_Toc14278"/>
      <w:bookmarkStart w:id="27" w:name="_Toc15396603"/>
      <w:bookmarkStart w:id="28"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6"/>
      <w:bookmarkEnd w:id="27"/>
      <w:bookmarkEnd w:id="28"/>
    </w:p>
    <w:p w14:paraId="1E3642C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eastAsia="仿宋_GB2312"/>
          <w:spacing w:val="-2"/>
          <w:sz w:val="32"/>
          <w:szCs w:val="32"/>
          <w:lang w:val="en-US" w:eastAsia="zh-CN"/>
        </w:rPr>
      </w:pPr>
      <w:bookmarkStart w:id="29" w:name="_Toc6953"/>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-62230</wp:posOffset>
            </wp:positionH>
            <wp:positionV relativeFrom="paragraph">
              <wp:posOffset>1917065</wp:posOffset>
            </wp:positionV>
            <wp:extent cx="5080000" cy="2582545"/>
            <wp:effectExtent l="4445" t="4445" r="20955" b="2286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1405.1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12.11</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0.85</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是</w:t>
      </w: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lang w:eastAsia="zh-CN"/>
        </w:rPr>
        <w:t>年</w:t>
      </w:r>
      <w:r>
        <w:rPr>
          <w:rFonts w:hint="eastAsia" w:ascii="仿宋_GB2312" w:eastAsia="仿宋_GB2312"/>
          <w:color w:val="000000"/>
          <w:spacing w:val="-2"/>
          <w:sz w:val="32"/>
          <w:szCs w:val="32"/>
          <w:lang w:val="en-US" w:eastAsia="zh-CN"/>
        </w:rPr>
        <w:t>人员减少。支出</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12.11</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0.85</w:t>
      </w:r>
      <w:r>
        <w:rPr>
          <w:rFonts w:hint="eastAsia" w:ascii="Times New Roman" w:hAnsi="Times New Roman" w:eastAsia="仿宋_GB2312" w:cs="仿宋_GB2312"/>
          <w:color w:val="auto"/>
          <w:sz w:val="32"/>
          <w:szCs w:val="32"/>
          <w:highlight w:val="none"/>
        </w:rPr>
        <w:t>%。主要变动原因</w:t>
      </w:r>
      <w:r>
        <w:rPr>
          <w:rFonts w:hint="eastAsia" w:ascii="仿宋_GB2312" w:eastAsia="仿宋_GB2312"/>
          <w:spacing w:val="-2"/>
          <w:sz w:val="32"/>
          <w:szCs w:val="32"/>
        </w:rPr>
        <w:t>一是当年部门预算安排项目经费较上年有所</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；二是</w:t>
      </w:r>
      <w:r>
        <w:rPr>
          <w:rFonts w:hint="eastAsia" w:ascii="仿宋_GB2312" w:eastAsia="仿宋_GB2312"/>
          <w:spacing w:val="-2"/>
          <w:sz w:val="32"/>
          <w:szCs w:val="32"/>
          <w:lang w:eastAsia="zh-CN"/>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lang w:eastAsia="zh-CN"/>
        </w:rPr>
        <w:t>年</w:t>
      </w:r>
      <w:r>
        <w:rPr>
          <w:rFonts w:hint="eastAsia" w:ascii="仿宋_GB2312" w:eastAsia="仿宋_GB2312"/>
          <w:spacing w:val="-2"/>
          <w:sz w:val="32"/>
          <w:szCs w:val="32"/>
        </w:rPr>
        <w:t>人员</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经费支出</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w:t>
      </w:r>
      <w:bookmarkEnd w:id="29"/>
    </w:p>
    <w:p w14:paraId="0CB8F4D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0" w:name="_Toc15377206"/>
      <w:bookmarkStart w:id="31" w:name="_Toc15396604"/>
      <w:bookmarkStart w:id="32" w:name="_Toc684"/>
      <w:r>
        <w:rPr>
          <w:rFonts w:hint="eastAsia" w:ascii="Times New Roman" w:hAnsi="Times New Roman" w:eastAsia="黑体"/>
          <w:color w:val="auto"/>
          <w:sz w:val="32"/>
          <w:szCs w:val="32"/>
          <w:highlight w:val="none"/>
          <w:lang w:eastAsia="zh-CN"/>
        </w:rPr>
        <w:t>二、收入决算情况说明</w:t>
      </w:r>
      <w:bookmarkEnd w:id="30"/>
      <w:bookmarkEnd w:id="31"/>
      <w:bookmarkEnd w:id="32"/>
    </w:p>
    <w:p w14:paraId="317B4D4C">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1405.1万元，其中：一般公共预算财政拨款收入</w:t>
      </w:r>
      <w:r>
        <w:rPr>
          <w:rFonts w:hint="eastAsia" w:ascii="仿宋_GB2312" w:eastAsia="仿宋"/>
          <w:color w:val="000000" w:themeColor="text1"/>
          <w:sz w:val="32"/>
          <w:szCs w:val="32"/>
          <w:shd w:val="clear" w:color="auto" w:fill="FFFFFF"/>
          <w:lang w:val="en-US" w:eastAsia="zh-CN"/>
          <w14:textFill>
            <w14:solidFill>
              <w14:schemeClr w14:val="tx1"/>
            </w14:solidFill>
          </w14:textFill>
        </w:rPr>
        <w:t>1417.21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09354D6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3" w:name="_Toc15396605"/>
      <w:bookmarkStart w:id="34" w:name="_Toc15377207"/>
      <w:bookmarkStart w:id="35" w:name="_Toc20237"/>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166370</wp:posOffset>
            </wp:positionH>
            <wp:positionV relativeFrom="paragraph">
              <wp:posOffset>50165</wp:posOffset>
            </wp:positionV>
            <wp:extent cx="4973955" cy="2467610"/>
            <wp:effectExtent l="4445" t="4445" r="12700" b="23495"/>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3"/>
      <w:bookmarkEnd w:id="34"/>
      <w:bookmarkEnd w:id="35"/>
    </w:p>
    <w:p w14:paraId="17A93104">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1405.1</w:t>
      </w:r>
      <w:r>
        <w:rPr>
          <w:rFonts w:hint="eastAsia" w:ascii="仿宋_GB2312" w:hAnsi="仿宋_GB2312" w:eastAsia="仿宋_GB2312" w:cs="仿宋_GB2312"/>
          <w:color w:val="auto"/>
          <w:sz w:val="32"/>
          <w:szCs w:val="32"/>
          <w:highlight w:val="none"/>
          <w:lang w:eastAsia="zh-CN"/>
        </w:rPr>
        <w:t>万元，其中：基本支出</w:t>
      </w:r>
      <w:r>
        <w:rPr>
          <w:rFonts w:hint="eastAsia" w:ascii="仿宋" w:eastAsia="仿宋"/>
          <w:color w:val="000000"/>
          <w:sz w:val="32"/>
          <w:szCs w:val="32"/>
          <w:lang w:val="en-US" w:eastAsia="zh-CN"/>
        </w:rPr>
        <w:t>986.78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70</w:t>
      </w:r>
      <w:r>
        <w:rPr>
          <w:rFonts w:hint="eastAsia" w:ascii="仿宋_GB2312" w:hAnsi="仿宋_GB2312" w:eastAsia="仿宋_GB2312" w:cs="仿宋_GB2312"/>
          <w:color w:val="auto"/>
          <w:sz w:val="32"/>
          <w:szCs w:val="32"/>
          <w:highlight w:val="none"/>
          <w:lang w:eastAsia="zh-CN"/>
        </w:rPr>
        <w:t>%；项目支出</w:t>
      </w:r>
      <w:r>
        <w:rPr>
          <w:rFonts w:hint="eastAsia" w:ascii="仿宋" w:eastAsia="仿宋"/>
          <w:color w:val="000000"/>
          <w:sz w:val="32"/>
          <w:szCs w:val="32"/>
          <w:lang w:val="en-US" w:eastAsia="zh-CN"/>
        </w:rPr>
        <w:t>418.32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color w:val="auto"/>
          <w:sz w:val="32"/>
          <w:szCs w:val="32"/>
          <w:highlight w:val="none"/>
          <w:lang w:eastAsia="zh-CN"/>
        </w:rPr>
        <w:t>%；</w:t>
      </w:r>
    </w:p>
    <w:p w14:paraId="147E91E3">
      <w:pPr>
        <w:spacing w:line="600" w:lineRule="exact"/>
        <w:ind w:firstLine="640" w:firstLineChars="200"/>
        <w:outlineLvl w:val="1"/>
        <w:rPr>
          <w:rStyle w:val="30"/>
          <w:rFonts w:ascii="Times New Roman" w:hAnsi="Times New Roman" w:eastAsia="黑体"/>
          <w:b w:val="0"/>
          <w:color w:val="auto"/>
          <w:highlight w:val="none"/>
        </w:rPr>
      </w:pPr>
      <w:bookmarkStart w:id="36" w:name="_Toc15396606"/>
      <w:bookmarkStart w:id="37" w:name="_Toc31071"/>
      <w:bookmarkStart w:id="38" w:name="_Toc15377208"/>
      <w:r>
        <w:rPr>
          <w:rFonts w:hint="eastAsia" w:ascii="黑体" w:eastAsia="黑体"/>
          <w:color w:val="000000"/>
          <w:sz w:val="32"/>
          <w:szCs w:val="32"/>
        </w:rPr>
        <w:drawing>
          <wp:anchor distT="0" distB="0" distL="114300" distR="114300" simplePos="0" relativeHeight="251661312" behindDoc="0" locked="0" layoutInCell="1" allowOverlap="1">
            <wp:simplePos x="0" y="0"/>
            <wp:positionH relativeFrom="column">
              <wp:posOffset>290195</wp:posOffset>
            </wp:positionH>
            <wp:positionV relativeFrom="paragraph">
              <wp:posOffset>53340</wp:posOffset>
            </wp:positionV>
            <wp:extent cx="4868545" cy="2419985"/>
            <wp:effectExtent l="4445" t="4445" r="22860" b="13970"/>
            <wp:wrapTopAndBottom/>
            <wp:docPr id="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6"/>
      <w:bookmarkEnd w:id="37"/>
      <w:bookmarkEnd w:id="38"/>
    </w:p>
    <w:p w14:paraId="003DA814">
      <w:pPr>
        <w:spacing w:line="600" w:lineRule="exact"/>
        <w:ind w:firstLine="640"/>
        <w:rPr>
          <w:rFonts w:hint="eastAsia" w:ascii="仿宋_GB2312" w:eastAsia="仿宋_GB2312"/>
          <w:color w:val="000000"/>
          <w:spacing w:val="-2"/>
          <w:sz w:val="32"/>
          <w:szCs w:val="32"/>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1405.1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w:t>
      </w:r>
      <w:r>
        <w:rPr>
          <w:rFonts w:hint="eastAsia" w:ascii="仿宋_GB2312" w:eastAsia="仿宋_GB2312"/>
          <w:color w:val="000000"/>
          <w:spacing w:val="-2"/>
          <w:sz w:val="32"/>
          <w:szCs w:val="32"/>
        </w:rPr>
        <w:t>较上年收入</w:t>
      </w:r>
      <w:r>
        <w:rPr>
          <w:rFonts w:hint="eastAsia" w:ascii="仿宋_GB2312" w:eastAsia="仿宋_GB2312"/>
          <w:color w:val="000000"/>
          <w:spacing w:val="-2"/>
          <w:sz w:val="32"/>
          <w:szCs w:val="32"/>
          <w:lang w:val="en-US" w:eastAsia="zh-CN"/>
        </w:rPr>
        <w:t>减少12.11</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减少0.85</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val="en-US" w:eastAsia="zh-CN"/>
        </w:rPr>
        <w:t>减少</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eastAsia="zh-CN"/>
        </w:rPr>
        <w:t>202</w:t>
      </w:r>
      <w:r>
        <w:rPr>
          <w:rFonts w:hint="eastAsia" w:ascii="仿宋_GB2312" w:eastAsia="仿宋_GB2312"/>
          <w:color w:val="000000"/>
          <w:spacing w:val="-2"/>
          <w:sz w:val="32"/>
          <w:szCs w:val="32"/>
          <w:lang w:val="en-US" w:eastAsia="zh-CN"/>
        </w:rPr>
        <w:t>4</w:t>
      </w:r>
      <w:r>
        <w:rPr>
          <w:rFonts w:hint="eastAsia" w:ascii="仿宋_GB2312" w:eastAsia="仿宋_GB2312"/>
          <w:color w:val="000000"/>
          <w:spacing w:val="-2"/>
          <w:sz w:val="32"/>
          <w:szCs w:val="32"/>
          <w:lang w:eastAsia="zh-CN"/>
        </w:rPr>
        <w:t>年</w:t>
      </w:r>
      <w:r>
        <w:rPr>
          <w:rFonts w:hint="eastAsia" w:ascii="仿宋_GB2312" w:eastAsia="仿宋_GB2312"/>
          <w:color w:val="000000"/>
          <w:spacing w:val="-2"/>
          <w:sz w:val="32"/>
          <w:szCs w:val="32"/>
          <w:lang w:val="en-US" w:eastAsia="zh-CN"/>
        </w:rPr>
        <w:t>人员减少</w:t>
      </w:r>
      <w:r>
        <w:rPr>
          <w:rFonts w:hint="eastAsia" w:ascii="仿宋_GB2312" w:eastAsia="仿宋_GB2312"/>
          <w:color w:val="000000"/>
          <w:spacing w:val="-2"/>
          <w:sz w:val="32"/>
          <w:szCs w:val="32"/>
        </w:rPr>
        <w:t>。</w:t>
      </w:r>
    </w:p>
    <w:p w14:paraId="0283D833">
      <w:pPr>
        <w:snapToGrid w:val="0"/>
        <w:spacing w:line="520" w:lineRule="exact"/>
        <w:ind w:firstLine="632" w:firstLineChars="200"/>
        <w:rPr>
          <w:rFonts w:hint="eastAsia" w:ascii="Times New Roman" w:hAnsi="Times New Roman" w:eastAsia="黑体"/>
          <w:color w:val="auto"/>
          <w:sz w:val="32"/>
          <w:szCs w:val="32"/>
          <w:highlight w:val="none"/>
        </w:rPr>
      </w:pPr>
      <w:r>
        <w:rPr>
          <w:rFonts w:hint="eastAsia" w:ascii="仿宋_GB2312" w:eastAsia="仿宋_GB2312"/>
          <w:color w:val="000000"/>
          <w:spacing w:val="-2"/>
          <w:sz w:val="32"/>
          <w:szCs w:val="32"/>
          <w:lang w:eastAsia="zh-CN"/>
        </w:rPr>
        <w:t>2024年财政拨款</w:t>
      </w:r>
      <w:r>
        <w:rPr>
          <w:rFonts w:hint="eastAsia" w:ascii="仿宋_GB2312" w:eastAsia="仿宋_GB2312"/>
          <w:color w:val="000000"/>
          <w:spacing w:val="-2"/>
          <w:sz w:val="32"/>
          <w:szCs w:val="32"/>
          <w:lang w:val="en-US" w:eastAsia="zh-CN"/>
        </w:rPr>
        <w:t>支出</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1405.1</w:t>
      </w:r>
      <w:r>
        <w:rPr>
          <w:rFonts w:hint="eastAsia" w:ascii="仿宋_GB2312" w:eastAsia="仿宋_GB2312"/>
          <w:color w:val="000000"/>
          <w:spacing w:val="-2"/>
          <w:sz w:val="32"/>
          <w:szCs w:val="32"/>
          <w:lang w:eastAsia="zh-CN"/>
        </w:rPr>
        <w:t>万元，较上年收入减少</w:t>
      </w:r>
      <w:r>
        <w:rPr>
          <w:rFonts w:hint="eastAsia" w:ascii="仿宋_GB2312" w:eastAsia="仿宋_GB2312"/>
          <w:color w:val="000000"/>
          <w:spacing w:val="-2"/>
          <w:sz w:val="32"/>
          <w:szCs w:val="32"/>
          <w:lang w:val="en-US" w:eastAsia="zh-CN"/>
        </w:rPr>
        <w:t>12.1</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lang w:val="en-US" w:eastAsia="zh-CN"/>
        </w:rPr>
        <w:t>减少0.85</w:t>
      </w:r>
      <w:r>
        <w:rPr>
          <w:rFonts w:hint="eastAsia" w:ascii="仿宋_GB2312" w:eastAsia="仿宋_GB2312"/>
          <w:color w:val="000000"/>
          <w:spacing w:val="-2"/>
          <w:sz w:val="32"/>
          <w:szCs w:val="32"/>
        </w:rPr>
        <w:t>%。</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；二是</w:t>
      </w:r>
      <w:r>
        <w:rPr>
          <w:rFonts w:hint="eastAsia" w:ascii="仿宋_GB2312" w:eastAsia="仿宋_GB2312"/>
          <w:spacing w:val="-2"/>
          <w:sz w:val="32"/>
          <w:szCs w:val="32"/>
          <w:lang w:eastAsia="zh-CN"/>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lang w:eastAsia="zh-CN"/>
        </w:rPr>
        <w:t>年</w:t>
      </w:r>
      <w:r>
        <w:rPr>
          <w:rFonts w:hint="eastAsia" w:ascii="仿宋_GB2312" w:eastAsia="仿宋_GB2312"/>
          <w:spacing w:val="-2"/>
          <w:sz w:val="32"/>
          <w:szCs w:val="32"/>
        </w:rPr>
        <w:t>人员</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经费支出</w:t>
      </w:r>
      <w:r>
        <w:rPr>
          <w:rFonts w:hint="eastAsia" w:ascii="仿宋_GB2312" w:eastAsia="仿宋_GB2312"/>
          <w:spacing w:val="-2"/>
          <w:sz w:val="32"/>
          <w:szCs w:val="32"/>
          <w:lang w:val="en-US" w:eastAsia="zh-CN"/>
        </w:rPr>
        <w:t>减少。</w:t>
      </w:r>
      <w:bookmarkStart w:id="39" w:name="_Toc15377209"/>
      <w:bookmarkStart w:id="40" w:name="_Toc15396607"/>
    </w:p>
    <w:p w14:paraId="409E268A">
      <w:pPr>
        <w:spacing w:line="600" w:lineRule="exact"/>
        <w:ind w:firstLine="640" w:firstLineChars="200"/>
        <w:outlineLvl w:val="1"/>
        <w:rPr>
          <w:rStyle w:val="30"/>
          <w:rFonts w:ascii="Times New Roman" w:hAnsi="Times New Roman" w:eastAsia="黑体"/>
          <w:b w:val="0"/>
          <w:color w:val="auto"/>
          <w:highlight w:val="none"/>
        </w:rPr>
      </w:pPr>
      <w:bookmarkStart w:id="41" w:name="_Toc17269"/>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280670</wp:posOffset>
            </wp:positionH>
            <wp:positionV relativeFrom="paragraph">
              <wp:posOffset>80645</wp:posOffset>
            </wp:positionV>
            <wp:extent cx="4719320" cy="2667635"/>
            <wp:effectExtent l="4445" t="4445" r="19685" b="1397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9"/>
      <w:bookmarkEnd w:id="40"/>
      <w:bookmarkEnd w:id="41"/>
    </w:p>
    <w:p w14:paraId="1C952CE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2"/>
    </w:p>
    <w:p w14:paraId="7E0708C1">
      <w:pPr>
        <w:spacing w:line="600" w:lineRule="exact"/>
        <w:ind w:firstLine="640" w:firstLineChars="200"/>
        <w:rPr>
          <w:rFonts w:ascii="仿宋_GB2312" w:eastAsia="仿宋_GB2312"/>
          <w:spacing w:val="-2"/>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414655</wp:posOffset>
            </wp:positionH>
            <wp:positionV relativeFrom="paragraph">
              <wp:posOffset>1910715</wp:posOffset>
            </wp:positionV>
            <wp:extent cx="4424045" cy="2887980"/>
            <wp:effectExtent l="4445" t="4445" r="10160" b="22225"/>
            <wp:wrapTopAndBottom/>
            <wp:docPr id="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1405.1</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w:t>
      </w:r>
      <w:r>
        <w:rPr>
          <w:rFonts w:hint="eastAsia" w:ascii="仿宋_GB2312" w:eastAsia="仿宋_GB2312"/>
          <w:spacing w:val="-2"/>
          <w:sz w:val="32"/>
          <w:szCs w:val="32"/>
        </w:rPr>
        <w:t>支出较上年支出</w:t>
      </w:r>
      <w:r>
        <w:rPr>
          <w:rFonts w:hint="eastAsia" w:ascii="仿宋_GB2312" w:eastAsia="仿宋_GB2312"/>
          <w:spacing w:val="-2"/>
          <w:sz w:val="32"/>
          <w:szCs w:val="32"/>
          <w:lang w:val="en-US" w:eastAsia="zh-CN"/>
        </w:rPr>
        <w:t>减少12.11</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减少0.85</w:t>
      </w:r>
      <w:r>
        <w:rPr>
          <w:rFonts w:hint="eastAsia" w:ascii="仿宋_GB2312" w:eastAsia="仿宋_GB2312"/>
          <w:color w:val="000000"/>
          <w:spacing w:val="-2"/>
          <w:sz w:val="32"/>
          <w:szCs w:val="32"/>
        </w:rPr>
        <w:t>%</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；二是</w:t>
      </w:r>
      <w:r>
        <w:rPr>
          <w:rFonts w:hint="eastAsia" w:ascii="仿宋_GB2312" w:eastAsia="仿宋_GB2312"/>
          <w:spacing w:val="-2"/>
          <w:sz w:val="32"/>
          <w:szCs w:val="32"/>
          <w:lang w:eastAsia="zh-CN"/>
        </w:rPr>
        <w:t>202</w:t>
      </w:r>
      <w:r>
        <w:rPr>
          <w:rFonts w:hint="eastAsia" w:ascii="仿宋_GB2312" w:eastAsia="仿宋_GB2312"/>
          <w:spacing w:val="-2"/>
          <w:sz w:val="32"/>
          <w:szCs w:val="32"/>
          <w:lang w:val="en-US" w:eastAsia="zh-CN"/>
        </w:rPr>
        <w:t>4</w:t>
      </w:r>
      <w:r>
        <w:rPr>
          <w:rFonts w:hint="eastAsia" w:ascii="仿宋_GB2312" w:eastAsia="仿宋_GB2312"/>
          <w:spacing w:val="-2"/>
          <w:sz w:val="32"/>
          <w:szCs w:val="32"/>
          <w:lang w:eastAsia="zh-CN"/>
        </w:rPr>
        <w:t>年</w:t>
      </w:r>
      <w:r>
        <w:rPr>
          <w:rFonts w:hint="eastAsia" w:ascii="仿宋_GB2312" w:eastAsia="仿宋_GB2312"/>
          <w:spacing w:val="-2"/>
          <w:sz w:val="32"/>
          <w:szCs w:val="32"/>
        </w:rPr>
        <w:t>人员</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经费支出</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w:t>
      </w:r>
    </w:p>
    <w:p w14:paraId="1FE56604">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05490AE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43"/>
    </w:p>
    <w:p w14:paraId="272201C5">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1405.1</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ascii="仿宋" w:eastAsia="仿宋"/>
          <w:bCs/>
          <w:color w:val="000000"/>
          <w:sz w:val="32"/>
          <w:szCs w:val="32"/>
          <w:lang w:val="en-US" w:eastAsia="zh-CN"/>
        </w:rPr>
        <w:t>391.03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ascii="仿宋" w:eastAsia="仿宋"/>
          <w:bCs/>
          <w:color w:val="000000"/>
          <w:sz w:val="32"/>
          <w:szCs w:val="32"/>
          <w:lang w:val="en-US" w:eastAsia="zh-CN"/>
        </w:rPr>
        <w:t>27.82</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eastAsia="仿宋"/>
          <w:bCs/>
          <w:color w:val="000000"/>
          <w:sz w:val="32"/>
          <w:szCs w:val="32"/>
        </w:rPr>
        <w:t>会保障和就业支出为</w:t>
      </w:r>
      <w:r>
        <w:rPr>
          <w:rFonts w:hint="eastAsia" w:ascii="仿宋" w:eastAsia="仿宋"/>
          <w:bCs/>
          <w:color w:val="000000"/>
          <w:sz w:val="32"/>
          <w:szCs w:val="32"/>
          <w:lang w:val="en-US" w:eastAsia="zh-CN"/>
        </w:rPr>
        <w:t>147.93</w:t>
      </w:r>
      <w:r>
        <w:rPr>
          <w:rFonts w:hint="eastAsia" w:ascii="仿宋" w:eastAsia="仿宋"/>
          <w:bCs/>
          <w:color w:val="000000"/>
          <w:sz w:val="32"/>
          <w:szCs w:val="32"/>
        </w:rPr>
        <w:t>万元，占比</w:t>
      </w:r>
      <w:r>
        <w:rPr>
          <w:rFonts w:hint="eastAsia" w:ascii="仿宋" w:eastAsia="仿宋"/>
          <w:bCs/>
          <w:color w:val="000000"/>
          <w:sz w:val="32"/>
          <w:szCs w:val="32"/>
          <w:lang w:val="en-US" w:eastAsia="zh-CN"/>
        </w:rPr>
        <w:t>10.53</w:t>
      </w:r>
      <w:r>
        <w:rPr>
          <w:rFonts w:hint="eastAsia" w:ascii="仿宋" w:eastAsia="仿宋"/>
          <w:bCs/>
          <w:color w:val="000000"/>
          <w:sz w:val="32"/>
          <w:szCs w:val="32"/>
        </w:rPr>
        <w:t>%；卫生健康支出为</w:t>
      </w:r>
      <w:r>
        <w:rPr>
          <w:rFonts w:hint="eastAsia" w:ascii="仿宋" w:eastAsia="仿宋"/>
          <w:bCs/>
          <w:color w:val="000000"/>
          <w:sz w:val="32"/>
          <w:szCs w:val="32"/>
          <w:lang w:val="en-US" w:eastAsia="zh-CN"/>
        </w:rPr>
        <w:t>47.46</w:t>
      </w:r>
      <w:r>
        <w:rPr>
          <w:rFonts w:hint="eastAsia" w:ascii="仿宋" w:eastAsia="仿宋"/>
          <w:bCs/>
          <w:color w:val="000000"/>
          <w:sz w:val="32"/>
          <w:szCs w:val="32"/>
        </w:rPr>
        <w:t>万元，占比</w:t>
      </w:r>
      <w:r>
        <w:rPr>
          <w:rFonts w:hint="eastAsia" w:ascii="仿宋" w:eastAsia="仿宋"/>
          <w:bCs/>
          <w:color w:val="000000"/>
          <w:sz w:val="32"/>
          <w:szCs w:val="32"/>
          <w:lang w:val="en-US" w:eastAsia="zh-CN"/>
        </w:rPr>
        <w:t>3.38</w:t>
      </w:r>
      <w:r>
        <w:rPr>
          <w:rFonts w:hint="eastAsia" w:ascii="仿宋" w:eastAsia="仿宋"/>
          <w:bCs/>
          <w:color w:val="000000"/>
          <w:sz w:val="32"/>
          <w:szCs w:val="32"/>
        </w:rPr>
        <w:t>%；</w:t>
      </w:r>
      <w:r>
        <w:rPr>
          <w:rFonts w:hint="eastAsia" w:ascii="仿宋" w:eastAsia="仿宋"/>
          <w:bCs/>
          <w:color w:val="000000"/>
          <w:sz w:val="32"/>
          <w:szCs w:val="32"/>
          <w:lang w:val="en-US" w:eastAsia="zh-CN"/>
        </w:rPr>
        <w:t>节能环保支出14.47万元，占比1.03%；</w:t>
      </w:r>
      <w:r>
        <w:rPr>
          <w:rFonts w:hint="eastAsia" w:ascii="仿宋" w:eastAsia="仿宋"/>
          <w:bCs/>
          <w:color w:val="000000"/>
          <w:sz w:val="32"/>
          <w:szCs w:val="32"/>
        </w:rPr>
        <w:t>农林水支出为</w:t>
      </w:r>
      <w:r>
        <w:rPr>
          <w:rFonts w:hint="eastAsia" w:ascii="仿宋" w:eastAsia="仿宋"/>
          <w:bCs/>
          <w:color w:val="000000"/>
          <w:sz w:val="32"/>
          <w:szCs w:val="32"/>
          <w:lang w:val="en-US" w:eastAsia="zh-CN"/>
        </w:rPr>
        <w:t>736.83</w:t>
      </w:r>
      <w:r>
        <w:rPr>
          <w:rFonts w:hint="eastAsia" w:ascii="仿宋" w:eastAsia="仿宋"/>
          <w:bCs/>
          <w:color w:val="000000"/>
          <w:sz w:val="32"/>
          <w:szCs w:val="32"/>
        </w:rPr>
        <w:t>万元，占比</w:t>
      </w:r>
      <w:r>
        <w:rPr>
          <w:rFonts w:hint="eastAsia" w:ascii="仿宋" w:eastAsia="仿宋"/>
          <w:bCs/>
          <w:color w:val="000000"/>
          <w:sz w:val="32"/>
          <w:szCs w:val="32"/>
          <w:lang w:val="en-US" w:eastAsia="zh-CN"/>
        </w:rPr>
        <w:t>52.24</w:t>
      </w:r>
      <w:r>
        <w:rPr>
          <w:rFonts w:hint="eastAsia" w:ascii="仿宋" w:eastAsia="仿宋"/>
          <w:bCs/>
          <w:color w:val="000000"/>
          <w:sz w:val="32"/>
          <w:szCs w:val="32"/>
        </w:rPr>
        <w:t>%；</w:t>
      </w:r>
      <w:r>
        <w:rPr>
          <w:rFonts w:hint="eastAsia" w:ascii="仿宋" w:eastAsia="仿宋"/>
          <w:bCs/>
          <w:color w:val="000000"/>
          <w:sz w:val="32"/>
          <w:szCs w:val="32"/>
          <w:lang w:val="en-US" w:eastAsia="zh-CN"/>
        </w:rPr>
        <w:t>水利支出10万元，占比0.7%；</w:t>
      </w:r>
      <w:r>
        <w:rPr>
          <w:rFonts w:hint="eastAsia" w:ascii="仿宋" w:eastAsia="仿宋"/>
          <w:bCs/>
          <w:color w:val="000000"/>
          <w:sz w:val="32"/>
          <w:szCs w:val="32"/>
        </w:rPr>
        <w:t>住房保障支出为</w:t>
      </w:r>
      <w:r>
        <w:rPr>
          <w:rFonts w:hint="eastAsia" w:ascii="仿宋" w:eastAsia="仿宋"/>
          <w:bCs/>
          <w:color w:val="000000"/>
          <w:sz w:val="32"/>
          <w:szCs w:val="32"/>
          <w:lang w:val="en-US" w:eastAsia="zh-CN"/>
        </w:rPr>
        <w:t>67.39</w:t>
      </w:r>
      <w:r>
        <w:rPr>
          <w:rFonts w:hint="eastAsia" w:ascii="仿宋" w:eastAsia="仿宋"/>
          <w:bCs/>
          <w:color w:val="000000"/>
          <w:sz w:val="32"/>
          <w:szCs w:val="32"/>
        </w:rPr>
        <w:t>万元，占比</w:t>
      </w:r>
      <w:r>
        <w:rPr>
          <w:rFonts w:hint="eastAsia" w:ascii="仿宋" w:eastAsia="仿宋"/>
          <w:bCs/>
          <w:color w:val="000000"/>
          <w:sz w:val="32"/>
          <w:szCs w:val="32"/>
          <w:lang w:val="en-US" w:eastAsia="zh-CN"/>
        </w:rPr>
        <w:t>4.8</w:t>
      </w:r>
      <w:r>
        <w:rPr>
          <w:rFonts w:hint="eastAsia" w:ascii="仿宋" w:eastAsia="仿宋"/>
          <w:bCs/>
          <w:color w:val="000000"/>
          <w:sz w:val="32"/>
          <w:szCs w:val="32"/>
        </w:rPr>
        <w:t>%</w:t>
      </w:r>
      <w:r>
        <w:rPr>
          <w:rFonts w:hint="eastAsia" w:ascii="仿宋_GB2312" w:eastAsia="仿宋_GB2312"/>
          <w:spacing w:val="-2"/>
          <w:sz w:val="32"/>
          <w:szCs w:val="32"/>
        </w:rPr>
        <w:t>。</w:t>
      </w:r>
      <w:bookmarkStart w:id="44" w:name="_Toc15377212"/>
    </w:p>
    <w:p w14:paraId="13E2C405">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r>
        <w:rPr>
          <w:rFonts w:hint="eastAsia" w:ascii="仿宋" w:eastAsia="仿宋"/>
          <w:bCs/>
          <w:color w:val="000000"/>
          <w:sz w:val="32"/>
          <w:szCs w:val="32"/>
          <w:lang w:eastAsia="zh-CN"/>
        </w:rPr>
        <w:drawing>
          <wp:anchor distT="0" distB="0" distL="114935" distR="114935" simplePos="0" relativeHeight="251664384" behindDoc="0" locked="0" layoutInCell="1" allowOverlap="1">
            <wp:simplePos x="0" y="0"/>
            <wp:positionH relativeFrom="column">
              <wp:posOffset>213995</wp:posOffset>
            </wp:positionH>
            <wp:positionV relativeFrom="paragraph">
              <wp:posOffset>13970</wp:posOffset>
            </wp:positionV>
            <wp:extent cx="5080000" cy="3810000"/>
            <wp:effectExtent l="4445" t="4445" r="20955" b="14605"/>
            <wp:wrapTopAndBottom/>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楷体_GB2312" w:cs="楷体_GB2312"/>
          <w:b/>
          <w:color w:val="auto"/>
          <w:sz w:val="32"/>
          <w:szCs w:val="32"/>
          <w:highlight w:val="none"/>
        </w:rPr>
        <w:t>（三）一般公共预算财政拨款支出决算具体情况</w:t>
      </w:r>
      <w:bookmarkEnd w:id="44"/>
    </w:p>
    <w:p w14:paraId="6F0F3A1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5" w:name="_Toc15378460"/>
      <w:bookmarkStart w:id="46" w:name="_Toc15377213"/>
      <w:bookmarkStart w:id="47"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 w:eastAsia="仿宋"/>
          <w:bCs/>
          <w:color w:val="000000"/>
          <w:sz w:val="32"/>
          <w:szCs w:val="32"/>
          <w:lang w:val="en-US" w:eastAsia="zh-CN"/>
        </w:rPr>
        <w:t>391.03万元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5"/>
      <w:bookmarkEnd w:id="46"/>
      <w:bookmarkEnd w:id="47"/>
    </w:p>
    <w:p w14:paraId="7DC7BECD">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一般公共服务（类）政府办公厅（室）及相关机构事务（款）行政运行（项）: 支出决算为350.55万元，完成预算100%，</w:t>
      </w:r>
      <w:r>
        <w:rPr>
          <w:rStyle w:val="18"/>
          <w:rFonts w:hint="eastAsia" w:ascii="仿宋" w:eastAsia="仿宋"/>
          <w:b w:val="0"/>
          <w:bCs/>
          <w:color w:val="000000"/>
          <w:sz w:val="32"/>
          <w:szCs w:val="32"/>
        </w:rPr>
        <w:t>结转下年0万元。</w:t>
      </w:r>
    </w:p>
    <w:p w14:paraId="520F27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2.一般公共服务（类）党委办公室（室）及相关机构事务（款）一般行政管理事务（项）: 支出决算为19.93万元，完成预算100%。结转下年0万元。</w:t>
      </w:r>
    </w:p>
    <w:p w14:paraId="79B2B5F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3.一般公共服务（类）人大事务（款）一般行政管理事务（项）:支出决算为50.54万元，完成预算100%。结转下年0万元。</w:t>
      </w:r>
    </w:p>
    <w:p w14:paraId="678AAC2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4.一般公共服务（类）人大事务（款）人大会议（项）:支出决算为0万元，完成预算100%。结转下年0万元。</w:t>
      </w:r>
    </w:p>
    <w:p w14:paraId="2E2DCE1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 社会保障和就业（类）行政事业单位离退休（款）机关事业单位基本养老保险缴费支出（项）: 支出决算为147.93万元，完成预算100%，决算数等于预算数。</w:t>
      </w:r>
    </w:p>
    <w:p w14:paraId="4BAC48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7.社会保障和就业（类）行政事业单位离退休（款）机关事业单位基本职业年金缴费支出（项）:支出决算为32.47万元，完成预算100%，决算数等于预算数。</w:t>
      </w:r>
    </w:p>
    <w:p w14:paraId="3A82F57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8.卫生健康支出（类）公共卫生（款）突发公共卫生应急处理（项）:支出决算为6万元，完成预算100%，决算数等于预算数。</w:t>
      </w:r>
    </w:p>
    <w:p w14:paraId="60CD77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9.卫生健康支出（类）行政事业单位医疗（款）行政单位医疗（项）:支出决算为19.21万元，完成预算100%，决算数等于预算数。</w:t>
      </w:r>
    </w:p>
    <w:p w14:paraId="679F7E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10.卫生健康支出（类）行政事业单位医疗（款）事业单位医疗（项）:支出决算为0万元，完成预算100%，决算数等于预算数。</w:t>
      </w:r>
    </w:p>
    <w:p w14:paraId="616534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11.卫生健康支出（类）行政事业单位医疗（款）公务员医疗补助（项）:支出决算为6万元，完成预算100%，决算数等于预算数。</w:t>
      </w:r>
    </w:p>
    <w:p w14:paraId="51F5ACF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12.卫生健康支出（类）行政事业单位医疗（款）其他行政事业单位医疗支出（项）:支出决算为3.03万元，完成预算100%，决算数等于预算数。</w:t>
      </w:r>
    </w:p>
    <w:p w14:paraId="351E713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13.住房保障（类）住房改革支出（款）住房公积金（项）：支出决算为67.39万元，完成预算100%，决算数等于预算数。</w:t>
      </w:r>
    </w:p>
    <w:p w14:paraId="06FB8F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14.节能环保支出（类）自然生态保护（款）生态保护（项）：支出决算为14.47万元，完成预算100%，决算数等于预算数。</w:t>
      </w:r>
    </w:p>
    <w:p w14:paraId="6E32661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15.农林水支出（类）农业农村（款）事业运行（项）：支出决算为222.8万元，完成预算100%，决算数等于预算数。</w:t>
      </w:r>
    </w:p>
    <w:p w14:paraId="3A0498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16.农林水支出（类）农业农村（款）农村道路建设（项）：支出决算为262.42万元，完成预算100%，决算数等于预算数。</w:t>
      </w:r>
    </w:p>
    <w:p w14:paraId="067E71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17.农林水支出（类）农村综合改革（款）对村民委员会和党支部的补助（项）：支出决算为241.6万元，完成预算100%，决算数等于预算数。       </w:t>
      </w:r>
    </w:p>
    <w:p w14:paraId="21D4B2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18.灾害防治和应急管理支出（类）自然灾害防治（款）地质灾害防治（项）：支出决算为10万元，完成预算100%，决算数等于预算数（水利支出）。</w:t>
      </w:r>
    </w:p>
    <w:p w14:paraId="452CE9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19.其他支出（类）其他支出（款）其他支出（项）：支出决算为0万元，完成预算100%，决算数等于预算数。</w:t>
      </w:r>
    </w:p>
    <w:p w14:paraId="7DAE5811">
      <w:pPr>
        <w:tabs>
          <w:tab w:val="right" w:pos="8306"/>
        </w:tabs>
        <w:spacing w:line="600" w:lineRule="exact"/>
        <w:ind w:firstLine="640"/>
        <w:outlineLvl w:val="1"/>
        <w:rPr>
          <w:rStyle w:val="30"/>
          <w:rFonts w:ascii="Times New Roman" w:hAnsi="Times New Roman"/>
          <w:color w:val="auto"/>
          <w:highlight w:val="none"/>
        </w:rPr>
      </w:pPr>
      <w:bookmarkStart w:id="48" w:name="_Toc25539"/>
      <w:bookmarkStart w:id="49" w:name="_Toc15377214"/>
      <w:bookmarkStart w:id="50"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48"/>
      <w:bookmarkEnd w:id="49"/>
      <w:bookmarkEnd w:id="50"/>
      <w:r>
        <w:rPr>
          <w:rStyle w:val="30"/>
          <w:rFonts w:ascii="Times New Roman" w:hAnsi="Times New Roman" w:eastAsia="黑体"/>
          <w:b w:val="0"/>
          <w:color w:val="auto"/>
          <w:highlight w:val="none"/>
        </w:rPr>
        <w:tab/>
      </w:r>
    </w:p>
    <w:p w14:paraId="2073DC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2024年度一般公共预算财政拨款基本支出991.49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9D97A4E">
      <w:pPr>
        <w:snapToGrid w:val="0"/>
        <w:spacing w:line="520" w:lineRule="exact"/>
        <w:ind w:firstLine="640" w:firstLineChars="200"/>
        <w:rPr>
          <w:rFonts w:ascii="仿宋_GB2312" w:eastAsia="仿宋_GB2312"/>
          <w:color w:val="000000" w:themeColor="text1"/>
          <w:sz w:val="32"/>
          <w:szCs w:val="32"/>
          <w14:textFill>
            <w14:solidFill>
              <w14:schemeClr w14:val="tx1"/>
            </w14:solidFill>
          </w14:textFill>
        </w:rPr>
      </w:pPr>
      <w:bookmarkStart w:id="51" w:name="_Toc15377215"/>
      <w:bookmarkStart w:id="52" w:name="_Toc15396609"/>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825.49</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787.88</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主要包括：基本工资</w:t>
      </w:r>
      <w:r>
        <w:rPr>
          <w:rFonts w:hint="eastAsia" w:ascii="仿宋_GB2312" w:eastAsia="仿宋_GB2312"/>
          <w:color w:val="000000" w:themeColor="text1"/>
          <w:sz w:val="32"/>
          <w:szCs w:val="32"/>
          <w:lang w:val="en-US" w:eastAsia="zh-CN"/>
          <w14:textFill>
            <w14:solidFill>
              <w14:schemeClr w14:val="tx1"/>
            </w14:solidFill>
          </w14:textFill>
        </w:rPr>
        <w:t>134.9</w:t>
      </w:r>
      <w:r>
        <w:rPr>
          <w:rFonts w:hint="eastAsia" w:ascii="仿宋_GB2312" w:eastAsia="仿宋_GB2312"/>
          <w:color w:val="000000" w:themeColor="text1"/>
          <w:sz w:val="32"/>
          <w:szCs w:val="32"/>
          <w14:textFill>
            <w14:solidFill>
              <w14:schemeClr w14:val="tx1"/>
            </w14:solidFill>
          </w14:textFill>
        </w:rPr>
        <w:t>万元、津贴补贴</w:t>
      </w:r>
      <w:r>
        <w:rPr>
          <w:rFonts w:hint="eastAsia" w:ascii="仿宋_GB2312" w:eastAsia="仿宋_GB2312"/>
          <w:color w:val="000000" w:themeColor="text1"/>
          <w:sz w:val="32"/>
          <w:szCs w:val="32"/>
          <w:lang w:val="en-US" w:eastAsia="zh-CN"/>
          <w14:textFill>
            <w14:solidFill>
              <w14:schemeClr w14:val="tx1"/>
            </w14:solidFill>
          </w14:textFill>
        </w:rPr>
        <w:t>202.39</w:t>
      </w:r>
      <w:r>
        <w:rPr>
          <w:rFonts w:hint="eastAsia" w:ascii="仿宋_GB2312" w:eastAsia="仿宋_GB2312"/>
          <w:color w:val="000000" w:themeColor="text1"/>
          <w:sz w:val="32"/>
          <w:szCs w:val="32"/>
          <w14:textFill>
            <w14:solidFill>
              <w14:schemeClr w14:val="tx1"/>
            </w14:solidFill>
          </w14:textFill>
        </w:rPr>
        <w:t>万元、奖金</w:t>
      </w:r>
      <w:r>
        <w:rPr>
          <w:rFonts w:hint="eastAsia" w:ascii="仿宋_GB2312" w:eastAsia="仿宋_GB2312"/>
          <w:color w:val="000000" w:themeColor="text1"/>
          <w:sz w:val="32"/>
          <w:szCs w:val="32"/>
          <w:lang w:val="en-US" w:eastAsia="zh-CN"/>
          <w14:textFill>
            <w14:solidFill>
              <w14:schemeClr w14:val="tx1"/>
            </w14:solidFill>
          </w14:textFill>
        </w:rPr>
        <w:t>187.82</w:t>
      </w:r>
      <w:r>
        <w:rPr>
          <w:rFonts w:hint="eastAsia" w:ascii="仿宋_GB2312" w:eastAsia="仿宋_GB2312"/>
          <w:color w:val="000000" w:themeColor="text1"/>
          <w:sz w:val="32"/>
          <w:szCs w:val="32"/>
          <w14:textFill>
            <w14:solidFill>
              <w14:schemeClr w14:val="tx1"/>
            </w14:solidFill>
          </w14:textFill>
        </w:rPr>
        <w:t>万元、绩效工资</w:t>
      </w:r>
      <w:r>
        <w:rPr>
          <w:rFonts w:hint="eastAsia" w:ascii="仿宋_GB2312" w:eastAsia="仿宋_GB2312"/>
          <w:color w:val="000000" w:themeColor="text1"/>
          <w:sz w:val="32"/>
          <w:szCs w:val="32"/>
          <w:lang w:val="en-US" w:eastAsia="zh-CN"/>
          <w14:textFill>
            <w14:solidFill>
              <w14:schemeClr w14:val="tx1"/>
            </w14:solidFill>
          </w14:textFill>
        </w:rPr>
        <w:t>42.85</w:t>
      </w:r>
      <w:r>
        <w:rPr>
          <w:rFonts w:hint="eastAsia" w:ascii="仿宋_GB2312" w:eastAsia="仿宋_GB2312"/>
          <w:color w:val="000000" w:themeColor="text1"/>
          <w:sz w:val="32"/>
          <w:szCs w:val="32"/>
          <w14:textFill>
            <w14:solidFill>
              <w14:schemeClr w14:val="tx1"/>
            </w14:solidFill>
          </w14:textFill>
        </w:rPr>
        <w:t>万元、机关事业单位基本养老保险缴费</w:t>
      </w:r>
      <w:r>
        <w:rPr>
          <w:rFonts w:hint="eastAsia" w:ascii="仿宋_GB2312" w:eastAsia="仿宋_GB2312"/>
          <w:color w:val="000000" w:themeColor="text1"/>
          <w:sz w:val="32"/>
          <w:szCs w:val="32"/>
          <w:lang w:val="en-US" w:eastAsia="zh-CN"/>
          <w14:textFill>
            <w14:solidFill>
              <w14:schemeClr w14:val="tx1"/>
            </w14:solidFill>
          </w14:textFill>
        </w:rPr>
        <w:t>72</w:t>
      </w:r>
      <w:r>
        <w:rPr>
          <w:rFonts w:hint="eastAsia" w:ascii="仿宋_GB2312" w:eastAsia="仿宋_GB2312"/>
          <w:color w:val="000000" w:themeColor="text1"/>
          <w:sz w:val="32"/>
          <w:szCs w:val="32"/>
          <w14:textFill>
            <w14:solidFill>
              <w14:schemeClr w14:val="tx1"/>
            </w14:solidFill>
          </w14:textFill>
        </w:rPr>
        <w:t>万元、职业年金缴费</w:t>
      </w:r>
      <w:r>
        <w:rPr>
          <w:rFonts w:hint="eastAsia" w:ascii="仿宋_GB2312" w:eastAsia="仿宋_GB2312"/>
          <w:color w:val="000000" w:themeColor="text1"/>
          <w:sz w:val="32"/>
          <w:szCs w:val="32"/>
          <w:lang w:val="en-US" w:eastAsia="zh-CN"/>
          <w14:textFill>
            <w14:solidFill>
              <w14:schemeClr w14:val="tx1"/>
            </w14:solidFill>
          </w14:textFill>
        </w:rPr>
        <w:t>36</w:t>
      </w:r>
      <w:r>
        <w:rPr>
          <w:rFonts w:hint="eastAsia" w:ascii="仿宋_GB2312" w:eastAsia="仿宋_GB2312"/>
          <w:color w:val="000000" w:themeColor="text1"/>
          <w:sz w:val="32"/>
          <w:szCs w:val="32"/>
          <w14:textFill>
            <w14:solidFill>
              <w14:schemeClr w14:val="tx1"/>
            </w14:solidFill>
          </w14:textFill>
        </w:rPr>
        <w:t>万元、住房公积金</w:t>
      </w:r>
      <w:r>
        <w:rPr>
          <w:rFonts w:hint="eastAsia" w:ascii="仿宋_GB2312" w:eastAsia="仿宋_GB2312"/>
          <w:color w:val="000000" w:themeColor="text1"/>
          <w:sz w:val="32"/>
          <w:szCs w:val="32"/>
          <w:lang w:val="en-US" w:eastAsia="zh-CN"/>
          <w14:textFill>
            <w14:solidFill>
              <w14:schemeClr w14:val="tx1"/>
            </w14:solidFill>
          </w14:textFill>
        </w:rPr>
        <w:t>62.59</w:t>
      </w:r>
      <w:r>
        <w:rPr>
          <w:rFonts w:hint="eastAsia" w:ascii="仿宋_GB2312" w:eastAsia="仿宋_GB2312"/>
          <w:color w:val="000000" w:themeColor="text1"/>
          <w:sz w:val="32"/>
          <w:szCs w:val="32"/>
          <w14:textFill>
            <w14:solidFill>
              <w14:schemeClr w14:val="tx1"/>
            </w14:solidFill>
          </w14:textFill>
        </w:rPr>
        <w:t>万元、职工基本医疗保险缴费</w:t>
      </w:r>
      <w:r>
        <w:rPr>
          <w:rFonts w:hint="eastAsia" w:ascii="仿宋_GB2312" w:eastAsia="仿宋_GB2312"/>
          <w:color w:val="000000" w:themeColor="text1"/>
          <w:sz w:val="32"/>
          <w:szCs w:val="32"/>
          <w:lang w:val="en-US" w:eastAsia="zh-CN"/>
          <w14:textFill>
            <w14:solidFill>
              <w14:schemeClr w14:val="tx1"/>
            </w14:solidFill>
          </w14:textFill>
        </w:rPr>
        <w:t>38.43</w:t>
      </w:r>
      <w:r>
        <w:rPr>
          <w:rFonts w:hint="eastAsia" w:ascii="仿宋_GB2312" w:eastAsia="仿宋_GB2312"/>
          <w:color w:val="000000" w:themeColor="text1"/>
          <w:sz w:val="32"/>
          <w:szCs w:val="32"/>
          <w14:textFill>
            <w14:solidFill>
              <w14:schemeClr w14:val="tx1"/>
            </w14:solidFill>
          </w14:textFill>
        </w:rPr>
        <w:t>万元、公务员医疗补助</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万元、生活补助</w:t>
      </w:r>
      <w:r>
        <w:rPr>
          <w:rFonts w:hint="eastAsia" w:ascii="仿宋_GB2312" w:eastAsia="仿宋_GB2312"/>
          <w:color w:val="000000" w:themeColor="text1"/>
          <w:sz w:val="32"/>
          <w:szCs w:val="32"/>
          <w:lang w:val="en-US" w:eastAsia="zh-CN"/>
          <w14:textFill>
            <w14:solidFill>
              <w14:schemeClr w14:val="tx1"/>
            </w14:solidFill>
          </w14:textFill>
        </w:rPr>
        <w:t>159.57</w:t>
      </w:r>
      <w:r>
        <w:rPr>
          <w:rFonts w:hint="eastAsia" w:ascii="仿宋_GB2312" w:eastAsia="仿宋_GB2312"/>
          <w:color w:val="000000" w:themeColor="text1"/>
          <w:sz w:val="32"/>
          <w:szCs w:val="32"/>
          <w14:textFill>
            <w14:solidFill>
              <w14:schemeClr w14:val="tx1"/>
            </w14:solidFill>
          </w14:textFill>
        </w:rPr>
        <w:t>万元。</w:t>
      </w:r>
    </w:p>
    <w:p w14:paraId="648BBB85">
      <w:pPr>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公用经费支出为</w:t>
      </w:r>
      <w:r>
        <w:rPr>
          <w:rFonts w:hint="eastAsia" w:ascii="仿宋_GB2312" w:hAnsi="仿宋" w:eastAsia="仿宋_GB2312"/>
          <w:color w:val="000000"/>
          <w:sz w:val="32"/>
          <w:szCs w:val="32"/>
          <w:lang w:val="en-US" w:eastAsia="zh-CN"/>
        </w:rPr>
        <w:t>40.86</w:t>
      </w:r>
      <w:r>
        <w:rPr>
          <w:rFonts w:hint="eastAsia" w:ascii="仿宋_GB2312" w:hAnsi="仿宋" w:eastAsia="仿宋_GB2312"/>
          <w:color w:val="000000"/>
          <w:sz w:val="32"/>
          <w:szCs w:val="32"/>
        </w:rPr>
        <w:t>万元，主要包括：办公费</w:t>
      </w:r>
      <w:r>
        <w:rPr>
          <w:rFonts w:hint="eastAsia" w:ascii="仿宋_GB2312" w:hAnsi="仿宋" w:eastAsia="仿宋_GB2312"/>
          <w:color w:val="000000"/>
          <w:sz w:val="32"/>
          <w:szCs w:val="32"/>
          <w:lang w:val="en-US" w:eastAsia="zh-CN"/>
        </w:rPr>
        <w:t>9.54</w:t>
      </w:r>
      <w:r>
        <w:rPr>
          <w:rFonts w:hint="eastAsia" w:ascii="仿宋_GB2312" w:hAnsi="仿宋" w:eastAsia="仿宋_GB2312"/>
          <w:color w:val="000000"/>
          <w:sz w:val="32"/>
          <w:szCs w:val="32"/>
        </w:rPr>
        <w:t>万元、印刷费</w:t>
      </w:r>
      <w:r>
        <w:rPr>
          <w:rFonts w:hint="eastAsia" w:ascii="仿宋_GB2312" w:hAnsi="仿宋" w:eastAsia="仿宋_GB2312"/>
          <w:color w:val="000000"/>
          <w:sz w:val="32"/>
          <w:szCs w:val="32"/>
          <w:lang w:val="en-US" w:eastAsia="zh-CN"/>
        </w:rPr>
        <w:t>3.5</w:t>
      </w:r>
      <w:r>
        <w:rPr>
          <w:rFonts w:hint="eastAsia" w:ascii="仿宋_GB2312" w:hAnsi="仿宋" w:eastAsia="仿宋_GB2312"/>
          <w:color w:val="000000"/>
          <w:sz w:val="32"/>
          <w:szCs w:val="32"/>
        </w:rPr>
        <w:t>万元、电费</w:t>
      </w:r>
      <w:r>
        <w:rPr>
          <w:rFonts w:hint="eastAsia" w:ascii="仿宋_GB2312" w:hAnsi="仿宋" w:eastAsia="仿宋_GB2312"/>
          <w:color w:val="000000"/>
          <w:sz w:val="32"/>
          <w:szCs w:val="32"/>
          <w:lang w:val="en-US" w:eastAsia="zh-CN"/>
        </w:rPr>
        <w:t>3.0</w:t>
      </w:r>
      <w:r>
        <w:rPr>
          <w:rFonts w:hint="eastAsia" w:ascii="仿宋_GB2312" w:hAnsi="仿宋" w:eastAsia="仿宋_GB2312"/>
          <w:color w:val="000000"/>
          <w:sz w:val="32"/>
          <w:szCs w:val="32"/>
        </w:rPr>
        <w:t>万元、邮电费</w:t>
      </w:r>
      <w:r>
        <w:rPr>
          <w:rFonts w:hint="eastAsia" w:ascii="仿宋_GB2312" w:hAnsi="仿宋" w:eastAsia="仿宋_GB2312"/>
          <w:color w:val="000000"/>
          <w:sz w:val="32"/>
          <w:szCs w:val="32"/>
          <w:lang w:val="en-US" w:eastAsia="zh-CN"/>
        </w:rPr>
        <w:t>1.75</w:t>
      </w:r>
      <w:r>
        <w:rPr>
          <w:rFonts w:hint="eastAsia" w:ascii="仿宋_GB2312" w:hAnsi="仿宋" w:eastAsia="仿宋_GB2312"/>
          <w:color w:val="000000"/>
          <w:sz w:val="32"/>
          <w:szCs w:val="32"/>
        </w:rPr>
        <w:t>万元、差旅费</w:t>
      </w:r>
      <w:r>
        <w:rPr>
          <w:rFonts w:hint="eastAsia" w:ascii="仿宋_GB2312" w:hAnsi="仿宋" w:eastAsia="仿宋_GB2312"/>
          <w:color w:val="000000"/>
          <w:sz w:val="32"/>
          <w:szCs w:val="32"/>
          <w:lang w:val="en-US" w:eastAsia="zh-CN"/>
        </w:rPr>
        <w:t>6.97</w:t>
      </w:r>
      <w:r>
        <w:rPr>
          <w:rFonts w:hint="eastAsia" w:ascii="仿宋_GB2312" w:hAnsi="仿宋" w:eastAsia="仿宋_GB2312"/>
          <w:color w:val="000000"/>
          <w:sz w:val="32"/>
          <w:szCs w:val="32"/>
        </w:rPr>
        <w:t>万元、劳务费</w:t>
      </w:r>
      <w:r>
        <w:rPr>
          <w:rFonts w:hint="eastAsia" w:ascii="仿宋_GB2312" w:hAnsi="仿宋" w:eastAsia="仿宋_GB2312"/>
          <w:color w:val="000000"/>
          <w:sz w:val="32"/>
          <w:szCs w:val="32"/>
          <w:lang w:val="en-US" w:eastAsia="zh-CN"/>
        </w:rPr>
        <w:t>4.5</w:t>
      </w:r>
      <w:r>
        <w:rPr>
          <w:rFonts w:hint="eastAsia" w:ascii="仿宋_GB2312" w:hAnsi="仿宋" w:eastAsia="仿宋_GB2312"/>
          <w:color w:val="000000"/>
          <w:sz w:val="32"/>
          <w:szCs w:val="32"/>
        </w:rPr>
        <w:t>万元、其他交通0.</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万元，公务用车运行维护费</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万元。</w:t>
      </w:r>
    </w:p>
    <w:p w14:paraId="53EE36A2">
      <w:pPr>
        <w:snapToGrid w:val="0"/>
        <w:spacing w:line="52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项目支出为568.4万元，主要包括：金川县卡撒卡撒乡政府办公楼宿舍楼维修项目39.9万元、金川县卡撒乡三埂子至新桥河堤建设项目2.65万元、金川县卡撒乡三埂子高家沟口通组桥建设项目1.39万元、卡撒乡脚姆塘村改板厂下方河堤灾后恢复建设项目10.43万元、应急抢险资金10万元、金川县卡撒乡人居环境整治项目78.68万元、村级运维费、村干部生活补助、保险、三老干部生活补助241.6万元。</w:t>
      </w:r>
    </w:p>
    <w:p w14:paraId="249F2000">
      <w:pPr>
        <w:spacing w:line="600" w:lineRule="exact"/>
        <w:ind w:firstLine="640"/>
        <w:outlineLvl w:val="1"/>
        <w:rPr>
          <w:rStyle w:val="30"/>
          <w:rFonts w:ascii="Times New Roman" w:hAnsi="Times New Roman" w:eastAsia="黑体"/>
          <w:b w:val="0"/>
          <w:color w:val="auto"/>
          <w:highlight w:val="none"/>
        </w:rPr>
      </w:pPr>
      <w:bookmarkStart w:id="53" w:name="_Toc14873"/>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51"/>
      <w:bookmarkEnd w:id="52"/>
      <w:bookmarkEnd w:id="53"/>
    </w:p>
    <w:p w14:paraId="496B65A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4"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4"/>
    </w:p>
    <w:p w14:paraId="7E9B336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eastAsia="仿宋_GB2312" w:cs="仿宋_GB2312"/>
          <w:color w:val="auto"/>
          <w:kern w:val="2"/>
          <w:sz w:val="32"/>
          <w:szCs w:val="32"/>
          <w:highlight w:val="none"/>
          <w:lang w:val="en-US" w:eastAsia="zh-CN" w:bidi="ar-SA"/>
        </w:rPr>
        <w:t>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eastAsia="仿宋"/>
          <w:color w:val="000000"/>
          <w:sz w:val="32"/>
          <w:szCs w:val="32"/>
        </w:rPr>
        <w:t>决算数与预算数持平。</w:t>
      </w:r>
    </w:p>
    <w:p w14:paraId="2C15745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5"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5"/>
    </w:p>
    <w:p w14:paraId="404740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具体情况如下：</w:t>
      </w:r>
    </w:p>
    <w:p w14:paraId="54A6FA4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r>
        <w:rPr>
          <w:rFonts w:hint="eastAsia" w:ascii="黑体" w:eastAsia="黑体"/>
          <w:color w:val="000000"/>
          <w:sz w:val="32"/>
          <w:szCs w:val="32"/>
        </w:rPr>
        <w:drawing>
          <wp:anchor distT="0" distB="0" distL="114300" distR="114300" simplePos="0" relativeHeight="251665408" behindDoc="0" locked="0" layoutInCell="1" allowOverlap="1">
            <wp:simplePos x="0" y="0"/>
            <wp:positionH relativeFrom="column">
              <wp:posOffset>-81280</wp:posOffset>
            </wp:positionH>
            <wp:positionV relativeFrom="paragraph">
              <wp:posOffset>13335</wp:posOffset>
            </wp:positionV>
            <wp:extent cx="5373370" cy="2648585"/>
            <wp:effectExtent l="4445" t="4445" r="13335"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50AE5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_GB2312" w:eastAsia="仿宋_GB2312" w:cs="仿宋"/>
          <w:color w:val="000000"/>
          <w:sz w:val="32"/>
          <w:szCs w:val="32"/>
          <w:lang w:val="en-US" w:eastAsia="zh-CN"/>
        </w:rPr>
        <w:t>与上年相比无变动。</w:t>
      </w:r>
    </w:p>
    <w:p w14:paraId="4B2F84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27181818">
      <w:pPr>
        <w:spacing w:line="600" w:lineRule="exact"/>
        <w:ind w:firstLine="640"/>
        <w:rPr>
          <w:rFonts w:hint="eastAsia" w:ascii="仿宋_GB2312" w:eastAsia="仿宋_GB2312"/>
          <w:color w:val="000000"/>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lang w:val="en-US" w:eastAsia="zh-CN"/>
        </w:rPr>
        <w:t>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color w:val="000000"/>
          <w:sz w:val="32"/>
          <w:szCs w:val="32"/>
        </w:rPr>
        <w:t>我单位所需的公务用车燃料费、维修费、过路过桥费、保险费等支出。</w:t>
      </w:r>
      <w:r>
        <w:rPr>
          <w:rFonts w:hint="eastAsia" w:ascii="仿宋_GB2312" w:eastAsia="仿宋_GB2312"/>
          <w:color w:val="000000"/>
          <w:sz w:val="32"/>
          <w:szCs w:val="32"/>
          <w:lang w:val="en-US" w:eastAsia="zh-CN"/>
        </w:rPr>
        <w:t xml:space="preserve">  </w:t>
      </w:r>
    </w:p>
    <w:p w14:paraId="10DB9DE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Times New Roman" w:hAnsi="Times New Roman" w:eastAsia="仿宋_GB2312" w:cs="仿宋_GB2312"/>
          <w:color w:val="auto"/>
          <w:kern w:val="2"/>
          <w:sz w:val="32"/>
          <w:szCs w:val="32"/>
          <w:highlight w:val="none"/>
          <w:lang w:val="en-US" w:eastAsia="zh-CN" w:bidi="ar-SA"/>
        </w:rPr>
        <w:t>公务接待费支出决算比2023年度</w:t>
      </w:r>
      <w:r>
        <w:rPr>
          <w:rFonts w:hint="eastAsia" w:eastAsia="仿宋_GB2312" w:cs="仿宋_GB2312"/>
          <w:color w:val="auto"/>
          <w:kern w:val="2"/>
          <w:sz w:val="32"/>
          <w:szCs w:val="32"/>
          <w:highlight w:val="none"/>
          <w:lang w:val="en-US" w:eastAsia="zh-CN" w:bidi="ar-SA"/>
        </w:rPr>
        <w:t>无变化。</w:t>
      </w:r>
      <w:bookmarkStart w:id="56" w:name="_Toc15377218"/>
      <w:bookmarkStart w:id="57" w:name="_Toc15396610"/>
    </w:p>
    <w:p w14:paraId="46E4E0B9">
      <w:pPr>
        <w:spacing w:line="600" w:lineRule="exact"/>
        <w:ind w:firstLine="640"/>
        <w:outlineLvl w:val="1"/>
        <w:rPr>
          <w:rStyle w:val="30"/>
          <w:rFonts w:ascii="Times New Roman" w:hAnsi="Times New Roman" w:eastAsia="黑体"/>
          <w:color w:val="auto"/>
          <w:highlight w:val="none"/>
        </w:rPr>
      </w:pPr>
      <w:bookmarkStart w:id="58" w:name="_Toc14470"/>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56"/>
      <w:bookmarkEnd w:id="57"/>
      <w:bookmarkEnd w:id="58"/>
    </w:p>
    <w:p w14:paraId="1D1DEB7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2E905E59">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59" w:name="_Toc15377219"/>
      <w:bookmarkStart w:id="60" w:name="_Toc15396611"/>
      <w:bookmarkStart w:id="61" w:name="_Toc865"/>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59"/>
      <w:bookmarkEnd w:id="60"/>
      <w:bookmarkEnd w:id="61"/>
    </w:p>
    <w:p w14:paraId="06FE6D4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07111989">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62" w:name="_Toc15396612"/>
      <w:bookmarkStart w:id="63" w:name="_Toc15377221"/>
      <w:bookmarkStart w:id="64" w:name="_Toc12574"/>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62"/>
      <w:bookmarkEnd w:id="63"/>
      <w:bookmarkEnd w:id="64"/>
    </w:p>
    <w:p w14:paraId="1ADC3AF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5" w:name="_Toc15377222"/>
      <w:r>
        <w:rPr>
          <w:rFonts w:hint="eastAsia" w:ascii="Times New Roman" w:hAnsi="Times New Roman" w:eastAsia="楷体_GB2312" w:cs="楷体_GB2312"/>
          <w:b/>
          <w:color w:val="auto"/>
          <w:sz w:val="32"/>
          <w:szCs w:val="32"/>
          <w:highlight w:val="none"/>
        </w:rPr>
        <w:t>（一）机关运行经费支出情况</w:t>
      </w:r>
      <w:bookmarkEnd w:id="65"/>
    </w:p>
    <w:p w14:paraId="2D2135C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金川县卡撒乡人民政府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lang w:val="en-US" w:eastAsia="zh-CN"/>
        </w:rPr>
        <w:t>32.04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7.66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23.9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eastAsia="仿宋_GB2312"/>
          <w:spacing w:val="-2"/>
          <w:sz w:val="32"/>
          <w:szCs w:val="32"/>
        </w:rPr>
        <w:t>人员</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经费支出</w:t>
      </w:r>
      <w:r>
        <w:rPr>
          <w:rFonts w:hint="eastAsia" w:ascii="仿宋_GB2312" w:eastAsia="仿宋_GB2312"/>
          <w:spacing w:val="-2"/>
          <w:sz w:val="32"/>
          <w:szCs w:val="32"/>
          <w:lang w:val="en-US" w:eastAsia="zh-CN"/>
        </w:rPr>
        <w:t>减少</w:t>
      </w:r>
      <w:r>
        <w:rPr>
          <w:rFonts w:hint="eastAsia" w:ascii="仿宋_GB2312" w:eastAsia="仿宋_GB2312"/>
          <w:spacing w:val="-2"/>
          <w:sz w:val="32"/>
          <w:szCs w:val="32"/>
        </w:rPr>
        <w:t>。</w:t>
      </w:r>
    </w:p>
    <w:p w14:paraId="371A1B0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6" w:name="_Toc15377223"/>
      <w:r>
        <w:rPr>
          <w:rFonts w:hint="eastAsia" w:ascii="Times New Roman" w:hAnsi="Times New Roman" w:eastAsia="楷体_GB2312" w:cs="楷体_GB2312"/>
          <w:b/>
          <w:color w:val="auto"/>
          <w:sz w:val="32"/>
          <w:szCs w:val="32"/>
          <w:highlight w:val="none"/>
        </w:rPr>
        <w:t>（二）政府采购支出情况</w:t>
      </w:r>
      <w:bookmarkEnd w:id="66"/>
    </w:p>
    <w:p w14:paraId="1C530F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金川县卡撒乡人民政府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6EAA2CA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7" w:name="_Toc15377224"/>
      <w:r>
        <w:rPr>
          <w:rFonts w:hint="eastAsia" w:ascii="Times New Roman" w:hAnsi="Times New Roman" w:eastAsia="楷体_GB2312" w:cs="楷体_GB2312"/>
          <w:b/>
          <w:color w:val="auto"/>
          <w:sz w:val="32"/>
          <w:szCs w:val="32"/>
          <w:highlight w:val="none"/>
        </w:rPr>
        <w:t>（三）国有资产占有使用情况</w:t>
      </w:r>
      <w:bookmarkEnd w:id="67"/>
    </w:p>
    <w:p w14:paraId="05628CC6">
      <w:pPr>
        <w:widowControl/>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金川县卡撒乡人民政府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w:t>
      </w:r>
      <w:r>
        <w:rPr>
          <w:rFonts w:hint="eastAsia" w:ascii="仿宋_GB2312" w:eastAsia="仿宋_GB2312"/>
          <w:color w:val="000000"/>
          <w:sz w:val="32"/>
          <w:szCs w:val="32"/>
        </w:rPr>
        <w:t>为日常工作及应急保障用车。</w:t>
      </w:r>
    </w:p>
    <w:p w14:paraId="0C42431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3B19F2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我单位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eastAsia="仿宋_GB2312"/>
          <w:color w:val="000000"/>
          <w:sz w:val="32"/>
          <w:szCs w:val="32"/>
          <w:lang w:val="en-US" w:eastAsia="zh-CN"/>
        </w:rPr>
        <w:t>金川县卡撒卡撒乡政府办公楼宿舍楼维修项目</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66A90588">
      <w:pPr>
        <w:widowControl/>
        <w:tabs>
          <w:tab w:val="left" w:pos="0"/>
        </w:tabs>
        <w:ind w:firstLine="640" w:firstLineChars="200"/>
        <w:jc w:val="left"/>
        <w:rPr>
          <w:rFonts w:hint="eastAsia"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卡撒乡</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卡撒乡</w:t>
      </w:r>
      <w:r>
        <w:rPr>
          <w:rFonts w:hint="eastAsia" w:ascii="Times New Roman" w:hAnsi="Times New Roman" w:eastAsia="仿宋_GB2312" w:cs="仿宋_GB2312"/>
          <w:color w:val="auto"/>
          <w:kern w:val="2"/>
          <w:sz w:val="32"/>
          <w:szCs w:val="32"/>
          <w:highlight w:val="none"/>
          <w:lang w:val="en-US" w:eastAsia="zh-CN" w:bidi="ar-SA"/>
        </w:rPr>
        <w:t>专项预算项目绩效自评报告，其中，</w:t>
      </w:r>
      <w:r>
        <w:rPr>
          <w:rFonts w:hint="eastAsia" w:eastAsia="仿宋_GB2312" w:cs="仿宋_GB2312"/>
          <w:color w:val="auto"/>
          <w:kern w:val="2"/>
          <w:sz w:val="32"/>
          <w:szCs w:val="32"/>
          <w:highlight w:val="none"/>
          <w:lang w:val="en-US" w:eastAsia="zh-CN" w:bidi="ar-SA"/>
        </w:rPr>
        <w:t>卡撒乡</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ascii="Times New Roman" w:hAnsi="Times New Roman" w:eastAsia="仿宋_GB2312" w:cs="Times New Roman"/>
          <w:bCs/>
          <w:kern w:val="0"/>
          <w:sz w:val="32"/>
          <w:szCs w:val="32"/>
          <w:shd w:val="clear" w:color="auto" w:fill="FFFFFF"/>
          <w:lang w:val="zh-CN" w:eastAsia="zh-CN"/>
        </w:rPr>
        <w:t>全年整体支出较优</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6个</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95</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ascii="Times New Roman" w:hAnsi="Times New Roman" w:eastAsia="仿宋_GB2312" w:cs="Times New Roman"/>
          <w:bCs/>
          <w:kern w:val="0"/>
          <w:sz w:val="32"/>
          <w:szCs w:val="32"/>
          <w:shd w:val="clear" w:color="auto" w:fill="FFFFFF"/>
          <w:lang w:val="zh-CN" w:eastAsia="zh-CN"/>
        </w:rPr>
        <w:t>全年整体支出较优，实现了年初绩效目标</w:t>
      </w:r>
      <w:r>
        <w:rPr>
          <w:rFonts w:hint="eastAsia" w:ascii="仿宋_GB2312" w:eastAsia="仿宋_GB2312"/>
          <w:color w:val="000000"/>
          <w:sz w:val="32"/>
          <w:szCs w:val="32"/>
          <w:lang w:val="en-US" w:eastAsia="zh-CN"/>
        </w:rPr>
        <w:t>。绩效自评报告详见附件。</w:t>
      </w:r>
    </w:p>
    <w:p w14:paraId="0654A6B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7EBEB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5E6F446">
      <w:pPr>
        <w:numPr>
          <w:ilvl w:val="0"/>
          <w:numId w:val="0"/>
        </w:numPr>
        <w:spacing w:line="600" w:lineRule="exact"/>
        <w:jc w:val="center"/>
        <w:outlineLvl w:val="9"/>
        <w:rPr>
          <w:rFonts w:hint="eastAsia" w:ascii="Times New Roman" w:hAnsi="Times New Roman" w:eastAsia="黑体"/>
          <w:color w:val="auto"/>
          <w:sz w:val="44"/>
          <w:szCs w:val="44"/>
          <w:highlight w:val="none"/>
        </w:rPr>
      </w:pPr>
      <w:bookmarkStart w:id="68" w:name="_Toc15377225"/>
      <w:bookmarkStart w:id="69" w:name="_Toc15396613"/>
    </w:p>
    <w:p w14:paraId="7C9440FF">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0A468592">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141BD16C">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6BF3FAE3">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799BCF3C">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1FE39C31">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3114A4C3">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3DC24C8C">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20B07E5F">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144C5B42">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50D82804">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0E3D8CC0">
      <w:pPr>
        <w:numPr>
          <w:ilvl w:val="0"/>
          <w:numId w:val="0"/>
        </w:numPr>
        <w:spacing w:line="600" w:lineRule="exact"/>
        <w:ind w:firstLine="2200" w:firstLineChars="500"/>
        <w:jc w:val="both"/>
        <w:outlineLvl w:val="9"/>
        <w:rPr>
          <w:rFonts w:hint="eastAsia" w:ascii="Times New Roman" w:hAnsi="Times New Roman" w:eastAsia="黑体"/>
          <w:color w:val="auto"/>
          <w:sz w:val="44"/>
          <w:szCs w:val="44"/>
          <w:highlight w:val="none"/>
        </w:rPr>
      </w:pPr>
    </w:p>
    <w:p w14:paraId="3DD43BD1">
      <w:pPr>
        <w:numPr>
          <w:ilvl w:val="0"/>
          <w:numId w:val="0"/>
        </w:numPr>
        <w:spacing w:line="600" w:lineRule="exact"/>
        <w:ind w:firstLine="2200" w:firstLineChars="500"/>
        <w:jc w:val="both"/>
        <w:outlineLvl w:val="9"/>
        <w:rPr>
          <w:rFonts w:hint="eastAsia" w:ascii="Times New Roman" w:hAnsi="Times New Roman" w:eastAsia="黑体"/>
          <w:color w:val="auto"/>
          <w:sz w:val="44"/>
          <w:szCs w:val="44"/>
          <w:highlight w:val="none"/>
        </w:rPr>
      </w:pPr>
    </w:p>
    <w:p w14:paraId="178671AB">
      <w:pPr>
        <w:numPr>
          <w:ilvl w:val="0"/>
          <w:numId w:val="0"/>
        </w:numPr>
        <w:spacing w:line="600" w:lineRule="exact"/>
        <w:ind w:firstLine="2200" w:firstLineChars="500"/>
        <w:jc w:val="both"/>
        <w:outlineLvl w:val="9"/>
        <w:rPr>
          <w:rFonts w:hint="eastAsia" w:ascii="Times New Roman" w:hAnsi="Times New Roman" w:eastAsia="黑体"/>
          <w:color w:val="auto"/>
          <w:sz w:val="44"/>
          <w:szCs w:val="44"/>
          <w:highlight w:val="none"/>
        </w:rPr>
      </w:pPr>
    </w:p>
    <w:p w14:paraId="487CE3B3">
      <w:pPr>
        <w:numPr>
          <w:ilvl w:val="0"/>
          <w:numId w:val="0"/>
        </w:numPr>
        <w:spacing w:line="600" w:lineRule="exact"/>
        <w:ind w:firstLine="2200" w:firstLineChars="500"/>
        <w:jc w:val="both"/>
        <w:outlineLvl w:val="9"/>
        <w:rPr>
          <w:rFonts w:hint="eastAsia" w:ascii="Times New Roman" w:hAnsi="Times New Roman" w:eastAsia="黑体"/>
          <w:color w:val="auto"/>
          <w:sz w:val="44"/>
          <w:szCs w:val="44"/>
          <w:highlight w:val="none"/>
        </w:rPr>
      </w:pPr>
    </w:p>
    <w:p w14:paraId="7F2204B1">
      <w:pPr>
        <w:numPr>
          <w:ilvl w:val="0"/>
          <w:numId w:val="0"/>
        </w:numPr>
        <w:spacing w:line="600" w:lineRule="exact"/>
        <w:ind w:firstLine="2200" w:firstLineChars="500"/>
        <w:jc w:val="both"/>
        <w:outlineLvl w:val="9"/>
        <w:rPr>
          <w:rFonts w:hint="eastAsia" w:ascii="Times New Roman" w:hAnsi="Times New Roman" w:eastAsia="黑体"/>
          <w:color w:val="auto"/>
          <w:sz w:val="44"/>
          <w:szCs w:val="44"/>
          <w:highlight w:val="none"/>
        </w:rPr>
      </w:pPr>
    </w:p>
    <w:p w14:paraId="35E22A31">
      <w:pPr>
        <w:numPr>
          <w:ilvl w:val="0"/>
          <w:numId w:val="0"/>
        </w:numPr>
        <w:spacing w:line="600" w:lineRule="exact"/>
        <w:ind w:firstLine="2200" w:firstLineChars="500"/>
        <w:jc w:val="both"/>
        <w:outlineLvl w:val="0"/>
        <w:rPr>
          <w:rFonts w:hint="eastAsia" w:ascii="Times New Roman" w:hAnsi="Times New Roman" w:eastAsia="黑体"/>
          <w:color w:val="auto"/>
          <w:sz w:val="44"/>
          <w:szCs w:val="44"/>
          <w:highlight w:val="none"/>
        </w:rPr>
      </w:pPr>
      <w:bookmarkStart w:id="70" w:name="_Toc6892"/>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68"/>
      <w:bookmarkEnd w:id="69"/>
      <w:bookmarkEnd w:id="70"/>
    </w:p>
    <w:p w14:paraId="358A525D">
      <w:pPr>
        <w:spacing w:line="600" w:lineRule="exact"/>
        <w:jc w:val="left"/>
        <w:rPr>
          <w:rFonts w:ascii="Times New Roman" w:hAnsi="Times New Roman"/>
          <w:b/>
          <w:color w:val="auto"/>
          <w:sz w:val="44"/>
          <w:szCs w:val="44"/>
          <w:highlight w:val="none"/>
        </w:rPr>
      </w:pPr>
    </w:p>
    <w:p w14:paraId="132A0D7A">
      <w:pPr>
        <w:spacing w:line="600" w:lineRule="exact"/>
        <w:ind w:firstLine="640"/>
        <w:outlineLvl w:val="1"/>
        <w:rPr>
          <w:rFonts w:hint="eastAsia" w:ascii="Times New Roman" w:hAnsi="Times New Roman" w:eastAsia="仿宋_GB2312" w:cs="仿宋_GB2312"/>
          <w:color w:val="auto"/>
          <w:kern w:val="2"/>
          <w:sz w:val="32"/>
          <w:szCs w:val="32"/>
          <w:highlight w:val="none"/>
          <w:lang w:val="en-US" w:eastAsia="zh-CN" w:bidi="ar-SA"/>
        </w:rPr>
      </w:pPr>
      <w:bookmarkStart w:id="71" w:name="_Toc27301"/>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bookmarkEnd w:id="71"/>
    </w:p>
    <w:p w14:paraId="4FBDC00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61A3EEF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r>
        <w:rPr>
          <w:rFonts w:hint="eastAsia" w:eastAsia="仿宋_GB2312" w:cs="仿宋_GB2312"/>
          <w:color w:val="auto"/>
          <w:kern w:val="2"/>
          <w:sz w:val="32"/>
          <w:szCs w:val="32"/>
          <w:highlight w:val="none"/>
          <w:lang w:val="en-US" w:eastAsia="zh-CN" w:bidi="ar-SA"/>
        </w:rPr>
        <w:t>。</w:t>
      </w:r>
    </w:p>
    <w:p w14:paraId="25747B4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4.其他收入：指单位取得的除上述收入以外的各项收入。主要是</w:t>
      </w:r>
      <w:r>
        <w:rPr>
          <w:rFonts w:hint="eastAsia" w:ascii="仿宋_GB2312" w:eastAsia="仿宋_GB2312"/>
          <w:sz w:val="32"/>
          <w:szCs w:val="32"/>
        </w:rPr>
        <w:t>银行存款利息和伙食团缴费等</w:t>
      </w:r>
      <w:r>
        <w:rPr>
          <w:rFonts w:hint="eastAsia" w:ascii="Times New Roman" w:hAnsi="Times New Roman" w:eastAsia="仿宋_GB2312" w:cs="仿宋_GB2312"/>
          <w:color w:val="auto"/>
          <w:kern w:val="2"/>
          <w:sz w:val="32"/>
          <w:szCs w:val="32"/>
          <w:highlight w:val="none"/>
          <w:lang w:val="en-US" w:eastAsia="zh-CN" w:bidi="ar-SA"/>
        </w:rPr>
        <w:t xml:space="preserve">。 </w:t>
      </w:r>
    </w:p>
    <w:p w14:paraId="46D1F48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332A72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1AAF6DC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111FB73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5E3A2E2C">
      <w:pPr>
        <w:ind w:firstLine="640" w:firstLineChars="200"/>
        <w:rPr>
          <w:rFonts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9.</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03D2D36A">
      <w:pPr>
        <w:ind w:firstLine="640" w:firstLineChars="200"/>
        <w:rPr>
          <w:rFonts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10.</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7EB303B5">
      <w:pPr>
        <w:ind w:firstLine="640" w:firstLineChars="200"/>
        <w:rPr>
          <w:rFonts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11.</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5E26D65D">
      <w:pPr>
        <w:ind w:firstLine="640" w:firstLineChars="200"/>
        <w:rPr>
          <w:rFonts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12.</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1DA7AEDB">
      <w:pPr>
        <w:ind w:firstLine="640" w:firstLineChars="200"/>
        <w:rPr>
          <w:rFonts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13.</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1FF534EB">
      <w:pPr>
        <w:spacing w:line="600" w:lineRule="exact"/>
        <w:ind w:firstLine="640"/>
        <w:rPr>
          <w:rFonts w:hint="eastAsia"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14.</w:t>
      </w:r>
      <w:r>
        <w:rPr>
          <w:rFonts w:hint="eastAsia" w:ascii="仿宋_GB2312" w:eastAsia="仿宋_GB2312"/>
          <w:color w:val="000000"/>
          <w:sz w:val="32"/>
          <w:szCs w:val="32"/>
        </w:rPr>
        <w:t>医疗卫生与计划生育（类）行政事业单位医疗（款）行政单位医疗（项）：指反映职工缴纳的基本医疗保险费。</w:t>
      </w:r>
    </w:p>
    <w:p w14:paraId="12CA62D3">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w:t>
      </w:r>
      <w:r>
        <w:rPr>
          <w:rFonts w:hint="eastAsia" w:eastAsia="仿宋_GB2312" w:cs="仿宋_GB2312"/>
          <w:color w:val="auto"/>
          <w:kern w:val="2"/>
          <w:sz w:val="32"/>
          <w:szCs w:val="32"/>
          <w:highlight w:val="none"/>
          <w:lang w:val="en-US" w:eastAsia="zh-CN" w:bidi="ar-SA"/>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5E4CB549">
      <w:pPr>
        <w:numPr>
          <w:ilvl w:val="0"/>
          <w:numId w:val="3"/>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olor w:val="000000"/>
          <w:sz w:val="32"/>
          <w:szCs w:val="32"/>
        </w:rPr>
        <w:t>住房保障（类）住房改革支出（款）住房公积金（项）：指单位按规定为职工缴纳的住房公积金。</w:t>
      </w:r>
    </w:p>
    <w:p w14:paraId="7775C22A">
      <w:pPr>
        <w:numPr>
          <w:ilvl w:val="0"/>
          <w:numId w:val="3"/>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olor w:val="000000"/>
          <w:sz w:val="32"/>
          <w:szCs w:val="32"/>
        </w:rPr>
        <w:t>基本支出：指为保障机构正常运转、完成日常工作任务而发生的人员支出和公用支出。</w:t>
      </w:r>
    </w:p>
    <w:p w14:paraId="621AECA5">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81EF089">
      <w:pPr>
        <w:pStyle w:val="27"/>
        <w:spacing w:line="56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732FB2D">
      <w:pPr>
        <w:pStyle w:val="27"/>
        <w:spacing w:line="560" w:lineRule="exact"/>
        <w:ind w:firstLine="640" w:firstLineChars="20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22F4857">
      <w:pPr>
        <w:spacing w:line="600" w:lineRule="exact"/>
        <w:jc w:val="center"/>
        <w:rPr>
          <w:rFonts w:hint="eastAsia" w:ascii="Times New Roman" w:hAnsi="Times New Roman" w:eastAsia="黑体"/>
          <w:color w:val="auto"/>
          <w:sz w:val="44"/>
          <w:szCs w:val="44"/>
          <w:highlight w:val="none"/>
        </w:rPr>
      </w:pPr>
      <w:bookmarkStart w:id="72" w:name="_Toc15396614"/>
      <w:bookmarkStart w:id="73" w:name="_Toc15377226"/>
    </w:p>
    <w:p w14:paraId="71BB1225">
      <w:pPr>
        <w:spacing w:line="600" w:lineRule="exact"/>
        <w:jc w:val="center"/>
        <w:rPr>
          <w:rFonts w:hint="eastAsia" w:ascii="Times New Roman" w:hAnsi="Times New Roman" w:eastAsia="黑体"/>
          <w:color w:val="auto"/>
          <w:sz w:val="44"/>
          <w:szCs w:val="44"/>
          <w:highlight w:val="none"/>
        </w:rPr>
      </w:pPr>
    </w:p>
    <w:p w14:paraId="0800B68A">
      <w:pPr>
        <w:spacing w:line="600" w:lineRule="exact"/>
        <w:jc w:val="center"/>
        <w:rPr>
          <w:rFonts w:hint="eastAsia" w:ascii="Times New Roman" w:hAnsi="Times New Roman" w:eastAsia="黑体"/>
          <w:color w:val="auto"/>
          <w:sz w:val="44"/>
          <w:szCs w:val="44"/>
          <w:highlight w:val="none"/>
        </w:rPr>
      </w:pPr>
    </w:p>
    <w:p w14:paraId="4F884D4D">
      <w:pPr>
        <w:spacing w:line="600" w:lineRule="exact"/>
        <w:jc w:val="center"/>
        <w:rPr>
          <w:rFonts w:hint="eastAsia" w:ascii="Times New Roman" w:hAnsi="Times New Roman" w:eastAsia="黑体"/>
          <w:color w:val="auto"/>
          <w:sz w:val="44"/>
          <w:szCs w:val="44"/>
          <w:highlight w:val="none"/>
        </w:rPr>
      </w:pPr>
    </w:p>
    <w:p w14:paraId="0486A9C4">
      <w:pPr>
        <w:spacing w:line="600" w:lineRule="exact"/>
        <w:jc w:val="center"/>
        <w:rPr>
          <w:rFonts w:hint="eastAsia" w:ascii="Times New Roman" w:hAnsi="Times New Roman" w:eastAsia="黑体"/>
          <w:color w:val="auto"/>
          <w:sz w:val="44"/>
          <w:szCs w:val="44"/>
          <w:highlight w:val="none"/>
        </w:rPr>
      </w:pPr>
    </w:p>
    <w:p w14:paraId="7A57FD27">
      <w:pPr>
        <w:spacing w:line="600" w:lineRule="exact"/>
        <w:jc w:val="center"/>
        <w:rPr>
          <w:rFonts w:hint="eastAsia" w:ascii="Times New Roman" w:hAnsi="Times New Roman" w:eastAsia="黑体"/>
          <w:color w:val="auto"/>
          <w:sz w:val="44"/>
          <w:szCs w:val="44"/>
          <w:highlight w:val="none"/>
        </w:rPr>
      </w:pPr>
    </w:p>
    <w:p w14:paraId="607C7681">
      <w:pPr>
        <w:spacing w:line="600" w:lineRule="exact"/>
        <w:jc w:val="center"/>
        <w:rPr>
          <w:rFonts w:hint="eastAsia" w:ascii="Times New Roman" w:hAnsi="Times New Roman" w:eastAsia="黑体"/>
          <w:color w:val="auto"/>
          <w:sz w:val="44"/>
          <w:szCs w:val="44"/>
          <w:highlight w:val="none"/>
        </w:rPr>
      </w:pPr>
    </w:p>
    <w:p w14:paraId="6A043FC6">
      <w:pPr>
        <w:spacing w:line="600" w:lineRule="exact"/>
        <w:jc w:val="center"/>
        <w:rPr>
          <w:rFonts w:hint="eastAsia" w:ascii="Times New Roman" w:hAnsi="Times New Roman" w:eastAsia="黑体"/>
          <w:color w:val="auto"/>
          <w:sz w:val="44"/>
          <w:szCs w:val="44"/>
          <w:highlight w:val="none"/>
        </w:rPr>
      </w:pPr>
    </w:p>
    <w:p w14:paraId="42916C00">
      <w:pPr>
        <w:spacing w:line="600" w:lineRule="exact"/>
        <w:jc w:val="center"/>
        <w:rPr>
          <w:rFonts w:hint="eastAsia" w:ascii="Times New Roman" w:hAnsi="Times New Roman" w:eastAsia="黑体"/>
          <w:color w:val="auto"/>
          <w:sz w:val="44"/>
          <w:szCs w:val="44"/>
          <w:highlight w:val="none"/>
        </w:rPr>
      </w:pPr>
    </w:p>
    <w:p w14:paraId="62C56125">
      <w:pPr>
        <w:spacing w:line="600" w:lineRule="exact"/>
        <w:jc w:val="center"/>
        <w:rPr>
          <w:rFonts w:hint="eastAsia" w:ascii="Times New Roman" w:hAnsi="Times New Roman" w:eastAsia="黑体"/>
          <w:color w:val="auto"/>
          <w:sz w:val="44"/>
          <w:szCs w:val="44"/>
          <w:highlight w:val="none"/>
        </w:rPr>
      </w:pPr>
    </w:p>
    <w:p w14:paraId="2035CCB2">
      <w:pPr>
        <w:spacing w:line="600" w:lineRule="exact"/>
        <w:jc w:val="center"/>
        <w:rPr>
          <w:rFonts w:hint="eastAsia" w:ascii="Times New Roman" w:hAnsi="Times New Roman" w:eastAsia="黑体"/>
          <w:color w:val="auto"/>
          <w:sz w:val="44"/>
          <w:szCs w:val="44"/>
          <w:highlight w:val="none"/>
        </w:rPr>
      </w:pPr>
    </w:p>
    <w:p w14:paraId="4D649DCD">
      <w:pPr>
        <w:spacing w:line="600" w:lineRule="exact"/>
        <w:jc w:val="center"/>
        <w:rPr>
          <w:rFonts w:hint="eastAsia" w:ascii="Times New Roman" w:hAnsi="Times New Roman" w:eastAsia="黑体"/>
          <w:color w:val="auto"/>
          <w:sz w:val="44"/>
          <w:szCs w:val="44"/>
          <w:highlight w:val="none"/>
        </w:rPr>
      </w:pPr>
    </w:p>
    <w:p w14:paraId="1972F548">
      <w:pPr>
        <w:spacing w:line="600" w:lineRule="exact"/>
        <w:jc w:val="center"/>
        <w:rPr>
          <w:rFonts w:hint="eastAsia" w:ascii="Times New Roman" w:hAnsi="Times New Roman" w:eastAsia="黑体"/>
          <w:color w:val="auto"/>
          <w:sz w:val="44"/>
          <w:szCs w:val="44"/>
          <w:highlight w:val="none"/>
        </w:rPr>
      </w:pPr>
    </w:p>
    <w:p w14:paraId="2C7F4A1A">
      <w:pPr>
        <w:spacing w:line="600" w:lineRule="exact"/>
        <w:jc w:val="center"/>
        <w:rPr>
          <w:rFonts w:hint="eastAsia" w:ascii="Times New Roman" w:hAnsi="Times New Roman" w:eastAsia="黑体"/>
          <w:color w:val="auto"/>
          <w:sz w:val="44"/>
          <w:szCs w:val="44"/>
          <w:highlight w:val="none"/>
        </w:rPr>
      </w:pPr>
    </w:p>
    <w:p w14:paraId="7AE0D902">
      <w:pPr>
        <w:spacing w:line="600" w:lineRule="exact"/>
        <w:jc w:val="center"/>
        <w:outlineLvl w:val="0"/>
        <w:rPr>
          <w:rStyle w:val="29"/>
          <w:rFonts w:hint="eastAsia" w:ascii="Times New Roman" w:hAnsi="Times New Roman" w:eastAsia="黑体"/>
          <w:b w:val="0"/>
          <w:color w:val="auto"/>
          <w:highlight w:val="none"/>
          <w:lang w:eastAsia="zh-CN"/>
        </w:rPr>
      </w:pPr>
      <w:bookmarkStart w:id="74" w:name="_Toc24955"/>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72"/>
      <w:bookmarkEnd w:id="74"/>
    </w:p>
    <w:p w14:paraId="5D32B6F2">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黑体"/>
          <w:color w:val="FF0000"/>
          <w:sz w:val="32"/>
          <w:szCs w:val="32"/>
          <w:highlight w:val="none"/>
        </w:rPr>
      </w:pPr>
    </w:p>
    <w:p w14:paraId="2C835594">
      <w:pPr>
        <w:keepNext w:val="0"/>
        <w:keepLines w:val="0"/>
        <w:pageBreakBefore w:val="0"/>
        <w:kinsoku/>
        <w:wordWrap/>
        <w:overflowPunct/>
        <w:topLinePunct w:val="0"/>
        <w:autoSpaceDE/>
        <w:autoSpaceDN/>
        <w:bidi w:val="0"/>
        <w:spacing w:line="572" w:lineRule="exact"/>
        <w:jc w:val="left"/>
        <w:textAlignment w:val="auto"/>
        <w:outlineLvl w:val="1"/>
        <w:rPr>
          <w:rFonts w:hint="eastAsia" w:ascii="Times New Roman" w:hAnsi="Times New Roman" w:eastAsia="黑体" w:cs="方正小标宋简体"/>
          <w:color w:val="auto"/>
          <w:sz w:val="44"/>
          <w:szCs w:val="44"/>
          <w:highlight w:val="none"/>
          <w:lang w:val="en-US" w:eastAsia="zh-CN"/>
        </w:rPr>
      </w:pPr>
      <w:bookmarkStart w:id="75" w:name="_Toc25251"/>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75"/>
    </w:p>
    <w:p w14:paraId="65AF1A28">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4BED74D4">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7101FEEC">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14:paraId="3BE348CB">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6BD3F00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1"/>
        <w:rPr>
          <w:rFonts w:hint="default" w:ascii="Times New Roman" w:hAnsi="Times New Roman" w:eastAsia="黑体" w:cs="Times New Roman"/>
          <w:color w:val="000000"/>
          <w:kern w:val="0"/>
          <w:sz w:val="32"/>
          <w:szCs w:val="32"/>
          <w:highlight w:val="none"/>
          <w:shd w:val="clear" w:color="auto" w:fill="FFFFFF"/>
          <w:lang w:val="zh-CN"/>
        </w:rPr>
      </w:pPr>
      <w:bookmarkStart w:id="76" w:name="_Toc10016"/>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bookmarkEnd w:id="76"/>
    </w:p>
    <w:p w14:paraId="607827C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Times New Roman" w:hAnsi="Times New Roman" w:eastAsia="仿宋_GB2312" w:cs="仿宋_GB2312"/>
          <w:color w:val="auto"/>
          <w:kern w:val="2"/>
          <w:sz w:val="32"/>
          <w:szCs w:val="32"/>
          <w:highlight w:val="none"/>
          <w:lang w:val="zh-CN" w:eastAsia="zh-CN" w:bidi="ar-SA"/>
        </w:rPr>
        <w:t>卡撒乡</w:t>
      </w:r>
      <w:r>
        <w:rPr>
          <w:rFonts w:hint="eastAsia" w:ascii="Times New Roman" w:hAnsi="Times New Roman" w:eastAsia="仿宋_GB2312" w:cs="仿宋_GB2312"/>
          <w:color w:val="auto"/>
          <w:kern w:val="2"/>
          <w:sz w:val="32"/>
          <w:szCs w:val="32"/>
          <w:highlight w:val="none"/>
          <w:lang w:val="en-US" w:eastAsia="zh-CN" w:bidi="ar-SA"/>
        </w:rPr>
        <w:t>内设</w:t>
      </w:r>
      <w:r>
        <w:rPr>
          <w:rFonts w:hint="eastAsia" w:ascii="仿宋_GB2312" w:hAnsi="仿宋_GB2312" w:eastAsia="仿宋_GB2312" w:cs="仿宋_GB2312"/>
          <w:spacing w:val="34"/>
          <w:sz w:val="32"/>
          <w:szCs w:val="32"/>
          <w:lang w:val="zh-CN" w:bidi="ar"/>
        </w:rPr>
        <w:t>预算单位</w:t>
      </w:r>
      <w:r>
        <w:rPr>
          <w:rFonts w:hint="eastAsia" w:ascii="仿宋_GB2312" w:hAnsi="仿宋_GB2312" w:eastAsia="仿宋_GB2312" w:cs="仿宋_GB2312"/>
          <w:spacing w:val="34"/>
          <w:sz w:val="32"/>
          <w:szCs w:val="32"/>
          <w:lang w:val="en-US" w:eastAsia="zh-CN" w:bidi="ar"/>
        </w:rPr>
        <w:t>1</w:t>
      </w:r>
      <w:r>
        <w:rPr>
          <w:rFonts w:hint="eastAsia" w:ascii="仿宋_GB2312" w:hAnsi="仿宋_GB2312" w:eastAsia="仿宋_GB2312" w:cs="仿宋_GB2312"/>
          <w:spacing w:val="34"/>
          <w:sz w:val="32"/>
          <w:szCs w:val="32"/>
          <w:lang w:val="zh-CN" w:bidi="ar"/>
        </w:rPr>
        <w:t>个，其中内设机构</w:t>
      </w:r>
      <w:r>
        <w:rPr>
          <w:rFonts w:hint="eastAsia" w:ascii="仿宋_GB2312" w:hAnsi="仿宋_GB2312" w:cs="仿宋_GB2312"/>
          <w:spacing w:val="34"/>
          <w:sz w:val="32"/>
          <w:szCs w:val="32"/>
          <w:lang w:val="en-US" w:eastAsia="zh-CN" w:bidi="ar"/>
        </w:rPr>
        <w:t>4</w:t>
      </w:r>
      <w:r>
        <w:rPr>
          <w:rFonts w:hint="eastAsia" w:ascii="仿宋_GB2312" w:hAnsi="仿宋_GB2312" w:eastAsia="仿宋_GB2312" w:cs="仿宋_GB2312"/>
          <w:spacing w:val="34"/>
          <w:sz w:val="32"/>
          <w:szCs w:val="32"/>
          <w:lang w:val="zh-CN" w:bidi="ar"/>
        </w:rPr>
        <w:t>个，分别是</w:t>
      </w:r>
      <w:r>
        <w:rPr>
          <w:rFonts w:hint="eastAsia" w:ascii="仿宋_GB2312" w:hAnsi="仿宋_GB2312" w:cs="仿宋_GB2312"/>
          <w:spacing w:val="34"/>
          <w:sz w:val="32"/>
          <w:szCs w:val="32"/>
          <w:lang w:val="zh-CN" w:bidi="ar"/>
        </w:rPr>
        <w:t>金川县卡撒乡人民政府办公室、卡撒乡党委办公室、卡撒乡人大办公室、卡撒乡综合服务中心。</w:t>
      </w:r>
    </w:p>
    <w:p w14:paraId="059B75B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p>
    <w:p w14:paraId="76E2CF51">
      <w:pPr>
        <w:keepNext w:val="0"/>
        <w:keepLines w:val="0"/>
        <w:pageBreakBefore w:val="0"/>
        <w:widowControl/>
        <w:kinsoku/>
        <w:wordWrap/>
        <w:overflowPunct/>
        <w:topLinePunct w:val="0"/>
        <w:autoSpaceDE/>
        <w:autoSpaceDN/>
        <w:bidi w:val="0"/>
        <w:adjustRightInd w:val="0"/>
        <w:snapToGrid w:val="0"/>
        <w:spacing w:line="578" w:lineRule="exact"/>
        <w:ind w:firstLine="776" w:firstLineChars="200"/>
        <w:contextualSpacing/>
        <w:jc w:val="left"/>
        <w:textAlignment w:val="auto"/>
        <w:outlineLvl w:val="9"/>
        <w:rPr>
          <w:rFonts w:hint="eastAsia" w:ascii="仿宋_GB2312" w:hAnsi="仿宋_GB2312" w:eastAsia="仿宋_GB2312" w:cs="仿宋_GB2312"/>
          <w:spacing w:val="34"/>
          <w:sz w:val="32"/>
          <w:szCs w:val="32"/>
          <w:lang w:val="zh-CN" w:bidi="ar"/>
        </w:rPr>
      </w:pPr>
      <w:r>
        <w:rPr>
          <w:rFonts w:hint="eastAsia" w:ascii="仿宋_GB2312" w:hAnsi="仿宋_GB2312" w:eastAsia="仿宋_GB2312" w:cs="仿宋_GB2312"/>
          <w:spacing w:val="34"/>
          <w:sz w:val="32"/>
          <w:szCs w:val="32"/>
          <w:lang w:val="zh-CN" w:bidi="ar"/>
        </w:rPr>
        <w:t xml:space="preserve"> 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14:paraId="13C78C1F">
      <w:pPr>
        <w:keepNext w:val="0"/>
        <w:keepLines w:val="0"/>
        <w:pageBreakBefore w:val="0"/>
        <w:widowControl/>
        <w:kinsoku/>
        <w:wordWrap/>
        <w:overflowPunct/>
        <w:topLinePunct w:val="0"/>
        <w:autoSpaceDE/>
        <w:autoSpaceDN/>
        <w:bidi w:val="0"/>
        <w:adjustRightInd w:val="0"/>
        <w:snapToGrid w:val="0"/>
        <w:spacing w:line="578" w:lineRule="exact"/>
        <w:ind w:firstLine="776" w:firstLineChars="200"/>
        <w:contextualSpacing/>
        <w:jc w:val="left"/>
        <w:textAlignment w:val="auto"/>
        <w:outlineLvl w:val="9"/>
        <w:rPr>
          <w:rFonts w:hint="eastAsia" w:ascii="仿宋_GB2312" w:hAnsi="仿宋_GB2312" w:eastAsia="仿宋_GB2312" w:cs="仿宋_GB2312"/>
          <w:spacing w:val="34"/>
          <w:sz w:val="32"/>
          <w:szCs w:val="32"/>
          <w:lang w:val="zh-CN" w:bidi="ar"/>
        </w:rPr>
      </w:pPr>
      <w:r>
        <w:rPr>
          <w:rFonts w:hint="eastAsia" w:ascii="仿宋_GB2312" w:hAnsi="仿宋_GB2312" w:eastAsia="仿宋_GB2312" w:cs="仿宋_GB2312"/>
          <w:spacing w:val="34"/>
          <w:sz w:val="32"/>
          <w:szCs w:val="32"/>
          <w:lang w:val="zh-CN" w:bidi="ar"/>
        </w:rPr>
        <w:t xml:space="preserve">2.制定并组织实施村镇建设规划，部署重点工程建设，地方道路建设及公共设施，水利设施的管理，负责土地、林木、水等自然资源和生态环境的保护，做好护林防火工作。 </w:t>
      </w:r>
    </w:p>
    <w:p w14:paraId="3FD92C04">
      <w:pPr>
        <w:keepNext w:val="0"/>
        <w:keepLines w:val="0"/>
        <w:pageBreakBefore w:val="0"/>
        <w:widowControl/>
        <w:kinsoku/>
        <w:wordWrap/>
        <w:overflowPunct/>
        <w:topLinePunct w:val="0"/>
        <w:autoSpaceDE/>
        <w:autoSpaceDN/>
        <w:bidi w:val="0"/>
        <w:adjustRightInd w:val="0"/>
        <w:snapToGrid w:val="0"/>
        <w:spacing w:line="578" w:lineRule="exact"/>
        <w:ind w:firstLine="776" w:firstLineChars="200"/>
        <w:contextualSpacing/>
        <w:jc w:val="left"/>
        <w:textAlignment w:val="auto"/>
        <w:outlineLvl w:val="9"/>
        <w:rPr>
          <w:rFonts w:hint="eastAsia" w:ascii="仿宋_GB2312" w:hAnsi="仿宋_GB2312" w:eastAsia="仿宋_GB2312" w:cs="仿宋_GB2312"/>
          <w:spacing w:val="34"/>
          <w:sz w:val="32"/>
          <w:szCs w:val="32"/>
          <w:lang w:val="zh-CN" w:bidi="ar"/>
        </w:rPr>
      </w:pPr>
      <w:r>
        <w:rPr>
          <w:rFonts w:hint="eastAsia" w:ascii="仿宋_GB2312" w:hAnsi="仿宋_GB2312" w:eastAsia="仿宋_GB2312" w:cs="仿宋_GB2312"/>
          <w:spacing w:val="34"/>
          <w:sz w:val="32"/>
          <w:szCs w:val="32"/>
          <w:lang w:val="zh-CN" w:bidi="ar"/>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0B91BDD4">
      <w:pPr>
        <w:keepNext w:val="0"/>
        <w:keepLines w:val="0"/>
        <w:pageBreakBefore w:val="0"/>
        <w:widowControl/>
        <w:kinsoku/>
        <w:wordWrap/>
        <w:overflowPunct/>
        <w:topLinePunct w:val="0"/>
        <w:autoSpaceDE/>
        <w:autoSpaceDN/>
        <w:bidi w:val="0"/>
        <w:adjustRightInd w:val="0"/>
        <w:snapToGrid w:val="0"/>
        <w:spacing w:line="578" w:lineRule="exact"/>
        <w:ind w:firstLine="776" w:firstLineChars="200"/>
        <w:contextualSpacing/>
        <w:jc w:val="left"/>
        <w:textAlignment w:val="auto"/>
        <w:outlineLvl w:val="9"/>
        <w:rPr>
          <w:rFonts w:hint="eastAsia" w:ascii="仿宋_GB2312" w:hAnsi="仿宋_GB2312" w:eastAsia="仿宋_GB2312" w:cs="仿宋_GB2312"/>
          <w:spacing w:val="34"/>
          <w:sz w:val="32"/>
          <w:szCs w:val="32"/>
          <w:lang w:val="zh-CN" w:bidi="ar"/>
        </w:rPr>
      </w:pPr>
      <w:r>
        <w:rPr>
          <w:rFonts w:hint="eastAsia" w:ascii="仿宋_GB2312" w:hAnsi="仿宋_GB2312" w:eastAsia="仿宋_GB2312" w:cs="仿宋_GB2312"/>
          <w:spacing w:val="34"/>
          <w:sz w:val="32"/>
          <w:szCs w:val="32"/>
          <w:lang w:val="zh-CN" w:bidi="ar"/>
        </w:rPr>
        <w:t xml:space="preserve">4.按计划组织本级财政收入和地方税的征收，完成国家财政计划，不断培植税源，管好财政资金，增强财政实力。 </w:t>
      </w:r>
    </w:p>
    <w:p w14:paraId="41B40BE4">
      <w:pPr>
        <w:keepNext w:val="0"/>
        <w:keepLines w:val="0"/>
        <w:pageBreakBefore w:val="0"/>
        <w:widowControl/>
        <w:kinsoku/>
        <w:wordWrap/>
        <w:overflowPunct/>
        <w:topLinePunct w:val="0"/>
        <w:autoSpaceDE/>
        <w:autoSpaceDN/>
        <w:bidi w:val="0"/>
        <w:adjustRightInd w:val="0"/>
        <w:snapToGrid w:val="0"/>
        <w:spacing w:line="578" w:lineRule="exact"/>
        <w:ind w:firstLine="776" w:firstLineChars="200"/>
        <w:contextualSpacing/>
        <w:jc w:val="left"/>
        <w:textAlignment w:val="auto"/>
        <w:outlineLvl w:val="9"/>
        <w:rPr>
          <w:rFonts w:hint="default"/>
          <w:lang w:val="zh-CN"/>
        </w:rPr>
      </w:pPr>
      <w:r>
        <w:rPr>
          <w:rFonts w:hint="eastAsia" w:ascii="仿宋_GB2312" w:hAnsi="仿宋_GB2312" w:eastAsia="仿宋_GB2312" w:cs="仿宋_GB2312"/>
          <w:spacing w:val="34"/>
          <w:sz w:val="32"/>
          <w:szCs w:val="32"/>
          <w:lang w:val="zh-CN" w:bidi="ar"/>
        </w:rPr>
        <w:t>5.抓好精神文明建设，丰富群众文化生活，提倡移风易俗，反对封建迷信，破除陈规陋习，树立社会主义新风尚</w:t>
      </w:r>
      <w:r>
        <w:rPr>
          <w:rFonts w:hint="eastAsia" w:ascii="仿宋" w:hAnsi="仿宋" w:eastAsia="仿宋" w:cs="仿宋"/>
          <w:bCs/>
          <w:color w:val="000000"/>
          <w:spacing w:val="-14"/>
          <w:sz w:val="32"/>
          <w:szCs w:val="32"/>
        </w:rPr>
        <w:t>。</w:t>
      </w:r>
    </w:p>
    <w:p w14:paraId="7AB82B8C">
      <w:pPr>
        <w:keepNext w:val="0"/>
        <w:keepLines w:val="0"/>
        <w:pageBreakBefore w:val="0"/>
        <w:kinsoku/>
        <w:wordWrap w:val="0"/>
        <w:overflowPunct/>
        <w:autoSpaceDE/>
        <w:autoSpaceDN/>
        <w:bidi w:val="0"/>
        <w:spacing w:line="560" w:lineRule="exact"/>
        <w:ind w:firstLine="643" w:firstLineChars="200"/>
        <w:jc w:val="left"/>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w:t>
      </w:r>
      <w:r>
        <w:rPr>
          <w:rFonts w:hint="eastAsia" w:ascii="Times New Roman" w:hAnsi="Times New Roman" w:eastAsia="仿宋_GB2312" w:cs="Times New Roman"/>
          <w:sz w:val="32"/>
          <w:szCs w:val="32"/>
          <w:lang w:val="zh-CN" w:eastAsia="zh-CN"/>
        </w:rPr>
        <w:t>金川县卡撒乡人民政府只有一个行政核算机构。单位编制数</w:t>
      </w:r>
      <w:r>
        <w:rPr>
          <w:rFonts w:hint="eastAsia" w:ascii="Times New Roman" w:hAnsi="Times New Roman" w:eastAsia="仿宋_GB2312" w:cs="Times New Roman"/>
          <w:sz w:val="32"/>
          <w:szCs w:val="32"/>
          <w:lang w:val="en-US" w:eastAsia="zh-CN"/>
        </w:rPr>
        <w:t>37</w:t>
      </w:r>
      <w:r>
        <w:rPr>
          <w:rFonts w:hint="eastAsia" w:ascii="Times New Roman" w:hAnsi="Times New Roman" w:eastAsia="仿宋_GB2312" w:cs="Times New Roman"/>
          <w:sz w:val="32"/>
          <w:szCs w:val="32"/>
          <w:lang w:val="zh-CN" w:eastAsia="zh-CN"/>
        </w:rPr>
        <w:t>个，其中：公务员编制</w:t>
      </w:r>
      <w:r>
        <w:rPr>
          <w:rFonts w:hint="eastAsia" w:ascii="Times New Roman" w:hAnsi="Times New Roman" w:eastAsia="仿宋_GB2312" w:cs="Times New Roman"/>
          <w:sz w:val="32"/>
          <w:szCs w:val="32"/>
          <w:lang w:val="en-US" w:eastAsia="zh-CN"/>
        </w:rPr>
        <w:t>21个</w:t>
      </w:r>
      <w:r>
        <w:rPr>
          <w:rFonts w:hint="eastAsia" w:ascii="Times New Roman" w:hAnsi="Times New Roman" w:eastAsia="仿宋_GB2312" w:cs="Times New Roman"/>
          <w:sz w:val="32"/>
          <w:szCs w:val="32"/>
          <w:lang w:val="zh-CN" w:eastAsia="zh-CN"/>
        </w:rPr>
        <w:t>、行政工勤编制</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eastAsia="zh-CN"/>
        </w:rPr>
        <w:t>个，事业编制</w:t>
      </w:r>
      <w:r>
        <w:rPr>
          <w:rFonts w:hint="eastAsia" w:ascii="Times New Roman" w:hAnsi="Times New Roman" w:eastAsia="仿宋_GB2312" w:cs="Times New Roman"/>
          <w:sz w:val="32"/>
          <w:szCs w:val="32"/>
          <w:lang w:val="en-US" w:eastAsia="zh-CN"/>
        </w:rPr>
        <w:t>14</w:t>
      </w:r>
      <w:r>
        <w:rPr>
          <w:rFonts w:hint="eastAsia" w:ascii="Times New Roman" w:hAnsi="Times New Roman" w:eastAsia="仿宋_GB2312" w:cs="Times New Roman"/>
          <w:sz w:val="32"/>
          <w:szCs w:val="32"/>
          <w:lang w:val="zh-CN" w:eastAsia="zh-CN"/>
        </w:rPr>
        <w:t>名。截止20</w:t>
      </w:r>
      <w:r>
        <w:rPr>
          <w:rFonts w:hint="eastAsia"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lang w:val="zh-CN" w:eastAsia="zh-CN"/>
        </w:rPr>
        <w:t>年</w:t>
      </w:r>
      <w:r>
        <w:rPr>
          <w:rFonts w:hint="eastAsia" w:ascii="Times New Roman" w:hAnsi="Times New Roman" w:eastAsia="仿宋_GB2312" w:cs="Times New Roman"/>
          <w:sz w:val="32"/>
          <w:szCs w:val="32"/>
          <w:lang w:val="en-US" w:eastAsia="zh-CN"/>
        </w:rPr>
        <w:t>12月</w:t>
      </w:r>
      <w:r>
        <w:rPr>
          <w:rFonts w:hint="eastAsia" w:ascii="Times New Roman" w:hAnsi="Times New Roman" w:eastAsia="仿宋_GB2312" w:cs="Times New Roman"/>
          <w:sz w:val="32"/>
          <w:szCs w:val="32"/>
          <w:lang w:val="zh-CN" w:eastAsia="zh-CN"/>
        </w:rPr>
        <w:t>，单位实有人数</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val="zh-CN" w:eastAsia="zh-CN"/>
        </w:rPr>
        <w:t>人，其中：在职人</w:t>
      </w:r>
      <w:r>
        <w:rPr>
          <w:rFonts w:hint="eastAsia" w:ascii="Times New Roman" w:hAnsi="Times New Roman" w:eastAsia="仿宋_GB2312" w:cs="Times New Roman"/>
          <w:sz w:val="32"/>
          <w:szCs w:val="32"/>
          <w:lang w:val="en-US" w:eastAsia="zh-CN"/>
        </w:rPr>
        <w:t>数</w:t>
      </w:r>
      <w:r>
        <w:rPr>
          <w:rFonts w:hint="eastAsia" w:ascii="Times New Roman" w:hAnsi="Times New Roman" w:eastAsia="仿宋_GB2312" w:cs="Times New Roman"/>
          <w:sz w:val="32"/>
          <w:szCs w:val="32"/>
          <w:lang w:val="zh-CN" w:eastAsia="zh-CN"/>
        </w:rPr>
        <w:t>（公务员</w:t>
      </w:r>
      <w:r>
        <w:rPr>
          <w:rFonts w:hint="eastAsia" w:ascii="Times New Roman" w:hAnsi="Times New Roman" w:eastAsia="仿宋_GB2312" w:cs="Times New Roman"/>
          <w:sz w:val="32"/>
          <w:szCs w:val="32"/>
          <w:lang w:val="en-US" w:eastAsia="zh-CN"/>
        </w:rPr>
        <w:t>19个</w:t>
      </w:r>
      <w:r>
        <w:rPr>
          <w:rFonts w:hint="eastAsia" w:ascii="Times New Roman" w:hAnsi="Times New Roman" w:eastAsia="仿宋_GB2312" w:cs="Times New Roman"/>
          <w:sz w:val="32"/>
          <w:szCs w:val="32"/>
          <w:lang w:val="zh-CN" w:eastAsia="zh-CN"/>
        </w:rPr>
        <w:t>、行政工勤</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eastAsia="zh-CN"/>
        </w:rPr>
        <w:t>个，事业</w:t>
      </w: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val="zh-CN" w:eastAsia="zh-CN"/>
        </w:rPr>
        <w:t>名），退休</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zh-CN" w:eastAsia="zh-CN"/>
        </w:rPr>
        <w:t>人，工资转由社保部门发放。</w:t>
      </w:r>
    </w:p>
    <w:p w14:paraId="410551B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1"/>
        <w:rPr>
          <w:rFonts w:hint="default" w:ascii="Times New Roman" w:hAnsi="Times New Roman" w:eastAsia="黑体" w:cs="Times New Roman"/>
          <w:color w:val="000000"/>
          <w:kern w:val="0"/>
          <w:sz w:val="32"/>
          <w:szCs w:val="32"/>
          <w:highlight w:val="none"/>
          <w:shd w:val="clear" w:color="auto" w:fill="FFFFFF"/>
          <w:lang w:val="zh-CN" w:eastAsia="zh-CN"/>
        </w:rPr>
      </w:pPr>
      <w:bookmarkStart w:id="77" w:name="_Toc22270"/>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bookmarkEnd w:id="77"/>
    </w:p>
    <w:p w14:paraId="1728B04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Times New Roman"/>
          <w:sz w:val="32"/>
          <w:szCs w:val="32"/>
          <w:lang w:val="zh-CN" w:eastAsia="zh-CN"/>
        </w:rPr>
        <w:t>卡撒乡</w:t>
      </w:r>
      <w:r>
        <w:rPr>
          <w:rFonts w:hint="eastAsia" w:ascii="Times New Roman" w:hAnsi="Times New Roman" w:eastAsia="仿宋_GB2312" w:cs="Times New Roman"/>
          <w:sz w:val="32"/>
          <w:szCs w:val="32"/>
          <w:lang w:val="en-US" w:eastAsia="zh-CN"/>
        </w:rPr>
        <w:t>2024年度收入总计1405.1万元。与2023年相比，收入总计减少12.11万元，减少0.8%。降低的主要原因是2024年人员工资变动。其中：一般公共预算财政拨款收入1405.1万元，占100%政府性基金预算财政拨款收入0万元，占0%；国有资本经营预算财政拨款收入0万元，占0%；上级补助收入0万元，占0%；事业收入0万元，占0%；经营收入0万元，占0%；附属单位上缴收入0万元，占0%；其他收入0万元，占0%。本年度财政应返还额度0万元。</w:t>
      </w:r>
    </w:p>
    <w:p w14:paraId="3F6873FD">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Times New Roman"/>
          <w:sz w:val="32"/>
          <w:szCs w:val="32"/>
          <w:lang w:val="zh-CN" w:eastAsia="zh-CN"/>
        </w:rPr>
        <w:t>卡撒乡</w:t>
      </w:r>
      <w:r>
        <w:rPr>
          <w:rFonts w:hint="eastAsia" w:ascii="Times New Roman" w:hAnsi="Times New Roman" w:eastAsia="仿宋_GB2312" w:cs="Times New Roman"/>
          <w:sz w:val="32"/>
          <w:szCs w:val="32"/>
          <w:lang w:val="en-US" w:eastAsia="zh-CN"/>
        </w:rPr>
        <w:t>2024年一般公共预算财政拨款支出1405.1万元，占本年支出合计的100%。与2023年相比，收入总计减少12.11万元，减少0.8%。。降低的主要原因是2024年人员工资变动。</w:t>
      </w:r>
    </w:p>
    <w:p w14:paraId="77C0559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其中：基本支出825.49万元，基本支出中人员经费支出为787.88万元，主要包括：基本工资134.9万元、津贴补贴202.39万元、奖金187.82万元、绩效工资42.85万元、机关事业单位基本养老保险缴费72万元、职业年金缴费36万元、住房公积金62.59万元、职工基本医疗保险缴费38.43万元、公务员医疗补助6万元、生活补助159.57万元。</w:t>
      </w:r>
    </w:p>
    <w:p w14:paraId="2368377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公用经费支出为48.7万元，主要包括：办公费19.44万元、印刷费3.5万元、电费3.0万元、邮电费1.75万元、差旅费6.97万元、劳务费4.5万元、其他交通0.5万元，公务用车运行维护费9万元。</w:t>
      </w:r>
    </w:p>
    <w:p w14:paraId="3C06B901">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项目支出为568.4万元，主要包括：金川县卡撒卡撒乡政府办公楼宿舍楼维修项目39.9万元、金川县卡撒乡三埂子至新桥河堤建设项目2.65万元、金川县卡撒乡三埂子高家沟口通组桥建设项目1.39万元、卡撒乡脚姆塘村改板厂下方河堤灾后恢复建设项目10.43万元、应急抢险资金10万元、金川县卡撒乡人居环境整治项目78.68万元、村级运维费、村干部生活补助、保险、三老干部生活补助241.6万元。</w:t>
      </w:r>
    </w:p>
    <w:p w14:paraId="1974069C">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lang w:val="zh-CN" w:eastAsia="zh-CN"/>
        </w:rPr>
        <w:t>卡撒乡</w:t>
      </w:r>
      <w:r>
        <w:rPr>
          <w:rFonts w:hint="eastAsia" w:cs="Times New Roman"/>
          <w:szCs w:val="32"/>
          <w:lang w:val="en-US" w:eastAsia="zh-CN"/>
        </w:rPr>
        <w:t>2</w:t>
      </w:r>
      <w:r>
        <w:rPr>
          <w:rFonts w:hint="eastAsia" w:ascii="Times New Roman" w:hAnsi="Times New Roman" w:eastAsia="仿宋_GB2312" w:cs="Times New Roman"/>
          <w:sz w:val="32"/>
          <w:szCs w:val="32"/>
          <w:lang w:val="en-US" w:eastAsia="zh-CN"/>
        </w:rPr>
        <w:t>024年决算报表无结转结余情况</w:t>
      </w:r>
      <w:r>
        <w:rPr>
          <w:rFonts w:hint="eastAsia" w:eastAsia="仿宋_GB2312" w:cs="Times New Roman"/>
          <w:sz w:val="32"/>
          <w:szCs w:val="32"/>
          <w:lang w:val="en-US" w:eastAsia="zh-CN"/>
        </w:rPr>
        <w:t>。</w:t>
      </w:r>
    </w:p>
    <w:p w14:paraId="2309523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1"/>
        <w:rPr>
          <w:rFonts w:hint="default" w:ascii="Times New Roman" w:hAnsi="Times New Roman" w:eastAsia="黑体" w:cs="Times New Roman"/>
          <w:color w:val="000000"/>
          <w:kern w:val="0"/>
          <w:sz w:val="32"/>
          <w:szCs w:val="32"/>
          <w:highlight w:val="none"/>
          <w:shd w:val="clear" w:color="auto" w:fill="FFFFFF"/>
          <w:lang w:val="zh-CN" w:eastAsia="zh-CN"/>
        </w:rPr>
      </w:pPr>
      <w:bookmarkStart w:id="78" w:name="_Toc4053"/>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bookmarkEnd w:id="78"/>
    </w:p>
    <w:p w14:paraId="320AB8D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Times New Roman" w:hAnsi="Times New Roman" w:eastAsia="仿宋_GB2312" w:cs="仿宋_GB2312"/>
          <w:color w:val="auto"/>
          <w:kern w:val="2"/>
          <w:sz w:val="32"/>
          <w:szCs w:val="32"/>
          <w:highlight w:val="none"/>
          <w:lang w:val="zh-CN" w:eastAsia="zh-CN" w:bidi="ar-SA"/>
        </w:rPr>
        <w:t>我乡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1EE51BE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p>
    <w:p w14:paraId="2175C55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数量指标履职效果</w:t>
      </w:r>
      <w:r>
        <w:rPr>
          <w:rFonts w:hint="eastAsia" w:ascii="Times New Roman" w:hAnsi="Times New Roman" w:eastAsia="仿宋_GB2312" w:cs="仿宋_GB2312"/>
          <w:color w:val="auto"/>
          <w:kern w:val="2"/>
          <w:sz w:val="32"/>
          <w:szCs w:val="32"/>
          <w:highlight w:val="none"/>
          <w:lang w:val="en-US" w:eastAsia="zh-CN" w:bidi="ar-SA"/>
        </w:rPr>
        <w:t>:严格控制数量确保无遗漏无浪费，厉行节约</w:t>
      </w:r>
      <w:r>
        <w:rPr>
          <w:rFonts w:hint="eastAsia" w:ascii="Times New Roman" w:hAnsi="Times New Roman" w:eastAsia="仿宋_GB2312" w:cs="仿宋_GB2312"/>
          <w:color w:val="auto"/>
          <w:kern w:val="2"/>
          <w:sz w:val="32"/>
          <w:szCs w:val="32"/>
          <w:highlight w:val="none"/>
          <w:lang w:val="zh-CN" w:eastAsia="zh-CN" w:bidi="ar-SA"/>
        </w:rPr>
        <w:t>。</w:t>
      </w:r>
    </w:p>
    <w:p w14:paraId="0ED70D0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质量指标履职效果：</w:t>
      </w:r>
      <w:r>
        <w:rPr>
          <w:rFonts w:hint="eastAsia" w:ascii="Times New Roman" w:hAnsi="Times New Roman" w:eastAsia="仿宋_GB2312" w:cs="仿宋_GB2312"/>
          <w:color w:val="auto"/>
          <w:kern w:val="2"/>
          <w:sz w:val="32"/>
          <w:szCs w:val="32"/>
          <w:highlight w:val="none"/>
          <w:lang w:val="en-US" w:eastAsia="zh-CN" w:bidi="ar-SA"/>
        </w:rPr>
        <w:t>严格把控质量关，确保与采购文件相匹配。</w:t>
      </w:r>
    </w:p>
    <w:p w14:paraId="4082942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社会效益指标履职效果：确保每一项采购项目都能实现单位职能，提高社会效益，促进社会发展。</w:t>
      </w:r>
    </w:p>
    <w:p w14:paraId="6A2DAC2D">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服务对象满意度</w:t>
      </w:r>
      <w:r>
        <w:rPr>
          <w:rFonts w:hint="eastAsia" w:ascii="Times New Roman" w:hAnsi="Times New Roman" w:eastAsia="仿宋_GB2312" w:cs="仿宋_GB2312"/>
          <w:color w:val="auto"/>
          <w:kern w:val="2"/>
          <w:sz w:val="32"/>
          <w:szCs w:val="32"/>
          <w:highlight w:val="none"/>
          <w:lang w:val="en-US" w:eastAsia="zh-CN" w:bidi="ar-SA"/>
        </w:rPr>
        <w:t>指标</w:t>
      </w:r>
      <w:r>
        <w:rPr>
          <w:rFonts w:hint="default" w:ascii="Times New Roman" w:hAnsi="Times New Roman" w:eastAsia="仿宋_GB2312" w:cs="仿宋_GB2312"/>
          <w:color w:val="auto"/>
          <w:kern w:val="2"/>
          <w:sz w:val="32"/>
          <w:szCs w:val="32"/>
          <w:highlight w:val="none"/>
          <w:lang w:val="en-US" w:eastAsia="zh-CN" w:bidi="ar-SA"/>
        </w:rPr>
        <w:t>履职效果</w:t>
      </w:r>
      <w:r>
        <w:rPr>
          <w:rFonts w:hint="eastAsia" w:ascii="Times New Roman" w:hAnsi="Times New Roman" w:eastAsia="仿宋_GB2312" w:cs="仿宋_GB2312"/>
          <w:color w:val="auto"/>
          <w:kern w:val="2"/>
          <w:sz w:val="32"/>
          <w:szCs w:val="32"/>
          <w:highlight w:val="none"/>
          <w:lang w:val="en-US" w:eastAsia="zh-CN" w:bidi="ar-SA"/>
        </w:rPr>
        <w:t>：以高质量、高标准、高要求实施采购项目，确保受益对象满意度。</w:t>
      </w:r>
    </w:p>
    <w:p w14:paraId="697BFC3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lang w:val="zh-CN" w:eastAsia="zh-CN"/>
        </w:rPr>
      </w:pPr>
      <w:r>
        <w:rPr>
          <w:rFonts w:hint="default" w:ascii="Times New Roman" w:hAnsi="Times New Roman" w:eastAsia="仿宋_GB2312" w:cs="仿宋_GB2312"/>
          <w:color w:val="auto"/>
          <w:kern w:val="2"/>
          <w:sz w:val="32"/>
          <w:szCs w:val="32"/>
          <w:highlight w:val="none"/>
          <w:lang w:val="en-US" w:eastAsia="zh-CN" w:bidi="ar-SA"/>
        </w:rPr>
        <w:t>经济成本指标履职效果</w:t>
      </w:r>
      <w:r>
        <w:rPr>
          <w:rFonts w:hint="eastAsia" w:ascii="Times New Roman" w:hAnsi="Times New Roman" w:eastAsia="仿宋_GB2312" w:cs="仿宋_GB2312"/>
          <w:color w:val="auto"/>
          <w:kern w:val="2"/>
          <w:sz w:val="32"/>
          <w:szCs w:val="32"/>
          <w:highlight w:val="none"/>
          <w:lang w:val="en-US" w:eastAsia="zh-CN" w:bidi="ar-SA"/>
        </w:rPr>
        <w:t>：经过专业评估，以合理的经济成本实现项目价值。</w:t>
      </w:r>
    </w:p>
    <w:p w14:paraId="1988E4C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w:t>
      </w:r>
    </w:p>
    <w:p w14:paraId="7F71BDF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严格按照县级部门预算编制通知和有关要求，按时完成基础库、项目库报送工作，按时完成2024年预算编制工作，并按时提交部门预算草案。预算编制全面、科学。2024年实际支出和部门决算一致，绩效目标填报及年末结余结转都是严格按照县财政局的要求认真完成，不存在违规违纪使用资金的情况并按时完成2024年预算编制工作，及时提交了部门预算草案。</w:t>
      </w:r>
    </w:p>
    <w:p w14:paraId="753C340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w:t>
      </w:r>
    </w:p>
    <w:p w14:paraId="2D89D9B9">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Times New Roman" w:hAnsi="Times New Roman" w:cs="Times New Roman"/>
          <w:szCs w:val="32"/>
          <w:lang w:val="zh-CN" w:eastAsia="zh-CN"/>
        </w:rPr>
      </w:pPr>
      <w:r>
        <w:rPr>
          <w:rFonts w:hint="eastAsia" w:ascii="仿宋" w:hAnsi="仿宋" w:eastAsia="仿宋" w:cs="仿宋_GB2312"/>
          <w:color w:val="000000"/>
          <w:sz w:val="32"/>
          <w:szCs w:val="32"/>
          <w:lang w:val="zh-CN"/>
        </w:rPr>
        <w:t>根据相关要求，单位使用预算资金基本符合相关的预算财务管理制度。我乡在财政批复后</w:t>
      </w:r>
      <w:r>
        <w:rPr>
          <w:rFonts w:hint="eastAsia" w:ascii="仿宋" w:hAns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hAnsi="仿宋" w:eastAsia="仿宋" w:cs="仿宋_GB2312"/>
          <w:color w:val="000000"/>
          <w:sz w:val="32"/>
          <w:szCs w:val="32"/>
          <w:lang w:val="zh-CN"/>
        </w:rPr>
        <w:t>绩效评价及依法接受财政监督情况等。</w:t>
      </w:r>
    </w:p>
    <w:p w14:paraId="7F5C7EA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w:t>
      </w:r>
    </w:p>
    <w:p w14:paraId="18C3F9DD">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default" w:ascii="Times New Roman" w:hAnsi="Times New Roman" w:cs="Times New Roman"/>
          <w:szCs w:val="32"/>
          <w:lang w:val="en-US" w:eastAsia="zh-CN"/>
        </w:rPr>
      </w:pPr>
      <w:r>
        <w:rPr>
          <w:rFonts w:hint="eastAsia" w:ascii="仿宋" w:hAnsi="仿宋" w:eastAsia="仿宋" w:cs="仿宋_GB2312"/>
          <w:color w:val="000000"/>
          <w:sz w:val="32"/>
          <w:szCs w:val="32"/>
          <w:lang w:val="zh-CN"/>
        </w:rPr>
        <w:t>我乡</w:t>
      </w:r>
      <w:r>
        <w:rPr>
          <w:rFonts w:hint="eastAsia" w:ascii="仿宋" w:hAnsi="仿宋" w:eastAsia="仿宋" w:cs="仿宋_GB2312"/>
          <w:color w:val="000000"/>
          <w:sz w:val="32"/>
          <w:szCs w:val="32"/>
          <w:lang w:eastAsia="zh-CN"/>
        </w:rPr>
        <w:t>2024</w:t>
      </w:r>
      <w:r>
        <w:rPr>
          <w:rFonts w:hint="eastAsia" w:ascii="仿宋" w:hAnsi="仿宋" w:eastAsia="仿宋" w:cs="仿宋_GB2312"/>
          <w:color w:val="000000"/>
          <w:sz w:val="32"/>
          <w:szCs w:val="32"/>
        </w:rPr>
        <w:t>年所有国有资产纳入</w:t>
      </w:r>
      <w:r>
        <w:rPr>
          <w:rFonts w:hint="eastAsia" w:ascii="仿宋" w:hAnsi="仿宋" w:eastAsia="仿宋" w:cs="仿宋_GB2312"/>
          <w:color w:val="000000"/>
          <w:sz w:val="32"/>
          <w:szCs w:val="32"/>
          <w:lang w:val="zh-CN"/>
        </w:rPr>
        <w:t>资产管理系统，及时准确上报并做好资产的管理工作，</w:t>
      </w:r>
      <w:r>
        <w:rPr>
          <w:rFonts w:hint="eastAsia" w:ascii="Times New Roman" w:hAnsi="Times New Roman" w:cs="Times New Roman"/>
          <w:szCs w:val="32"/>
          <w:lang w:val="en-US" w:eastAsia="zh-CN"/>
        </w:rPr>
        <w:t>无闲置资产。</w:t>
      </w:r>
    </w:p>
    <w:p w14:paraId="00886CF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w:t>
      </w:r>
    </w:p>
    <w:p w14:paraId="035D1316">
      <w:pPr>
        <w:pageBreakBefore w:val="0"/>
        <w:widowControl/>
        <w:numPr>
          <w:ilvl w:val="0"/>
          <w:numId w:val="0"/>
        </w:numPr>
        <w:kinsoku/>
        <w:wordWrap/>
        <w:overflowPunct/>
        <w:topLinePunct w:val="0"/>
        <w:bidi w:val="0"/>
        <w:adjustRightInd w:val="0"/>
        <w:snapToGrid w:val="0"/>
        <w:spacing w:line="576" w:lineRule="exact"/>
        <w:ind w:firstLine="640" w:firstLineChars="200"/>
        <w:contextualSpacing/>
        <w:jc w:val="left"/>
        <w:rPr>
          <w:rFonts w:hint="eastAsia"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en-US" w:eastAsia="zh-CN" w:bidi="ar-SA"/>
        </w:rPr>
        <w:t>为保障单位正常运转，实现机构只能，根据实际需求按照程序实施政府采购</w:t>
      </w:r>
      <w:r>
        <w:rPr>
          <w:rFonts w:hint="eastAsia" w:ascii="仿宋_GB2312" w:eastAsia="仿宋_GB2312" w:cs="Times New Roman"/>
          <w:kern w:val="2"/>
          <w:sz w:val="32"/>
          <w:szCs w:val="32"/>
          <w:lang w:val="zh-CN" w:eastAsia="zh-CN" w:bidi="ar-SA"/>
        </w:rPr>
        <w:t>、采购</w:t>
      </w:r>
      <w:r>
        <w:rPr>
          <w:rFonts w:hint="eastAsia" w:ascii="仿宋_GB2312" w:eastAsia="仿宋_GB2312" w:cs="Times New Roman"/>
          <w:kern w:val="2"/>
          <w:sz w:val="32"/>
          <w:szCs w:val="32"/>
          <w:lang w:val="en-US" w:eastAsia="zh-CN" w:bidi="ar-SA"/>
        </w:rPr>
        <w:t>项目</w:t>
      </w:r>
      <w:r>
        <w:rPr>
          <w:rFonts w:hint="eastAsia" w:ascii="仿宋_GB2312" w:eastAsia="仿宋_GB2312" w:cs="Times New Roman"/>
          <w:kern w:val="2"/>
          <w:sz w:val="32"/>
          <w:szCs w:val="32"/>
          <w:lang w:val="zh-CN" w:eastAsia="zh-CN" w:bidi="ar-SA"/>
        </w:rPr>
        <w:t>执行率</w:t>
      </w:r>
      <w:r>
        <w:rPr>
          <w:rFonts w:hint="eastAsia" w:ascii="仿宋_GB2312" w:eastAsia="仿宋_GB2312" w:cs="Times New Roman"/>
          <w:kern w:val="2"/>
          <w:sz w:val="32"/>
          <w:szCs w:val="32"/>
          <w:lang w:val="en-US" w:eastAsia="zh-CN" w:bidi="ar-SA"/>
        </w:rPr>
        <w:t>达100%，采购结果与预期目标相匹配，通过科学合理的评价方法和标准，提高采购质量和效益</w:t>
      </w:r>
      <w:r>
        <w:rPr>
          <w:rFonts w:hint="eastAsia" w:ascii="仿宋_GB2312" w:eastAsia="仿宋_GB2312" w:cs="Times New Roman"/>
          <w:kern w:val="2"/>
          <w:sz w:val="32"/>
          <w:szCs w:val="32"/>
          <w:lang w:val="zh-CN" w:eastAsia="zh-CN" w:bidi="ar-SA"/>
        </w:rPr>
        <w:t>。</w:t>
      </w:r>
    </w:p>
    <w:p w14:paraId="2772085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Times New Roman" w:hAnsi="Times New Roman" w:eastAsia="仿宋_GB2312" w:cs="仿宋_GB2312"/>
          <w:color w:val="auto"/>
          <w:kern w:val="2"/>
          <w:sz w:val="32"/>
          <w:szCs w:val="32"/>
          <w:highlight w:val="none"/>
          <w:lang w:val="zh-CN" w:eastAsia="zh-CN" w:bidi="ar-SA"/>
        </w:rPr>
        <w:t>填报以下数据，并</w:t>
      </w:r>
      <w:r>
        <w:rPr>
          <w:rFonts w:hint="default"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项目绩效</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hint="default"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hint="default"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hint="default" w:ascii="Times New Roman" w:hAnsi="Times New Roman" w:eastAsia="仿宋_GB2312" w:cs="仿宋_GB2312"/>
          <w:color w:val="auto"/>
          <w:kern w:val="2"/>
          <w:sz w:val="32"/>
          <w:szCs w:val="32"/>
          <w:highlight w:val="none"/>
          <w:lang w:val="zh-CN" w:eastAsia="zh-CN" w:bidi="ar-SA"/>
        </w:rPr>
        <w:t>，依次包括项目</w:t>
      </w:r>
      <w:r>
        <w:rPr>
          <w:rFonts w:hint="default" w:ascii="Times New Roman" w:hAnsi="Times New Roman" w:eastAsia="仿宋_GB2312" w:cs="仿宋_GB2312"/>
          <w:color w:val="auto"/>
          <w:kern w:val="2"/>
          <w:sz w:val="32"/>
          <w:szCs w:val="32"/>
          <w:highlight w:val="none"/>
          <w:lang w:val="en-US" w:eastAsia="zh-CN" w:bidi="ar-SA"/>
        </w:rPr>
        <w:t>决策、项目执行、目标实现等情况</w:t>
      </w:r>
      <w:r>
        <w:rPr>
          <w:rFonts w:hint="eastAsia" w:ascii="Times New Roman" w:hAnsi="Times New Roman" w:eastAsia="仿宋_GB2312" w:cs="仿宋_GB2312"/>
          <w:color w:val="auto"/>
          <w:kern w:val="2"/>
          <w:sz w:val="32"/>
          <w:szCs w:val="32"/>
          <w:highlight w:val="none"/>
          <w:lang w:val="en-US" w:eastAsia="zh-CN" w:bidi="ar-SA"/>
        </w:rPr>
        <w:t>。</w:t>
      </w:r>
    </w:p>
    <w:p w14:paraId="0610904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常年项目绩效分析。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eastAsia="仿宋_GB2312" w:cs="仿宋_GB2312"/>
          <w:color w:val="auto"/>
          <w:kern w:val="2"/>
          <w:sz w:val="32"/>
          <w:szCs w:val="32"/>
          <w:highlight w:val="none"/>
          <w:lang w:val="en-US" w:eastAsia="zh-CN" w:bidi="ar-SA"/>
        </w:rPr>
        <w:t>70</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eastAsia="仿宋_GB2312" w:cs="仿宋_GB2312"/>
          <w:color w:val="auto"/>
          <w:kern w:val="2"/>
          <w:sz w:val="32"/>
          <w:szCs w:val="32"/>
          <w:highlight w:val="none"/>
          <w:lang w:val="en-US" w:eastAsia="zh-CN" w:bidi="ar-SA"/>
        </w:rPr>
        <w:t>847.19</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w:t>
      </w:r>
    </w:p>
    <w:p w14:paraId="2353B74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阶段</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一次性</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eastAsia="仿宋_GB2312" w:cs="仿宋_GB2312"/>
          <w:color w:val="auto"/>
          <w:kern w:val="2"/>
          <w:sz w:val="32"/>
          <w:szCs w:val="32"/>
          <w:highlight w:val="none"/>
          <w:lang w:val="en-US" w:eastAsia="zh-CN" w:bidi="ar-SA"/>
        </w:rPr>
        <w:t>7</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eastAsia="仿宋_GB2312" w:cs="仿宋_GB2312"/>
          <w:color w:val="auto"/>
          <w:kern w:val="2"/>
          <w:sz w:val="32"/>
          <w:szCs w:val="32"/>
          <w:highlight w:val="none"/>
          <w:lang w:val="en-US" w:eastAsia="zh-CN" w:bidi="ar-SA"/>
        </w:rPr>
        <w:t>568.4</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w:t>
      </w:r>
    </w:p>
    <w:p w14:paraId="595F519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项目决策。</w:t>
      </w:r>
    </w:p>
    <w:p w14:paraId="5EB6EF8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cs="Times New Roman"/>
          <w:color w:val="000000"/>
          <w:kern w:val="0"/>
          <w:szCs w:val="32"/>
          <w:highlight w:val="none"/>
          <w:shd w:val="clear" w:color="auto" w:fill="FFFFFF"/>
          <w:lang w:val="zh-CN" w:eastAsia="zh-CN"/>
        </w:rPr>
      </w:pPr>
      <w:r>
        <w:rPr>
          <w:rFonts w:hint="eastAsia" w:ascii="Times New Roman" w:hAnsi="Times New Roman"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zh-CN" w:eastAsia="zh-CN" w:bidi="ar-SA"/>
        </w:rPr>
        <w:t>预算项目设立</w:t>
      </w:r>
      <w:r>
        <w:rPr>
          <w:rFonts w:hint="eastAsia" w:ascii="Times New Roman" w:hAnsi="Times New Roman" w:eastAsia="仿宋_GB2312" w:cs="仿宋_GB2312"/>
          <w:color w:val="auto"/>
          <w:kern w:val="2"/>
          <w:sz w:val="32"/>
          <w:szCs w:val="32"/>
          <w:highlight w:val="none"/>
          <w:lang w:val="en-US" w:eastAsia="zh-CN" w:bidi="ar-SA"/>
        </w:rPr>
        <w:t>都</w:t>
      </w:r>
      <w:r>
        <w:rPr>
          <w:rFonts w:hint="eastAsia" w:ascii="Times New Roman" w:hAnsi="Times New Roman" w:eastAsia="仿宋_GB2312" w:cs="仿宋_GB2312"/>
          <w:color w:val="auto"/>
          <w:kern w:val="2"/>
          <w:sz w:val="32"/>
          <w:szCs w:val="32"/>
          <w:highlight w:val="none"/>
          <w:lang w:val="zh-CN" w:eastAsia="zh-CN" w:bidi="ar-SA"/>
        </w:rPr>
        <w:t>按规定履行评估论证、按程序申报、预算项目绩效目标与计划期内的任务量、预算安排的资金量匹配情况，绩效目标设置科学合理、规范完整、量化细化、预算匹配、预算项目在规定时间</w:t>
      </w:r>
      <w:r>
        <w:rPr>
          <w:rFonts w:hint="eastAsia" w:ascii="Times New Roman" w:hAnsi="Times New Roman" w:eastAsia="仿宋_GB2312" w:cs="仿宋_GB2312"/>
          <w:color w:val="auto"/>
          <w:kern w:val="2"/>
          <w:sz w:val="32"/>
          <w:szCs w:val="32"/>
          <w:highlight w:val="none"/>
          <w:lang w:val="en-US" w:eastAsia="zh-CN" w:bidi="ar-SA"/>
        </w:rPr>
        <w:t>内</w:t>
      </w:r>
      <w:r>
        <w:rPr>
          <w:rFonts w:hint="eastAsia" w:ascii="Times New Roman" w:hAnsi="Times New Roman" w:eastAsia="仿宋_GB2312" w:cs="仿宋_GB2312"/>
          <w:color w:val="auto"/>
          <w:kern w:val="2"/>
          <w:sz w:val="32"/>
          <w:szCs w:val="32"/>
          <w:highlight w:val="none"/>
          <w:lang w:val="zh-CN" w:eastAsia="zh-CN" w:bidi="ar-SA"/>
        </w:rPr>
        <w:t>完成项目入库，明确绩效目标，控制支行成本，提高项目发挥作用。</w:t>
      </w:r>
    </w:p>
    <w:p w14:paraId="68365E2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r>
        <w:rPr>
          <w:rFonts w:hint="eastAsia" w:ascii="Times New Roman" w:hAnsi="Times New Roman" w:eastAsia="仿宋_GB2312" w:cs="仿宋_GB2312"/>
          <w:color w:val="auto"/>
          <w:kern w:val="2"/>
          <w:sz w:val="32"/>
          <w:szCs w:val="32"/>
          <w:highlight w:val="none"/>
          <w:lang w:val="zh-CN" w:eastAsia="zh-CN" w:bidi="ar-SA"/>
        </w:rPr>
        <w:t>。</w:t>
      </w:r>
    </w:p>
    <w:p w14:paraId="4FAB4B9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Cs w:val="32"/>
          <w:highlight w:val="none"/>
          <w:shd w:val="clear" w:color="auto" w:fill="FFFFFF"/>
          <w:lang w:val="zh-CN"/>
        </w:rPr>
      </w:pPr>
      <w:r>
        <w:rPr>
          <w:rFonts w:hint="eastAsia" w:ascii="Times New Roman" w:hAnsi="Times New Roman" w:eastAsia="仿宋_GB2312" w:cs="仿宋_GB2312"/>
          <w:color w:val="auto"/>
          <w:kern w:val="2"/>
          <w:sz w:val="32"/>
          <w:szCs w:val="32"/>
          <w:highlight w:val="none"/>
          <w:lang w:val="zh-CN" w:eastAsia="zh-CN" w:bidi="ar-SA"/>
        </w:rPr>
        <w:t>预算项目实际列支内容与绩效目标设置方向相符、预算项目采取对应调整措施，</w:t>
      </w:r>
      <w:r>
        <w:rPr>
          <w:rFonts w:hint="eastAsia" w:ascii="Times New Roman" w:hAnsi="Times New Roman" w:eastAsia="仿宋_GB2312" w:cs="仿宋_GB2312"/>
          <w:color w:val="auto"/>
          <w:kern w:val="2"/>
          <w:sz w:val="32"/>
          <w:szCs w:val="32"/>
          <w:highlight w:val="none"/>
          <w:lang w:val="en-US" w:eastAsia="zh-CN" w:bidi="ar-SA"/>
        </w:rPr>
        <w:t>按程序调整</w:t>
      </w:r>
      <w:r>
        <w:rPr>
          <w:rFonts w:hint="eastAsia" w:ascii="Times New Roman" w:hAnsi="Times New Roman" w:eastAsia="仿宋_GB2312" w:cs="仿宋_GB2312"/>
          <w:color w:val="auto"/>
          <w:kern w:val="2"/>
          <w:sz w:val="32"/>
          <w:szCs w:val="32"/>
          <w:highlight w:val="none"/>
          <w:lang w:val="zh-CN" w:eastAsia="zh-CN" w:bidi="ar-SA"/>
        </w:rPr>
        <w:t>、预算项目</w:t>
      </w:r>
      <w:r>
        <w:rPr>
          <w:rFonts w:hint="eastAsia" w:ascii="Times New Roman" w:hAnsi="Times New Roman" w:eastAsia="仿宋_GB2312" w:cs="仿宋_GB2312"/>
          <w:color w:val="auto"/>
          <w:kern w:val="2"/>
          <w:sz w:val="32"/>
          <w:szCs w:val="32"/>
          <w:highlight w:val="none"/>
          <w:lang w:val="en-US" w:eastAsia="zh-CN" w:bidi="ar-SA"/>
        </w:rPr>
        <w:t>按照文件时间节点有序推进，按时完成并</w:t>
      </w:r>
      <w:r>
        <w:rPr>
          <w:rFonts w:hint="eastAsia" w:ascii="Times New Roman" w:hAnsi="Times New Roman" w:eastAsia="仿宋_GB2312" w:cs="仿宋_GB2312"/>
          <w:color w:val="auto"/>
          <w:kern w:val="2"/>
          <w:sz w:val="32"/>
          <w:szCs w:val="32"/>
          <w:highlight w:val="none"/>
          <w:lang w:val="zh-CN" w:eastAsia="zh-CN" w:bidi="ar-SA"/>
        </w:rPr>
        <w:t>根据财政局统一要求编制了我办整体绩效目标报告及项目整体绩</w:t>
      </w:r>
      <w:r>
        <w:rPr>
          <w:rFonts w:hint="eastAsia" w:ascii="仿宋" w:hAnsi="仿宋" w:eastAsia="仿宋" w:cs="仿宋_GB2312"/>
          <w:color w:val="000000"/>
          <w:sz w:val="32"/>
          <w:szCs w:val="32"/>
          <w:lang w:val="zh-CN"/>
        </w:rPr>
        <w:t>效目标表，并报县财政局。</w:t>
      </w:r>
    </w:p>
    <w:p w14:paraId="719FA73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目标实现。</w:t>
      </w:r>
    </w:p>
    <w:p w14:paraId="542B0824">
      <w:pPr>
        <w:spacing w:line="580" w:lineRule="exact"/>
        <w:ind w:firstLine="640" w:firstLineChars="200"/>
        <w:rPr>
          <w:rFonts w:hint="eastAsia" w:ascii="楷体_GB2312" w:hAnsi="楷体_GB2312" w:eastAsia="楷体_GB2312" w:cs="楷体_GB2312"/>
          <w:color w:val="000000"/>
          <w:kern w:val="0"/>
          <w:szCs w:val="32"/>
          <w:highlight w:val="none"/>
          <w:shd w:val="clear" w:color="auto" w:fill="FFFFFF"/>
          <w:lang w:val="zh-CN" w:eastAsia="zh-CN"/>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5BC2B923">
      <w:pPr>
        <w:spacing w:line="580" w:lineRule="exact"/>
        <w:ind w:firstLine="643" w:firstLineChars="200"/>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3F2BC566">
      <w:pPr>
        <w:spacing w:line="580" w:lineRule="exact"/>
        <w:ind w:firstLine="640" w:firstLineChars="200"/>
        <w:rPr>
          <w:rFonts w:hint="default" w:ascii="Times New Roman" w:hAnsi="Times New Roman" w:eastAsia="仿宋_GB2312" w:cs="Times New Roman"/>
          <w:sz w:val="32"/>
          <w:szCs w:val="32"/>
          <w:highlight w:val="none"/>
          <w:u w:val="none"/>
          <w:lang w:bidi="ar"/>
        </w:rPr>
      </w:pPr>
      <w:r>
        <w:rPr>
          <w:rFonts w:hint="eastAsia" w:ascii="仿宋_GB2312" w:eastAsia="仿宋_GB2312" w:cs="仿宋_GB2312"/>
          <w:sz w:val="32"/>
          <w:szCs w:val="32"/>
        </w:rPr>
        <w:t>根据预算绩效管理要求，我单位在年初预算编制阶段，组织对项目开展了预算事前绩效评估，本部门按要求对</w:t>
      </w:r>
      <w:r>
        <w:rPr>
          <w:rFonts w:hint="eastAsia" w:ascii="仿宋_GB2312" w:cs="仿宋_GB2312"/>
          <w:sz w:val="32"/>
          <w:szCs w:val="32"/>
          <w:lang w:eastAsia="zh-CN"/>
        </w:rPr>
        <w:t>2024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14:paraId="267FD04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1"/>
        <w:rPr>
          <w:rFonts w:hint="default" w:ascii="Times New Roman" w:hAnsi="Times New Roman" w:eastAsia="黑体" w:cs="Times New Roman"/>
          <w:color w:val="000000"/>
          <w:kern w:val="0"/>
          <w:sz w:val="32"/>
          <w:szCs w:val="32"/>
          <w:highlight w:val="none"/>
          <w:shd w:val="clear" w:color="auto" w:fill="FFFFFF"/>
          <w:lang w:val="zh-CN"/>
        </w:rPr>
      </w:pPr>
      <w:bookmarkStart w:id="79" w:name="_Toc2736"/>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bookmarkEnd w:id="79"/>
    </w:p>
    <w:p w14:paraId="2CA524F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36618AA1">
      <w:pPr>
        <w:pageBreakBefore w:val="0"/>
        <w:widowControl/>
        <w:kinsoku/>
        <w:wordWrap/>
        <w:overflowPunct/>
        <w:topLinePunct w:val="0"/>
        <w:bidi w:val="0"/>
        <w:adjustRightInd w:val="0"/>
        <w:snapToGrid w:val="0"/>
        <w:spacing w:line="576" w:lineRule="exact"/>
        <w:ind w:firstLine="640" w:firstLineChars="200"/>
        <w:contextualSpacing/>
        <w:jc w:val="left"/>
        <w:rPr>
          <w:rFonts w:hint="default" w:ascii="Times New Roman" w:hAnsi="Times New Roman" w:eastAsia="仿宋_GB2312" w:cs="Times New Roman"/>
          <w:sz w:val="32"/>
          <w:szCs w:val="32"/>
          <w:u w:val="none"/>
          <w:lang w:val="en-US" w:eastAsia="zh-CN" w:bidi="ar"/>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对</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年度整体支出情况开展自评，得分</w:t>
      </w:r>
      <w:r>
        <w:rPr>
          <w:rFonts w:hint="eastAsia" w:eastAsia="仿宋_GB2312" w:cs="Times New Roman"/>
          <w:bCs/>
          <w:kern w:val="0"/>
          <w:sz w:val="32"/>
          <w:szCs w:val="32"/>
          <w:shd w:val="clear" w:color="auto" w:fill="FFFFFF"/>
          <w:lang w:val="en-US" w:eastAsia="zh-CN"/>
        </w:rPr>
        <w:t>9</w:t>
      </w:r>
      <w:r>
        <w:rPr>
          <w:rFonts w:hint="eastAsia" w:cs="Times New Roman"/>
          <w:bCs/>
          <w:kern w:val="0"/>
          <w:sz w:val="32"/>
          <w:szCs w:val="32"/>
          <w:shd w:val="clear" w:color="auto" w:fill="FFFFFF"/>
          <w:lang w:val="en-US" w:eastAsia="zh-CN"/>
        </w:rPr>
        <w:t>4</w:t>
      </w:r>
      <w:r>
        <w:rPr>
          <w:rFonts w:ascii="Times New Roman" w:hAnsi="Times New Roman" w:eastAsia="仿宋_GB2312" w:cs="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，整体绩效管理合理合规；一般公共预算项目支出完成预算的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w:t>
      </w:r>
      <w:r>
        <w:rPr>
          <w:rFonts w:hint="eastAsia" w:cs="Times New Roman"/>
          <w:bCs/>
          <w:kern w:val="0"/>
          <w:sz w:val="32"/>
          <w:szCs w:val="32"/>
          <w:shd w:val="clear" w:color="auto" w:fill="FFFFFF"/>
          <w:lang w:val="zh-CN" w:eastAsia="zh-CN"/>
        </w:rPr>
        <w:t>2024</w:t>
      </w:r>
      <w:r>
        <w:rPr>
          <w:rFonts w:ascii="Times New Roman" w:hAnsi="Times New Roman" w:eastAsia="仿宋_GB2312" w:cs="Times New Roman"/>
          <w:bCs/>
          <w:kern w:val="0"/>
          <w:sz w:val="32"/>
          <w:szCs w:val="32"/>
          <w:shd w:val="clear" w:color="auto" w:fill="FFFFFF"/>
          <w:lang w:val="zh-CN" w:eastAsia="zh-CN"/>
        </w:rPr>
        <w:t>年度整体支出绩效评价优好，无违纪违规问题，预算编制、预算执行、完成结果等均达到既定目标管理。</w:t>
      </w:r>
    </w:p>
    <w:p w14:paraId="45A08FC4">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p>
    <w:p w14:paraId="63339DDE">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个别人员经费和公用经费测算标准及套用公式不够科学精准，部分经济科目在预算执行中存在较早亮红灯</w:t>
      </w:r>
      <w:r>
        <w:rPr>
          <w:rFonts w:hint="eastAsia" w:ascii="Times New Roman" w:hAnsi="Times New Roman" w:eastAsia="仿宋_GB2312" w:cs="Times New Roman"/>
          <w:bCs/>
          <w:kern w:val="0"/>
          <w:sz w:val="32"/>
          <w:szCs w:val="32"/>
          <w:shd w:val="clear" w:color="auto" w:fill="FFFFFF"/>
          <w:lang w:val="zh-CN" w:eastAsia="zh-CN"/>
        </w:rPr>
        <w:t>，预算经费支出进度较快</w:t>
      </w:r>
      <w:r>
        <w:rPr>
          <w:rFonts w:ascii="Times New Roman" w:hAnsi="Times New Roman" w:eastAsia="仿宋_GB2312" w:cs="Times New Roman"/>
          <w:bCs/>
          <w:kern w:val="0"/>
          <w:sz w:val="32"/>
          <w:szCs w:val="32"/>
          <w:shd w:val="clear" w:color="auto" w:fill="FFFFFF"/>
          <w:lang w:val="zh-CN" w:eastAsia="zh-CN"/>
        </w:rPr>
        <w:t>。</w:t>
      </w:r>
    </w:p>
    <w:p w14:paraId="6C498D8F">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p>
    <w:p w14:paraId="06E1A210">
      <w:pPr>
        <w:pageBreakBefore w:val="0"/>
        <w:widowControl/>
        <w:kinsoku/>
        <w:wordWrap/>
        <w:overflowPunct/>
        <w:topLinePunct w:val="0"/>
        <w:bidi w:val="0"/>
        <w:adjustRightInd w:val="0"/>
        <w:snapToGrid w:val="0"/>
        <w:spacing w:line="576" w:lineRule="exact"/>
        <w:ind w:firstLine="640" w:firstLineChars="200"/>
        <w:contextualSpacing/>
        <w:jc w:val="left"/>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乡</w:t>
      </w:r>
      <w:r>
        <w:rPr>
          <w:rFonts w:ascii="Times New Roman" w:hAnsi="Times New Roman" w:eastAsia="仿宋_GB2312" w:cs="Times New Roman"/>
          <w:bCs/>
          <w:kern w:val="0"/>
          <w:sz w:val="32"/>
          <w:szCs w:val="32"/>
          <w:shd w:val="clear" w:color="auto" w:fill="FFFFFF"/>
          <w:lang w:val="zh-CN" w:eastAsia="zh-CN"/>
        </w:rPr>
        <w:t>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28ECA934">
      <w:pPr>
        <w:pageBreakBefore w:val="0"/>
        <w:widowControl/>
        <w:kinsoku/>
        <w:wordWrap/>
        <w:overflowPunct/>
        <w:topLinePunct w:val="0"/>
        <w:bidi w:val="0"/>
        <w:adjustRightInd w:val="0"/>
        <w:snapToGrid w:val="0"/>
        <w:spacing w:line="576" w:lineRule="exact"/>
        <w:ind w:firstLine="4800" w:firstLineChars="1500"/>
        <w:contextualSpacing/>
        <w:jc w:val="left"/>
        <w:rPr>
          <w:rFonts w:hint="eastAsia" w:ascii="Times New Roman" w:hAnsi="Times New Roman" w:eastAsia="仿宋_GB2312" w:cs="Times New Roman"/>
          <w:bCs/>
          <w:kern w:val="0"/>
          <w:sz w:val="32"/>
          <w:szCs w:val="32"/>
          <w:shd w:val="clear" w:color="auto" w:fill="FFFFFF"/>
          <w:lang w:val="en-US" w:eastAsia="zh-CN"/>
        </w:rPr>
      </w:pPr>
      <w:r>
        <w:rPr>
          <w:rFonts w:hint="eastAsia" w:ascii="Times New Roman" w:hAnsi="Times New Roman" w:eastAsia="仿宋_GB2312" w:cs="Times New Roman"/>
          <w:bCs/>
          <w:kern w:val="0"/>
          <w:sz w:val="32"/>
          <w:szCs w:val="32"/>
          <w:shd w:val="clear" w:color="auto" w:fill="FFFFFF"/>
          <w:lang w:val="en-US" w:eastAsia="zh-CN"/>
        </w:rPr>
        <w:t>金川县卡撒乡人民政府</w:t>
      </w:r>
    </w:p>
    <w:p w14:paraId="62D27A2E">
      <w:pPr>
        <w:pStyle w:val="6"/>
        <w:rPr>
          <w:rFonts w:hint="eastAsia" w:ascii="Times New Roman" w:hAnsi="Times New Roman" w:cs="宋体"/>
          <w:color w:val="FF0000"/>
          <w:kern w:val="0"/>
          <w:sz w:val="32"/>
          <w:szCs w:val="32"/>
          <w:highlight w:val="yellow"/>
          <w:shd w:val="clear" w:color="auto" w:fill="FFFFFF"/>
          <w:lang w:val="zh-CN"/>
        </w:rPr>
      </w:pPr>
      <w:r>
        <w:rPr>
          <w:rFonts w:hint="eastAsia" w:ascii="Times New Roman" w:hAnsi="Times New Roman" w:eastAsia="仿宋_GB2312" w:cs="Times New Roman"/>
          <w:bCs/>
          <w:kern w:val="0"/>
          <w:sz w:val="32"/>
          <w:szCs w:val="32"/>
          <w:shd w:val="clear" w:color="auto" w:fill="FFFFFF"/>
          <w:lang w:val="en-US" w:eastAsia="zh-CN"/>
        </w:rPr>
        <w:t xml:space="preserve">                             </w:t>
      </w:r>
      <w:r>
        <w:rPr>
          <w:rFonts w:hint="eastAsia" w:ascii="Times New Roman" w:hAnsi="Times New Roman" w:cs="Times New Roman"/>
          <w:bCs/>
          <w:kern w:val="0"/>
          <w:sz w:val="32"/>
          <w:szCs w:val="32"/>
          <w:shd w:val="clear" w:color="auto" w:fill="FFFFFF"/>
          <w:lang w:val="en-US" w:eastAsia="zh-CN"/>
        </w:rPr>
        <w:t xml:space="preserve">    </w:t>
      </w:r>
      <w:bookmarkStart w:id="102" w:name="_GoBack"/>
      <w:bookmarkEnd w:id="102"/>
      <w:r>
        <w:rPr>
          <w:rFonts w:hint="eastAsia" w:ascii="Times New Roman" w:hAnsi="Times New Roman" w:eastAsia="仿宋_GB2312" w:cs="Times New Roman"/>
          <w:bCs/>
          <w:kern w:val="0"/>
          <w:sz w:val="32"/>
          <w:szCs w:val="32"/>
          <w:shd w:val="clear" w:color="auto" w:fill="FFFFFF"/>
          <w:lang w:val="en-US" w:eastAsia="zh-CN"/>
        </w:rPr>
        <w:t>2025年</w:t>
      </w:r>
      <w:r>
        <w:rPr>
          <w:rFonts w:hint="eastAsia" w:eastAsia="仿宋_GB2312" w:cs="Times New Roman"/>
          <w:bCs/>
          <w:kern w:val="0"/>
          <w:sz w:val="32"/>
          <w:szCs w:val="32"/>
          <w:shd w:val="clear" w:color="auto" w:fill="FFFFFF"/>
          <w:lang w:val="en-US" w:eastAsia="zh-CN"/>
        </w:rPr>
        <w:t>8</w:t>
      </w:r>
      <w:r>
        <w:rPr>
          <w:rFonts w:hint="eastAsia" w:ascii="Times New Roman" w:hAnsi="Times New Roman" w:eastAsia="仿宋_GB2312" w:cs="Times New Roman"/>
          <w:bCs/>
          <w:kern w:val="0"/>
          <w:sz w:val="32"/>
          <w:szCs w:val="32"/>
          <w:shd w:val="clear" w:color="auto" w:fill="FFFFFF"/>
          <w:lang w:val="en-US" w:eastAsia="zh-CN"/>
        </w:rPr>
        <w:t>月</w:t>
      </w:r>
      <w:r>
        <w:rPr>
          <w:rFonts w:hint="eastAsia" w:cs="Times New Roman"/>
          <w:bCs/>
          <w:kern w:val="0"/>
          <w:sz w:val="32"/>
          <w:szCs w:val="32"/>
          <w:shd w:val="clear" w:color="auto" w:fill="FFFFFF"/>
          <w:lang w:val="en-US" w:eastAsia="zh-CN"/>
        </w:rPr>
        <w:t>26</w:t>
      </w:r>
      <w:r>
        <w:rPr>
          <w:rFonts w:hint="eastAsia" w:ascii="Times New Roman" w:hAnsi="Times New Roman" w:eastAsia="仿宋_GB2312" w:cs="Times New Roman"/>
          <w:bCs/>
          <w:kern w:val="0"/>
          <w:sz w:val="32"/>
          <w:szCs w:val="32"/>
          <w:shd w:val="clear" w:color="auto" w:fill="FFFFFF"/>
          <w:lang w:val="en-US" w:eastAsia="zh-CN"/>
        </w:rPr>
        <w:t>日</w:t>
      </w:r>
    </w:p>
    <w:p w14:paraId="4E9B3E1A">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0B04D86B">
      <w:pPr>
        <w:keepNext w:val="0"/>
        <w:keepLines w:val="0"/>
        <w:pageBreakBefore w:val="0"/>
        <w:widowControl w:val="0"/>
        <w:numPr>
          <w:ilvl w:val="0"/>
          <w:numId w:val="4"/>
        </w:numPr>
        <w:kinsoku/>
        <w:wordWrap/>
        <w:overflowPunct/>
        <w:topLinePunct w:val="0"/>
        <w:autoSpaceDE/>
        <w:autoSpaceDN/>
        <w:bidi w:val="0"/>
        <w:spacing w:line="572" w:lineRule="exact"/>
        <w:jc w:val="center"/>
        <w:textAlignment w:val="auto"/>
        <w:outlineLvl w:val="0"/>
        <w:rPr>
          <w:rFonts w:hint="eastAsia" w:ascii="Times New Roman" w:hAnsi="Times New Roman" w:eastAsia="黑体"/>
          <w:color w:val="auto"/>
          <w:sz w:val="44"/>
          <w:szCs w:val="44"/>
          <w:highlight w:val="none"/>
        </w:rPr>
      </w:pPr>
      <w:bookmarkStart w:id="80" w:name="_Toc28142"/>
      <w:r>
        <w:rPr>
          <w:rFonts w:hint="eastAsia" w:eastAsia="黑体"/>
          <w:color w:val="auto"/>
          <w:sz w:val="44"/>
          <w:szCs w:val="44"/>
          <w:highlight w:val="none"/>
          <w:lang w:eastAsia="zh-CN"/>
        </w:rPr>
        <w:t>附件</w:t>
      </w:r>
    </w:p>
    <w:p w14:paraId="420901AE">
      <w:pPr>
        <w:keepNext w:val="0"/>
        <w:keepLines w:val="0"/>
        <w:pageBreakBefore w:val="0"/>
        <w:widowControl w:val="0"/>
        <w:kinsoku/>
        <w:wordWrap/>
        <w:overflowPunct/>
        <w:topLinePunct w:val="0"/>
        <w:autoSpaceDE/>
        <w:autoSpaceDN/>
        <w:bidi w:val="0"/>
        <w:spacing w:line="572" w:lineRule="exact"/>
        <w:jc w:val="left"/>
        <w:textAlignment w:val="auto"/>
        <w:outlineLvl w:val="0"/>
        <w:rPr>
          <w:lang w:val="zh-CN"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2A83B279">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方正小标宋简体" w:cs="Times New Roman"/>
          <w:i w:val="0"/>
          <w:color w:val="000000"/>
          <w:kern w:val="0"/>
          <w:sz w:val="44"/>
          <w:szCs w:val="44"/>
          <w:u w:val="none"/>
          <w:lang w:val="en-US" w:eastAsia="zh-CN"/>
        </w:rPr>
        <w:t>部门预算绩效自评打分表</w:t>
      </w:r>
    </w:p>
    <w:tbl>
      <w:tblPr>
        <w:tblStyle w:val="16"/>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1"/>
        <w:gridCol w:w="1151"/>
        <w:gridCol w:w="1312"/>
        <w:gridCol w:w="567"/>
        <w:gridCol w:w="3729"/>
        <w:gridCol w:w="595"/>
        <w:gridCol w:w="377"/>
      </w:tblGrid>
      <w:tr w14:paraId="67813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821" w:type="dxa"/>
            <w:gridSpan w:val="4"/>
            <w:tcBorders>
              <w:top w:val="single" w:color="000000" w:sz="4" w:space="0"/>
              <w:left w:val="single" w:color="000000" w:sz="4" w:space="0"/>
              <w:bottom w:val="single" w:color="000000" w:sz="4" w:space="0"/>
              <w:right w:val="single" w:color="000000" w:sz="4" w:space="0"/>
            </w:tcBorders>
            <w:noWrap/>
            <w:vAlign w:val="center"/>
          </w:tcPr>
          <w:p w14:paraId="54D63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绩效评价指标指标分值</w:t>
            </w:r>
          </w:p>
        </w:tc>
        <w:tc>
          <w:tcPr>
            <w:tcW w:w="3729" w:type="dxa"/>
            <w:vMerge w:val="restart"/>
            <w:tcBorders>
              <w:top w:val="single" w:color="000000" w:sz="4" w:space="0"/>
              <w:left w:val="single" w:color="000000" w:sz="4" w:space="0"/>
              <w:bottom w:val="single" w:color="000000" w:sz="4" w:space="0"/>
              <w:right w:val="single" w:color="000000" w:sz="4" w:space="0"/>
            </w:tcBorders>
            <w:noWrap/>
            <w:vAlign w:val="center"/>
          </w:tcPr>
          <w:p w14:paraId="740B1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指标解释</w:t>
            </w:r>
          </w:p>
        </w:tc>
        <w:tc>
          <w:tcPr>
            <w:tcW w:w="595" w:type="dxa"/>
            <w:vMerge w:val="restart"/>
            <w:tcBorders>
              <w:top w:val="single" w:color="000000" w:sz="4" w:space="0"/>
              <w:left w:val="single" w:color="000000" w:sz="4" w:space="0"/>
              <w:bottom w:val="nil"/>
              <w:right w:val="single" w:color="000000" w:sz="4" w:space="0"/>
            </w:tcBorders>
            <w:noWrap/>
            <w:vAlign w:val="center"/>
          </w:tcPr>
          <w:p w14:paraId="3E2BB7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自评得分</w:t>
            </w:r>
          </w:p>
        </w:tc>
        <w:tc>
          <w:tcPr>
            <w:tcW w:w="377" w:type="dxa"/>
            <w:vMerge w:val="restart"/>
            <w:tcBorders>
              <w:top w:val="single" w:color="000000" w:sz="4" w:space="0"/>
              <w:left w:val="single" w:color="000000" w:sz="4" w:space="0"/>
              <w:bottom w:val="nil"/>
              <w:right w:val="single" w:color="000000" w:sz="4" w:space="0"/>
            </w:tcBorders>
            <w:noWrap/>
            <w:vAlign w:val="center"/>
          </w:tcPr>
          <w:p w14:paraId="398932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kern w:val="0"/>
                <w:sz w:val="24"/>
                <w:szCs w:val="24"/>
                <w:u w:val="none"/>
                <w:lang w:val="en-US" w:eastAsia="zh-CN"/>
              </w:rPr>
            </w:pPr>
            <w:r>
              <w:rPr>
                <w:rFonts w:hint="eastAsia" w:ascii="黑体" w:eastAsia="黑体" w:cs="黑体"/>
                <w:i w:val="0"/>
                <w:color w:val="000000"/>
                <w:kern w:val="0"/>
                <w:sz w:val="24"/>
                <w:szCs w:val="24"/>
                <w:u w:val="none"/>
                <w:lang w:val="en-US" w:eastAsia="zh-CN"/>
              </w:rPr>
              <w:t>备注</w:t>
            </w:r>
          </w:p>
        </w:tc>
      </w:tr>
      <w:tr w14:paraId="4679C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nil"/>
            </w:tcBorders>
            <w:noWrap/>
            <w:vAlign w:val="center"/>
          </w:tcPr>
          <w:p w14:paraId="37D6A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一级指标</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2DA0F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二级指标</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C0854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三级指标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A7499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eastAsia="黑体" w:cs="黑体"/>
                <w:i w:val="0"/>
                <w:color w:val="000000"/>
                <w:sz w:val="24"/>
                <w:szCs w:val="24"/>
                <w:u w:val="none"/>
              </w:rPr>
            </w:pPr>
            <w:r>
              <w:rPr>
                <w:rFonts w:hint="eastAsia" w:ascii="黑体" w:eastAsia="黑体" w:cs="黑体"/>
                <w:i w:val="0"/>
                <w:color w:val="000000"/>
                <w:kern w:val="0"/>
                <w:sz w:val="24"/>
                <w:szCs w:val="24"/>
                <w:u w:val="none"/>
                <w:lang w:val="en-US" w:eastAsia="zh-CN"/>
              </w:rPr>
              <w:t>指标</w:t>
            </w:r>
            <w:r>
              <w:rPr>
                <w:rFonts w:hint="eastAsia" w:ascii="黑体" w:eastAsia="黑体" w:cs="黑体"/>
                <w:i w:val="0"/>
                <w:color w:val="000000"/>
                <w:kern w:val="0"/>
                <w:sz w:val="24"/>
                <w:szCs w:val="24"/>
                <w:u w:val="none"/>
                <w:lang w:val="en-US" w:eastAsia="zh-CN"/>
              </w:rPr>
              <w:br w:type="textWrapping"/>
            </w:r>
            <w:r>
              <w:rPr>
                <w:rFonts w:hint="eastAsia" w:ascii="黑体" w:eastAsia="黑体" w:cs="黑体"/>
                <w:i w:val="0"/>
                <w:color w:val="000000"/>
                <w:kern w:val="0"/>
                <w:sz w:val="24"/>
                <w:szCs w:val="24"/>
                <w:u w:val="none"/>
                <w:lang w:val="en-US" w:eastAsia="zh-CN"/>
              </w:rPr>
              <w:t>分值</w:t>
            </w:r>
          </w:p>
        </w:tc>
        <w:tc>
          <w:tcPr>
            <w:tcW w:w="3729" w:type="dxa"/>
            <w:vMerge w:val="continue"/>
            <w:tcBorders>
              <w:top w:val="single" w:color="000000" w:sz="4" w:space="0"/>
              <w:left w:val="single" w:color="000000" w:sz="4" w:space="0"/>
              <w:bottom w:val="single" w:color="000000" w:sz="4" w:space="0"/>
              <w:right w:val="single" w:color="000000" w:sz="4" w:space="0"/>
            </w:tcBorders>
            <w:noWrap/>
            <w:vAlign w:val="center"/>
          </w:tcPr>
          <w:p w14:paraId="0501F886"/>
        </w:tc>
        <w:tc>
          <w:tcPr>
            <w:tcW w:w="595" w:type="dxa"/>
            <w:vMerge w:val="continue"/>
            <w:tcBorders>
              <w:top w:val="nil"/>
              <w:left w:val="single" w:color="000000" w:sz="4" w:space="0"/>
              <w:bottom w:val="single" w:color="000000" w:sz="4" w:space="0"/>
              <w:right w:val="single" w:color="000000" w:sz="4" w:space="0"/>
            </w:tcBorders>
            <w:noWrap/>
            <w:vAlign w:val="center"/>
          </w:tcPr>
          <w:p w14:paraId="47DF526E"/>
        </w:tc>
        <w:tc>
          <w:tcPr>
            <w:tcW w:w="377" w:type="dxa"/>
            <w:vMerge w:val="continue"/>
            <w:tcBorders>
              <w:top w:val="nil"/>
              <w:left w:val="single" w:color="000000" w:sz="4" w:space="0"/>
              <w:bottom w:val="single" w:color="000000" w:sz="4" w:space="0"/>
              <w:right w:val="single" w:color="000000" w:sz="4" w:space="0"/>
            </w:tcBorders>
            <w:noWrap/>
            <w:vAlign w:val="center"/>
          </w:tcPr>
          <w:p w14:paraId="729AE5B2"/>
        </w:tc>
      </w:tr>
      <w:tr w14:paraId="22F4D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7B839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4B5A68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履职效能</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772916A">
            <w:pPr>
              <w:keepNext w:val="0"/>
              <w:keepLines w:val="0"/>
              <w:widowControl/>
              <w:suppressLineNumbers w:val="0"/>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数量指标履职效果</w:t>
            </w:r>
          </w:p>
        </w:tc>
        <w:tc>
          <w:tcPr>
            <w:tcW w:w="567" w:type="dxa"/>
            <w:tcBorders>
              <w:top w:val="nil"/>
              <w:left w:val="single" w:color="000000" w:sz="4" w:space="0"/>
              <w:bottom w:val="single" w:color="000000" w:sz="4" w:space="0"/>
              <w:right w:val="single" w:color="000000" w:sz="4" w:space="0"/>
            </w:tcBorders>
            <w:noWrap/>
            <w:vAlign w:val="center"/>
          </w:tcPr>
          <w:p w14:paraId="502C6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vMerge w:val="restart"/>
            <w:tcBorders>
              <w:top w:val="single" w:color="000000" w:sz="4" w:space="0"/>
              <w:left w:val="single" w:color="000000" w:sz="4" w:space="0"/>
              <w:bottom w:val="nil"/>
              <w:right w:val="single" w:color="000000" w:sz="4" w:space="0"/>
            </w:tcBorders>
            <w:noWrap/>
            <w:vAlign w:val="center"/>
          </w:tcPr>
          <w:p w14:paraId="31432D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部门整体绩效目标中选定3-5个核心职能目标，反映该项职能目标完成效果情况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65330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D6B3A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46AD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680B6F92"/>
        </w:tc>
        <w:tc>
          <w:tcPr>
            <w:tcW w:w="1151" w:type="dxa"/>
            <w:vMerge w:val="continue"/>
            <w:tcBorders>
              <w:top w:val="nil"/>
              <w:left w:val="single" w:color="000000" w:sz="4" w:space="0"/>
              <w:bottom w:val="nil"/>
              <w:right w:val="single" w:color="000000" w:sz="4" w:space="0"/>
            </w:tcBorders>
            <w:noWrap/>
            <w:vAlign w:val="center"/>
          </w:tcPr>
          <w:p w14:paraId="21012939"/>
        </w:tc>
        <w:tc>
          <w:tcPr>
            <w:tcW w:w="1312" w:type="dxa"/>
            <w:tcBorders>
              <w:top w:val="single" w:color="000000" w:sz="4" w:space="0"/>
              <w:left w:val="single" w:color="000000" w:sz="4" w:space="0"/>
              <w:bottom w:val="single" w:color="000000" w:sz="4" w:space="0"/>
              <w:right w:val="single" w:color="000000" w:sz="4" w:space="0"/>
            </w:tcBorders>
            <w:noWrap/>
            <w:vAlign w:val="center"/>
          </w:tcPr>
          <w:p w14:paraId="704E53F7">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质量指标履职效果</w:t>
            </w:r>
          </w:p>
        </w:tc>
        <w:tc>
          <w:tcPr>
            <w:tcW w:w="567" w:type="dxa"/>
            <w:tcBorders>
              <w:top w:val="nil"/>
              <w:left w:val="single" w:color="000000" w:sz="4" w:space="0"/>
              <w:bottom w:val="single" w:color="000000" w:sz="4" w:space="0"/>
              <w:right w:val="single" w:color="000000" w:sz="4" w:space="0"/>
            </w:tcBorders>
            <w:noWrap/>
            <w:vAlign w:val="center"/>
          </w:tcPr>
          <w:p w14:paraId="22AD7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nil"/>
              <w:right w:val="single" w:color="000000" w:sz="4" w:space="0"/>
            </w:tcBorders>
            <w:noWrap/>
            <w:vAlign w:val="center"/>
          </w:tcPr>
          <w:p w14:paraId="4DDFB62F"/>
        </w:tc>
        <w:tc>
          <w:tcPr>
            <w:tcW w:w="595" w:type="dxa"/>
            <w:tcBorders>
              <w:top w:val="single" w:color="000000" w:sz="4" w:space="0"/>
              <w:left w:val="single" w:color="000000" w:sz="4" w:space="0"/>
              <w:bottom w:val="single" w:color="000000" w:sz="4" w:space="0"/>
              <w:right w:val="single" w:color="000000" w:sz="4" w:space="0"/>
            </w:tcBorders>
            <w:noWrap/>
            <w:vAlign w:val="center"/>
          </w:tcPr>
          <w:p w14:paraId="58A095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4EE10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FE0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nil"/>
              <w:left w:val="single" w:color="000000" w:sz="4" w:space="0"/>
              <w:bottom w:val="nil"/>
              <w:right w:val="single" w:color="000000" w:sz="4" w:space="0"/>
            </w:tcBorders>
            <w:noWrap/>
            <w:vAlign w:val="center"/>
          </w:tcPr>
          <w:p w14:paraId="76D3B919"/>
        </w:tc>
        <w:tc>
          <w:tcPr>
            <w:tcW w:w="1151" w:type="dxa"/>
            <w:vMerge w:val="continue"/>
            <w:tcBorders>
              <w:top w:val="nil"/>
              <w:left w:val="single" w:color="000000" w:sz="4" w:space="0"/>
              <w:bottom w:val="single" w:color="000000" w:sz="4" w:space="0"/>
              <w:right w:val="single" w:color="000000" w:sz="4" w:space="0"/>
            </w:tcBorders>
            <w:noWrap/>
            <w:vAlign w:val="center"/>
          </w:tcPr>
          <w:p w14:paraId="7D8BD528"/>
        </w:tc>
        <w:tc>
          <w:tcPr>
            <w:tcW w:w="1312" w:type="dxa"/>
            <w:tcBorders>
              <w:top w:val="single" w:color="000000" w:sz="4" w:space="0"/>
              <w:left w:val="single" w:color="000000" w:sz="4" w:space="0"/>
              <w:bottom w:val="single" w:color="000000" w:sz="4" w:space="0"/>
              <w:right w:val="single" w:color="000000" w:sz="4" w:space="0"/>
            </w:tcBorders>
            <w:noWrap/>
            <w:vAlign w:val="center"/>
          </w:tcPr>
          <w:p w14:paraId="4B976469">
            <w:pPr>
              <w:keepNext w:val="0"/>
              <w:keepLines w:val="0"/>
              <w:widowControl/>
              <w:suppressLineNumbers w:val="0"/>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社会效益指标履职效果</w:t>
            </w:r>
          </w:p>
        </w:tc>
        <w:tc>
          <w:tcPr>
            <w:tcW w:w="567" w:type="dxa"/>
            <w:tcBorders>
              <w:top w:val="nil"/>
              <w:left w:val="single" w:color="000000" w:sz="4" w:space="0"/>
              <w:bottom w:val="single" w:color="000000" w:sz="4" w:space="0"/>
              <w:right w:val="single" w:color="000000" w:sz="4" w:space="0"/>
            </w:tcBorders>
            <w:noWrap/>
            <w:vAlign w:val="center"/>
          </w:tcPr>
          <w:p w14:paraId="2F72C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29" w:type="dxa"/>
            <w:vMerge w:val="continue"/>
            <w:tcBorders>
              <w:top w:val="nil"/>
              <w:left w:val="single" w:color="000000" w:sz="4" w:space="0"/>
              <w:bottom w:val="single" w:color="000000" w:sz="4" w:space="0"/>
              <w:right w:val="single" w:color="000000" w:sz="4" w:space="0"/>
            </w:tcBorders>
            <w:noWrap/>
            <w:vAlign w:val="center"/>
          </w:tcPr>
          <w:p w14:paraId="3B45FFDF"/>
        </w:tc>
        <w:tc>
          <w:tcPr>
            <w:tcW w:w="595" w:type="dxa"/>
            <w:tcBorders>
              <w:top w:val="single" w:color="000000" w:sz="4" w:space="0"/>
              <w:left w:val="single" w:color="000000" w:sz="4" w:space="0"/>
              <w:bottom w:val="single" w:color="000000" w:sz="4" w:space="0"/>
              <w:right w:val="single" w:color="000000" w:sz="4" w:space="0"/>
            </w:tcBorders>
            <w:noWrap/>
            <w:vAlign w:val="center"/>
          </w:tcPr>
          <w:p w14:paraId="7C6A39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6AD6D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B92A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28EAAC7"/>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4585DC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预算管理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（25分）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2245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预算编制质量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332E48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8</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974D8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部门是否严格按要求编制年初部门预算，年初预算编制的科学性和准确性</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55F1E2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7</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0E9769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BB1D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78283F46"/>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148F7D47"/>
        </w:tc>
        <w:tc>
          <w:tcPr>
            <w:tcW w:w="1312" w:type="dxa"/>
            <w:tcBorders>
              <w:top w:val="single" w:color="000000" w:sz="4" w:space="0"/>
              <w:left w:val="single" w:color="000000" w:sz="4" w:space="0"/>
              <w:bottom w:val="single" w:color="000000" w:sz="4" w:space="0"/>
              <w:right w:val="single" w:color="000000" w:sz="4" w:space="0"/>
            </w:tcBorders>
            <w:noWrap/>
            <w:vAlign w:val="center"/>
          </w:tcPr>
          <w:p w14:paraId="10450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单位收入统筹</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363C7D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E150E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部门统筹自有收入程度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8B7BC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05C15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A1C7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D66AEF2"/>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AF53D56"/>
        </w:tc>
        <w:tc>
          <w:tcPr>
            <w:tcW w:w="1312" w:type="dxa"/>
            <w:tcBorders>
              <w:top w:val="single" w:color="000000" w:sz="4" w:space="0"/>
              <w:left w:val="single" w:color="000000" w:sz="4" w:space="0"/>
              <w:bottom w:val="single" w:color="000000" w:sz="4" w:space="0"/>
              <w:right w:val="single" w:color="000000" w:sz="4" w:space="0"/>
            </w:tcBorders>
            <w:noWrap/>
            <w:vAlign w:val="center"/>
          </w:tcPr>
          <w:p w14:paraId="10CE4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支出执行进度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59D2B3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6</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9BDD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部门1至6月、1至10月预算执行情况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E7ED2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453B2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5B287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B90D1EF"/>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2EEB4443"/>
        </w:tc>
        <w:tc>
          <w:tcPr>
            <w:tcW w:w="1312" w:type="dxa"/>
            <w:tcBorders>
              <w:top w:val="single" w:color="000000" w:sz="4" w:space="0"/>
              <w:left w:val="single" w:color="000000" w:sz="4" w:space="0"/>
              <w:bottom w:val="single" w:color="000000" w:sz="4" w:space="0"/>
              <w:right w:val="single" w:color="000000" w:sz="4" w:space="0"/>
            </w:tcBorders>
            <w:noWrap/>
            <w:vAlign w:val="center"/>
          </w:tcPr>
          <w:p w14:paraId="281E2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预算年终结余</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8BF9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37B2D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部门整体年终预算结余情况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105B3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73F58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DF21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6E392DF"/>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2E117C7D"/>
        </w:tc>
        <w:tc>
          <w:tcPr>
            <w:tcW w:w="1312" w:type="dxa"/>
            <w:tcBorders>
              <w:top w:val="single" w:color="000000" w:sz="4" w:space="0"/>
              <w:left w:val="single" w:color="000000" w:sz="4" w:space="0"/>
              <w:bottom w:val="single" w:color="000000" w:sz="4" w:space="0"/>
              <w:right w:val="single" w:color="000000" w:sz="4" w:space="0"/>
            </w:tcBorders>
            <w:noWrap/>
            <w:vAlign w:val="center"/>
          </w:tcPr>
          <w:p w14:paraId="250BD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严控一般性支出</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3FB0A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5</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6E15F5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69D07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5</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D4C5E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03A0F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4175E481"/>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5F435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财务管理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40EA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财务管理制度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4CCA2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6091A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部门财务管理制度建立情况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33F44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0842C8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21A6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FD0D695"/>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54A5D1E4"/>
        </w:tc>
        <w:tc>
          <w:tcPr>
            <w:tcW w:w="1312" w:type="dxa"/>
            <w:tcBorders>
              <w:top w:val="single" w:color="000000" w:sz="4" w:space="0"/>
              <w:left w:val="single" w:color="000000" w:sz="4" w:space="0"/>
              <w:bottom w:val="single" w:color="000000" w:sz="4" w:space="0"/>
              <w:right w:val="single" w:color="000000" w:sz="4" w:space="0"/>
            </w:tcBorders>
            <w:noWrap/>
            <w:vAlign w:val="center"/>
          </w:tcPr>
          <w:p w14:paraId="74484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财务岗位设置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E602B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2</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5DA6D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部门财务岗位设置是否符合相关财务管理制度要求</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80CD7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2</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4E9C2F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CBD5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7B678A28"/>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E3C5448"/>
        </w:tc>
        <w:tc>
          <w:tcPr>
            <w:tcW w:w="1312" w:type="dxa"/>
            <w:tcBorders>
              <w:top w:val="single" w:color="000000" w:sz="4" w:space="0"/>
              <w:left w:val="single" w:color="000000" w:sz="4" w:space="0"/>
              <w:bottom w:val="single" w:color="000000" w:sz="4" w:space="0"/>
              <w:right w:val="single" w:color="000000" w:sz="4" w:space="0"/>
            </w:tcBorders>
            <w:noWrap/>
            <w:vAlign w:val="center"/>
          </w:tcPr>
          <w:p w14:paraId="2F77B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资金使用规范</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A76F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D75DD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部门资金使用是否符合相关财务管理制度规定</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B0EF2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A038D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8904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A5FCED5"/>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2CF904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D5253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人均资产变化率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A4FA8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04A2A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部门人均资产变化情况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3C309E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41EA7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DAE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748EF2A"/>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4F194E2F"/>
        </w:tc>
        <w:tc>
          <w:tcPr>
            <w:tcW w:w="1312" w:type="dxa"/>
            <w:tcBorders>
              <w:top w:val="single" w:color="000000" w:sz="4" w:space="0"/>
              <w:left w:val="single" w:color="000000" w:sz="4" w:space="0"/>
              <w:bottom w:val="single" w:color="000000" w:sz="4" w:space="0"/>
              <w:right w:val="single" w:color="000000" w:sz="4" w:space="0"/>
            </w:tcBorders>
            <w:noWrap/>
            <w:vAlign w:val="center"/>
          </w:tcPr>
          <w:p w14:paraId="26059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资产利用率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187A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31881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部门资产超最低使用年限情况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73339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4C7F9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5AA9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7CB1D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总体绩效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（65分）</w:t>
            </w:r>
          </w:p>
        </w:tc>
        <w:tc>
          <w:tcPr>
            <w:tcW w:w="1151" w:type="dxa"/>
            <w:tcBorders>
              <w:top w:val="single" w:color="000000" w:sz="4" w:space="0"/>
              <w:left w:val="single" w:color="000000" w:sz="4" w:space="0"/>
              <w:bottom w:val="single" w:color="000000" w:sz="4" w:space="0"/>
              <w:right w:val="single" w:color="000000" w:sz="4" w:space="0"/>
            </w:tcBorders>
            <w:noWrap/>
            <w:vAlign w:val="center"/>
          </w:tcPr>
          <w:p w14:paraId="34B5B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资产管理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（9分）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6CFB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资产盘活率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1195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F4460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部门闲置一年以上的资产盘活情况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5E6953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042017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016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A717F25"/>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184CE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采购管理</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（6分）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5A9A3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支持中小企业发展</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3D26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4D7F5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部门是否严格执行政府采购促进中小企业发展相关管理办法</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6D470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4623A2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6C9A5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B83DAE0"/>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2C4637AB"/>
        </w:tc>
        <w:tc>
          <w:tcPr>
            <w:tcW w:w="1312" w:type="dxa"/>
            <w:tcBorders>
              <w:top w:val="single" w:color="000000" w:sz="4" w:space="0"/>
              <w:left w:val="single" w:color="000000" w:sz="4" w:space="0"/>
              <w:bottom w:val="single" w:color="000000" w:sz="4" w:space="0"/>
              <w:right w:val="single" w:color="000000" w:sz="4" w:space="0"/>
            </w:tcBorders>
            <w:noWrap/>
            <w:vAlign w:val="center"/>
          </w:tcPr>
          <w:p w14:paraId="5A5B23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采购执行率</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4485A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A6081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部门政府采购项目资金支付比例情况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C18A9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6B21A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A0FA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restart"/>
            <w:tcBorders>
              <w:top w:val="single" w:color="000000" w:sz="4" w:space="0"/>
              <w:left w:val="single" w:color="000000" w:sz="4" w:space="0"/>
              <w:bottom w:val="single" w:color="000000" w:sz="4" w:space="0"/>
              <w:right w:val="single" w:color="000000" w:sz="4" w:space="0"/>
            </w:tcBorders>
            <w:noWrap/>
            <w:vAlign w:val="center"/>
          </w:tcPr>
          <w:p w14:paraId="024EB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项目绩效</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（35分）</w:t>
            </w:r>
          </w:p>
        </w:tc>
        <w:tc>
          <w:tcPr>
            <w:tcW w:w="1151" w:type="dxa"/>
            <w:vMerge w:val="restart"/>
            <w:tcBorders>
              <w:top w:val="single" w:color="000000" w:sz="4" w:space="0"/>
              <w:left w:val="single" w:color="000000" w:sz="4" w:space="0"/>
              <w:bottom w:val="nil"/>
              <w:right w:val="single" w:color="000000" w:sz="4" w:space="0"/>
            </w:tcBorders>
            <w:noWrap/>
            <w:vAlign w:val="center"/>
          </w:tcPr>
          <w:p w14:paraId="29A76C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项目决策</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19AD2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决策程序</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0E5FD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24916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部门预算项目设立是否按规定履行评估论证、申报程序</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3CF13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6C63AC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3C03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0B95811C"/>
        </w:tc>
        <w:tc>
          <w:tcPr>
            <w:tcW w:w="1151" w:type="dxa"/>
            <w:vMerge w:val="continue"/>
            <w:tcBorders>
              <w:top w:val="single" w:color="000000" w:sz="4" w:space="0"/>
              <w:left w:val="single" w:color="000000" w:sz="4" w:space="0"/>
              <w:bottom w:val="nil"/>
              <w:right w:val="single" w:color="000000" w:sz="4" w:space="0"/>
            </w:tcBorders>
            <w:noWrap/>
            <w:vAlign w:val="center"/>
          </w:tcPr>
          <w:p w14:paraId="2475884F"/>
        </w:tc>
        <w:tc>
          <w:tcPr>
            <w:tcW w:w="1312" w:type="dxa"/>
            <w:tcBorders>
              <w:top w:val="single" w:color="000000" w:sz="4" w:space="0"/>
              <w:left w:val="single" w:color="000000" w:sz="4" w:space="0"/>
              <w:bottom w:val="single" w:color="000000" w:sz="4" w:space="0"/>
              <w:right w:val="single" w:color="000000" w:sz="4" w:space="0"/>
            </w:tcBorders>
            <w:noWrap/>
            <w:vAlign w:val="center"/>
          </w:tcPr>
          <w:p w14:paraId="79C15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目标设置</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19AB3E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242890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566F2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7D2100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16C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3EC84AA7"/>
        </w:tc>
        <w:tc>
          <w:tcPr>
            <w:tcW w:w="1151" w:type="dxa"/>
            <w:vMerge w:val="continue"/>
            <w:tcBorders>
              <w:top w:val="single" w:color="000000" w:sz="4" w:space="0"/>
              <w:left w:val="single" w:color="000000" w:sz="4" w:space="0"/>
              <w:bottom w:val="nil"/>
              <w:right w:val="single" w:color="000000" w:sz="4" w:space="0"/>
            </w:tcBorders>
            <w:noWrap/>
            <w:vAlign w:val="center"/>
          </w:tcPr>
          <w:p w14:paraId="664F8CA6"/>
        </w:tc>
        <w:tc>
          <w:tcPr>
            <w:tcW w:w="1312" w:type="dxa"/>
            <w:tcBorders>
              <w:top w:val="single" w:color="000000" w:sz="4" w:space="0"/>
              <w:left w:val="single" w:color="000000" w:sz="4" w:space="0"/>
              <w:bottom w:val="single" w:color="000000" w:sz="4" w:space="0"/>
              <w:right w:val="single" w:color="000000" w:sz="4" w:space="0"/>
            </w:tcBorders>
            <w:noWrap/>
            <w:vAlign w:val="center"/>
          </w:tcPr>
          <w:p w14:paraId="58AA1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项目入库</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FB347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06F7E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部门预算项目是否在规定时间完成项目入库</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8D2CB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F8E90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3BA76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C3BBD03"/>
        </w:tc>
        <w:tc>
          <w:tcPr>
            <w:tcW w:w="1151" w:type="dxa"/>
            <w:vMerge w:val="restart"/>
            <w:tcBorders>
              <w:top w:val="single" w:color="000000" w:sz="4" w:space="0"/>
              <w:left w:val="single" w:color="000000" w:sz="4" w:space="0"/>
              <w:bottom w:val="nil"/>
              <w:right w:val="single" w:color="000000" w:sz="4" w:space="0"/>
            </w:tcBorders>
            <w:noWrap/>
            <w:vAlign w:val="center"/>
          </w:tcPr>
          <w:p w14:paraId="069260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项目执行</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（12分）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4833FE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执行同向</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695AC2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54D1E6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部门预算项目实际列支内容是否与绩效目标设置方向相符</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3FEB9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2320A1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1FF41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6BACAA0"/>
        </w:tc>
        <w:tc>
          <w:tcPr>
            <w:tcW w:w="1151" w:type="dxa"/>
            <w:vMerge w:val="continue"/>
            <w:tcBorders>
              <w:top w:val="single" w:color="000000" w:sz="4" w:space="0"/>
              <w:left w:val="single" w:color="000000" w:sz="4" w:space="0"/>
              <w:bottom w:val="nil"/>
              <w:right w:val="single" w:color="000000" w:sz="4" w:space="0"/>
            </w:tcBorders>
            <w:noWrap/>
            <w:vAlign w:val="center"/>
          </w:tcPr>
          <w:p w14:paraId="143C8ABC"/>
        </w:tc>
        <w:tc>
          <w:tcPr>
            <w:tcW w:w="1312" w:type="dxa"/>
            <w:tcBorders>
              <w:top w:val="single" w:color="000000" w:sz="4" w:space="0"/>
              <w:left w:val="single" w:color="000000" w:sz="4" w:space="0"/>
              <w:bottom w:val="nil"/>
              <w:right w:val="single" w:color="000000" w:sz="4" w:space="0"/>
            </w:tcBorders>
            <w:noWrap/>
            <w:vAlign w:val="center"/>
          </w:tcPr>
          <w:p w14:paraId="46D96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项目调整</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4CDE1B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45F8F4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部门预算项目是否采取对应调整措施</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14D037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567203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27A6D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7209AE4A"/>
        </w:tc>
        <w:tc>
          <w:tcPr>
            <w:tcW w:w="1151" w:type="dxa"/>
            <w:vMerge w:val="continue"/>
            <w:tcBorders>
              <w:top w:val="single" w:color="000000" w:sz="4" w:space="0"/>
              <w:left w:val="single" w:color="000000" w:sz="4" w:space="0"/>
              <w:bottom w:val="nil"/>
              <w:right w:val="single" w:color="000000" w:sz="4" w:space="0"/>
            </w:tcBorders>
            <w:noWrap/>
            <w:vAlign w:val="center"/>
          </w:tcPr>
          <w:p w14:paraId="66AFFED7"/>
        </w:tc>
        <w:tc>
          <w:tcPr>
            <w:tcW w:w="1312" w:type="dxa"/>
            <w:tcBorders>
              <w:top w:val="single" w:color="000000" w:sz="4" w:space="0"/>
              <w:left w:val="single" w:color="000000" w:sz="4" w:space="0"/>
              <w:bottom w:val="single" w:color="000000" w:sz="4" w:space="0"/>
              <w:right w:val="single" w:color="000000" w:sz="4" w:space="0"/>
            </w:tcBorders>
            <w:noWrap/>
            <w:vAlign w:val="center"/>
          </w:tcPr>
          <w:p w14:paraId="4EEFEB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执行结果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73C99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F6FED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部门预算项目预算执行情况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7D76A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14BC58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F706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19E7E9C"/>
        </w:tc>
        <w:tc>
          <w:tcPr>
            <w:tcW w:w="1151" w:type="dxa"/>
            <w:vMerge w:val="restart"/>
            <w:tcBorders>
              <w:top w:val="single" w:color="000000" w:sz="4" w:space="0"/>
              <w:left w:val="single" w:color="000000" w:sz="4" w:space="0"/>
              <w:bottom w:val="single" w:color="000000" w:sz="4" w:space="0"/>
              <w:right w:val="single" w:color="000000" w:sz="4" w:space="0"/>
            </w:tcBorders>
            <w:noWrap/>
            <w:vAlign w:val="center"/>
          </w:tcPr>
          <w:p w14:paraId="4F407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目标实现</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（11分）</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6DCB3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目标完成</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66B0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3CD4FD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部门预算项目绩效目标数量指标完成情况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97A3F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1E617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EF0A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1F8D6D08"/>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7E8ABF27"/>
        </w:tc>
        <w:tc>
          <w:tcPr>
            <w:tcW w:w="1312" w:type="dxa"/>
            <w:tcBorders>
              <w:top w:val="single" w:color="000000" w:sz="4" w:space="0"/>
              <w:left w:val="single" w:color="000000" w:sz="4" w:space="0"/>
              <w:bottom w:val="single" w:color="000000" w:sz="4" w:space="0"/>
              <w:right w:val="single" w:color="000000" w:sz="4" w:space="0"/>
            </w:tcBorders>
            <w:noWrap/>
            <w:vAlign w:val="center"/>
          </w:tcPr>
          <w:p w14:paraId="78F4A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目标偏离</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340C4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4</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079FA7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部门预算项目绩效目标数量指标实现程度与预期目标的偏离情况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274A92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4</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73099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75850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vMerge w:val="continue"/>
            <w:tcBorders>
              <w:top w:val="single" w:color="000000" w:sz="4" w:space="0"/>
              <w:left w:val="single" w:color="000000" w:sz="4" w:space="0"/>
              <w:bottom w:val="single" w:color="000000" w:sz="4" w:space="0"/>
              <w:right w:val="single" w:color="000000" w:sz="4" w:space="0"/>
            </w:tcBorders>
            <w:noWrap/>
            <w:vAlign w:val="center"/>
          </w:tcPr>
          <w:p w14:paraId="2D90E4F2"/>
        </w:tc>
        <w:tc>
          <w:tcPr>
            <w:tcW w:w="1151" w:type="dxa"/>
            <w:vMerge w:val="continue"/>
            <w:tcBorders>
              <w:top w:val="single" w:color="000000" w:sz="4" w:space="0"/>
              <w:left w:val="single" w:color="000000" w:sz="4" w:space="0"/>
              <w:bottom w:val="single" w:color="000000" w:sz="4" w:space="0"/>
              <w:right w:val="single" w:color="000000" w:sz="4" w:space="0"/>
            </w:tcBorders>
            <w:noWrap/>
            <w:vAlign w:val="center"/>
          </w:tcPr>
          <w:p w14:paraId="16E4B400"/>
        </w:tc>
        <w:tc>
          <w:tcPr>
            <w:tcW w:w="1312" w:type="dxa"/>
            <w:tcBorders>
              <w:top w:val="single" w:color="000000" w:sz="4" w:space="0"/>
              <w:left w:val="single" w:color="000000" w:sz="4" w:space="0"/>
              <w:bottom w:val="single" w:color="000000" w:sz="4" w:space="0"/>
              <w:right w:val="single" w:color="000000" w:sz="4" w:space="0"/>
            </w:tcBorders>
            <w:noWrap/>
            <w:vAlign w:val="center"/>
          </w:tcPr>
          <w:p w14:paraId="75D65A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实现效果</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2EA58A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3</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7CFDB3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部门预算项目绩效目标效益指标实施效果</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0E47DD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hint="eastAsia" w:ascii="宋体" w:eastAsia="宋体" w:cs="宋体"/>
                <w:i w:val="0"/>
                <w:color w:val="000000"/>
                <w:kern w:val="0"/>
                <w:sz w:val="24"/>
                <w:szCs w:val="24"/>
                <w:u w:val="none"/>
                <w:lang w:val="en-US" w:eastAsia="zh-CN"/>
              </w:rPr>
              <w:t>3</w:t>
            </w: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BE3F4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r w14:paraId="44280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91" w:type="dxa"/>
            <w:tcBorders>
              <w:top w:val="single" w:color="000000" w:sz="4" w:space="0"/>
              <w:left w:val="single" w:color="000000" w:sz="4" w:space="0"/>
              <w:bottom w:val="single" w:color="000000" w:sz="4" w:space="0"/>
              <w:right w:val="single" w:color="000000" w:sz="4" w:space="0"/>
            </w:tcBorders>
            <w:noWrap/>
            <w:vAlign w:val="center"/>
          </w:tcPr>
          <w:p w14:paraId="6652D6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b/>
                <w:i w:val="0"/>
                <w:color w:val="000000"/>
                <w:sz w:val="24"/>
                <w:szCs w:val="24"/>
                <w:u w:val="none"/>
              </w:rPr>
            </w:pPr>
            <w:r>
              <w:rPr>
                <w:rFonts w:hint="eastAsia" w:ascii="宋体" w:eastAsia="宋体" w:cs="宋体"/>
                <w:b/>
                <w:i w:val="0"/>
                <w:color w:val="000000"/>
                <w:kern w:val="0"/>
                <w:sz w:val="24"/>
                <w:szCs w:val="24"/>
                <w:u w:val="none"/>
                <w:lang w:val="en-US" w:eastAsia="zh-CN"/>
              </w:rPr>
              <w:t>扣分项</w:t>
            </w:r>
            <w:r>
              <w:rPr>
                <w:rFonts w:hint="eastAsia" w:ascii="宋体" w:eastAsia="宋体" w:cs="宋体"/>
                <w:b/>
                <w:i w:val="0"/>
                <w:color w:val="000000"/>
                <w:kern w:val="0"/>
                <w:sz w:val="24"/>
                <w:szCs w:val="24"/>
                <w:u w:val="none"/>
                <w:lang w:val="en-US" w:eastAsia="zh-CN"/>
              </w:rPr>
              <w:br w:type="textWrapping"/>
            </w:r>
            <w:r>
              <w:rPr>
                <w:rFonts w:hint="eastAsia" w:ascii="宋体" w:eastAsia="宋体" w:cs="宋体"/>
                <w:b/>
                <w:i w:val="0"/>
                <w:color w:val="000000"/>
                <w:kern w:val="0"/>
                <w:sz w:val="24"/>
                <w:szCs w:val="24"/>
                <w:u w:val="none"/>
                <w:lang w:val="en-US" w:eastAsia="zh-CN"/>
              </w:rPr>
              <w:t>（10分）</w:t>
            </w:r>
          </w:p>
        </w:tc>
        <w:tc>
          <w:tcPr>
            <w:tcW w:w="2463" w:type="dxa"/>
            <w:gridSpan w:val="2"/>
            <w:tcBorders>
              <w:top w:val="single" w:color="000000" w:sz="4" w:space="0"/>
              <w:left w:val="single" w:color="000000" w:sz="4" w:space="0"/>
              <w:bottom w:val="single" w:color="000000" w:sz="4" w:space="0"/>
              <w:right w:val="single" w:color="000000" w:sz="4" w:space="0"/>
            </w:tcBorders>
            <w:noWrap/>
            <w:vAlign w:val="center"/>
          </w:tcPr>
          <w:p w14:paraId="2CD11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被评价部门配合度</w:t>
            </w:r>
          </w:p>
        </w:tc>
        <w:tc>
          <w:tcPr>
            <w:tcW w:w="567" w:type="dxa"/>
            <w:tcBorders>
              <w:top w:val="single" w:color="000000" w:sz="4" w:space="0"/>
              <w:left w:val="single" w:color="000000" w:sz="4" w:space="0"/>
              <w:bottom w:val="single" w:color="000000" w:sz="4" w:space="0"/>
              <w:right w:val="single" w:color="000000" w:sz="4" w:space="0"/>
            </w:tcBorders>
            <w:noWrap/>
            <w:vAlign w:val="center"/>
          </w:tcPr>
          <w:p w14:paraId="09EC08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w:t>
            </w:r>
          </w:p>
        </w:tc>
        <w:tc>
          <w:tcPr>
            <w:tcW w:w="3729" w:type="dxa"/>
            <w:tcBorders>
              <w:top w:val="single" w:color="000000" w:sz="4" w:space="0"/>
              <w:left w:val="single" w:color="000000" w:sz="4" w:space="0"/>
              <w:bottom w:val="single" w:color="000000" w:sz="4" w:space="0"/>
              <w:right w:val="single" w:color="000000" w:sz="4" w:space="0"/>
            </w:tcBorders>
            <w:noWrap/>
            <w:vAlign w:val="center"/>
          </w:tcPr>
          <w:p w14:paraId="1526A3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sz w:val="24"/>
                <w:szCs w:val="24"/>
                <w:u w:val="none"/>
              </w:rPr>
            </w:pPr>
            <w:r>
              <w:rPr>
                <w:rFonts w:hint="eastAsia" w:ascii="宋体" w:eastAsia="宋体" w:cs="宋体"/>
                <w:i w:val="0"/>
                <w:color w:val="000000"/>
                <w:kern w:val="0"/>
                <w:sz w:val="24"/>
                <w:szCs w:val="24"/>
                <w:u w:val="none"/>
                <w:lang w:val="en-US" w:eastAsia="zh-CN"/>
              </w:rPr>
              <w:t>被评价对象工作配合情况</w:t>
            </w:r>
          </w:p>
        </w:tc>
        <w:tc>
          <w:tcPr>
            <w:tcW w:w="595" w:type="dxa"/>
            <w:tcBorders>
              <w:top w:val="single" w:color="000000" w:sz="4" w:space="0"/>
              <w:left w:val="single" w:color="000000" w:sz="4" w:space="0"/>
              <w:bottom w:val="single" w:color="000000" w:sz="4" w:space="0"/>
              <w:right w:val="single" w:color="000000" w:sz="4" w:space="0"/>
            </w:tcBorders>
            <w:noWrap/>
            <w:vAlign w:val="center"/>
          </w:tcPr>
          <w:p w14:paraId="589AA7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c>
          <w:tcPr>
            <w:tcW w:w="377" w:type="dxa"/>
            <w:tcBorders>
              <w:top w:val="single" w:color="000000" w:sz="4" w:space="0"/>
              <w:left w:val="single" w:color="000000" w:sz="4" w:space="0"/>
              <w:bottom w:val="single" w:color="000000" w:sz="4" w:space="0"/>
              <w:right w:val="single" w:color="000000" w:sz="4" w:space="0"/>
            </w:tcBorders>
            <w:noWrap/>
            <w:vAlign w:val="center"/>
          </w:tcPr>
          <w:p w14:paraId="3ACA49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eastAsia="宋体" w:cs="宋体"/>
                <w:i w:val="0"/>
                <w:color w:val="000000"/>
                <w:kern w:val="0"/>
                <w:sz w:val="24"/>
                <w:szCs w:val="24"/>
                <w:u w:val="none"/>
                <w:lang w:val="en-US" w:eastAsia="zh-CN"/>
              </w:rPr>
            </w:pPr>
          </w:p>
        </w:tc>
      </w:tr>
    </w:tbl>
    <w:p w14:paraId="2B4357D1">
      <w:pPr>
        <w:rPr>
          <w:rFonts w:hint="eastAsia"/>
          <w:lang w:val="zh-CN" w:eastAsia="zh-CN"/>
        </w:rPr>
      </w:pPr>
    </w:p>
    <w:p w14:paraId="085D2E32">
      <w:pPr>
        <w:pStyle w:val="2"/>
        <w:rPr>
          <w:rFonts w:hint="eastAsia"/>
          <w:lang w:val="zh-CN" w:eastAsia="zh-CN"/>
        </w:rPr>
      </w:pPr>
    </w:p>
    <w:tbl>
      <w:tblPr>
        <w:tblStyle w:val="16"/>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6796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64D4A44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F063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3A425D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342D3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42010174">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664D0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E2B7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96E5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金川县卡撒乡人民政府</w:t>
            </w:r>
          </w:p>
        </w:tc>
      </w:tr>
      <w:tr w14:paraId="1675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179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1EC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A23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2422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6EECB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45EF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86C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1405.1</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CE1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ascii="宋体" w:hAnsi="宋体" w:eastAsia="宋体" w:cs="宋体"/>
                <w:sz w:val="24"/>
                <w:szCs w:val="24"/>
                <w:lang w:val="en-US" w:eastAsia="zh-CN"/>
              </w:rPr>
              <w:t>1405.1</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ABD6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7C889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F7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2D1F99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27DAB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贯彻执行党和国家及省、市、县关于扶贫开发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 </w:t>
            </w:r>
          </w:p>
        </w:tc>
      </w:tr>
      <w:tr w14:paraId="19D0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4"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18C594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0EE1DB3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5824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607268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3886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EE62E7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BCDC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便民服务中心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792EC9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贯彻执行党和国家的法律、法规和方针、政策; 加强政治理论和业务学习，及时掌握新的政策、法规及办事程序; 负责规范化服务的宣传、培训管理工作; 负责政府网站的管理和内容的更新工作; 撰写、编制、报送相关的各种信息、资料、报表; 完成党委、政府安排的其他工作。</w:t>
            </w:r>
          </w:p>
        </w:tc>
      </w:tr>
      <w:tr w14:paraId="31C0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10C3B2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444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农业农村服务中心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7F8C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负责涉农法规的宣传、贯彻、执行，编制农业技术推广计划; 对农村土地承包、农村集体资产、农民负担进行监督、审计和管理; 宣传贯彻执行森林法和林业工作的方针、政策、法律、法规; 协助政府制定全镇林业发展规划和年度计划，保护和管理辖区林业资源; 负责本镇境内的水土保持、监督、预防及水土流失的治理工作; 负责本镇的农田水利基本建设规划、勘测设计、组织施工、技术指导、质量管理工作。</w:t>
            </w:r>
          </w:p>
        </w:tc>
      </w:tr>
      <w:tr w14:paraId="3435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52BAEE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5C7E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经济发展服务中心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B32D18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全镇辖区内畜牧生产统计工作；负责全镇辖区内重大动物疫病强制免疫的免疫质量、疫病监测，消毒工作和病死畜禽无害化处理的技术指导，规模畜禽养殖场动物防疫监控，疫情报告工作；负责全镇辖区内兽医新技术推广和村级动物防疫员的业务培训、指导、监督管理；</w:t>
            </w:r>
          </w:p>
        </w:tc>
      </w:tr>
      <w:tr w14:paraId="6A26A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862E27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5DDC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退役军人服务站</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CD15BE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做好关系转移、联络接待、困难帮扶、信息采集、情况反映、立功喜报、悬挂光荣牌和“八一”、春节等重要节日及重大变故走访慰问等具体事务</w:t>
            </w:r>
          </w:p>
        </w:tc>
      </w:tr>
      <w:tr w14:paraId="614BD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1F39FC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FB1A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行政机构工作职责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F9AE0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5DF4B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4788F2C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5756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党政办公室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A4AD9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检查和督促党的方针政策及重要工作计划的贯彻实施情况，负责起草党委、政府文件及各种文稿，负责做好重大问题归口报告，认真做好上情下达、下情上达；负责来文来电办理，及时、准确、保密；</w:t>
            </w:r>
          </w:p>
        </w:tc>
      </w:tr>
      <w:tr w14:paraId="2B93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831353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A7AE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综合发展办公室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90B7B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负责贯彻执行党和国家及省、市、县关于扶贫开发工作方针、政策和法律、法规；研究制定和草拟镇扶贫开发中长期规划和年度计划，并组织实施；</w:t>
            </w:r>
          </w:p>
        </w:tc>
      </w:tr>
      <w:tr w14:paraId="27AFE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3AC6FA3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0BDC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维护稳定办公室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C682C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建立健全治安防范组织；搞好社会治安综合治理工作；积极创建文明安全村（社区）；对群众关心的热难点问题和不稳定隐患定期排查；开展信访和群众工作调查研究，贯彻执行有关社会治安综合治理的法律、法规和方针、政策。</w:t>
            </w:r>
          </w:p>
        </w:tc>
      </w:tr>
      <w:tr w14:paraId="453E6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67436EB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CDA2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财政所</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E561CD">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w:t>
            </w:r>
          </w:p>
        </w:tc>
      </w:tr>
      <w:tr w14:paraId="1DA74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05285AF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4EBF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事业机构主要职责</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80A410">
            <w:pPr>
              <w:keepNext w:val="0"/>
              <w:keepLines w:val="0"/>
              <w:pageBreakBefore w:val="0"/>
              <w:widowControl/>
              <w:suppressLineNumbers w:val="0"/>
              <w:tabs>
                <w:tab w:val="left" w:pos="2276"/>
              </w:tabs>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宣传落实好党的路线、方针、政策和国家的法律、法规，极高、培育村民委员会自制能力。</w:t>
            </w:r>
          </w:p>
        </w:tc>
      </w:tr>
      <w:tr w14:paraId="51CED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5C6049E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0D5E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综合文化中心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E7740A">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开展宣传教育活动，宣传党和国家方针政策，开展普法教育，传播科技文化知识；组织开展公益性文化体育活动，为当地群众提供广播、电影放映等文化服务；开展图书借阅和读书指导活动</w:t>
            </w:r>
          </w:p>
        </w:tc>
      </w:tr>
      <w:tr w14:paraId="6CBD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2B2B06E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0E89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城镇工作办公室</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9B27D92">
            <w:pPr>
              <w:keepNext w:val="0"/>
              <w:keepLines w:val="0"/>
              <w:pageBreakBefore w:val="0"/>
              <w:widowControl/>
              <w:suppressLineNumbers w:val="0"/>
              <w:tabs>
                <w:tab w:val="left" w:pos="792"/>
              </w:tabs>
              <w:kinsoku/>
              <w:wordWrap/>
              <w:overflowPunct/>
              <w:topLinePunct w:val="0"/>
              <w:autoSpaceDE/>
              <w:autoSpaceDN/>
              <w:bidi w:val="0"/>
              <w:adjustRightInd/>
              <w:snapToGrid/>
              <w:spacing w:line="300" w:lineRule="exact"/>
              <w:jc w:val="left"/>
              <w:textAlignment w:val="center"/>
              <w:outlineLvl w:val="9"/>
              <w:rPr>
                <w:rFonts w:hint="eastAsia"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负责本辖区内土地出让、村居民建房手续的初核上报工作；负责配合上级部门搞好辖区内各村（居）委土地利用总体规划；协同村（社区）搞好本辖区内的土地纠纷的调处工作；负责上级主管部门开展辖区内的市政建设等基础设施工作；负责配合协调上级部门搞好本区域内涉及的征地拆迁和安置工作；协同上级部门搞好经济适用房、廉租房等的统计、核实、上报工作；负责配合、协调上级部门搞好城镇建设的其他相关工作。</w:t>
            </w:r>
          </w:p>
        </w:tc>
      </w:tr>
      <w:tr w14:paraId="7D4E4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21AEB8B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8F006">
            <w:pPr>
              <w:keepNext w:val="0"/>
              <w:keepLines w:val="0"/>
              <w:pageBreakBefore w:val="0"/>
              <w:widowControl/>
              <w:tabs>
                <w:tab w:val="right" w:pos="2590"/>
              </w:tabs>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eastAsia="zh-CN"/>
              </w:rPr>
            </w:pPr>
            <w:r>
              <w:rPr>
                <w:rFonts w:hint="eastAsia" w:ascii="Times New Roman" w:hAnsi="Times New Roman" w:eastAsia="宋体" w:cs="Times New Roman"/>
                <w:i w:val="0"/>
                <w:color w:val="000000"/>
                <w:sz w:val="24"/>
                <w:szCs w:val="24"/>
                <w:u w:val="none"/>
                <w:lang w:eastAsia="zh-CN"/>
              </w:rPr>
              <w:t>社会事业服务中心</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BD7BC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贯彻执行党和国家的方针、政策和民政工作的有关政策、法律、法规，制定年度民政工作计划并组织实施，协助镇党政府搞好民政工作；贯彻执行城镇居民和农村居民最低生活保障制度，申报、发放最低生活保障金，实行动态管理，落实好农村五保供养政策，使鳏寡孤独人员、孤儿应保尽保;做好敬老院的监督、管理工作；准确调查、掌握残疾人的状况和需求，建档立卡; 密切联系残疾人，听取残疾人意见，反映残疾人需求，维护残疾人权益，为残疾人服务;</w:t>
            </w:r>
          </w:p>
        </w:tc>
      </w:tr>
      <w:tr w14:paraId="4106D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4B4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53F238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2C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78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E9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247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4873DD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D50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E7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582144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A6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676BAD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6FD45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0A0C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2772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0D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2EB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全年调整次数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5BAA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20E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A40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73E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20</w:t>
            </w:r>
            <w:r>
              <w:rPr>
                <w:rFonts w:hint="default" w:ascii="Times New Roman" w:hAnsi="Times New Roman" w:eastAsia="宋体" w:cs="Times New Roman"/>
                <w:i w:val="0"/>
                <w:color w:val="000000"/>
                <w:kern w:val="0"/>
                <w:sz w:val="24"/>
                <w:szCs w:val="24"/>
                <w:u w:val="none"/>
                <w:lang w:val="en-US" w:eastAsia="zh-CN" w:bidi="ar"/>
              </w:rPr>
              <w:t>%</w:t>
            </w:r>
          </w:p>
        </w:tc>
        <w:tc>
          <w:tcPr>
            <w:tcW w:w="1113" w:type="dxa"/>
            <w:tcBorders>
              <w:left w:val="single" w:color="000000" w:sz="4" w:space="0"/>
              <w:bottom w:val="single" w:color="000000" w:sz="4" w:space="0"/>
              <w:right w:val="single" w:color="000000" w:sz="4" w:space="0"/>
            </w:tcBorders>
            <w:shd w:val="clear" w:color="auto" w:fill="auto"/>
            <w:vAlign w:val="center"/>
          </w:tcPr>
          <w:p w14:paraId="5946623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5E06E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572E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004C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9B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512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预算编制准确率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BC55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FAF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A99B">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FBA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6A4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r>
      <w:tr w14:paraId="0AE1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5936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AB8B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814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6F7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按时发放率相应经费</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F092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427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21C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C9E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C71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2C9F9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F619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right w:val="single" w:color="000000" w:sz="4" w:space="0"/>
            </w:tcBorders>
            <w:shd w:val="clear" w:color="auto" w:fill="auto"/>
            <w:vAlign w:val="center"/>
          </w:tcPr>
          <w:p w14:paraId="7801D0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7AAB60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经济</w:t>
            </w:r>
            <w:r>
              <w:rPr>
                <w:rFonts w:hint="default" w:ascii="Times New Roman" w:hAnsi="Times New Roman" w:eastAsia="宋体" w:cs="Times New Roman"/>
                <w:i w:val="0"/>
                <w:color w:val="000000"/>
                <w:kern w:val="0"/>
                <w:sz w:val="24"/>
                <w:szCs w:val="24"/>
                <w:u w:val="none"/>
                <w:lang w:val="en-US" w:eastAsia="zh-CN" w:bidi="ar"/>
              </w:rPr>
              <w:t>效益</w:t>
            </w:r>
          </w:p>
          <w:p w14:paraId="1DAA1C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B9A8">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三公经费控制率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7732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628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3CC5">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B6D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8B4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14:paraId="67892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71D1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405061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left w:val="single" w:color="000000" w:sz="4" w:space="0"/>
              <w:right w:val="single" w:color="000000" w:sz="4" w:space="0"/>
            </w:tcBorders>
            <w:shd w:val="clear" w:color="auto" w:fill="auto"/>
            <w:vAlign w:val="center"/>
          </w:tcPr>
          <w:p w14:paraId="03DB12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B52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运转保障率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A2447">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3ED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0424">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DED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D05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r w14:paraId="6C01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A683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5282543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2A216DE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0FD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预算结余率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AFF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941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45DC">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91E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84E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5%</w:t>
            </w:r>
          </w:p>
        </w:tc>
      </w:tr>
      <w:tr w14:paraId="4BED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88E7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left w:val="single" w:color="000000" w:sz="4" w:space="0"/>
              <w:right w:val="single" w:color="000000" w:sz="4" w:space="0"/>
            </w:tcBorders>
            <w:shd w:val="clear" w:color="auto" w:fill="auto"/>
            <w:vAlign w:val="center"/>
          </w:tcPr>
          <w:p w14:paraId="4F077D7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7C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社会效益指标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5E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eastAsia="宋体" w:cs="Times New Roman"/>
                <w:i w:val="0"/>
                <w:color w:val="000000"/>
                <w:kern w:val="0"/>
                <w:sz w:val="24"/>
                <w:szCs w:val="24"/>
                <w:u w:val="none"/>
                <w:lang w:val="en-US" w:eastAsia="zh-CN" w:bidi="ar"/>
              </w:rPr>
            </w:pPr>
            <w:r>
              <w:rPr>
                <w:rFonts w:hint="default" w:eastAsia="宋体" w:cs="Times New Roman"/>
                <w:i w:val="0"/>
                <w:color w:val="000000"/>
                <w:kern w:val="0"/>
                <w:sz w:val="24"/>
                <w:szCs w:val="24"/>
                <w:u w:val="none"/>
                <w:lang w:val="en-US" w:eastAsia="zh-CN" w:bidi="ar"/>
              </w:rPr>
              <w:t>保障全乡人民幸福率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099E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BAD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B66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D37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BBB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sz w:val="24"/>
                <w:szCs w:val="24"/>
                <w:u w:val="none"/>
                <w:lang w:val="en-US" w:eastAsia="zh-CN"/>
              </w:rPr>
              <w:t>100%</w:t>
            </w:r>
          </w:p>
        </w:tc>
      </w:tr>
    </w:tbl>
    <w:p w14:paraId="7C84E820">
      <w:pPr>
        <w:pStyle w:val="14"/>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358CA365">
      <w:pPr>
        <w:pStyle w:val="6"/>
        <w:outlineLvl w:val="1"/>
        <w:rPr>
          <w:rFonts w:hint="eastAsia" w:ascii="Times New Roman" w:hAnsi="Times New Roman" w:eastAsia="黑体" w:cs="黑体"/>
          <w:color w:val="auto"/>
          <w:kern w:val="0"/>
          <w:sz w:val="32"/>
          <w:szCs w:val="32"/>
          <w:highlight w:val="none"/>
          <w:shd w:val="clear" w:color="auto" w:fill="FFFFFF"/>
          <w:lang w:val="zh-CN"/>
        </w:rPr>
      </w:pPr>
    </w:p>
    <w:p w14:paraId="7506635A">
      <w:pPr>
        <w:pStyle w:val="6"/>
        <w:outlineLvl w:val="1"/>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bookmarkEnd w:id="80"/>
    </w:p>
    <w:p w14:paraId="208D1F1D">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5F7CA811">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4BF412D2">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7EDE139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1"/>
        <w:rPr>
          <w:rFonts w:ascii="Times New Roman" w:hAnsi="Times New Roman" w:eastAsia="黑体"/>
          <w:sz w:val="32"/>
          <w:szCs w:val="32"/>
          <w:highlight w:val="none"/>
          <w:lang w:val="zh-CN"/>
        </w:rPr>
      </w:pPr>
      <w:bookmarkStart w:id="81" w:name="_Toc15607"/>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bookmarkEnd w:id="81"/>
    </w:p>
    <w:p w14:paraId="4FA7A53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（一）设立背景及基本情况。</w:t>
      </w:r>
    </w:p>
    <w:p w14:paraId="2D4A9BFA">
      <w:pPr>
        <w:snapToGrid w:val="0"/>
        <w:spacing w:line="600" w:lineRule="atLeast"/>
        <w:ind w:firstLine="627" w:firstLineChars="196"/>
        <w:jc w:val="left"/>
        <w:rPr>
          <w:rFonts w:hint="eastAsia" w:ascii="仿宋" w:hAnsi="仿宋" w:eastAsia="仿宋" w:cs="仿宋"/>
          <w:i w:val="0"/>
          <w:iCs w:val="0"/>
          <w:caps w:val="0"/>
          <w:color w:val="auto"/>
          <w:spacing w:val="0"/>
          <w:sz w:val="32"/>
          <w:szCs w:val="32"/>
          <w:shd w:val="clear" w:color="auto" w:fill="auto"/>
          <w:lang w:val="en-US" w:eastAsia="zh-CN"/>
        </w:rPr>
      </w:pPr>
      <w:r>
        <w:rPr>
          <w:rFonts w:hint="eastAsia" w:ascii="仿宋_GB2312" w:hAnsi="仿宋_GB2312" w:eastAsia="仿宋_GB2312" w:cs="仿宋_GB2312"/>
          <w:b w:val="0"/>
          <w:bCs w:val="0"/>
          <w:sz w:val="32"/>
          <w:szCs w:val="32"/>
          <w:lang w:val="en-US" w:eastAsia="zh-CN"/>
        </w:rPr>
        <w:t>卡撒乡为改善农村人居环境，建设美丽宜居乡村，是实施乡村振兴战略，加快推动我镇农村人居环境整治，进一步提升全乡农村人居环境水平，不断改善人居环境，</w:t>
      </w:r>
      <w:r>
        <w:rPr>
          <w:rFonts w:hint="eastAsia" w:ascii="仿宋" w:hAnsi="仿宋" w:eastAsia="仿宋" w:cs="仿宋"/>
          <w:i w:val="0"/>
          <w:iCs w:val="0"/>
          <w:caps w:val="0"/>
          <w:color w:val="auto"/>
          <w:spacing w:val="0"/>
          <w:sz w:val="32"/>
          <w:szCs w:val="32"/>
          <w:shd w:val="clear" w:color="auto" w:fill="auto"/>
          <w:lang w:val="en-US" w:eastAsia="zh-CN"/>
        </w:rPr>
        <w:t>有效增提升老百姓幸福感，带动当地群众的就地就近务工，增加群众的经济收入，提高项目的社会效益。项目总投资为80万元采购路灯200盏。为减少水土流失，降低自然灾害，对调节气候，提高生态系统功能，恢复生物多样性；通过标准化生产，降低农药、化肥的使用量，促进农业生态环境良性循环和利用，促进生态可持续、经济可持续。带动乡村生活环境的提档升级，全面提升农村居住条件。项目总投资90万元，花椒园区修枝整形、树干刷白、土地平整20亩、堡坎建设1000立方等</w:t>
      </w:r>
    </w:p>
    <w:p w14:paraId="13706D04">
      <w:pPr>
        <w:keepNext w:val="0"/>
        <w:keepLines w:val="0"/>
        <w:pageBreakBefore w:val="0"/>
        <w:numPr>
          <w:ilvl w:val="0"/>
          <w:numId w:val="5"/>
        </w:numPr>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p>
    <w:p w14:paraId="2CDE5B56">
      <w:pPr>
        <w:ind w:firstLine="640" w:firstLineChars="200"/>
        <w:rPr>
          <w:rFonts w:hint="eastAsia"/>
          <w:lang w:val="zh-CN" w:eastAsia="zh-CN"/>
        </w:rPr>
      </w:pPr>
      <w:r>
        <w:rPr>
          <w:rFonts w:hint="eastAsia" w:ascii="仿宋_GB2312" w:eastAsia="仿宋_GB2312"/>
          <w:sz w:val="32"/>
          <w:szCs w:val="32"/>
        </w:rPr>
        <w:t>按照有关规定和工作安排，我单位</w:t>
      </w:r>
      <w:r>
        <w:rPr>
          <w:rFonts w:hint="eastAsia" w:ascii="仿宋_GB2312" w:eastAsia="仿宋_GB2312"/>
          <w:sz w:val="32"/>
          <w:szCs w:val="32"/>
          <w:lang w:eastAsia="zh-CN"/>
        </w:rPr>
        <w:t>对该</w:t>
      </w:r>
      <w:r>
        <w:rPr>
          <w:rFonts w:hint="eastAsia" w:ascii="仿宋_GB2312" w:eastAsia="仿宋_GB2312"/>
          <w:sz w:val="32"/>
          <w:szCs w:val="32"/>
          <w:lang w:val="en-US" w:eastAsia="zh-CN"/>
        </w:rPr>
        <w:t>6个</w:t>
      </w:r>
      <w:r>
        <w:rPr>
          <w:rFonts w:hint="eastAsia" w:ascii="仿宋_GB2312" w:eastAsia="仿宋_GB2312"/>
          <w:sz w:val="32"/>
          <w:szCs w:val="32"/>
          <w:lang w:eastAsia="zh-CN"/>
        </w:rPr>
        <w:t>项目</w:t>
      </w:r>
      <w:r>
        <w:rPr>
          <w:rFonts w:hint="eastAsia" w:ascii="仿宋_GB2312" w:eastAsia="仿宋_GB2312"/>
          <w:sz w:val="32"/>
          <w:szCs w:val="32"/>
        </w:rPr>
        <w:t>开展</w:t>
      </w:r>
      <w:r>
        <w:rPr>
          <w:rFonts w:hint="eastAsia" w:ascii="仿宋_GB2312" w:eastAsia="仿宋_GB2312"/>
          <w:sz w:val="32"/>
          <w:szCs w:val="32"/>
          <w:lang w:eastAsia="zh-CN"/>
        </w:rPr>
        <w:t>了</w:t>
      </w:r>
      <w:r>
        <w:rPr>
          <w:rFonts w:hint="eastAsia" w:ascii="仿宋_GB2312" w:eastAsia="仿宋_GB2312"/>
          <w:sz w:val="32"/>
          <w:szCs w:val="32"/>
        </w:rPr>
        <w:t>自行评估，通过召开</w:t>
      </w:r>
      <w:r>
        <w:rPr>
          <w:rFonts w:hint="eastAsia" w:ascii="仿宋_GB2312" w:eastAsia="仿宋_GB2312"/>
          <w:sz w:val="32"/>
          <w:szCs w:val="32"/>
          <w:lang w:eastAsia="zh-CN"/>
        </w:rPr>
        <w:t>会议</w:t>
      </w:r>
      <w:r>
        <w:rPr>
          <w:rFonts w:hint="eastAsia" w:ascii="仿宋_GB2312" w:eastAsia="仿宋_GB2312"/>
          <w:sz w:val="32"/>
          <w:szCs w:val="32"/>
          <w:lang w:val="en-US" w:eastAsia="zh-CN"/>
        </w:rPr>
        <w:t>、</w:t>
      </w:r>
      <w:r>
        <w:rPr>
          <w:rFonts w:hint="eastAsia" w:ascii="仿宋_GB2312" w:eastAsia="仿宋_GB2312"/>
          <w:sz w:val="32"/>
          <w:szCs w:val="32"/>
        </w:rPr>
        <w:t>问卷调查</w:t>
      </w:r>
      <w:r>
        <w:rPr>
          <w:rFonts w:hint="eastAsia" w:ascii="仿宋_GB2312" w:eastAsia="仿宋_GB2312"/>
          <w:sz w:val="32"/>
          <w:szCs w:val="32"/>
          <w:lang w:eastAsia="zh-CN"/>
        </w:rPr>
        <w:t>、</w:t>
      </w:r>
      <w:r>
        <w:rPr>
          <w:rFonts w:hint="eastAsia" w:ascii="仿宋_GB2312" w:eastAsia="仿宋_GB2312"/>
          <w:sz w:val="32"/>
          <w:szCs w:val="32"/>
        </w:rPr>
        <w:t>人大代表和政协委员参与等方式</w:t>
      </w:r>
      <w:r>
        <w:rPr>
          <w:rFonts w:hint="eastAsia" w:ascii="仿宋_GB2312" w:eastAsia="仿宋_GB2312"/>
          <w:sz w:val="32"/>
          <w:szCs w:val="32"/>
          <w:lang w:eastAsia="zh-CN"/>
        </w:rPr>
        <w:t>，</w:t>
      </w:r>
      <w:r>
        <w:rPr>
          <w:rFonts w:hint="eastAsia" w:ascii="仿宋_GB2312" w:eastAsia="仿宋_GB2312"/>
          <w:sz w:val="32"/>
          <w:szCs w:val="32"/>
        </w:rPr>
        <w:t>收集被评估项目相关基础资料，查阅资料、收集数据信息等，深入论证分析后，形成绩效评估报告。</w:t>
      </w:r>
    </w:p>
    <w:p w14:paraId="729F2AEC">
      <w:pPr>
        <w:keepNext w:val="0"/>
        <w:keepLines w:val="0"/>
        <w:pageBreakBefore w:val="0"/>
        <w:widowControl/>
        <w:numPr>
          <w:ilvl w:val="0"/>
          <w:numId w:val="5"/>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p>
    <w:p w14:paraId="1C7A9D4F">
      <w:pPr>
        <w:ind w:firstLine="640" w:firstLineChars="200"/>
        <w:rPr>
          <w:rFonts w:ascii="Times New Roman" w:hAnsi="Times New Roman" w:cs="Times New Roman"/>
          <w:color w:val="auto"/>
          <w:kern w:val="0"/>
          <w:sz w:val="32"/>
          <w:szCs w:val="32"/>
          <w:highlight w:val="none"/>
          <w:u w:val="none"/>
          <w:shd w:val="clear" w:color="auto" w:fill="FFFFFF"/>
          <w:lang w:val="zh-CN"/>
        </w:rPr>
      </w:pPr>
      <w:r>
        <w:rPr>
          <w:rFonts w:hint="eastAsia" w:ascii="仿宋_GB2312" w:eastAsia="仿宋_GB2312"/>
          <w:sz w:val="32"/>
          <w:szCs w:val="32"/>
        </w:rPr>
        <w:t>项目申报预算</w:t>
      </w:r>
      <w:r>
        <w:rPr>
          <w:rFonts w:hint="eastAsia" w:ascii="仿宋_GB2312" w:eastAsia="仿宋_GB2312"/>
          <w:color w:val="000000"/>
          <w:sz w:val="32"/>
          <w:szCs w:val="32"/>
          <w:lang w:val="en-US" w:eastAsia="zh-CN"/>
        </w:rPr>
        <w:t>568.4</w:t>
      </w:r>
      <w:r>
        <w:rPr>
          <w:rFonts w:hint="eastAsia" w:ascii="仿宋_GB2312" w:eastAsia="仿宋_GB2312"/>
          <w:sz w:val="32"/>
          <w:szCs w:val="32"/>
        </w:rPr>
        <w:t>万元，</w:t>
      </w:r>
      <w:r>
        <w:rPr>
          <w:rFonts w:hint="eastAsia" w:ascii="仿宋_GB2312" w:eastAsia="仿宋_GB2312"/>
          <w:sz w:val="32"/>
          <w:szCs w:val="32"/>
          <w:lang w:val="en-US" w:eastAsia="zh-CN"/>
        </w:rPr>
        <w:t>2024年度</w:t>
      </w:r>
      <w:r>
        <w:rPr>
          <w:rFonts w:hint="eastAsia" w:ascii="仿宋_GB2312" w:eastAsia="仿宋_GB2312"/>
          <w:sz w:val="32"/>
          <w:szCs w:val="32"/>
        </w:rPr>
        <w:t>申报金额为</w:t>
      </w:r>
      <w:r>
        <w:rPr>
          <w:rFonts w:hint="eastAsia" w:ascii="仿宋_GB2312" w:eastAsia="仿宋_GB2312"/>
          <w:color w:val="000000"/>
          <w:sz w:val="32"/>
          <w:szCs w:val="32"/>
          <w:lang w:val="en-US" w:eastAsia="zh-CN"/>
        </w:rPr>
        <w:t>568.4</w:t>
      </w:r>
      <w:r>
        <w:rPr>
          <w:rFonts w:hint="eastAsia" w:ascii="仿宋_GB2312" w:eastAsia="仿宋_GB2312"/>
          <w:sz w:val="32"/>
          <w:szCs w:val="32"/>
        </w:rPr>
        <w:t>万元，资金来源为</w:t>
      </w:r>
      <w:r>
        <w:rPr>
          <w:rFonts w:hint="eastAsia" w:ascii="仿宋_GB2312" w:eastAsia="仿宋_GB2312"/>
          <w:color w:val="000000"/>
          <w:sz w:val="32"/>
          <w:szCs w:val="32"/>
          <w:lang w:val="en-US" w:eastAsia="zh-CN"/>
        </w:rPr>
        <w:t>金川县卡撒卡撒乡政府办公楼宿舍楼维修项目39.9万元、金川县卡撒乡三埂子至新桥河堤建设项目2.65万元、金川县卡撒乡三埂子高家沟口通组桥建设项目1.39万元、卡撒乡脚姆塘村改板厂下方河堤灾后恢复建设项目10.43万元、应急抢险资金10万元、金川县卡撒乡人居环境整治项目78.68万元。</w:t>
      </w:r>
      <w:r>
        <w:rPr>
          <w:rFonts w:hint="eastAsia" w:ascii="仿宋_GB2312" w:eastAsia="仿宋_GB2312"/>
          <w:sz w:val="32"/>
          <w:szCs w:val="32"/>
        </w:rPr>
        <w:t>本次对项目投入经济性的评估是在项目事前绩效评估、预算测算的基础上，按照厉行节约的要求，结合项目202</w:t>
      </w:r>
      <w:r>
        <w:rPr>
          <w:rFonts w:hint="eastAsia" w:ascii="仿宋_GB2312" w:eastAsia="仿宋_GB2312"/>
          <w:sz w:val="32"/>
          <w:szCs w:val="32"/>
          <w:lang w:val="en-US" w:eastAsia="zh-CN"/>
        </w:rPr>
        <w:t>4</w:t>
      </w:r>
      <w:r>
        <w:rPr>
          <w:rFonts w:hint="eastAsia" w:ascii="仿宋_GB2312" w:eastAsia="仿宋_GB2312"/>
          <w:sz w:val="32"/>
          <w:szCs w:val="32"/>
        </w:rPr>
        <w:t>年开支情况</w:t>
      </w:r>
      <w:r>
        <w:rPr>
          <w:rFonts w:hint="eastAsia" w:ascii="仿宋_GB2312" w:eastAsia="仿宋_GB2312"/>
          <w:sz w:val="32"/>
          <w:szCs w:val="32"/>
          <w:lang w:eastAsia="zh-CN"/>
        </w:rPr>
        <w:t>，</w:t>
      </w:r>
      <w:r>
        <w:rPr>
          <w:rFonts w:hint="eastAsia" w:ascii="仿宋_GB2312" w:eastAsia="仿宋_GB2312"/>
          <w:sz w:val="32"/>
          <w:szCs w:val="32"/>
        </w:rPr>
        <w:t>结合202</w:t>
      </w:r>
      <w:r>
        <w:rPr>
          <w:rFonts w:hint="eastAsia" w:ascii="仿宋_GB2312" w:eastAsia="仿宋_GB2312"/>
          <w:sz w:val="32"/>
          <w:szCs w:val="32"/>
          <w:lang w:val="en-US" w:eastAsia="zh-CN"/>
        </w:rPr>
        <w:t>4</w:t>
      </w:r>
      <w:r>
        <w:rPr>
          <w:rFonts w:hint="eastAsia" w:ascii="仿宋_GB2312" w:eastAsia="仿宋_GB2312"/>
          <w:sz w:val="32"/>
          <w:szCs w:val="32"/>
        </w:rPr>
        <w:t>年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37DD89E7">
      <w:pPr>
        <w:keepNext w:val="0"/>
        <w:keepLines w:val="0"/>
        <w:pageBreakBefore w:val="0"/>
        <w:numPr>
          <w:ilvl w:val="0"/>
          <w:numId w:val="5"/>
        </w:numPr>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项目绩效目标设置。</w:t>
      </w:r>
    </w:p>
    <w:p w14:paraId="324AB01F">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rPr>
        <w:t>根据20</w:t>
      </w:r>
      <w:r>
        <w:rPr>
          <w:rFonts w:hint="eastAsia" w:ascii="仿宋_GB2312" w:eastAsia="仿宋_GB2312"/>
          <w:sz w:val="32"/>
          <w:szCs w:val="32"/>
          <w:lang w:val="en-US" w:eastAsia="zh-CN"/>
        </w:rPr>
        <w:t>24</w:t>
      </w:r>
      <w:r>
        <w:rPr>
          <w:rFonts w:hint="eastAsia" w:ascii="仿宋_GB2312" w:eastAsia="仿宋_GB2312"/>
          <w:sz w:val="32"/>
          <w:szCs w:val="32"/>
        </w:rPr>
        <w:t>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eastAsia="仿宋_GB2312"/>
          <w:sz w:val="32"/>
          <w:szCs w:val="32"/>
          <w:lang w:val="zh-CN" w:eastAsia="zh-CN"/>
        </w:rPr>
        <w:t>。</w:t>
      </w:r>
    </w:p>
    <w:p w14:paraId="5D2C2C9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1"/>
        <w:rPr>
          <w:rFonts w:hint="eastAsia" w:ascii="Times New Roman" w:hAnsi="Times New Roman" w:eastAsia="黑体"/>
          <w:sz w:val="32"/>
          <w:szCs w:val="32"/>
          <w:highlight w:val="none"/>
          <w:lang w:eastAsia="zh-CN"/>
        </w:rPr>
      </w:pPr>
      <w:bookmarkStart w:id="82" w:name="_Toc18693"/>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bookmarkEnd w:id="82"/>
    </w:p>
    <w:p w14:paraId="5332C41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（一）评价目的。</w:t>
      </w:r>
    </w:p>
    <w:p w14:paraId="6C32F6DD">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1679F154">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预设问题及评价重点。</w:t>
      </w:r>
    </w:p>
    <w:p w14:paraId="3BE40826">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val="zh-CN"/>
        </w:rPr>
      </w:pPr>
      <w:r>
        <w:rPr>
          <w:rFonts w:hint="eastAsia" w:ascii="仿宋_GB2312" w:eastAsia="仿宋_GB2312"/>
          <w:sz w:val="32"/>
          <w:szCs w:val="32"/>
          <w:lang w:val="en-US" w:eastAsia="zh-CN"/>
        </w:rPr>
        <w:t>1、项目决策：</w:t>
      </w:r>
      <w:r>
        <w:rPr>
          <w:rFonts w:hint="eastAsia" w:ascii="仿宋_GB2312" w:eastAsia="仿宋_GB2312"/>
          <w:sz w:val="32"/>
          <w:szCs w:val="32"/>
          <w:lang w:val="zh-CN"/>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447787B0">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2、项目管理：</w:t>
      </w:r>
      <w:r>
        <w:rPr>
          <w:rFonts w:hint="eastAsia" w:ascii="仿宋_GB2312" w:eastAsia="仿宋_GB2312"/>
          <w:sz w:val="32"/>
          <w:szCs w:val="32"/>
          <w:lang w:val="zh-CN"/>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48485E48">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仿宋_GB2312" w:eastAsia="仿宋_GB2312"/>
          <w:sz w:val="32"/>
          <w:szCs w:val="32"/>
          <w:lang w:val="zh-CN"/>
        </w:rPr>
      </w:pPr>
      <w:r>
        <w:rPr>
          <w:rFonts w:hint="eastAsia" w:ascii="仿宋_GB2312" w:eastAsia="仿宋_GB2312"/>
          <w:sz w:val="32"/>
          <w:szCs w:val="32"/>
          <w:lang w:val="en-US" w:eastAsia="zh-CN"/>
        </w:rPr>
        <w:t>3、项目实施：</w:t>
      </w:r>
      <w:r>
        <w:rPr>
          <w:rFonts w:hint="eastAsia" w:ascii="仿宋_GB2312" w:eastAsia="仿宋_GB2312"/>
          <w:sz w:val="32"/>
          <w:szCs w:val="32"/>
          <w:lang w:val="zh-CN"/>
        </w:rPr>
        <w:t>项目资金财政拨付按时完成率</w:t>
      </w:r>
      <w:r>
        <w:rPr>
          <w:rFonts w:hint="eastAsia" w:ascii="仿宋_GB2312" w:eastAsia="仿宋_GB2312"/>
          <w:sz w:val="32"/>
          <w:szCs w:val="32"/>
          <w:lang w:val="en-US" w:eastAsia="zh-CN"/>
        </w:rPr>
        <w:t>100%</w:t>
      </w:r>
      <w:r>
        <w:rPr>
          <w:rFonts w:hint="eastAsia" w:ascii="仿宋_GB2312" w:eastAsia="仿宋_GB2312"/>
          <w:sz w:val="32"/>
          <w:szCs w:val="32"/>
          <w:lang w:val="zh-CN"/>
        </w:rPr>
        <w:t>、单位执行资金使用率为</w:t>
      </w:r>
      <w:r>
        <w:rPr>
          <w:rFonts w:hint="eastAsia" w:ascii="仿宋_GB2312" w:eastAsia="仿宋_GB2312"/>
          <w:sz w:val="32"/>
          <w:szCs w:val="32"/>
          <w:lang w:val="en-US" w:eastAsia="zh-CN"/>
        </w:rPr>
        <w:t>100%</w:t>
      </w:r>
      <w:r>
        <w:rPr>
          <w:rFonts w:hint="eastAsia" w:ascii="仿宋_GB2312" w:eastAsia="仿宋_GB2312"/>
          <w:sz w:val="32"/>
          <w:szCs w:val="32"/>
          <w:lang w:val="zh-CN"/>
        </w:rPr>
        <w:t>和地方配套资金到位率</w:t>
      </w:r>
      <w:r>
        <w:rPr>
          <w:rFonts w:hint="eastAsia" w:ascii="仿宋_GB2312" w:eastAsia="仿宋_GB2312"/>
          <w:sz w:val="32"/>
          <w:szCs w:val="32"/>
          <w:lang w:val="en-US" w:eastAsia="zh-CN"/>
        </w:rPr>
        <w:t>100%</w:t>
      </w:r>
      <w:r>
        <w:rPr>
          <w:rFonts w:hint="eastAsia" w:ascii="仿宋_GB2312" w:eastAsia="仿宋_GB2312"/>
          <w:sz w:val="32"/>
          <w:szCs w:val="32"/>
          <w:lang w:val="zh-CN"/>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0EA033AC">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ascii="Times New Roman" w:hAnsi="Times New Roman"/>
          <w:szCs w:val="32"/>
          <w:lang w:eastAsia="zh-CN"/>
        </w:rPr>
      </w:pPr>
      <w:r>
        <w:rPr>
          <w:rFonts w:hint="eastAsia" w:ascii="仿宋_GB2312" w:eastAsia="仿宋_GB2312"/>
          <w:sz w:val="32"/>
          <w:szCs w:val="32"/>
          <w:lang w:val="en-US" w:eastAsia="zh-CN"/>
        </w:rPr>
        <w:t>4、项目结果：</w:t>
      </w:r>
      <w:r>
        <w:rPr>
          <w:rFonts w:hint="eastAsia" w:ascii="仿宋_GB2312" w:eastAsia="仿宋_GB2312"/>
          <w:sz w:val="32"/>
          <w:szCs w:val="32"/>
          <w:lang w:val="zh-CN"/>
        </w:rPr>
        <w:t>项目完成预期目标，实施结果与绩效目标相匹配，反映目标实现率</w:t>
      </w:r>
      <w:r>
        <w:rPr>
          <w:rFonts w:hint="eastAsia" w:ascii="仿宋_GB2312" w:eastAsia="仿宋_GB2312"/>
          <w:sz w:val="32"/>
          <w:szCs w:val="32"/>
          <w:lang w:val="en-US" w:eastAsia="zh-CN"/>
        </w:rPr>
        <w:t>100%</w:t>
      </w:r>
      <w:r>
        <w:rPr>
          <w:rFonts w:hint="eastAsia" w:ascii="仿宋_GB2312" w:eastAsia="仿宋_GB2312"/>
          <w:sz w:val="32"/>
          <w:szCs w:val="32"/>
          <w:lang w:val="zh-CN"/>
        </w:rPr>
        <w:t>，项目实际完成时间与计划完成时间的比较差异率为</w:t>
      </w:r>
      <w:r>
        <w:rPr>
          <w:rFonts w:hint="eastAsia" w:ascii="仿宋_GB2312" w:eastAsia="仿宋_GB2312"/>
          <w:sz w:val="32"/>
          <w:szCs w:val="32"/>
          <w:lang w:val="en-US" w:eastAsia="zh-CN"/>
        </w:rPr>
        <w:t>0%</w:t>
      </w:r>
      <w:r>
        <w:rPr>
          <w:rFonts w:hint="eastAsia" w:ascii="仿宋_GB2312" w:eastAsia="仿宋_GB2312"/>
          <w:sz w:val="32"/>
          <w:szCs w:val="32"/>
          <w:lang w:val="zh-CN" w:eastAsia="zh-CN"/>
        </w:rPr>
        <w:t>。</w:t>
      </w:r>
    </w:p>
    <w:p w14:paraId="63A503C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p>
    <w:p w14:paraId="6DB59387">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hint="eastAsia"/>
          <w:lang w:val="zh-CN"/>
        </w:rPr>
      </w:pPr>
      <w:r>
        <w:rPr>
          <w:rFonts w:ascii="仿宋_GB2312" w:eastAsia="仿宋_GB2312"/>
          <w:sz w:val="32"/>
          <w:szCs w:val="32"/>
          <w:lang w:val="zh-CN" w:eastAsia="zh-CN"/>
        </w:rPr>
        <w:t>项目绩效自评所抽样点位情况。每个专项预算项目</w:t>
      </w:r>
      <w:r>
        <w:rPr>
          <w:rFonts w:ascii="仿宋_GB2312" w:eastAsia="仿宋_GB2312"/>
          <w:sz w:val="32"/>
          <w:szCs w:val="32"/>
          <w:lang w:val="en-US" w:eastAsia="zh-CN"/>
        </w:rPr>
        <w:t>应选取</w:t>
      </w:r>
      <w:r>
        <w:rPr>
          <w:rFonts w:hint="eastAsia" w:ascii="仿宋_GB2312" w:eastAsia="仿宋_GB2312"/>
          <w:sz w:val="32"/>
          <w:szCs w:val="32"/>
          <w:lang w:val="en-US" w:eastAsia="zh-CN"/>
        </w:rPr>
        <w:t>专项资金分配涉及点位总数的20%</w:t>
      </w:r>
      <w:r>
        <w:rPr>
          <w:rFonts w:ascii="仿宋_GB2312" w:eastAsia="仿宋_GB2312"/>
          <w:sz w:val="32"/>
          <w:szCs w:val="32"/>
          <w:lang w:val="en-US" w:eastAsia="zh-CN"/>
        </w:rPr>
        <w:t>进行实地踏勘，且点位清单应作为自评附</w:t>
      </w:r>
      <w:r>
        <w:rPr>
          <w:rFonts w:hint="eastAsia" w:ascii="仿宋_GB2312" w:eastAsia="仿宋_GB2312"/>
          <w:sz w:val="32"/>
          <w:szCs w:val="32"/>
          <w:lang w:val="en-US" w:eastAsia="zh-CN"/>
        </w:rPr>
        <w:t>表</w:t>
      </w:r>
      <w:r>
        <w:rPr>
          <w:rFonts w:ascii="仿宋_GB2312" w:eastAsia="仿宋_GB2312"/>
          <w:sz w:val="32"/>
          <w:szCs w:val="32"/>
          <w:lang w:val="en-US" w:eastAsia="zh-CN"/>
        </w:rPr>
        <w:t>。</w:t>
      </w:r>
    </w:p>
    <w:p w14:paraId="3DC53CEB">
      <w:pPr>
        <w:keepNext w:val="0"/>
        <w:keepLines w:val="0"/>
        <w:pageBreakBefore w:val="0"/>
        <w:widowControl w:val="0"/>
        <w:numPr>
          <w:ilvl w:val="0"/>
          <w:numId w:val="6"/>
        </w:numPr>
        <w:kinsoku/>
        <w:wordWrap/>
        <w:overflowPunct/>
        <w:topLinePunct w:val="0"/>
        <w:autoSpaceDE/>
        <w:autoSpaceDN/>
        <w:bidi w:val="0"/>
        <w:spacing w:line="578" w:lineRule="exact"/>
        <w:ind w:left="0" w:leftChars="0" w:firstLine="643" w:firstLineChars="20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评价方法。</w:t>
      </w:r>
    </w:p>
    <w:p w14:paraId="515DB976">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按照有关规定和工作安排，我单位对该项目开展了自行评估，通过召开会议</w:t>
      </w:r>
      <w:r>
        <w:rPr>
          <w:rFonts w:hint="eastAsia" w:ascii="仿宋_GB2312" w:eastAsia="仿宋_GB2312"/>
          <w:sz w:val="32"/>
          <w:szCs w:val="32"/>
          <w:lang w:val="en-US" w:eastAsia="zh-CN"/>
        </w:rPr>
        <w:t>、</w:t>
      </w:r>
      <w:r>
        <w:rPr>
          <w:rFonts w:hint="eastAsia" w:ascii="仿宋_GB2312" w:eastAsia="仿宋_GB2312"/>
          <w:sz w:val="32"/>
          <w:szCs w:val="32"/>
          <w:lang w:val="zh-CN" w:eastAsia="zh-CN"/>
        </w:rPr>
        <w:t>问卷调查、人大代表和政协委员参与等方式，收集被评估</w:t>
      </w:r>
      <w:r>
        <w:rPr>
          <w:rFonts w:ascii="仿宋_GB2312" w:eastAsia="仿宋_GB2312"/>
          <w:sz w:val="32"/>
          <w:szCs w:val="32"/>
          <w:lang w:val="zh-CN" w:eastAsia="zh-CN"/>
        </w:rPr>
        <w:t>项目</w:t>
      </w:r>
      <w:r>
        <w:rPr>
          <w:rFonts w:hint="eastAsia" w:ascii="仿宋_GB2312" w:eastAsia="仿宋_GB2312"/>
          <w:sz w:val="32"/>
          <w:szCs w:val="32"/>
          <w:lang w:val="zh-CN" w:eastAsia="zh-CN"/>
        </w:rPr>
        <w:t>相关</w:t>
      </w:r>
      <w:r>
        <w:rPr>
          <w:rFonts w:ascii="仿宋_GB2312" w:eastAsia="仿宋_GB2312"/>
          <w:sz w:val="32"/>
          <w:szCs w:val="32"/>
          <w:lang w:val="zh-CN" w:eastAsia="zh-CN"/>
        </w:rPr>
        <w:t>基础资料，查阅资料、</w:t>
      </w:r>
      <w:r>
        <w:rPr>
          <w:rFonts w:hint="eastAsia" w:ascii="仿宋_GB2312" w:eastAsia="仿宋_GB2312"/>
          <w:sz w:val="32"/>
          <w:szCs w:val="32"/>
          <w:lang w:val="zh-CN" w:eastAsia="zh-CN"/>
        </w:rPr>
        <w:t>收集数据信息</w:t>
      </w:r>
      <w:r>
        <w:rPr>
          <w:rFonts w:ascii="仿宋_GB2312" w:eastAsia="仿宋_GB2312"/>
          <w:sz w:val="32"/>
          <w:szCs w:val="32"/>
          <w:lang w:val="zh-CN" w:eastAsia="zh-CN"/>
        </w:rPr>
        <w:t>等</w:t>
      </w:r>
      <w:r>
        <w:rPr>
          <w:rFonts w:hint="eastAsia" w:ascii="仿宋_GB2312" w:eastAsia="仿宋_GB2312"/>
          <w:sz w:val="32"/>
          <w:szCs w:val="32"/>
          <w:lang w:val="zh-CN" w:eastAsia="zh-CN"/>
        </w:rPr>
        <w:t>，深入论证</w:t>
      </w:r>
      <w:r>
        <w:rPr>
          <w:rFonts w:ascii="仿宋_GB2312" w:eastAsia="仿宋_GB2312"/>
          <w:sz w:val="32"/>
          <w:szCs w:val="32"/>
          <w:lang w:val="zh-CN" w:eastAsia="zh-CN"/>
        </w:rPr>
        <w:t>分析后，形成绩效评估报告。</w:t>
      </w:r>
    </w:p>
    <w:p w14:paraId="0BA7A01A">
      <w:pPr>
        <w:keepNext w:val="0"/>
        <w:keepLines w:val="0"/>
        <w:pageBreakBefore w:val="0"/>
        <w:widowControl w:val="0"/>
        <w:numPr>
          <w:ilvl w:val="0"/>
          <w:numId w:val="6"/>
        </w:numPr>
        <w:kinsoku/>
        <w:wordWrap/>
        <w:overflowPunct/>
        <w:topLinePunct w:val="0"/>
        <w:autoSpaceDE/>
        <w:autoSpaceDN/>
        <w:bidi w:val="0"/>
        <w:spacing w:line="578" w:lineRule="exact"/>
        <w:ind w:left="0" w:leftChars="0" w:firstLine="643" w:firstLineChars="200"/>
        <w:textAlignment w:val="auto"/>
        <w:outlineLvl w:val="9"/>
        <w:rPr>
          <w:rFonts w:hint="eastAsia"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评价组织</w:t>
      </w:r>
      <w:r>
        <w:rPr>
          <w:rFonts w:hint="eastAsia" w:eastAsia="楷体_GB2312"/>
          <w:b/>
          <w:color w:val="auto"/>
          <w:sz w:val="32"/>
          <w:szCs w:val="32"/>
          <w:highlight w:val="none"/>
          <w:u w:val="none"/>
          <w:lang w:val="zh-CN"/>
        </w:rPr>
        <w:t>。</w:t>
      </w:r>
    </w:p>
    <w:p w14:paraId="208AF3F1">
      <w:pPr>
        <w:keepNext w:val="0"/>
        <w:keepLines w:val="0"/>
        <w:pageBreakBefore w:val="0"/>
        <w:widowControl w:val="0"/>
        <w:tabs>
          <w:tab w:val="left" w:pos="0"/>
        </w:tabs>
        <w:kinsoku/>
        <w:wordWrap/>
        <w:overflowPunct/>
        <w:topLinePunct w:val="0"/>
        <w:autoSpaceDE/>
        <w:autoSpaceDN/>
        <w:bidi w:val="0"/>
        <w:adjustRightInd w:val="0"/>
        <w:snapToGrid w:val="0"/>
        <w:spacing w:line="578" w:lineRule="exact"/>
        <w:ind w:left="0" w:firstLine="640" w:firstLineChars="200"/>
        <w:textAlignment w:val="auto"/>
        <w:rPr>
          <w:rFonts w:ascii="仿宋_GB2312" w:eastAsia="仿宋_GB2312"/>
          <w:sz w:val="32"/>
          <w:szCs w:val="32"/>
          <w:lang w:val="zh-CN" w:eastAsia="zh-CN"/>
        </w:rPr>
      </w:pPr>
      <w:r>
        <w:rPr>
          <w:rFonts w:hint="eastAsia" w:ascii="仿宋_GB2312" w:eastAsia="仿宋_GB2312"/>
          <w:sz w:val="32"/>
          <w:szCs w:val="32"/>
          <w:lang w:val="zh-CN" w:eastAsia="zh-CN"/>
        </w:rPr>
        <w:t>评价组人员由人大代表和政协委员共同进行。</w:t>
      </w:r>
    </w:p>
    <w:p w14:paraId="66E39875">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outlineLvl w:val="1"/>
        <w:rPr>
          <w:rFonts w:ascii="Times New Roman" w:hAnsi="Times New Roman"/>
          <w:color w:val="auto"/>
          <w:sz w:val="32"/>
          <w:szCs w:val="32"/>
          <w:highlight w:val="none"/>
          <w:u w:val="none"/>
          <w:lang w:val="zh-CN"/>
        </w:rPr>
      </w:pPr>
      <w:bookmarkStart w:id="83" w:name="_Toc20236"/>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bookmarkEnd w:id="83"/>
      <w:r>
        <w:rPr>
          <w:rFonts w:hint="eastAsia" w:ascii="Times New Roman" w:hAnsi="Times New Roman"/>
          <w:color w:val="auto"/>
          <w:sz w:val="32"/>
          <w:szCs w:val="32"/>
          <w:highlight w:val="none"/>
          <w:u w:val="none"/>
          <w:lang w:val="zh-CN"/>
        </w:rPr>
        <w:tab/>
      </w:r>
    </w:p>
    <w:p w14:paraId="20BB296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eastAsia="仿宋_GB2312" w:cs="Times New Roman"/>
          <w:kern w:val="2"/>
          <w:sz w:val="32"/>
          <w:szCs w:val="32"/>
          <w:lang w:val="en-US" w:eastAsia="zh-CN" w:bidi="ar-SA"/>
        </w:rPr>
        <w:t>该项目评估总得分90分、评估等级优</w:t>
      </w:r>
      <w:r>
        <w:rPr>
          <w:rFonts w:hint="eastAsia" w:ascii="仿宋_GB2312" w:hAnsi="仿宋_GB2312" w:cs="Times New Roman"/>
          <w:kern w:val="2"/>
          <w:sz w:val="32"/>
          <w:szCs w:val="32"/>
          <w:lang w:val="en-US" w:eastAsia="zh-CN" w:bidi="ar-SA"/>
        </w:rPr>
        <w:t>。</w:t>
      </w:r>
    </w:p>
    <w:p w14:paraId="319D46F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2046DEE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w:t>
      </w:r>
      <w:r>
        <w:rPr>
          <w:rFonts w:hint="eastAsia" w:ascii="仿宋_GB2312" w:eastAsia="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90C06F0">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w:t>
      </w:r>
      <w:r>
        <w:rPr>
          <w:rFonts w:hint="eastAsia" w:ascii="仿宋_GB2312" w:eastAsia="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16F3151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仿宋_GB2312" w:eastAsia="仿宋_GB2312" w:cs="Times New Roman"/>
          <w:kern w:val="2"/>
          <w:sz w:val="32"/>
          <w:szCs w:val="32"/>
          <w:lang w:val="zh-CN" w:eastAsia="zh-CN" w:bidi="ar-SA"/>
        </w:rPr>
        <w:t>项目资金财政拨付按时完成率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、单位执行资金使用率为</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和地方配套资金到位率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3EEC653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eastAsia="仿宋_GB2312" w:cs="Times New Roman"/>
          <w:kern w:val="2"/>
          <w:sz w:val="32"/>
          <w:szCs w:val="32"/>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w:t>
      </w:r>
      <w:r>
        <w:rPr>
          <w:rFonts w:hint="eastAsia" w:ascii="仿宋_GB2312" w:eastAsia="仿宋_GB2312" w:cs="Times New Roman"/>
          <w:kern w:val="2"/>
          <w:sz w:val="32"/>
          <w:szCs w:val="32"/>
          <w:lang w:val="zh-CN" w:eastAsia="zh-CN" w:bidi="ar-SA"/>
        </w:rPr>
        <w:t>项目完成预期目标，实施结果与绩效目标相匹配，反映目标实现率</w:t>
      </w:r>
      <w:r>
        <w:rPr>
          <w:rFonts w:hint="eastAsia" w:ascii="仿宋_GB2312" w:eastAsia="仿宋_GB2312" w:cs="Times New Roman"/>
          <w:kern w:val="2"/>
          <w:sz w:val="32"/>
          <w:szCs w:val="32"/>
          <w:lang w:val="en-US" w:eastAsia="zh-CN" w:bidi="ar-SA"/>
        </w:rPr>
        <w:t>100%</w:t>
      </w:r>
      <w:r>
        <w:rPr>
          <w:rFonts w:hint="eastAsia" w:ascii="仿宋_GB2312" w:eastAsia="仿宋_GB2312" w:cs="Times New Roman"/>
          <w:kern w:val="2"/>
          <w:sz w:val="32"/>
          <w:szCs w:val="32"/>
          <w:lang w:val="zh-CN" w:eastAsia="zh-CN" w:bidi="ar-SA"/>
        </w:rPr>
        <w:t>，项目实际完成时间与计划完成时间的比较差异率为</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val="zh-CN" w:eastAsia="zh-CN" w:bidi="ar-SA"/>
        </w:rPr>
        <w:t>。</w:t>
      </w:r>
    </w:p>
    <w:p w14:paraId="47225FB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6B0747F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ascii="仿宋_GB2312" w:eastAsia="仿宋_GB2312" w:cs="Times New Roman"/>
          <w:kern w:val="2"/>
          <w:sz w:val="32"/>
          <w:szCs w:val="32"/>
          <w:lang w:val="zh-CN" w:eastAsia="zh-CN" w:bidi="ar-SA"/>
        </w:rPr>
      </w:pPr>
      <w:r>
        <w:rPr>
          <w:rFonts w:hint="eastAsia" w:ascii="仿宋_GB2312" w:eastAsia="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64B4D12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1.产业发展。围绕符合性、成长性、经济性进行绩效分析。</w:t>
      </w:r>
    </w:p>
    <w:p w14:paraId="190A4D7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14:paraId="1220037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14:paraId="516C927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14:paraId="733D125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3BEC29E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为卡撒乡人居生活环境改善奠定基础</w:t>
      </w:r>
    </w:p>
    <w:p w14:paraId="0E4F8A7C">
      <w:pPr>
        <w:keepNext w:val="0"/>
        <w:keepLines w:val="0"/>
        <w:pageBreakBefore w:val="0"/>
        <w:widowControl w:val="0"/>
        <w:kinsoku/>
        <w:wordWrap/>
        <w:overflowPunct/>
        <w:topLinePunct w:val="0"/>
        <w:autoSpaceDE/>
        <w:autoSpaceDN/>
        <w:bidi w:val="0"/>
        <w:spacing w:line="578" w:lineRule="exact"/>
        <w:ind w:firstLine="640"/>
        <w:textAlignment w:val="auto"/>
        <w:outlineLvl w:val="1"/>
        <w:rPr>
          <w:rFonts w:hint="eastAsia" w:ascii="黑体" w:hAnsi="黑体" w:eastAsia="黑体" w:cs="黑体"/>
          <w:b w:val="0"/>
          <w:bCs w:val="0"/>
          <w:kern w:val="0"/>
          <w:position w:val="0"/>
          <w:sz w:val="32"/>
          <w:szCs w:val="32"/>
          <w:highlight w:val="none"/>
          <w:lang w:val="en-US" w:eastAsia="zh-CN" w:bidi="ar-SA"/>
        </w:rPr>
      </w:pPr>
      <w:bookmarkStart w:id="84" w:name="_Toc15694"/>
      <w:r>
        <w:rPr>
          <w:rFonts w:hint="eastAsia" w:ascii="黑体" w:hAnsi="黑体" w:eastAsia="黑体" w:cs="黑体"/>
          <w:b w:val="0"/>
          <w:bCs w:val="0"/>
          <w:kern w:val="0"/>
          <w:position w:val="0"/>
          <w:sz w:val="32"/>
          <w:szCs w:val="32"/>
          <w:highlight w:val="none"/>
          <w:lang w:val="en-US" w:eastAsia="zh-CN" w:bidi="ar-SA"/>
        </w:rPr>
        <w:t>四、评价结论</w:t>
      </w:r>
      <w:bookmarkEnd w:id="84"/>
    </w:p>
    <w:p w14:paraId="67E983D6">
      <w:pPr>
        <w:snapToGrid w:val="0"/>
        <w:spacing w:line="600" w:lineRule="exact"/>
        <w:ind w:firstLine="640" w:firstLineChars="200"/>
        <w:rPr>
          <w:rFonts w:ascii="Times New Roman" w:hAnsi="Times New Roman" w:cs="Times New Roman"/>
          <w:b w:val="0"/>
          <w:bCs w:val="0"/>
          <w:kern w:val="2"/>
          <w:position w:val="0"/>
          <w:sz w:val="32"/>
          <w:szCs w:val="32"/>
          <w:highlight w:val="none"/>
          <w:lang w:val="en-US" w:eastAsia="zh-CN" w:bidi="ar-SA"/>
        </w:rPr>
      </w:pPr>
      <w:r>
        <w:rPr>
          <w:rFonts w:hint="eastAsia" w:ascii="仿宋" w:eastAsia="仿宋"/>
          <w:sz w:val="32"/>
          <w:szCs w:val="32"/>
        </w:rPr>
        <w:t>本项目的</w:t>
      </w:r>
      <w:r>
        <w:rPr>
          <w:rFonts w:hint="eastAsia" w:ascii="仿宋" w:eastAsia="仿宋"/>
          <w:sz w:val="32"/>
          <w:szCs w:val="32"/>
          <w:lang w:val="en-US" w:eastAsia="zh-CN"/>
        </w:rPr>
        <w:t>该项目总体</w:t>
      </w:r>
      <w:r>
        <w:rPr>
          <w:rFonts w:hint="eastAsia" w:ascii="Times New Roman" w:hAnsi="Times New Roman" w:eastAsia="仿宋_GB2312" w:cs="Times New Roman"/>
          <w:kern w:val="2"/>
          <w:position w:val="0"/>
          <w:sz w:val="32"/>
          <w:szCs w:val="32"/>
          <w:lang w:val="en-US" w:eastAsia="zh-CN" w:bidi="ar-SA"/>
        </w:rPr>
        <w:t>评分</w:t>
      </w:r>
      <w:r>
        <w:rPr>
          <w:rFonts w:hint="eastAsia" w:cs="Times New Roman"/>
          <w:kern w:val="2"/>
          <w:position w:val="0"/>
          <w:sz w:val="32"/>
          <w:szCs w:val="32"/>
          <w:lang w:val="en-US" w:eastAsia="zh-CN" w:bidi="ar-SA"/>
        </w:rPr>
        <w:t>90</w:t>
      </w:r>
      <w:r>
        <w:rPr>
          <w:rFonts w:hint="eastAsia" w:ascii="Times New Roman" w:hAnsi="Times New Roman" w:eastAsia="仿宋_GB2312" w:cs="Times New Roman"/>
          <w:kern w:val="2"/>
          <w:position w:val="0"/>
          <w:sz w:val="32"/>
          <w:szCs w:val="32"/>
          <w:lang w:val="en-US" w:eastAsia="zh-CN" w:bidi="ar-SA"/>
        </w:rPr>
        <w:t>分，</w:t>
      </w:r>
      <w:r>
        <w:rPr>
          <w:rFonts w:hint="eastAsia" w:ascii="仿宋_GB2312" w:hAnsi="仿宋_GB2312" w:cs="仿宋_GB2312"/>
          <w:bCs/>
          <w:color w:val="auto"/>
          <w:sz w:val="32"/>
          <w:szCs w:val="32"/>
          <w:lang w:val="en-US" w:eastAsia="zh-CN"/>
        </w:rPr>
        <w:t>项目</w:t>
      </w:r>
      <w:r>
        <w:rPr>
          <w:rFonts w:hint="eastAsia" w:ascii="仿宋_GB2312" w:eastAsia="仿宋_GB2312" w:cs="仿宋_GB2312"/>
          <w:bCs/>
          <w:color w:val="auto"/>
          <w:sz w:val="32"/>
          <w:szCs w:val="32"/>
        </w:rPr>
        <w:t>评</w:t>
      </w:r>
      <w:r>
        <w:rPr>
          <w:rFonts w:hint="eastAsia" w:ascii="仿宋_GB2312" w:eastAsia="仿宋_GB2312" w:cs="仿宋_GB2312"/>
          <w:bCs/>
          <w:color w:val="auto"/>
          <w:sz w:val="32"/>
          <w:szCs w:val="32"/>
          <w:lang w:eastAsia="zh-CN"/>
        </w:rPr>
        <w:t>估等级</w:t>
      </w:r>
      <w:r>
        <w:rPr>
          <w:rFonts w:hint="eastAsia" w:ascii="仿宋_GB2312" w:hAnsi="仿宋_GB2312" w:cs="仿宋_GB2312"/>
          <w:bCs/>
          <w:color w:val="auto"/>
          <w:sz w:val="32"/>
          <w:szCs w:val="32"/>
          <w:lang w:eastAsia="zh-CN"/>
        </w:rPr>
        <w:t>优秀</w:t>
      </w:r>
      <w:r>
        <w:rPr>
          <w:rFonts w:hint="eastAsia" w:ascii="仿宋_GB2312" w:eastAsia="仿宋_GB2312" w:cs="仿宋_GB2312"/>
          <w:bCs/>
          <w:color w:val="auto"/>
          <w:sz w:val="32"/>
          <w:szCs w:val="32"/>
          <w:lang w:eastAsia="zh-CN"/>
        </w:rPr>
        <w:t>、</w:t>
      </w:r>
      <w:r>
        <w:rPr>
          <w:rFonts w:hint="eastAsia" w:ascii="仿宋" w:eastAsia="仿宋"/>
          <w:sz w:val="32"/>
          <w:szCs w:val="32"/>
        </w:rPr>
        <w:t>结合</w:t>
      </w:r>
      <w:r>
        <w:rPr>
          <w:rFonts w:hint="eastAsia" w:ascii="仿宋" w:eastAsia="仿宋"/>
          <w:sz w:val="32"/>
          <w:szCs w:val="32"/>
          <w:lang w:eastAsia="zh-CN"/>
        </w:rPr>
        <w:t>卡撒乡</w:t>
      </w:r>
      <w:r>
        <w:rPr>
          <w:rFonts w:hint="eastAsia" w:ascii="仿宋" w:eastAsia="仿宋"/>
          <w:sz w:val="32"/>
          <w:szCs w:val="32"/>
        </w:rPr>
        <w:t>乡村振兴发展目标。坚持统筹发展的原则，坚持因地制宜，科学规划的原则，坚持政府主导</w:t>
      </w:r>
      <w:r>
        <w:rPr>
          <w:rFonts w:hint="eastAsia" w:ascii="仿宋_GB2312" w:eastAsia="仿宋_GB2312" w:cs="仿宋_GB2312"/>
          <w:b/>
          <w:bCs/>
          <w:kern w:val="0"/>
          <w:szCs w:val="32"/>
        </w:rPr>
        <w:t>，</w:t>
      </w:r>
      <w:r>
        <w:rPr>
          <w:rFonts w:hint="eastAsia" w:ascii="仿宋" w:eastAsia="仿宋"/>
          <w:sz w:val="32"/>
          <w:szCs w:val="32"/>
        </w:rPr>
        <w:t>通过</w:t>
      </w:r>
      <w:r>
        <w:rPr>
          <w:rFonts w:hint="eastAsia" w:ascii="仿宋" w:eastAsia="仿宋" w:cs="Times New Roman"/>
          <w:sz w:val="32"/>
          <w:szCs w:val="32"/>
          <w:lang w:val="en-US" w:eastAsia="zh-CN"/>
        </w:rPr>
        <w:t>以上6个项目</w:t>
      </w:r>
      <w:r>
        <w:rPr>
          <w:rFonts w:hint="eastAsia" w:ascii="仿宋" w:eastAsia="仿宋"/>
          <w:sz w:val="32"/>
          <w:szCs w:val="32"/>
        </w:rPr>
        <w:t>进一步完善</w:t>
      </w:r>
      <w:r>
        <w:rPr>
          <w:rFonts w:hint="eastAsia" w:ascii="仿宋" w:eastAsia="仿宋"/>
          <w:sz w:val="32"/>
          <w:szCs w:val="32"/>
          <w:lang w:eastAsia="zh-CN"/>
        </w:rPr>
        <w:t>卡撒乡</w:t>
      </w:r>
      <w:r>
        <w:rPr>
          <w:rFonts w:hint="eastAsia" w:ascii="仿宋" w:eastAsia="仿宋"/>
          <w:sz w:val="32"/>
          <w:szCs w:val="32"/>
        </w:rPr>
        <w:t>基础设施建设，助力</w:t>
      </w:r>
      <w:r>
        <w:rPr>
          <w:rFonts w:hint="eastAsia" w:ascii="仿宋" w:eastAsia="仿宋"/>
          <w:sz w:val="32"/>
          <w:szCs w:val="32"/>
          <w:lang w:eastAsia="zh-CN"/>
        </w:rPr>
        <w:t>卡撒乡</w:t>
      </w:r>
      <w:r>
        <w:rPr>
          <w:rFonts w:hint="eastAsia" w:ascii="仿宋" w:eastAsia="仿宋"/>
          <w:sz w:val="32"/>
          <w:szCs w:val="32"/>
        </w:rPr>
        <w:t>经济、社会统一发展，更好的提高老百姓生产生活水平，助力乡村振兴，为深入挖掘</w:t>
      </w:r>
      <w:r>
        <w:rPr>
          <w:rFonts w:hint="eastAsia" w:ascii="仿宋" w:eastAsia="仿宋"/>
          <w:sz w:val="32"/>
          <w:szCs w:val="32"/>
          <w:lang w:eastAsia="zh-CN"/>
        </w:rPr>
        <w:t>卡撒</w:t>
      </w:r>
      <w:r>
        <w:rPr>
          <w:rFonts w:hint="eastAsia" w:ascii="仿宋" w:eastAsia="仿宋"/>
          <w:sz w:val="32"/>
          <w:szCs w:val="32"/>
        </w:rPr>
        <w:t>乡优势旅游资源奠定坚实基础、拓展全乡群众增收渠道。</w:t>
      </w:r>
    </w:p>
    <w:p w14:paraId="76D5F8A6">
      <w:pPr>
        <w:keepNext w:val="0"/>
        <w:keepLines w:val="0"/>
        <w:pageBreakBefore w:val="0"/>
        <w:widowControl w:val="0"/>
        <w:kinsoku/>
        <w:wordWrap/>
        <w:overflowPunct/>
        <w:topLinePunct w:val="0"/>
        <w:autoSpaceDE/>
        <w:autoSpaceDN/>
        <w:bidi w:val="0"/>
        <w:spacing w:line="578" w:lineRule="exact"/>
        <w:ind w:firstLine="640"/>
        <w:textAlignment w:val="auto"/>
        <w:outlineLvl w:val="1"/>
        <w:rPr>
          <w:rFonts w:hint="eastAsia" w:ascii="黑体" w:hAnsi="黑体" w:eastAsia="黑体" w:cs="黑体"/>
          <w:b w:val="0"/>
          <w:bCs w:val="0"/>
          <w:kern w:val="0"/>
          <w:position w:val="0"/>
          <w:sz w:val="32"/>
          <w:szCs w:val="32"/>
          <w:highlight w:val="none"/>
          <w:lang w:val="en-US" w:eastAsia="zh-CN" w:bidi="ar-SA"/>
        </w:rPr>
      </w:pPr>
      <w:bookmarkStart w:id="85" w:name="_Toc13492"/>
      <w:r>
        <w:rPr>
          <w:rFonts w:hint="eastAsia" w:ascii="黑体" w:hAnsi="黑体" w:eastAsia="黑体" w:cs="黑体"/>
          <w:b w:val="0"/>
          <w:bCs w:val="0"/>
          <w:kern w:val="0"/>
          <w:position w:val="0"/>
          <w:sz w:val="32"/>
          <w:szCs w:val="32"/>
          <w:highlight w:val="none"/>
          <w:lang w:val="en-US" w:eastAsia="zh-CN" w:bidi="ar-SA"/>
        </w:rPr>
        <w:t>五、存在主要问题</w:t>
      </w:r>
      <w:bookmarkEnd w:id="85"/>
    </w:p>
    <w:p w14:paraId="3F984CA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无。</w:t>
      </w:r>
    </w:p>
    <w:p w14:paraId="0079DC4F">
      <w:pPr>
        <w:keepNext w:val="0"/>
        <w:keepLines w:val="0"/>
        <w:pageBreakBefore w:val="0"/>
        <w:widowControl w:val="0"/>
        <w:kinsoku/>
        <w:wordWrap/>
        <w:overflowPunct/>
        <w:topLinePunct w:val="0"/>
        <w:autoSpaceDE/>
        <w:autoSpaceDN/>
        <w:bidi w:val="0"/>
        <w:spacing w:line="578" w:lineRule="exact"/>
        <w:ind w:firstLine="640"/>
        <w:textAlignment w:val="auto"/>
        <w:outlineLvl w:val="1"/>
        <w:rPr>
          <w:rFonts w:hint="eastAsia" w:ascii="黑体" w:hAnsi="黑体" w:eastAsia="黑体" w:cs="黑体"/>
          <w:b w:val="0"/>
          <w:bCs w:val="0"/>
          <w:kern w:val="0"/>
          <w:position w:val="0"/>
          <w:sz w:val="32"/>
          <w:szCs w:val="32"/>
          <w:highlight w:val="none"/>
          <w:lang w:val="zh-CN" w:eastAsia="zh-CN" w:bidi="ar-SA"/>
        </w:rPr>
      </w:pPr>
      <w:bookmarkStart w:id="86" w:name="_Toc32368"/>
      <w:r>
        <w:rPr>
          <w:rFonts w:hint="eastAsia" w:ascii="黑体" w:hAnsi="黑体" w:eastAsia="黑体" w:cs="黑体"/>
          <w:b w:val="0"/>
          <w:bCs w:val="0"/>
          <w:kern w:val="0"/>
          <w:position w:val="0"/>
          <w:sz w:val="32"/>
          <w:szCs w:val="32"/>
          <w:highlight w:val="none"/>
          <w:lang w:val="zh-CN" w:eastAsia="zh-CN" w:bidi="ar-SA"/>
        </w:rPr>
        <w:t>六、改进建议</w:t>
      </w:r>
      <w:bookmarkEnd w:id="86"/>
    </w:p>
    <w:p w14:paraId="6014DC5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无。</w:t>
      </w:r>
    </w:p>
    <w:p w14:paraId="6E7DF3D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D3CF86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87"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7111C231">
      <w:pPr>
        <w:widowControl/>
        <w:jc w:val="center"/>
        <w:outlineLvl w:val="0"/>
        <w:rPr>
          <w:rFonts w:hint="eastAsia" w:ascii="Times New Roman" w:hAnsi="Times New Roman" w:eastAsia="仿宋"/>
          <w:b w:val="0"/>
          <w:color w:val="auto"/>
          <w:highlight w:val="none"/>
        </w:rPr>
      </w:pPr>
      <w:bookmarkStart w:id="88" w:name="_Toc28190"/>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73"/>
      <w:bookmarkEnd w:id="87"/>
      <w:bookmarkEnd w:id="88"/>
      <w:bookmarkStart w:id="89" w:name="_Toc15396619"/>
    </w:p>
    <w:p w14:paraId="235ADD3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CB476C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89"/>
    </w:p>
    <w:p w14:paraId="0B8F218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0" w:name="_Toc15396620"/>
      <w:r>
        <w:rPr>
          <w:rFonts w:hint="eastAsia" w:ascii="Times New Roman" w:hAnsi="Times New Roman" w:eastAsia="仿宋_GB2312" w:cs="仿宋_GB2312"/>
          <w:color w:val="auto"/>
          <w:sz w:val="32"/>
          <w:szCs w:val="32"/>
          <w:highlight w:val="none"/>
        </w:rPr>
        <w:t>二、收入决算表</w:t>
      </w:r>
      <w:bookmarkEnd w:id="90"/>
    </w:p>
    <w:p w14:paraId="4B7F8CA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1" w:name="_Toc15396621"/>
      <w:r>
        <w:rPr>
          <w:rFonts w:hint="eastAsia" w:ascii="Times New Roman" w:hAnsi="Times New Roman" w:eastAsia="仿宋_GB2312" w:cs="仿宋_GB2312"/>
          <w:color w:val="auto"/>
          <w:sz w:val="32"/>
          <w:szCs w:val="32"/>
          <w:highlight w:val="none"/>
        </w:rPr>
        <w:t>三、支出决算表</w:t>
      </w:r>
      <w:bookmarkEnd w:id="91"/>
    </w:p>
    <w:p w14:paraId="5E8AFED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2" w:name="_Toc15396622"/>
      <w:r>
        <w:rPr>
          <w:rFonts w:hint="eastAsia" w:ascii="Times New Roman" w:hAnsi="Times New Roman" w:eastAsia="仿宋_GB2312" w:cs="仿宋_GB2312"/>
          <w:color w:val="auto"/>
          <w:sz w:val="32"/>
          <w:szCs w:val="32"/>
          <w:highlight w:val="none"/>
        </w:rPr>
        <w:t>四、财政拨款收入支出决算总表</w:t>
      </w:r>
      <w:bookmarkEnd w:id="92"/>
    </w:p>
    <w:p w14:paraId="404E2A5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3" w:name="_Toc15396623"/>
      <w:r>
        <w:rPr>
          <w:rFonts w:hint="eastAsia" w:ascii="Times New Roman" w:hAnsi="Times New Roman" w:eastAsia="仿宋_GB2312" w:cs="仿宋_GB2312"/>
          <w:color w:val="auto"/>
          <w:sz w:val="32"/>
          <w:szCs w:val="32"/>
          <w:highlight w:val="none"/>
        </w:rPr>
        <w:t>五、财政拨款支出决算明细表</w:t>
      </w:r>
      <w:bookmarkEnd w:id="93"/>
      <w:bookmarkStart w:id="94" w:name="_Toc15396624"/>
    </w:p>
    <w:p w14:paraId="0B38C26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94"/>
    </w:p>
    <w:p w14:paraId="2A42330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5" w:name="_Toc15396625"/>
      <w:r>
        <w:rPr>
          <w:rFonts w:hint="eastAsia" w:ascii="Times New Roman" w:hAnsi="Times New Roman" w:eastAsia="仿宋_GB2312" w:cs="仿宋_GB2312"/>
          <w:color w:val="auto"/>
          <w:sz w:val="32"/>
          <w:szCs w:val="32"/>
          <w:highlight w:val="none"/>
        </w:rPr>
        <w:t>七、一般公共预算财政拨款支出决算明细表</w:t>
      </w:r>
      <w:bookmarkEnd w:id="95"/>
    </w:p>
    <w:p w14:paraId="4669C23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6" w:name="_Toc15396626"/>
      <w:r>
        <w:rPr>
          <w:rFonts w:hint="eastAsia" w:ascii="Times New Roman" w:hAnsi="Times New Roman" w:eastAsia="仿宋_GB2312" w:cs="仿宋_GB2312"/>
          <w:color w:val="auto"/>
          <w:sz w:val="32"/>
          <w:szCs w:val="32"/>
          <w:highlight w:val="none"/>
        </w:rPr>
        <w:t>八、一般公共预算财政拨款基本支出决算表</w:t>
      </w:r>
      <w:bookmarkEnd w:id="96"/>
    </w:p>
    <w:p w14:paraId="138119C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7" w:name="_Toc15396627"/>
      <w:r>
        <w:rPr>
          <w:rFonts w:hint="eastAsia" w:ascii="Times New Roman" w:hAnsi="Times New Roman" w:eastAsia="仿宋_GB2312" w:cs="仿宋_GB2312"/>
          <w:color w:val="auto"/>
          <w:sz w:val="32"/>
          <w:szCs w:val="32"/>
          <w:highlight w:val="none"/>
        </w:rPr>
        <w:t>九、一般公共预算财政拨款项目支出决算表</w:t>
      </w:r>
      <w:bookmarkEnd w:id="97"/>
    </w:p>
    <w:p w14:paraId="559B265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8" w:name="_Toc15396628"/>
      <w:r>
        <w:rPr>
          <w:rFonts w:hint="eastAsia" w:ascii="Times New Roman" w:hAnsi="Times New Roman" w:eastAsia="仿宋_GB2312" w:cs="仿宋_GB2312"/>
          <w:color w:val="auto"/>
          <w:sz w:val="32"/>
          <w:szCs w:val="32"/>
          <w:highlight w:val="none"/>
        </w:rPr>
        <w:t>十、</w:t>
      </w:r>
      <w:bookmarkEnd w:id="98"/>
      <w:r>
        <w:rPr>
          <w:rFonts w:hint="eastAsia" w:ascii="Times New Roman" w:hAnsi="Times New Roman" w:eastAsia="仿宋_GB2312" w:cs="仿宋_GB2312"/>
          <w:color w:val="auto"/>
          <w:sz w:val="32"/>
          <w:szCs w:val="32"/>
          <w:highlight w:val="none"/>
        </w:rPr>
        <w:t>政府性基金预算财政拨款收入支出决算表</w:t>
      </w:r>
    </w:p>
    <w:p w14:paraId="6E42ED8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9" w:name="_Toc15396629"/>
      <w:r>
        <w:rPr>
          <w:rFonts w:hint="eastAsia" w:ascii="Times New Roman" w:hAnsi="Times New Roman" w:eastAsia="仿宋_GB2312" w:cs="仿宋_GB2312"/>
          <w:color w:val="auto"/>
          <w:sz w:val="32"/>
          <w:szCs w:val="32"/>
          <w:highlight w:val="none"/>
        </w:rPr>
        <w:t>十一、</w:t>
      </w:r>
      <w:bookmarkEnd w:id="9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5365A9F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0" w:name="_Toc15396630"/>
      <w:r>
        <w:rPr>
          <w:rFonts w:hint="eastAsia" w:ascii="Times New Roman" w:hAnsi="Times New Roman" w:eastAsia="仿宋_GB2312" w:cs="仿宋_GB2312"/>
          <w:color w:val="auto"/>
          <w:sz w:val="32"/>
          <w:szCs w:val="32"/>
          <w:highlight w:val="none"/>
        </w:rPr>
        <w:t>十二、</w:t>
      </w:r>
      <w:bookmarkEnd w:id="100"/>
      <w:r>
        <w:rPr>
          <w:rFonts w:hint="eastAsia" w:ascii="Times New Roman" w:hAnsi="Times New Roman" w:eastAsia="仿宋_GB2312" w:cs="仿宋_GB2312"/>
          <w:color w:val="auto"/>
          <w:sz w:val="32"/>
          <w:szCs w:val="32"/>
          <w:highlight w:val="none"/>
          <w:lang w:eastAsia="zh-CN"/>
        </w:rPr>
        <w:t>国有资本经营预算财政拨款支出决算表</w:t>
      </w:r>
    </w:p>
    <w:p w14:paraId="61D19D9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101" w:name="_Toc15396631"/>
      <w:r>
        <w:rPr>
          <w:rFonts w:hint="eastAsia" w:ascii="Times New Roman" w:hAnsi="Times New Roman" w:eastAsia="仿宋_GB2312" w:cs="仿宋_GB2312"/>
          <w:color w:val="auto"/>
          <w:sz w:val="32"/>
          <w:szCs w:val="32"/>
          <w:highlight w:val="none"/>
        </w:rPr>
        <w:t>十三、</w:t>
      </w:r>
      <w:bookmarkEnd w:id="101"/>
      <w:r>
        <w:rPr>
          <w:rFonts w:hint="eastAsia" w:ascii="Times New Roman" w:hAnsi="Times New Roman" w:eastAsia="仿宋_GB2312" w:cs="仿宋_GB2312"/>
          <w:color w:val="auto"/>
          <w:sz w:val="32"/>
          <w:szCs w:val="32"/>
          <w:highlight w:val="none"/>
          <w:lang w:eastAsia="zh-CN"/>
        </w:rPr>
        <w:t>财政拨款“三公”经费支出决算表</w:t>
      </w:r>
    </w:p>
    <w:p w14:paraId="2AF3D8F9">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AR PL UKai CN">
    <w:altName w:val="HelveticaNeue LT 43 LightEx"/>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楷体_GB2312">
    <w:panose1 w:val="02010609030101010101"/>
    <w:charset w:val="86"/>
    <w:family w:val="auto"/>
    <w:pitch w:val="default"/>
    <w:sig w:usb0="00000001" w:usb1="080E0000" w:usb2="00000000" w:usb3="00000000" w:csb0="00040000" w:csb1="00000000"/>
  </w:font>
  <w:font w:name="HelveticaNeue LT 43 LightEx">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12FB1">
    <w:pPr>
      <w:pStyle w:val="10"/>
      <w:jc w:val="center"/>
    </w:pPr>
  </w:p>
  <w:p w14:paraId="407FB1F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3E17E">
    <w:pPr>
      <w:pStyle w:val="10"/>
      <w:jc w:val="center"/>
    </w:pPr>
  </w:p>
  <w:p w14:paraId="3F97F078">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FFC2">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2B16">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8CB5A"/>
    <w:multiLevelType w:val="singleLevel"/>
    <w:tmpl w:val="9A98CB5A"/>
    <w:lvl w:ilvl="0" w:tentative="0">
      <w:start w:val="16"/>
      <w:numFmt w:val="decimal"/>
      <w:lvlText w:val="%1."/>
      <w:lvlJc w:val="left"/>
      <w:pPr>
        <w:tabs>
          <w:tab w:val="left" w:pos="312"/>
        </w:tabs>
      </w:pPr>
    </w:lvl>
  </w:abstractNum>
  <w:abstractNum w:abstractNumId="1">
    <w:nsid w:val="F9A8D1B0"/>
    <w:multiLevelType w:val="singleLevel"/>
    <w:tmpl w:val="F9A8D1B0"/>
    <w:lvl w:ilvl="0" w:tentative="0">
      <w:start w:val="2"/>
      <w:numFmt w:val="chineseCounting"/>
      <w:suff w:val="nothing"/>
      <w:lvlText w:val="（%1）"/>
      <w:lvlJc w:val="left"/>
      <w:rPr>
        <w:rFonts w:hint="eastAsia"/>
      </w:rPr>
    </w:lvl>
  </w:abstractNum>
  <w:abstractNum w:abstractNumId="2">
    <w:nsid w:val="0C02E511"/>
    <w:multiLevelType w:val="singleLevel"/>
    <w:tmpl w:val="0C02E511"/>
    <w:lvl w:ilvl="0" w:tentative="0">
      <w:start w:val="1"/>
      <w:numFmt w:val="chineseCounting"/>
      <w:suff w:val="nothing"/>
      <w:lvlText w:val="%1、"/>
      <w:lvlJc w:val="left"/>
      <w:rPr>
        <w:rFonts w:hint="eastAsia"/>
      </w:rPr>
    </w:lvl>
  </w:abstractNum>
  <w:abstractNum w:abstractNumId="3">
    <w:nsid w:val="1A05F136"/>
    <w:multiLevelType w:val="singleLevel"/>
    <w:tmpl w:val="1A05F136"/>
    <w:lvl w:ilvl="0" w:tentative="0">
      <w:start w:val="4"/>
      <w:numFmt w:val="chineseCounting"/>
      <w:suff w:val="space"/>
      <w:lvlText w:val="第%1部分"/>
      <w:lvlJc w:val="left"/>
      <w:pPr>
        <w:tabs>
          <w:tab w:val="left" w:pos="0"/>
        </w:tabs>
        <w:ind w:left="0" w:firstLine="0"/>
      </w:pPr>
      <w:rPr>
        <w:rFonts w:hint="eastAsia"/>
      </w:rPr>
    </w:lvl>
  </w:abstractNum>
  <w:abstractNum w:abstractNumId="4">
    <w:nsid w:val="3761A6F4"/>
    <w:multiLevelType w:val="singleLevel"/>
    <w:tmpl w:val="3761A6F4"/>
    <w:lvl w:ilvl="0" w:tentative="0">
      <w:start w:val="2"/>
      <w:numFmt w:val="chineseCounting"/>
      <w:suff w:val="nothing"/>
      <w:lvlText w:val="（%1）"/>
      <w:lvlJc w:val="left"/>
      <w:rPr>
        <w:rFonts w:hint="eastAsia"/>
      </w:r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wYWNmNmM2NDNkYmNlMDNjODIzMWZmZTJlYjkwMz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09479C"/>
    <w:rsid w:val="02BA0BD5"/>
    <w:rsid w:val="02FEBE30"/>
    <w:rsid w:val="04916F1E"/>
    <w:rsid w:val="061E35DE"/>
    <w:rsid w:val="066E0107"/>
    <w:rsid w:val="07996F6E"/>
    <w:rsid w:val="07DFD8BA"/>
    <w:rsid w:val="09867E8F"/>
    <w:rsid w:val="0A2032A3"/>
    <w:rsid w:val="0CA8290A"/>
    <w:rsid w:val="0D35B1ED"/>
    <w:rsid w:val="0D676AC1"/>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8A64941"/>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96B07"/>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6B78D5"/>
    <w:rsid w:val="62BF3928"/>
    <w:rsid w:val="63627D71"/>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1E2DCD"/>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table of figures1"/>
    <w:basedOn w:val="1"/>
    <w:next w:val="1"/>
    <w:qFormat/>
    <w:uiPriority w:val="0"/>
    <w:pPr>
      <w:spacing w:before="100" w:beforeAutospacing="1" w:after="100" w:afterAutospacing="1"/>
      <w:ind w:left="400" w:leftChars="200" w:hanging="200" w:hangingChars="20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next w:val="1"/>
    <w:unhideWhenUsed/>
    <w:qFormat/>
    <w:uiPriority w:val="99"/>
    <w:pPr>
      <w:ind w:firstLine="420" w:firstLine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table of figures"/>
    <w:basedOn w:val="1"/>
    <w:next w:val="1"/>
    <w:qFormat/>
    <w:uiPriority w:val="0"/>
    <w:pPr>
      <w:spacing w:before="100" w:beforeLines="0" w:beforeAutospacing="1" w:after="100" w:afterLines="0" w:afterAutospacing="1"/>
      <w:ind w:left="200" w:leftChars="200" w:hanging="200" w:hangingChars="200"/>
    </w:pPr>
  </w:style>
  <w:style w:type="paragraph" w:customStyle="1" w:styleId="37">
    <w:name w:val="WPSOffice手动目录 1"/>
    <w:uiPriority w:val="0"/>
    <w:pPr>
      <w:ind w:leftChars="0"/>
    </w:pPr>
    <w:rPr>
      <w:rFonts w:asciiTheme="minorHAnsi" w:hAnsiTheme="minorHAnsi" w:eastAsiaTheme="minorEastAsia" w:cstheme="minorBidi"/>
      <w:sz w:val="20"/>
      <w:szCs w:val="20"/>
    </w:rPr>
  </w:style>
  <w:style w:type="paragraph" w:customStyle="1" w:styleId="38">
    <w:name w:val="WPSOffice手动目录 2"/>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spc="150" baseline="0">
                <a:solidFill>
                  <a:schemeClr val="tx1">
                    <a:lumMod val="50000"/>
                    <a:lumOff val="50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2217"/>
          <c:y val="0.25768379641013"/>
          <c:w val="0.77455"/>
          <c:h val="0.670125399557413"/>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a:innerShdw blurRad="114300">
                <a:schemeClr val="accent1"/>
              </a:innerShdw>
            </a:effectLst>
          </c:spPr>
          <c:invertIfNegative val="0"/>
          <c:dLbls>
            <c:delete val="1"/>
          </c:dLbls>
          <c:cat>
            <c:strRef>
              <c:f>Sheet1!$A$2:$A$3</c:f>
              <c:strCache>
                <c:ptCount val="2"/>
                <c:pt idx="0">
                  <c:v>2023年 </c:v>
                </c:pt>
                <c:pt idx="1">
                  <c:v>2024年</c:v>
                </c:pt>
              </c:strCache>
            </c:strRef>
          </c:cat>
          <c:val>
            <c:numRef>
              <c:f>Sheet1!$B$2:$B$3</c:f>
              <c:numCache>
                <c:formatCode>General</c:formatCode>
                <c:ptCount val="2"/>
                <c:pt idx="0">
                  <c:v>1417.21</c:v>
                </c:pt>
                <c:pt idx="1">
                  <c:v>1405.1</c:v>
                </c:pt>
              </c:numCache>
            </c:numRef>
          </c:val>
        </c:ser>
        <c:ser>
          <c:idx val="1"/>
          <c:order val="1"/>
          <c:tx>
            <c:strRef>
              <c:f>Sheet1!$C$1</c:f>
              <c:strCache>
                <c:ptCount val="1"/>
                <c:pt idx="0">
                  <c:v>总支出</c:v>
                </c:pt>
              </c:strCache>
            </c:strRef>
          </c:tx>
          <c:spPr>
            <a:solidFill>
              <a:schemeClr val="accent2"/>
            </a:solidFill>
            <a:ln>
              <a:noFill/>
            </a:ln>
            <a:effectLst>
              <a:innerShdw blurRad="114300">
                <a:schemeClr val="accent2"/>
              </a:innerShdw>
            </a:effectLst>
          </c:spPr>
          <c:invertIfNegative val="0"/>
          <c:dLbls>
            <c:delete val="1"/>
          </c:dLbls>
          <c:cat>
            <c:strRef>
              <c:f>Sheet1!$A$2:$A$3</c:f>
              <c:strCache>
                <c:ptCount val="2"/>
                <c:pt idx="0">
                  <c:v>2023年 </c:v>
                </c:pt>
                <c:pt idx="1">
                  <c:v>2024年</c:v>
                </c:pt>
              </c:strCache>
            </c:strRef>
          </c:cat>
          <c:val>
            <c:numRef>
              <c:f>Sheet1!$C$2:$C$3</c:f>
              <c:numCache>
                <c:formatCode>General</c:formatCode>
                <c:ptCount val="2"/>
                <c:pt idx="0">
                  <c:v>1417.21</c:v>
                </c:pt>
                <c:pt idx="1">
                  <c:v>1405.1</c:v>
                </c:pt>
              </c:numCache>
            </c:numRef>
          </c:val>
        </c:ser>
        <c:dLbls>
          <c:showLegendKey val="0"/>
          <c:showVal val="1"/>
          <c:showCatName val="0"/>
          <c:showSerName val="0"/>
          <c:showPercent val="0"/>
          <c:showBubbleSize val="0"/>
        </c:dLbls>
        <c:gapWidth val="150"/>
        <c:overlap val="0"/>
        <c:axId val="122587392"/>
        <c:axId val="122605568"/>
      </c:barChart>
      <c:catAx>
        <c:axId val="122587392"/>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605568"/>
        <c:crosses val="autoZero"/>
        <c:auto val="1"/>
        <c:lblAlgn val="ctr"/>
        <c:lblOffset val="100"/>
        <c:noMultiLvlLbl val="0"/>
      </c:catAx>
      <c:valAx>
        <c:axId val="122605568"/>
        <c:scaling>
          <c:orientation val="minMax"/>
          <c:max val="4500"/>
          <c:min val="0"/>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587392"/>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ba1db0e-6001-4747-b1da-944002bd85d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1405.1</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773d6956-ed7e-4dcd-9b5a-2041ac1d324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 (2)'!$B$1</c:f>
              <c:strCache>
                <c:ptCount val="1"/>
                <c:pt idx="0">
                  <c:v>支出决算结构图</c:v>
                </c:pt>
              </c:strCache>
            </c:strRef>
          </c:tx>
          <c:spPr/>
          <c:explosion val="0"/>
          <c:dPt>
            <c:idx val="0"/>
            <c:bubble3D val="0"/>
            <c:explosion val="9"/>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1"/>
              <c:layout>
                <c:manualLayout>
                  <c:x val="0.0152841168384481"/>
                  <c:y val="-0.030852178329439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418.32</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(2)'!$A$2:$A$3</c:f>
              <c:strCache>
                <c:ptCount val="2"/>
                <c:pt idx="0">
                  <c:v>基本支出</c:v>
                </c:pt>
                <c:pt idx="1">
                  <c:v>项目支出</c:v>
                </c:pt>
              </c:strCache>
            </c:strRef>
          </c:cat>
          <c:val>
            <c:numRef>
              <c:f>'Sheet1 (2)'!$B$2:$B$3</c:f>
              <c:numCache>
                <c:formatCode>General</c:formatCode>
                <c:ptCount val="2"/>
                <c:pt idx="0">
                  <c:v>968.78</c:v>
                </c:pt>
                <c:pt idx="1">
                  <c:v>418.32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2b84797f-6d93-41da-a124-35508c31b7f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2023年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1417.2</c:v>
                </c:pt>
                <c:pt idx="1">
                  <c:v>1417.2</c:v>
                </c:pt>
              </c:numCache>
            </c:numRef>
          </c:val>
        </c:ser>
        <c:ser>
          <c:idx val="1"/>
          <c:order val="1"/>
          <c:tx>
            <c:strRef>
              <c:f>'Sheet1 (4)'!$A$3</c:f>
              <c:strCache>
                <c:ptCount val="1"/>
                <c:pt idx="0">
                  <c:v>2024年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1405.1</c:v>
                </c:pt>
                <c:pt idx="1">
                  <c:v>1405.1</c:v>
                </c:pt>
              </c:numCache>
            </c:numRef>
          </c:val>
        </c:ser>
        <c:dLbls>
          <c:showLegendKey val="0"/>
          <c:showVal val="1"/>
          <c:showCatName val="0"/>
          <c:showSerName val="0"/>
          <c:showPercent val="0"/>
          <c:showBubbleSize val="0"/>
        </c:dLbls>
        <c:gapWidth val="219"/>
        <c:overlap val="-27"/>
        <c:axId val="126227200"/>
        <c:axId val="126228736"/>
      </c:barChart>
      <c:catAx>
        <c:axId val="126227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8736"/>
        <c:crosses val="autoZero"/>
        <c:auto val="1"/>
        <c:lblAlgn val="ctr"/>
        <c:lblOffset val="100"/>
        <c:noMultiLvlLbl val="0"/>
      </c:catAx>
      <c:valAx>
        <c:axId val="1262287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7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29872922-ac06-44d4-9ee3-72971455169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财政拨款支出决算变动情况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2023年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1417.2</c:v>
                </c:pt>
                <c:pt idx="1">
                  <c:v>1417.2</c:v>
                </c:pt>
              </c:numCache>
            </c:numRef>
          </c:val>
        </c:ser>
        <c:ser>
          <c:idx val="1"/>
          <c:order val="1"/>
          <c:tx>
            <c:strRef>
              <c:f>'Sheet1 (4)'!$A$3</c:f>
              <c:strCache>
                <c:ptCount val="1"/>
                <c:pt idx="0">
                  <c:v>2024年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1405.1</c:v>
                </c:pt>
                <c:pt idx="1">
                  <c:v>1405.1</c:v>
                </c:pt>
              </c:numCache>
            </c:numRef>
          </c:val>
        </c:ser>
        <c:dLbls>
          <c:showLegendKey val="0"/>
          <c:showVal val="1"/>
          <c:showCatName val="0"/>
          <c:showSerName val="0"/>
          <c:showPercent val="0"/>
          <c:showBubbleSize val="0"/>
        </c:dLbls>
        <c:gapWidth val="219"/>
        <c:overlap val="-27"/>
        <c:axId val="126227200"/>
        <c:axId val="126228736"/>
      </c:barChart>
      <c:catAx>
        <c:axId val="12622720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8736"/>
        <c:crosses val="autoZero"/>
        <c:auto val="1"/>
        <c:lblAlgn val="ctr"/>
        <c:lblOffset val="100"/>
        <c:noMultiLvlLbl val="0"/>
      </c:catAx>
      <c:valAx>
        <c:axId val="12622873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622720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eed8f4c8-2e1d-431f-a95e-0000780f59a2}"/>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支出结构表</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Sheet1!$A$2:$A$8</c:f>
              <c:strCache>
                <c:ptCount val="7"/>
                <c:pt idx="0">
                  <c:v>一般公共服务支出</c:v>
                </c:pt>
                <c:pt idx="1">
                  <c:v>社会保障和就业支出</c:v>
                </c:pt>
                <c:pt idx="2">
                  <c:v>卫生健康支出</c:v>
                </c:pt>
                <c:pt idx="3">
                  <c:v>节能环保支出</c:v>
                </c:pt>
                <c:pt idx="4">
                  <c:v>农林水支出</c:v>
                </c:pt>
                <c:pt idx="5">
                  <c:v>水利支出</c:v>
                </c:pt>
                <c:pt idx="6">
                  <c:v>住房保障支出</c:v>
                </c:pt>
              </c:strCache>
            </c:strRef>
          </c:cat>
          <c:val>
            <c:numRef>
              <c:f>Sheet1!$B$2:$B$8</c:f>
              <c:numCache>
                <c:formatCode>General</c:formatCode>
                <c:ptCount val="7"/>
                <c:pt idx="0">
                  <c:v>391.03</c:v>
                </c:pt>
                <c:pt idx="1">
                  <c:v>147.93</c:v>
                </c:pt>
                <c:pt idx="2">
                  <c:v>47.46</c:v>
                </c:pt>
                <c:pt idx="3">
                  <c:v>14.47</c:v>
                </c:pt>
                <c:pt idx="4">
                  <c:v>736.83</c:v>
                </c:pt>
                <c:pt idx="5">
                  <c:v>10</c:v>
                </c:pt>
                <c:pt idx="6">
                  <c:v>67.39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e851707-8f69-4192-9374-5bafa471902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en-US" altLang="zh-CN"/>
              <a:t>“</a:t>
            </a:r>
            <a:r>
              <a:rPr altLang="en-US">
                <a:ea typeface="宋体" panose="02010600030101010101" charset="-122"/>
              </a:rPr>
              <a:t>三公</a:t>
            </a:r>
            <a:r>
              <a:rPr lang="en-US" altLang="zh-CN"/>
              <a:t>”</a:t>
            </a:r>
            <a:r>
              <a:rPr altLang="en-US">
                <a:ea typeface="宋体" panose="02010600030101010101" charset="-122"/>
              </a:rPr>
              <a:t>经费财政拨款支出结构</a:t>
            </a:r>
            <a:endParaRPr altLang="en-US">
              <a:ea typeface="宋体" panose="02010600030101010101" charset="-122"/>
            </a:endParaRPr>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9</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a:t>
                    </a:r>
                    <a:r>
                      <a:t>0</a:t>
                    </a:r>
                    <a:r>
                      <a:rPr lang="en-US" altLang="zh-CN"/>
                      <a:t>%</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“三公”经费财政拨款支出</c:v>
                </c:pt>
              </c:strCache>
            </c:strRef>
          </c:cat>
          <c:val>
            <c:numRef>
              <c:f>'Sheet1 (2)'!$B$2:$B$3</c:f>
              <c:numCache>
                <c:formatCode>General</c:formatCode>
                <c:ptCount val="2"/>
                <c:pt idx="0">
                  <c:v>9</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1"/>
        <c:delete val="1"/>
      </c:legendEntry>
      <c:layout>
        <c:manualLayout>
          <c:xMode val="edge"/>
          <c:yMode val="edge"/>
          <c:x val="0.354998818246277"/>
          <c:y val="0.874130903859986"/>
          <c:w val="0.298510990309619"/>
          <c:h val="0.097099017022296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extLst>
      <c:ext uri="{0b15fc19-7d7d-44ad-8c2d-2c3a37ce22c3}">
        <chartProps xmlns="https://web.wps.cn/et/2018/main" chartId="{73eaeafe-9b78-4ba3-a40d-95b1af46a2a6}"/>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6718</Words>
  <Characters>7434</Characters>
  <Lines>61</Lines>
  <Paragraphs>17</Paragraphs>
  <TotalTime>0</TotalTime>
  <ScaleCrop>false</ScaleCrop>
  <LinksUpToDate>false</LinksUpToDate>
  <CharactersWithSpaces>7562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WPS_1688009564</cp:lastModifiedBy>
  <cp:lastPrinted>2025-08-06T17:34:00Z</cp:lastPrinted>
  <dcterms:modified xsi:type="dcterms:W3CDTF">2025-08-27T03:46:33Z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04787F2533EB45DC91BCDE4AB213247F</vt:lpwstr>
  </property>
  <property fmtid="{D5CDD505-2E9C-101B-9397-08002B2CF9AE}" pid="4" name="KSOTemplateDocerSaveRecord">
    <vt:lpwstr>eyJoZGlkIjoiM2JmOTU0NDBjMDY3NjY1MjNkZTk1NjZmM2U5NTA0NGMiLCJ1c2VySWQiOiIxNTEwNDQ3NDkxIn0=</vt:lpwstr>
  </property>
</Properties>
</file>