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2024年卡撒乡人民政府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2024年，我单位部门预算1005.13万元 ，均严格按绩效管理要求实现项目绩效目标管理，其中重点项目预算4个，现将情况说明如下：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完成了2024年本级部门预算整体绩效目标申报和4个项目预算绩效目标申报，并编报4个项目预算事前绩效评估报告。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感染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重点项目1：卡撒乡人民政府办公室日常公用经费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6个村的公务运行维护费7万元/年/村，共计49万元（其中三埂子村为两个村合并共计14万元）；党建费2万元/年/村，共计14万元（其中三埂子村为两个村合并共计4万元）；办公费2万元/年/村，共计14万元（其中三埂子村为两个村合并共计4万元）。以上合计77万元（大写：柒拾柒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重点项目3：卡撒乡党委办公室日常公用经费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重点项目4：卡撒乡人大办公室日常公用经费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重点项目5：卡撒乡综合服务中心日常公用经费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mViODc4NjFmY2NmMGQwOTA2YTgyMWJjNjJhOGU3OT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3</Pages>
  <Words>1340</Words>
  <Characters>1361</Characters>
  <Lines>65</Lines>
  <Paragraphs>26</Paragraphs>
  <CharactersWithSpaces>1363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2024-03-13T09:05:44Z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441C60976FD9440EAFE5F6831675C7E4_12</vt:lpwstr>
  </property>
</Properties>
</file>