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96475"/>
      <w:bookmarkStart w:id="3" w:name="_Toc15377193"/>
      <w:bookmarkStart w:id="4" w:name="_Toc15377425"/>
      <w:bookmarkStart w:id="5" w:name="_Toc12796"/>
      <w:bookmarkStart w:id="6" w:name="_Toc15378441"/>
      <w:bookmarkStart w:id="7" w:name="_Toc5053"/>
      <w:r>
        <w:rPr>
          <w:rFonts w:ascii="方正仿宋_GBK" w:eastAsia="方正仿宋_GBK" w:cs="方正仿宋_GBK" w:hint="eastAsia"/>
          <w:i w:val="0"/>
          <w:iCs w:val="0"/>
          <w:caps w:val="0"/>
          <w:smallCaps w:val="0"/>
          <w:color w:val="auto"/>
          <w:spacing w:val="0"/>
          <w:kern w:val="0"/>
          <w:sz w:val="32"/>
          <w:szCs w:val="32"/>
          <w:shd w:val="clear" w:color="auto" w:fill="auto"/>
          <w:lang w:val="en-US" w:eastAsia="zh-CN"/>
        </w:rPr>
        <w:drawing>
          <wp:anchor distT="0" distB="0" distL="114300" distR="114300" simplePos="0" relativeHeight="2" behindDoc="1" locked="0" layoutInCell="1" hidden="0" allowOverlap="1">
            <wp:simplePos x="0" y="0"/>
            <wp:positionH relativeFrom="column">
              <wp:posOffset>1692275</wp:posOffset>
            </wp:positionH>
            <wp:positionV relativeFrom="paragraph">
              <wp:posOffset>532130</wp:posOffset>
            </wp:positionV>
            <wp:extent cx="1924050" cy="1924050"/>
            <wp:effectExtent l="0" t="0" r="0" b="0"/>
            <wp:wrapNone/>
            <wp:docPr id="1" name="图片 3" descr="aacb8a755363e7791d21cec77d61573"/>
            <wp:cNvGraphicFramePr>
              <a:graphicFrameLocks noChangeAspect="1"/>
            </wp:cNvGraphicFramePr>
            <a:graphic>
              <a:graphicData uri="http://schemas.openxmlformats.org/drawingml/2006/picture">
                <pic:pic>
                  <pic:nvPicPr>
                    <pic:cNvPr id="3" name="图片 3 3"/>
                    <pic:cNvPicPr/>
                  </pic:nvPicPr>
                  <pic:blipFill>
                    <a:blip r:embed="rId4"/>
                    <a:stretch>
                      <a:fillRect/>
                    </a:stretch>
                  </pic:blipFill>
                  <pic:spPr>
                    <a:xfrm rot="0">
                      <a:off x="0" y="0"/>
                      <a:ext cx="1924050" cy="1924050"/>
                    </a:xfrm>
                    <a:prstGeom prst="rect"/>
                    <a:noFill/>
                    <a:ln w="9525" cmpd="sng" cap="flat">
                      <a:noFill/>
                      <a:prstDash val="solid"/>
                      <a:miter/>
                    </a:ln>
                  </pic:spPr>
                </pic:pic>
              </a:graphicData>
            </a:graphic>
          </wp:anchor>
        </w:drawing>
      </w:r>
      <w:r>
        <w:rPr>
          <w:rFonts w:ascii="黑体" w:eastAsia="黑体" w:hint="eastAsia"/>
          <w:color w:val="000000"/>
          <w:sz w:val="72"/>
          <w:szCs w:val="72"/>
          <w:lang w:eastAsia="zh-CN"/>
        </w:rPr>
        <w:t>2022年</w:t>
      </w:r>
      <w:r>
        <w:rPr>
          <w:rFonts w:ascii="方正小标宋简体" w:eastAsia="方正小标宋简体" w:hint="eastAsia"/>
          <w:color w:val="000000"/>
          <w:sz w:val="72"/>
          <w:szCs w:val="72"/>
        </w:rPr>
        <w:t>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eastAsia="方正小标宋简体"/>
          <w:color w:val="000000"/>
          <w:sz w:val="72"/>
          <w:szCs w:val="72"/>
        </w:rPr>
      </w:pPr>
      <w:bookmarkStart w:id="8" w:name="_Toc15396476"/>
      <w:bookmarkStart w:id="9" w:name="_Toc15377194"/>
      <w:bookmarkStart w:id="10" w:name="_Toc15377426"/>
      <w:bookmarkStart w:id="11" w:name="_Toc15378442"/>
      <w:bookmarkStart w:id="12" w:name="_Toc15396598"/>
      <w:bookmarkStart w:id="13" w:name="_Toc6811"/>
      <w:bookmarkStart w:id="14" w:name="_Toc23636"/>
      <w:r>
        <w:rPr>
          <w:rFonts w:ascii="方正小标宋简体" w:eastAsia="方正小标宋简体" w:hint="eastAsia"/>
          <w:color w:val="000000"/>
          <w:sz w:val="72"/>
          <w:szCs w:val="72"/>
        </w:rPr>
        <w:t>四川省</w:t>
      </w:r>
      <w:bookmarkStart w:id="15" w:name="_Toc15306268"/>
      <w:bookmarkEnd w:id="0"/>
      <w:r>
        <w:rPr>
          <w:rFonts w:ascii="方正小标宋简体" w:eastAsia="方正小标宋简体" w:hint="eastAsia"/>
          <w:color w:val="000000"/>
          <w:sz w:val="72"/>
          <w:szCs w:val="72"/>
        </w:rPr>
        <w:t>金川县卡撒乡人民政府部门决算</w:t>
      </w:r>
      <w:bookmarkEnd w:id="8"/>
      <w:bookmarkEnd w:id="9"/>
      <w:bookmarkEnd w:id="10"/>
      <w:bookmarkEnd w:id="11"/>
      <w:bookmarkEnd w:id="12"/>
      <w:bookmarkEnd w:id="13"/>
      <w:bookmarkEnd w:id="14"/>
      <w:bookmarkEnd w:id="15"/>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hint="eastAsia"/>
          <w:color w:val="000000"/>
          <w:sz w:val="48"/>
          <w:szCs w:val="48"/>
        </w:rPr>
        <w:sectPr>
          <w:headerReference w:type="default" r:id="rId2"/>
          <w:footerReference w:type="default" r:id="rId3"/>
          <w:pgSz w:w="11906" w:h="16838"/>
          <w:pgMar w:top="1440" w:right="1800" w:bottom="1440" w:left="1800" w:header="851" w:footer="992" w:gutter="0"/>
          <w:pgNumType w:start="1"/>
          <w:titlePg/>
          <w:docGrid w:type="lines" w:linePitch="312" w:charSpace="0"/>
        </w:sectPr>
      </w:pPr>
    </w:p>
    <w:p>
      <w:pPr>
        <w:widowControl/>
        <w:jc w:val="center"/>
        <w:rPr>
          <w:rFonts w:ascii="黑体" w:eastAsia="黑体"/>
          <w:color w:val="000000"/>
          <w:sz w:val="48"/>
          <w:szCs w:val="48"/>
        </w:rPr>
      </w:pPr>
      <w:r>
        <w:rPr>
          <w:rFonts w:ascii="黑体" w:eastAsia="黑体" w:hint="eastAsia"/>
          <w:color w:val="000000"/>
          <w:sz w:val="48"/>
          <w:szCs w:val="48"/>
        </w:rPr>
        <w:t>目录</w:t>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_Toc10712 </w:instrText>
      </w:r>
      <w:r>
        <w:fldChar w:fldCharType="separate"/>
      </w:r>
      <w:r>
        <w:rPr>
          <w:rFonts w:ascii="黑体" w:eastAsia="黑体" w:hint="eastAsia"/>
        </w:rPr>
        <w:t xml:space="preserve">第一部分 </w:t>
      </w:r>
      <w:r>
        <w:rPr>
          <w:rFonts w:ascii="黑体" w:eastAsia="黑体" w:hint="eastAsia"/>
          <w:bCs w:val="0"/>
        </w:rPr>
        <w:t>部门概况</w:t>
      </w:r>
      <w:r>
        <w:tab/>
      </w:r>
      <w:r>
        <w:fldChar w:fldCharType="begin"/>
      </w:r>
      <w:r>
        <w:instrText xml:space="preserve"> PAGEREF _Toc10712 \h </w:instrText>
      </w:r>
      <w:r>
        <w:fldChar w:fldCharType="separate"/>
      </w:r>
      <w:r>
        <w:t>1</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_Toc23520 </w:instrText>
      </w:r>
      <w:r>
        <w:fldChar w:fldCharType="separate"/>
      </w:r>
      <w:r>
        <w:rPr>
          <w:rFonts w:ascii="黑体" w:eastAsia="黑体" w:hint="eastAsia"/>
        </w:rPr>
        <w:t>一、基</w:t>
      </w:r>
      <w:r>
        <w:rPr>
          <w:rFonts w:ascii="黑体" w:eastAsia="黑体" w:hint="eastAsia"/>
          <w:bCs w:val="0"/>
        </w:rPr>
        <w:t>本职能及主要工作</w:t>
      </w:r>
      <w:r>
        <w:tab/>
      </w:r>
      <w:r>
        <w:fldChar w:fldCharType="begin"/>
      </w:r>
      <w:r>
        <w:instrText xml:space="preserve"> PAGEREF _Toc23520 \h </w:instrText>
      </w:r>
      <w:r>
        <w:fldChar w:fldCharType="separate"/>
      </w:r>
      <w:r>
        <w:t>1</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_Toc1212 </w:instrText>
      </w:r>
      <w:r>
        <w:fldChar w:fldCharType="separate"/>
      </w:r>
      <w:r>
        <w:rPr>
          <w:rFonts w:ascii="楷体" w:eastAsia="楷体" w:cs="楷体" w:hint="eastAsia"/>
        </w:rPr>
        <w:t>（一）主要职能</w:t>
      </w:r>
      <w:r>
        <w:tab/>
      </w:r>
      <w:r>
        <w:fldChar w:fldCharType="begin"/>
      </w:r>
      <w:r>
        <w:instrText xml:space="preserve"> PAGEREF _Toc1212 \h </w:instrText>
      </w:r>
      <w:r>
        <w:fldChar w:fldCharType="separate"/>
      </w:r>
      <w:r>
        <w:t>1</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_Toc19118 </w:instrText>
      </w:r>
      <w:r>
        <w:fldChar w:fldCharType="separate"/>
      </w:r>
      <w:r>
        <w:rPr>
          <w:rFonts w:ascii="楷体" w:eastAsia="楷体" w:cs="楷体" w:hint="eastAsia"/>
        </w:rPr>
        <w:t>（二）</w:t>
      </w:r>
      <w:r>
        <w:rPr>
          <w:rFonts w:ascii="楷体" w:eastAsia="楷体" w:cs="楷体" w:hint="eastAsia"/>
          <w:lang w:eastAsia="zh-CN"/>
        </w:rPr>
        <w:t>2022年</w:t>
      </w:r>
      <w:r>
        <w:rPr>
          <w:rFonts w:ascii="楷体" w:eastAsia="楷体" w:cs="楷体" w:hint="eastAsia"/>
        </w:rPr>
        <w:t>重点工作完成情况</w:t>
      </w:r>
      <w:r>
        <w:tab/>
      </w:r>
      <w:r>
        <w:fldChar w:fldCharType="begin"/>
      </w:r>
      <w:r>
        <w:instrText xml:space="preserve"> PAGEREF _Toc19118 \h </w:instrText>
      </w:r>
      <w:r>
        <w:fldChar w:fldCharType="separate"/>
      </w:r>
      <w:r>
        <w:t>1</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_Toc17641 </w:instrText>
      </w:r>
      <w:r>
        <w:fldChar w:fldCharType="separate"/>
      </w:r>
      <w:r>
        <w:rPr>
          <w:rFonts w:ascii="黑体" w:eastAsia="黑体" w:hint="eastAsia"/>
          <w:bCs w:val="0"/>
        </w:rPr>
        <w:t>二、机构设置</w:t>
      </w:r>
      <w:r>
        <w:tab/>
      </w:r>
      <w:r>
        <w:fldChar w:fldCharType="begin"/>
      </w:r>
      <w:r>
        <w:instrText xml:space="preserve"> PAGEREF _Toc17641 \h </w:instrText>
      </w:r>
      <w:r>
        <w:fldChar w:fldCharType="separate"/>
      </w:r>
      <w:r>
        <w:t>3</w:t>
      </w:r>
      <w:r>
        <w:fldChar w:fldCharType="end"/>
      </w:r>
      <w:r>
        <w:rPr>
          <w:color w:val="000000"/>
        </w:rPr>
        <w:fldChar w:fldCharType="end"/>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_Toc22592 </w:instrText>
      </w:r>
      <w:r>
        <w:fldChar w:fldCharType="separate"/>
      </w:r>
      <w:r>
        <w:rPr>
          <w:rFonts w:ascii="黑体" w:eastAsia="黑体" w:hint="eastAsia"/>
        </w:rPr>
        <w:t xml:space="preserve">第二部分 </w:t>
      </w:r>
      <w:r>
        <w:rPr>
          <w:rFonts w:ascii="黑体" w:eastAsia="黑体" w:hint="eastAsia"/>
          <w:bCs w:val="0"/>
        </w:rPr>
        <w:t>2022年度部门决算情况说明</w:t>
      </w:r>
      <w:r>
        <w:tab/>
      </w:r>
      <w:r>
        <w:fldChar w:fldCharType="begin"/>
      </w:r>
      <w:r>
        <w:instrText xml:space="preserve"> PAGEREF _Toc22592 \h </w:instrText>
      </w:r>
      <w:r>
        <w:fldChar w:fldCharType="separate"/>
      </w:r>
      <w:r>
        <w:t>3</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_Toc26389 </w:instrText>
      </w:r>
      <w:r>
        <w:fldChar w:fldCharType="separate"/>
      </w:r>
      <w:r>
        <w:rPr>
          <w:rFonts w:ascii="黑体" w:eastAsia="黑体"/>
        </w:rPr>
        <w:t xml:space="preserve">一、 </w:t>
      </w:r>
      <w:r>
        <w:rPr>
          <w:rFonts w:ascii="黑体" w:eastAsia="黑体" w:hint="eastAsia"/>
          <w:szCs w:val="32"/>
        </w:rPr>
        <w:t>收</w:t>
      </w:r>
      <w:r>
        <w:rPr>
          <w:rFonts w:ascii="黑体" w:eastAsia="黑体" w:hint="eastAsia"/>
        </w:rPr>
        <w:t>入支出决算总体情况说明</w:t>
      </w:r>
      <w:r>
        <w:tab/>
      </w:r>
      <w:r>
        <w:fldChar w:fldCharType="begin"/>
      </w:r>
      <w:r>
        <w:instrText xml:space="preserve"> PAGEREF _Toc26389 \h </w:instrText>
      </w:r>
      <w:r>
        <w:fldChar w:fldCharType="separate"/>
      </w:r>
      <w:r>
        <w:t>3</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_Toc13110 </w:instrText>
      </w:r>
      <w:r>
        <w:fldChar w:fldCharType="separate"/>
      </w:r>
      <w:r>
        <w:rPr>
          <w:rFonts w:ascii="黑体" w:eastAsia="黑体"/>
          <w:szCs w:val="32"/>
        </w:rPr>
        <w:t xml:space="preserve">二、 </w:t>
      </w:r>
      <w:r>
        <w:rPr>
          <w:rFonts w:ascii="黑体" w:eastAsia="黑体" w:hint="eastAsia"/>
          <w:szCs w:val="32"/>
        </w:rPr>
        <w:t>收入决算情况说明</w:t>
      </w:r>
      <w:r>
        <w:tab/>
      </w:r>
      <w:r>
        <w:fldChar w:fldCharType="begin"/>
      </w:r>
      <w:r>
        <w:instrText xml:space="preserve"> PAGEREF _Toc13110 \h </w:instrText>
      </w:r>
      <w:r>
        <w:fldChar w:fldCharType="separate"/>
      </w:r>
      <w:r>
        <w:t>4</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_Toc6605 </w:instrText>
      </w:r>
      <w:r>
        <w:fldChar w:fldCharType="separate"/>
      </w:r>
      <w:r>
        <w:rPr>
          <w:rFonts w:ascii="黑体" w:eastAsia="黑体" w:hint="eastAsia"/>
          <w:szCs w:val="32"/>
        </w:rPr>
        <w:t>三、支出决</w:t>
      </w:r>
      <w:r>
        <w:rPr>
          <w:rFonts w:ascii="黑体" w:eastAsia="黑体" w:hint="eastAsia"/>
        </w:rPr>
        <w:t>算情况说明</w:t>
      </w:r>
      <w:r>
        <w:tab/>
      </w:r>
      <w:r>
        <w:fldChar w:fldCharType="begin"/>
      </w:r>
      <w:r>
        <w:instrText xml:space="preserve"> PAGEREF _Toc6605 \h </w:instrText>
      </w:r>
      <w:r>
        <w:fldChar w:fldCharType="separate"/>
      </w:r>
      <w:r>
        <w:t>4</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_Toc17317 </w:instrText>
      </w:r>
      <w:r>
        <w:fldChar w:fldCharType="separate"/>
      </w:r>
      <w:r>
        <w:rPr>
          <w:rFonts w:ascii="黑体" w:eastAsia="黑体" w:hint="eastAsia"/>
          <w:szCs w:val="32"/>
        </w:rPr>
        <w:t>四、财</w:t>
      </w:r>
      <w:r>
        <w:rPr>
          <w:rFonts w:ascii="黑体" w:eastAsia="黑体" w:hint="eastAsia"/>
        </w:rPr>
        <w:t>政拨款收入支出决算总体情况说明</w:t>
      </w:r>
      <w:r>
        <w:tab/>
      </w:r>
      <w:r>
        <w:fldChar w:fldCharType="begin"/>
      </w:r>
      <w:r>
        <w:instrText xml:space="preserve"> PAGEREF _Toc17317 \h </w:instrText>
      </w:r>
      <w:r>
        <w:fldChar w:fldCharType="separate"/>
      </w:r>
      <w:r>
        <w:t>5</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_Toc14624 </w:instrText>
      </w:r>
      <w:r>
        <w:fldChar w:fldCharType="separate"/>
      </w:r>
      <w:r>
        <w:rPr>
          <w:rFonts w:ascii="黑体" w:eastAsia="黑体" w:hint="eastAsia"/>
          <w:szCs w:val="32"/>
        </w:rPr>
        <w:t>七、</w:t>
      </w:r>
      <w:r>
        <w:rPr>
          <w:rFonts w:ascii="黑体" w:eastAsia="黑体" w:hint="eastAsia"/>
        </w:rPr>
        <w:t>“三公”经费财政拨款支出决算情况说明</w:t>
      </w:r>
      <w:r>
        <w:tab/>
      </w:r>
      <w:r>
        <w:fldChar w:fldCharType="begin"/>
      </w:r>
      <w:r>
        <w:instrText xml:space="preserve"> PAGEREF _Toc14624 \h </w:instrText>
      </w:r>
      <w:r>
        <w:fldChar w:fldCharType="separate"/>
      </w:r>
      <w:r>
        <w:t>10</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_Toc18709 </w:instrText>
      </w:r>
      <w:r>
        <w:fldChar w:fldCharType="separate"/>
      </w:r>
      <w:r>
        <w:rPr>
          <w:rFonts w:ascii="黑体" w:eastAsia="黑体" w:hint="eastAsia"/>
          <w:szCs w:val="32"/>
        </w:rPr>
        <w:t>八、</w:t>
      </w:r>
      <w:r>
        <w:rPr>
          <w:rFonts w:ascii="黑体" w:eastAsia="黑体" w:hint="eastAsia"/>
        </w:rPr>
        <w:t>政府性基金预算支出决算情况说明</w:t>
      </w:r>
      <w:r>
        <w:tab/>
      </w:r>
      <w:r>
        <w:fldChar w:fldCharType="begin"/>
      </w:r>
      <w:r>
        <w:instrText xml:space="preserve"> PAGEREF _Toc18709 \h </w:instrText>
      </w:r>
      <w:r>
        <w:fldChar w:fldCharType="separate"/>
      </w:r>
      <w:r>
        <w:t>11</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_Toc11190 </w:instrText>
      </w:r>
      <w:r>
        <w:fldChar w:fldCharType="separate"/>
      </w:r>
      <w:r>
        <w:rPr>
          <w:rFonts w:ascii="黑体" w:eastAsia="黑体" w:hint="eastAsia"/>
        </w:rPr>
        <w:t>九、 国有资本经营预算支出决算情况说明</w:t>
      </w:r>
      <w:r>
        <w:tab/>
      </w:r>
      <w:r>
        <w:fldChar w:fldCharType="begin"/>
      </w:r>
      <w:r>
        <w:instrText xml:space="preserve"> PAGEREF _Toc11190 \h </w:instrText>
      </w:r>
      <w:r>
        <w:fldChar w:fldCharType="separate"/>
      </w:r>
      <w:r>
        <w:t>11</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_Toc24899 </w:instrText>
      </w:r>
      <w:r>
        <w:fldChar w:fldCharType="separate"/>
      </w:r>
      <w:r>
        <w:rPr>
          <w:rFonts w:ascii="黑体" w:eastAsia="黑体"/>
        </w:rPr>
        <w:t xml:space="preserve">十、 </w:t>
      </w:r>
      <w:r>
        <w:rPr>
          <w:rFonts w:ascii="黑体" w:eastAsia="黑体" w:hint="eastAsia"/>
        </w:rPr>
        <w:t>预算绩效情况说明</w:t>
      </w:r>
      <w:r>
        <w:tab/>
      </w:r>
      <w:r>
        <w:fldChar w:fldCharType="begin"/>
      </w:r>
      <w:r>
        <w:instrText xml:space="preserve"> PAGEREF _Toc24899 \h </w:instrText>
      </w:r>
      <w:r>
        <w:fldChar w:fldCharType="separate"/>
      </w:r>
      <w:r>
        <w:t>11</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_Toc10625 </w:instrText>
      </w:r>
      <w:r>
        <w:fldChar w:fldCharType="separate"/>
      </w:r>
      <w:r>
        <w:rPr>
          <w:rFonts w:ascii="楷体_GB2312" w:eastAsia="楷体_GB2312" w:cs="楷体_GB2312" w:hint="eastAsia"/>
          <w:bCs/>
          <w:szCs w:val="32"/>
        </w:rPr>
        <w:t xml:space="preserve">（一） </w:t>
      </w:r>
      <w:r>
        <w:rPr>
          <w:rFonts w:ascii="黑体" w:eastAsia="黑体" w:hint="eastAsia"/>
        </w:rPr>
        <w:t>预算绩效管理工作开展情况。</w:t>
      </w:r>
      <w:r>
        <w:tab/>
      </w:r>
      <w:r>
        <w:fldChar w:fldCharType="begin"/>
      </w:r>
      <w:r>
        <w:instrText xml:space="preserve"> PAGEREF _Toc10625 \h </w:instrText>
      </w:r>
      <w:r>
        <w:fldChar w:fldCharType="separate"/>
      </w:r>
      <w:r>
        <w:t>11</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_Toc21130 </w:instrText>
      </w:r>
      <w:r>
        <w:fldChar w:fldCharType="separate"/>
      </w:r>
      <w:r>
        <w:rPr>
          <w:rFonts w:ascii="黑体" w:eastAsia="黑体" w:hint="eastAsia"/>
          <w:szCs w:val="32"/>
        </w:rPr>
        <w:t>十</w:t>
      </w:r>
      <w:r>
        <w:rPr>
          <w:rFonts w:ascii="黑体" w:eastAsia="黑体" w:hint="eastAsia"/>
          <w:szCs w:val="32"/>
          <w:lang w:val="en-US" w:eastAsia="zh-CN"/>
        </w:rPr>
        <w:t>一</w:t>
      </w:r>
      <w:r>
        <w:rPr>
          <w:rFonts w:ascii="黑体" w:eastAsia="黑体" w:hint="eastAsia"/>
        </w:rPr>
        <w:t>、其他重要事项的情况说明</w:t>
      </w:r>
      <w:r>
        <w:tab/>
      </w:r>
      <w:r>
        <w:fldChar w:fldCharType="begin"/>
      </w:r>
      <w:r>
        <w:instrText xml:space="preserve"> PAGEREF _Toc21130 \h </w:instrText>
      </w:r>
      <w:r>
        <w:fldChar w:fldCharType="separate"/>
      </w:r>
      <w:r>
        <w:t>22</w:t>
      </w:r>
      <w:r>
        <w:fldChar w:fldCharType="end"/>
      </w:r>
      <w:r>
        <w:rPr>
          <w:color w:val="000000"/>
        </w:rPr>
        <w:fldChar w:fldCharType="end"/>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_Toc23765 </w:instrText>
      </w:r>
      <w:r>
        <w:fldChar w:fldCharType="separate"/>
      </w:r>
      <w:r>
        <w:rPr>
          <w:rFonts w:ascii="黑体" w:eastAsia="黑体" w:hint="eastAsia"/>
        </w:rPr>
        <w:t xml:space="preserve">第三部分 </w:t>
      </w:r>
      <w:r>
        <w:rPr>
          <w:rFonts w:ascii="黑体" w:eastAsia="黑体" w:hint="eastAsia"/>
          <w:szCs w:val="44"/>
        </w:rPr>
        <w:t>名</w:t>
      </w:r>
      <w:r>
        <w:rPr>
          <w:rFonts w:ascii="黑体" w:eastAsia="黑体" w:hint="eastAsia"/>
        </w:rPr>
        <w:t>词解释</w:t>
      </w:r>
      <w:r>
        <w:tab/>
      </w:r>
      <w:r>
        <w:fldChar w:fldCharType="begin"/>
      </w:r>
      <w:r>
        <w:instrText xml:space="preserve"> PAGEREF _Toc23765 \h </w:instrText>
      </w:r>
      <w:r>
        <w:fldChar w:fldCharType="separate"/>
      </w:r>
      <w:r>
        <w:t>22</w:t>
      </w:r>
      <w:r>
        <w:fldChar w:fldCharType="end"/>
      </w:r>
      <w:r>
        <w:rPr>
          <w:color w:val="000000"/>
        </w:rPr>
        <w:fldChar w:fldCharType="end"/>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_Toc19886 </w:instrText>
      </w:r>
      <w:r>
        <w:fldChar w:fldCharType="separate"/>
      </w:r>
      <w:r>
        <w:rPr>
          <w:rFonts w:ascii="黑体" w:eastAsia="黑体" w:hint="eastAsia"/>
          <w:szCs w:val="44"/>
          <w:lang w:val="en-US" w:eastAsia="zh-CN"/>
        </w:rPr>
        <w:t>第四部分</w:t>
      </w:r>
      <w:r>
        <w:tab/>
      </w:r>
      <w:r>
        <w:fldChar w:fldCharType="begin"/>
      </w:r>
      <w:r>
        <w:instrText xml:space="preserve"> PAGEREF _Toc19886 \h </w:instrText>
      </w:r>
      <w:r>
        <w:fldChar w:fldCharType="separate"/>
      </w:r>
      <w:r>
        <w:t>25</w:t>
      </w:r>
      <w:r>
        <w:fldChar w:fldCharType="end"/>
      </w:r>
      <w:r>
        <w:rPr>
          <w:color w:val="000000"/>
        </w:rPr>
        <w:fldChar w:fldCharType="end"/>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_Toc11301 </w:instrText>
      </w:r>
      <w:r>
        <w:fldChar w:fldCharType="separate"/>
      </w:r>
      <w:r>
        <w:rPr>
          <w:rFonts w:ascii="Mongolian Baiti" w:eastAsia="黑体" w:cs="Mongolian Baiti" w:hAnsi="Mongolian Baiti"/>
          <w:kern w:val="2"/>
          <w:szCs w:val="32"/>
          <w:vertAlign w:val="baseline"/>
          <w:lang w:val="en-US" w:eastAsia="zh-CN" w:bidi="ar-SA"/>
        </w:rPr>
        <w:t>一、部门整体概况</w:t>
      </w:r>
      <w:r>
        <w:tab/>
      </w:r>
      <w:r>
        <w:fldChar w:fldCharType="begin"/>
      </w:r>
      <w:r>
        <w:instrText xml:space="preserve"> PAGEREF _Toc11301 \h </w:instrText>
      </w:r>
      <w:r>
        <w:fldChar w:fldCharType="separate"/>
      </w:r>
      <w:r>
        <w:t>25</w:t>
      </w:r>
      <w:r>
        <w:fldChar w:fldCharType="end"/>
      </w:r>
      <w:r>
        <w:rPr>
          <w:color w:val="000000"/>
        </w:rPr>
        <w:fldChar w:fldCharType="end"/>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_Toc7469 </w:instrText>
      </w:r>
      <w:r>
        <w:fldChar w:fldCharType="separate"/>
      </w:r>
      <w:r>
        <w:rPr>
          <w:rFonts w:ascii="Mongolian Baiti" w:eastAsia="黑体" w:cs="Mongolian Baiti" w:hAnsi="Mongolian Baiti" w:hint="eastAsia"/>
          <w:kern w:val="2"/>
          <w:szCs w:val="32"/>
          <w:vertAlign w:val="baseline"/>
          <w:lang w:val="en-US" w:eastAsia="zh-CN" w:bidi="ar-SA"/>
        </w:rPr>
        <w:t>二、 部门财政资金收支情况</w:t>
      </w:r>
      <w:r>
        <w:tab/>
      </w:r>
      <w:r>
        <w:fldChar w:fldCharType="begin"/>
      </w:r>
      <w:r>
        <w:instrText xml:space="preserve"> PAGEREF _Toc7469 \h </w:instrText>
      </w:r>
      <w:r>
        <w:fldChar w:fldCharType="separate"/>
      </w:r>
      <w:r>
        <w:t>27</w:t>
      </w:r>
      <w:r>
        <w:fldChar w:fldCharType="end"/>
      </w:r>
      <w:r>
        <w:rPr>
          <w:color w:val="000000"/>
        </w:rPr>
        <w:fldChar w:fldCharType="end"/>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_Toc12345 </w:instrText>
      </w:r>
      <w:r>
        <w:fldChar w:fldCharType="separate"/>
      </w:r>
      <w:r>
        <w:rPr>
          <w:rFonts w:ascii="Mongolian Baiti" w:eastAsia="黑体" w:cs="Mongolian Baiti" w:hAnsi="Mongolian Baiti" w:hint="eastAsia"/>
          <w:kern w:val="2"/>
          <w:szCs w:val="32"/>
          <w:vertAlign w:val="baseline"/>
          <w:lang w:val="en-US" w:eastAsia="zh-CN" w:bidi="ar-SA"/>
        </w:rPr>
        <w:t>三、 部门整体预算绩效管理情况</w:t>
      </w:r>
      <w:r>
        <w:tab/>
      </w:r>
      <w:r>
        <w:fldChar w:fldCharType="begin"/>
      </w:r>
      <w:r>
        <w:instrText xml:space="preserve"> PAGEREF _Toc12345 \h </w:instrText>
      </w:r>
      <w:r>
        <w:fldChar w:fldCharType="separate"/>
      </w:r>
      <w:r>
        <w:t>29</w:t>
      </w:r>
      <w:r>
        <w:fldChar w:fldCharType="end"/>
      </w:r>
      <w:r>
        <w:rPr>
          <w:color w:val="000000"/>
        </w:rPr>
        <w:fldChar w:fldCharType="end"/>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_Toc28966 </w:instrText>
      </w:r>
      <w:r>
        <w:fldChar w:fldCharType="separate"/>
      </w:r>
      <w:r>
        <w:rPr>
          <w:rFonts w:ascii="Mongolian Baiti" w:eastAsia="黑体" w:cs="Mongolian Baiti" w:hAnsi="Mongolian Baiti" w:hint="eastAsia"/>
          <w:kern w:val="2"/>
          <w:szCs w:val="32"/>
          <w:vertAlign w:val="baseline"/>
          <w:lang w:val="en-US" w:eastAsia="zh-CN" w:bidi="ar-SA"/>
        </w:rPr>
        <w:t>四、 评价结论及建议</w:t>
      </w:r>
      <w:r>
        <w:tab/>
      </w:r>
      <w:r>
        <w:fldChar w:fldCharType="begin"/>
      </w:r>
      <w:r>
        <w:instrText xml:space="preserve"> PAGEREF _Toc28966 \h </w:instrText>
      </w:r>
      <w:r>
        <w:fldChar w:fldCharType="separate"/>
      </w:r>
      <w:r>
        <w:t>30</w:t>
      </w:r>
      <w:r>
        <w:fldChar w:fldCharType="end"/>
      </w:r>
      <w:r>
        <w:rPr>
          <w:color w:val="000000"/>
        </w:rPr>
        <w:fldChar w:fldCharType="end"/>
      </w:r>
    </w:p>
    <w:p>
      <w:pPr>
        <w:pStyle w:val="20"/>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_Toc26242 </w:instrText>
      </w:r>
      <w:r>
        <w:fldChar w:fldCharType="separate"/>
      </w:r>
      <w:r>
        <w:rPr>
          <w:rFonts w:ascii="Times New Roman" w:eastAsia="黑体" w:cs="Times New Roman" w:hAnsi="Times New Roman"/>
          <w:szCs w:val="44"/>
        </w:rPr>
        <w:t>第</w:t>
      </w:r>
      <w:r>
        <w:rPr>
          <w:rFonts w:ascii="Times New Roman" w:eastAsia="黑体" w:cs="Times New Roman" w:hAnsi="Times New Roman"/>
        </w:rPr>
        <w:t>五部分 附表</w:t>
      </w:r>
      <w:r>
        <w:tab/>
      </w:r>
      <w:r>
        <w:fldChar w:fldCharType="begin"/>
      </w:r>
      <w:r>
        <w:instrText xml:space="preserve"> PAGEREF _Toc26242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_Toc18103 </w:instrText>
      </w:r>
      <w:r>
        <w:fldChar w:fldCharType="separate"/>
      </w:r>
      <w:r>
        <w:rPr>
          <w:rFonts w:ascii="Times New Roman" w:eastAsia="仿宋" w:cs="Times New Roman" w:hAnsi="Times New Roman"/>
        </w:rPr>
        <w:t>一、收</w:t>
      </w:r>
      <w:r>
        <w:rPr>
          <w:rFonts w:ascii="Times New Roman" w:eastAsia="仿宋" w:cs="Times New Roman" w:hAnsi="Times New Roman"/>
          <w:bCs w:val="0"/>
        </w:rPr>
        <w:t>入支出决算总表</w:t>
      </w:r>
      <w:r>
        <w:tab/>
      </w:r>
      <w:r>
        <w:fldChar w:fldCharType="begin"/>
      </w:r>
      <w:r>
        <w:instrText xml:space="preserve"> PAGEREF _Toc18103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_Toc27436 </w:instrText>
      </w:r>
      <w:r>
        <w:fldChar w:fldCharType="separate"/>
      </w:r>
      <w:r>
        <w:rPr>
          <w:rFonts w:ascii="Times New Roman" w:eastAsia="仿宋" w:cs="Times New Roman" w:hAnsi="Times New Roman"/>
        </w:rPr>
        <w:t>二、收</w:t>
      </w:r>
      <w:r>
        <w:rPr>
          <w:rFonts w:ascii="Times New Roman" w:eastAsia="仿宋" w:cs="Times New Roman" w:hAnsi="Times New Roman"/>
          <w:bCs w:val="0"/>
        </w:rPr>
        <w:t>入决算表</w:t>
      </w:r>
      <w:r>
        <w:tab/>
      </w:r>
      <w:r>
        <w:fldChar w:fldCharType="begin"/>
      </w:r>
      <w:r>
        <w:instrText xml:space="preserve"> PAGEREF _Toc27436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_Toc23741 </w:instrText>
      </w:r>
      <w:r>
        <w:fldChar w:fldCharType="separate"/>
      </w:r>
      <w:r>
        <w:rPr>
          <w:rFonts w:ascii="Times New Roman" w:eastAsia="仿宋" w:cs="Times New Roman" w:hAnsi="Times New Roman"/>
          <w:bCs w:val="0"/>
        </w:rPr>
        <w:t>三、</w:t>
      </w:r>
      <w:r>
        <w:rPr>
          <w:rFonts w:ascii="Times New Roman" w:eastAsia="仿宋" w:cs="Times New Roman" w:hAnsi="Times New Roman"/>
        </w:rPr>
        <w:t>支</w:t>
      </w:r>
      <w:r>
        <w:rPr>
          <w:rFonts w:ascii="Times New Roman" w:eastAsia="仿宋" w:cs="Times New Roman" w:hAnsi="Times New Roman"/>
          <w:bCs w:val="0"/>
        </w:rPr>
        <w:t>出决算表</w:t>
      </w:r>
      <w:r>
        <w:tab/>
      </w:r>
      <w:r>
        <w:fldChar w:fldCharType="begin"/>
      </w:r>
      <w:r>
        <w:instrText xml:space="preserve"> PAGEREF _Toc23741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_Toc8365 </w:instrText>
      </w:r>
      <w:r>
        <w:fldChar w:fldCharType="separate"/>
      </w:r>
      <w:r>
        <w:rPr>
          <w:rFonts w:ascii="Times New Roman" w:eastAsia="仿宋" w:cs="Times New Roman" w:hAnsi="Times New Roman"/>
          <w:bCs w:val="0"/>
        </w:rPr>
        <w:t>四、</w:t>
      </w:r>
      <w:r>
        <w:rPr>
          <w:rFonts w:ascii="Times New Roman" w:eastAsia="仿宋" w:cs="Times New Roman" w:hAnsi="Times New Roman"/>
        </w:rPr>
        <w:t>财</w:t>
      </w:r>
      <w:r>
        <w:rPr>
          <w:rFonts w:ascii="Times New Roman" w:eastAsia="仿宋" w:cs="Times New Roman" w:hAnsi="Times New Roman"/>
          <w:bCs w:val="0"/>
        </w:rPr>
        <w:t>政拨款收入支出决算总表</w:t>
      </w:r>
      <w:r>
        <w:tab/>
      </w:r>
      <w:r>
        <w:fldChar w:fldCharType="begin"/>
      </w:r>
      <w:r>
        <w:instrText xml:space="preserve"> PAGEREF _Toc8365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_Toc10914 </w:instrText>
      </w:r>
      <w:r>
        <w:fldChar w:fldCharType="separate"/>
      </w:r>
      <w:r>
        <w:rPr>
          <w:rFonts w:ascii="Times New Roman" w:eastAsia="仿宋" w:cs="Times New Roman" w:hAnsi="Times New Roman"/>
          <w:bCs w:val="0"/>
        </w:rPr>
        <w:t>五、</w:t>
      </w:r>
      <w:r>
        <w:rPr>
          <w:rFonts w:ascii="Times New Roman" w:eastAsia="仿宋" w:cs="Times New Roman" w:hAnsi="Times New Roman"/>
        </w:rPr>
        <w:t>财</w:t>
      </w:r>
      <w:r>
        <w:rPr>
          <w:rFonts w:ascii="Times New Roman" w:eastAsia="仿宋" w:cs="Times New Roman" w:hAnsi="Times New Roman"/>
          <w:bCs w:val="0"/>
        </w:rPr>
        <w:t>政拨款支出决算明细表</w:t>
      </w:r>
      <w:r>
        <w:tab/>
      </w:r>
      <w:r>
        <w:fldChar w:fldCharType="begin"/>
      </w:r>
      <w:r>
        <w:instrText xml:space="preserve"> PAGEREF _Toc10914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_Toc27751 </w:instrText>
      </w:r>
      <w:r>
        <w:fldChar w:fldCharType="separate"/>
      </w:r>
      <w:r>
        <w:rPr>
          <w:rFonts w:ascii="Times New Roman" w:eastAsia="仿宋" w:cs="Times New Roman" w:hAnsi="Times New Roman"/>
          <w:bCs w:val="0"/>
        </w:rPr>
        <w:t>六、</w:t>
      </w:r>
      <w:r>
        <w:rPr>
          <w:rFonts w:ascii="Times New Roman" w:eastAsia="仿宋" w:cs="Times New Roman" w:hAnsi="Times New Roman"/>
        </w:rPr>
        <w:t>一</w:t>
      </w:r>
      <w:r>
        <w:rPr>
          <w:rFonts w:ascii="Times New Roman" w:eastAsia="仿宋" w:cs="Times New Roman" w:hAnsi="Times New Roman"/>
          <w:bCs w:val="0"/>
        </w:rPr>
        <w:t>般公共预算财政拨款支出决算表</w:t>
      </w:r>
      <w:r>
        <w:tab/>
      </w:r>
      <w:r>
        <w:fldChar w:fldCharType="begin"/>
      </w:r>
      <w:r>
        <w:instrText xml:space="preserve"> PAGEREF _Toc27751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_Toc9561 </w:instrText>
      </w:r>
      <w:r>
        <w:fldChar w:fldCharType="separate"/>
      </w:r>
      <w:r>
        <w:rPr>
          <w:rFonts w:ascii="Times New Roman" w:eastAsia="仿宋" w:cs="Times New Roman" w:hAnsi="Times New Roman"/>
          <w:bCs w:val="0"/>
        </w:rPr>
        <w:t>七、</w:t>
      </w:r>
      <w:r>
        <w:rPr>
          <w:rFonts w:ascii="Times New Roman" w:eastAsia="仿宋" w:cs="Times New Roman" w:hAnsi="Times New Roman"/>
        </w:rPr>
        <w:t>一</w:t>
      </w:r>
      <w:r>
        <w:rPr>
          <w:rFonts w:ascii="Times New Roman" w:eastAsia="仿宋" w:cs="Times New Roman" w:hAnsi="Times New Roman"/>
          <w:bCs w:val="0"/>
        </w:rPr>
        <w:t>般公共预算财政拨款支出决算明细表</w:t>
      </w:r>
      <w:r>
        <w:tab/>
      </w:r>
      <w:r>
        <w:fldChar w:fldCharType="begin"/>
      </w:r>
      <w:r>
        <w:instrText xml:space="preserve"> PAGEREF _Toc9561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_Toc26677 </w:instrText>
      </w:r>
      <w:r>
        <w:fldChar w:fldCharType="separate"/>
      </w:r>
      <w:r>
        <w:rPr>
          <w:rFonts w:ascii="Times New Roman" w:eastAsia="仿宋" w:cs="Times New Roman" w:hAnsi="Times New Roman"/>
          <w:bCs w:val="0"/>
        </w:rPr>
        <w:t>八、</w:t>
      </w:r>
      <w:r>
        <w:rPr>
          <w:rFonts w:ascii="Times New Roman" w:eastAsia="仿宋" w:cs="Times New Roman" w:hAnsi="Times New Roman"/>
        </w:rPr>
        <w:t>一</w:t>
      </w:r>
      <w:r>
        <w:rPr>
          <w:rFonts w:ascii="Times New Roman" w:eastAsia="仿宋" w:cs="Times New Roman" w:hAnsi="Times New Roman"/>
          <w:bCs w:val="0"/>
        </w:rPr>
        <w:t>般公共预算财政拨款基本支出决算表</w:t>
      </w:r>
      <w:r>
        <w:tab/>
      </w:r>
      <w:r>
        <w:fldChar w:fldCharType="begin"/>
      </w:r>
      <w:r>
        <w:instrText xml:space="preserve"> PAGEREF _Toc26677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_Toc23868 </w:instrText>
      </w:r>
      <w:r>
        <w:fldChar w:fldCharType="separate"/>
      </w:r>
      <w:r>
        <w:rPr>
          <w:rFonts w:ascii="Times New Roman" w:eastAsia="仿宋" w:cs="Times New Roman" w:hAnsi="Times New Roman"/>
          <w:bCs w:val="0"/>
        </w:rPr>
        <w:t>九、</w:t>
      </w:r>
      <w:r>
        <w:rPr>
          <w:rFonts w:ascii="Times New Roman" w:eastAsia="仿宋" w:cs="Times New Roman" w:hAnsi="Times New Roman"/>
        </w:rPr>
        <w:t>一</w:t>
      </w:r>
      <w:r>
        <w:rPr>
          <w:rFonts w:ascii="Times New Roman" w:eastAsia="仿宋" w:cs="Times New Roman" w:hAnsi="Times New Roman"/>
          <w:bCs w:val="0"/>
        </w:rPr>
        <w:t>般公共预算财政拨款项目支出决算表</w:t>
      </w:r>
      <w:r>
        <w:tab/>
      </w:r>
      <w:r>
        <w:fldChar w:fldCharType="begin"/>
      </w:r>
      <w:r>
        <w:instrText xml:space="preserve"> PAGEREF _Toc23868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_Toc29000 </w:instrText>
      </w:r>
      <w:r>
        <w:fldChar w:fldCharType="separate"/>
      </w:r>
      <w:r>
        <w:rPr>
          <w:rFonts w:ascii="Times New Roman" w:eastAsia="仿宋" w:cs="Times New Roman" w:hAnsi="Times New Roman"/>
          <w:bCs w:val="0"/>
        </w:rPr>
        <w:t>十、</w:t>
      </w:r>
      <w:r>
        <w:rPr>
          <w:rFonts w:ascii="Times New Roman" w:eastAsia="仿宋" w:cs="Times New Roman" w:hAnsi="Times New Roman"/>
        </w:rPr>
        <w:t>一</w:t>
      </w:r>
      <w:r>
        <w:rPr>
          <w:rFonts w:ascii="Times New Roman" w:eastAsia="仿宋" w:cs="Times New Roman" w:hAnsi="Times New Roman"/>
          <w:bCs w:val="0"/>
        </w:rPr>
        <w:t>般公共预算财政拨款“三公”经费支出决算表</w:t>
      </w:r>
      <w:r>
        <w:tab/>
      </w:r>
      <w:r>
        <w:fldChar w:fldCharType="begin"/>
      </w:r>
      <w:r>
        <w:instrText xml:space="preserve"> PAGEREF _Toc29000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_Toc6126 </w:instrText>
      </w:r>
      <w:r>
        <w:fldChar w:fldCharType="separate"/>
      </w:r>
      <w:r>
        <w:rPr>
          <w:rFonts w:ascii="Times New Roman" w:eastAsia="仿宋" w:cs="Times New Roman" w:hAnsi="Times New Roman"/>
          <w:bCs w:val="0"/>
        </w:rPr>
        <w:t>十一、</w:t>
      </w:r>
      <w:r>
        <w:rPr>
          <w:rFonts w:ascii="Times New Roman" w:eastAsia="仿宋" w:cs="Times New Roman" w:hAnsi="Times New Roman"/>
        </w:rPr>
        <w:t>政</w:t>
      </w:r>
      <w:r>
        <w:rPr>
          <w:rFonts w:ascii="Times New Roman" w:eastAsia="仿宋" w:cs="Times New Roman" w:hAnsi="Times New Roman"/>
          <w:bCs w:val="0"/>
        </w:rPr>
        <w:t>府性基金预算财政拨款收入支出决算表</w:t>
      </w:r>
      <w:r>
        <w:tab/>
      </w:r>
      <w:r>
        <w:fldChar w:fldCharType="begin"/>
      </w:r>
      <w:r>
        <w:instrText xml:space="preserve"> PAGEREF _Toc6126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_Toc1800 </w:instrText>
      </w:r>
      <w:r>
        <w:fldChar w:fldCharType="separate"/>
      </w:r>
      <w:r>
        <w:rPr>
          <w:rFonts w:ascii="Times New Roman" w:eastAsia="仿宋" w:cs="Times New Roman" w:hAnsi="Times New Roman"/>
          <w:bCs w:val="0"/>
        </w:rPr>
        <w:t>十二、</w:t>
      </w:r>
      <w:r>
        <w:rPr>
          <w:rFonts w:ascii="Times New Roman" w:eastAsia="仿宋" w:cs="Times New Roman" w:hAnsi="Times New Roman"/>
        </w:rPr>
        <w:t>国</w:t>
      </w:r>
      <w:r>
        <w:rPr>
          <w:rFonts w:ascii="Times New Roman" w:eastAsia="仿宋" w:cs="Times New Roman" w:hAnsi="Times New Roman"/>
          <w:bCs w:val="0"/>
        </w:rPr>
        <w:t>有资本经营预算财政拨款收入支出决算表</w:t>
      </w:r>
      <w:r>
        <w:tab/>
      </w:r>
      <w:r>
        <w:fldChar w:fldCharType="begin"/>
      </w:r>
      <w:r>
        <w:instrText xml:space="preserve"> PAGEREF _Toc1800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r>
        <w:fldChar w:fldCharType="begin"/>
      </w:r>
      <w:r>
        <w:instrText xml:space="preserve"> HYPERLINK \l _Toc11848 </w:instrText>
      </w:r>
      <w:r>
        <w:fldChar w:fldCharType="separate"/>
      </w:r>
      <w:r>
        <w:rPr>
          <w:rFonts w:ascii="Times New Roman" w:eastAsia="仿宋" w:cs="Times New Roman" w:hAnsi="Times New Roman"/>
          <w:bCs w:val="0"/>
        </w:rPr>
        <w:t>十三、国有资本经营预算财政拨款支出决算表</w:t>
      </w:r>
      <w:r>
        <w:tab/>
      </w:r>
      <w:r>
        <w:fldChar w:fldCharType="begin"/>
      </w:r>
      <w:r>
        <w:instrText xml:space="preserve"> PAGEREF _Toc11848 \h </w:instrText>
      </w:r>
      <w:r>
        <w:fldChar w:fldCharType="separate"/>
      </w:r>
      <w:r>
        <w:t>32</w:t>
      </w:r>
      <w:r>
        <w:fldChar w:fldCharType="end"/>
      </w:r>
      <w:r>
        <w:rPr>
          <w:color w:val="000000"/>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440" w:lineRule="exact"/>
        <w:textAlignment w:val="auto"/>
      </w:pPr>
    </w:p>
    <w:p>
      <w:pPr>
        <w:pStyle w:val="20"/>
        <w:keepNext w:val="0"/>
        <w:keepLines w:val="0"/>
        <w:pageBreakBefore w:val="0"/>
        <w:widowControl w:val="0"/>
        <w:tabs>
          <w:tab w:val="right" w:leader="dot" w:pos="8296"/>
        </w:tabs>
        <w:kinsoku/>
        <w:wordWrap/>
        <w:overflowPunct/>
        <w:topLinePunct w:val="0"/>
        <w:autoSpaceDE/>
        <w:autoSpaceDN/>
        <w:bidi w:val="0"/>
        <w:adjustRightInd/>
        <w:snapToGrid/>
        <w:spacing w:line="440" w:lineRule="exact"/>
        <w:textAlignment w:val="auto"/>
        <w:rPr>
          <w:rFonts w:cs="Arial"/>
        </w:rPr>
      </w:pPr>
      <w:r>
        <w:rPr>
          <w:color w:val="000000"/>
        </w:rPr>
        <w:fldChar w:fldCharType="end"/>
      </w:r>
      <w:bookmarkStart w:id="16" w:name="_Toc15377196"/>
    </w:p>
    <w:p>
      <w:pPr>
        <w:pStyle w:val="1"/>
        <w:jc w:val="center"/>
        <w:rPr>
          <w:rFonts w:ascii="黑体" w:eastAsia="黑体" w:hint="eastAsia"/>
          <w:b w:val="0"/>
        </w:rPr>
        <w:sectPr>
          <w:footerReference w:type="default" r:id="rId5"/>
          <w:footerReference w:type="first" r:id="rId6"/>
          <w:pgSz w:w="11906" w:h="16838"/>
          <w:pgMar w:top="1440" w:right="1800" w:bottom="1440" w:left="1800" w:header="851" w:footer="992" w:gutter="0"/>
          <w:pgNumType w:start="1"/>
          <w:titlePg/>
          <w:docGrid w:type="lines" w:linePitch="312" w:charSpace="0"/>
        </w:sectPr>
      </w:pPr>
    </w:p>
    <w:p>
      <w:pPr>
        <w:pStyle w:val="1"/>
        <w:jc w:val="center"/>
        <w:rPr>
          <w:rFonts w:ascii="黑体" w:eastAsia="黑体"/>
          <w:color w:val="000000"/>
          <w:sz w:val="32"/>
          <w:szCs w:val="32"/>
        </w:rPr>
      </w:pPr>
      <w:bookmarkStart w:id="17" w:name="_Toc10712"/>
      <w:r>
        <w:rPr>
          <w:rFonts w:ascii="黑体" w:eastAsia="黑体" w:hint="eastAsia"/>
          <w:b w:val="0"/>
        </w:rPr>
        <w:t xml:space="preserve">第一部分 </w:t>
      </w:r>
      <w:r>
        <w:rPr>
          <w:rStyle w:val="1Char"/>
          <w:rFonts w:ascii="黑体" w:eastAsia="黑体" w:hint="eastAsia"/>
          <w:b w:val="0"/>
          <w:bCs w:val="0"/>
        </w:rPr>
        <w:t>部门概况</w:t>
      </w:r>
      <w:bookmarkEnd w:id="16"/>
      <w:bookmarkEnd w:id="17"/>
    </w:p>
    <w:p>
      <w:pPr>
        <w:pStyle w:val="2"/>
        <w:spacing w:before="0" w:after="0" w:line="240" w:lineRule="auto"/>
        <w:ind w:left="640" w:hangingChars="200" w:hanging="640"/>
        <w:rPr>
          <w:rStyle w:val="2Char"/>
          <w:rFonts w:ascii="黑体" w:eastAsia="黑体"/>
          <w:b w:val="0"/>
          <w:bCs w:val="0"/>
        </w:rPr>
      </w:pPr>
      <w:bookmarkStart w:id="18" w:name="_Toc15377197"/>
      <w:bookmarkStart w:id="19" w:name="_Toc23520"/>
      <w:r>
        <w:rPr>
          <w:rFonts w:ascii="黑体" w:eastAsia="黑体" w:hint="eastAsia"/>
          <w:b w:val="0"/>
          <w:color w:val="000000"/>
        </w:rPr>
        <w:t>一、基</w:t>
      </w:r>
      <w:r>
        <w:rPr>
          <w:rStyle w:val="2Char"/>
          <w:rFonts w:ascii="黑体" w:eastAsia="黑体" w:hint="eastAsia"/>
          <w:b w:val="0"/>
          <w:bCs w:val="0"/>
        </w:rPr>
        <w:t>本职能及主要工作</w:t>
      </w:r>
      <w:bookmarkStart w:id="20" w:name="_Toc15378445"/>
      <w:bookmarkStart w:id="21" w:name="_Toc15377198"/>
      <w:bookmarkEnd w:id="18"/>
      <w:bookmarkEnd w:id="19"/>
    </w:p>
    <w:p>
      <w:pPr>
        <w:pStyle w:val="2"/>
        <w:spacing w:before="0" w:after="0" w:line="240" w:lineRule="auto"/>
        <w:ind w:leftChars="153" w:left="641" w:hangingChars="100" w:hanging="320"/>
        <w:rPr>
          <w:rFonts w:ascii="楷体" w:eastAsia="楷体" w:cs="楷体"/>
          <w:color w:val="000000"/>
        </w:rPr>
      </w:pPr>
      <w:bookmarkStart w:id="22" w:name="_Toc1212"/>
      <w:r>
        <w:rPr>
          <w:rFonts w:ascii="楷体" w:eastAsia="楷体" w:cs="楷体" w:hint="eastAsia"/>
          <w:color w:val="000000"/>
        </w:rPr>
        <w:t>（一）主要职能</w:t>
      </w:r>
      <w:bookmarkStart w:id="23" w:name="_Toc15377199"/>
      <w:bookmarkStart w:id="24" w:name="_Toc15378446"/>
      <w:bookmarkEnd w:id="20"/>
      <w:bookmarkEnd w:id="21"/>
      <w:bookmarkEnd w:id="22"/>
    </w:p>
    <w:p>
      <w:pPr>
        <w:snapToGrid w:val="0"/>
        <w:spacing w:line="360" w:lineRule="auto"/>
        <w:ind w:firstLineChars="200" w:firstLine="640"/>
        <w:outlineLvl w:val="1"/>
        <w:rPr>
          <w:rFonts w:ascii="仿宋_GB2312" w:eastAsia="仿宋_GB2312" w:cs="仿宋_GB2312"/>
          <w:sz w:val="32"/>
          <w:szCs w:val="32"/>
        </w:rPr>
      </w:pPr>
      <w:bookmarkStart w:id="25" w:name="_Toc32413"/>
      <w:bookmarkStart w:id="26" w:name="_Toc23930"/>
      <w:bookmarkStart w:id="27" w:name="_Toc2489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_GB2312" w:eastAsia="仿宋_GB2312" w:cs="仿宋_GB2312" w:hint="eastAsia"/>
          <w:sz w:val="32"/>
          <w:szCs w:val="32"/>
          <w:lang w:val="en-US" w:eastAsia="zh-CN"/>
        </w:rPr>
        <w:t>卡撒</w:t>
      </w:r>
      <w:r>
        <w:rPr>
          <w:rFonts w:ascii="仿宋_GB2312" w:eastAsia="仿宋_GB2312" w:cs="仿宋_GB2312" w:hint="eastAsia"/>
          <w:sz w:val="32"/>
          <w:szCs w:val="32"/>
        </w:rPr>
        <w:t>发展的新局面。</w:t>
      </w:r>
      <w:bookmarkEnd w:id="25"/>
      <w:bookmarkEnd w:id="26"/>
      <w:bookmarkEnd w:id="27"/>
    </w:p>
    <w:p>
      <w:pPr>
        <w:pStyle w:val="2"/>
        <w:spacing w:before="0" w:after="0" w:line="240" w:lineRule="auto"/>
        <w:ind w:firstLineChars="100" w:firstLine="320"/>
        <w:rPr>
          <w:rFonts w:ascii="楷体" w:eastAsia="楷体" w:cs="楷体"/>
          <w:color w:val="000000"/>
        </w:rPr>
      </w:pPr>
      <w:bookmarkStart w:id="28" w:name="_Toc19118"/>
      <w:r>
        <w:rPr>
          <w:rFonts w:ascii="楷体" w:eastAsia="楷体" w:cs="楷体" w:hint="eastAsia"/>
          <w:color w:val="000000"/>
        </w:rPr>
        <w:t>（二）</w:t>
      </w:r>
      <w:r>
        <w:rPr>
          <w:rFonts w:ascii="楷体" w:eastAsia="楷体" w:cs="楷体" w:hint="eastAsia"/>
          <w:color w:val="000000"/>
          <w:lang w:eastAsia="zh-CN"/>
        </w:rPr>
        <w:t>2022年</w:t>
      </w:r>
      <w:r>
        <w:rPr>
          <w:rFonts w:ascii="楷体" w:eastAsia="楷体" w:cs="楷体" w:hint="eastAsia"/>
          <w:color w:val="000000"/>
        </w:rPr>
        <w:t>重点工作完成情况</w:t>
      </w:r>
      <w:bookmarkEnd w:id="23"/>
      <w:bookmarkEnd w:id="24"/>
      <w:bookmarkEnd w:id="28"/>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40"/>
        <w:textAlignment w:val="auto"/>
        <w:outlineLvl w:val="9"/>
        <w:rPr>
          <w:rFonts w:ascii="仿宋_GB2312" w:eastAsia="仿宋_GB2312" w:cs="??_GB2312" w:hint="eastAsia"/>
          <w:color w:val="auto"/>
          <w:sz w:val="32"/>
          <w:szCs w:val="32"/>
          <w:shd w:val="clear" w:color="auto" w:fill="FFFFFF"/>
          <w:lang w:val="en-US" w:eastAsia="zh-CN"/>
        </w:rPr>
      </w:pPr>
      <w:bookmarkStart w:id="29" w:name="_Toc15377200"/>
      <w:r>
        <w:rPr>
          <w:rFonts w:ascii="仿宋_GB2312" w:eastAsia="仿宋_GB2312" w:cs="??_GB2312" w:hint="eastAsia"/>
          <w:color w:val="auto"/>
          <w:sz w:val="32"/>
          <w:szCs w:val="32"/>
          <w:shd w:val="clear" w:color="auto" w:fill="FFFFFF"/>
          <w:lang w:val="en-US" w:eastAsia="zh-CN"/>
        </w:rPr>
        <w:t>在县委、县政府和乡党委的坚强领导下，乡人民政府</w:t>
      </w:r>
      <w:r>
        <w:rPr>
          <w:rFonts w:eastAsia="仿宋_GB2312" w:hint="eastAsia"/>
          <w:color w:val="auto"/>
          <w:sz w:val="32"/>
          <w:szCs w:val="32"/>
          <w:shd w:val="clear" w:color="auto" w:fill="FFFFFF"/>
          <w:lang w:val="en-US" w:eastAsia="zh-CN"/>
        </w:rPr>
        <w:t>坚持以习近平新时代中国特色社会主义思想为指导</w:t>
      </w:r>
      <w:r>
        <w:rPr>
          <w:rFonts w:ascii="仿宋" w:eastAsia="仿宋" w:cs="??_GB2312" w:hint="eastAsia"/>
          <w:color w:val="auto"/>
          <w:sz w:val="32"/>
          <w:szCs w:val="32"/>
          <w:shd w:val="clear" w:color="auto" w:fill="FFFFFF"/>
          <w:lang w:val="en-US" w:eastAsia="zh-CN"/>
        </w:rPr>
        <w:t>，</w:t>
      </w:r>
      <w:r>
        <w:rPr>
          <w:rFonts w:ascii="仿宋_GB2312" w:eastAsia="仿宋_GB2312" w:cs="??_GB2312" w:hint="eastAsia"/>
          <w:color w:val="auto"/>
          <w:sz w:val="32"/>
          <w:szCs w:val="32"/>
          <w:shd w:val="clear" w:color="auto" w:fill="FFFFFF"/>
          <w:lang w:val="en-US" w:eastAsia="zh-CN"/>
        </w:rPr>
        <w:t>认真贯彻落实中央大政方针和省委、州委、县委重大决策部署，坚持科学发展、高质量发展理念，积极应对脱贫攻坚、新冠</w:t>
      </w:r>
      <w:r>
        <w:rPr>
          <w:rFonts w:ascii="仿宋_GB2312" w:eastAsia="仿宋_GB2312" w:cs="??_GB2312"/>
          <w:color w:val="auto"/>
          <w:sz w:val="32"/>
          <w:szCs w:val="32"/>
          <w:shd w:val="clear" w:color="auto" w:fill="FFFFFF"/>
          <w:lang w:val="en-US" w:eastAsia="zh-CN"/>
        </w:rPr>
        <w:t>感染</w:t>
      </w:r>
      <w:r>
        <w:rPr>
          <w:rFonts w:ascii="仿宋_GB2312" w:eastAsia="仿宋_GB2312" w:cs="??_GB2312" w:hint="eastAsia"/>
          <w:color w:val="auto"/>
          <w:sz w:val="32"/>
          <w:szCs w:val="32"/>
          <w:shd w:val="clear" w:color="auto" w:fill="FFFFFF"/>
          <w:lang w:val="en-US" w:eastAsia="zh-CN"/>
        </w:rPr>
        <w:t>、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_GB2312" w:hint="eastAsia"/>
          <w:color w:val="auto"/>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一是紧紧围绕影响经济发展和社会稳定的源头性、苗头性、基础性问题，突出重点、综合施策，进一步优化社会环境，促进社会和谐稳定。</w:t>
      </w:r>
    </w:p>
    <w:p>
      <w:pPr>
        <w:pStyle w:val="2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rFonts w:eastAsia="仿宋_GB2312" w:hint="eastAsia"/>
          <w:color w:val="auto"/>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二是</w:t>
      </w:r>
      <w:r>
        <w:rPr>
          <w:rFonts w:eastAsia="仿宋_GB2312" w:hint="eastAsia"/>
          <w:color w:val="auto"/>
          <w:sz w:val="32"/>
          <w:szCs w:val="32"/>
          <w:shd w:val="clear" w:color="auto" w:fill="FFFFFF"/>
          <w:lang w:val="en-US" w:eastAsia="zh-CN"/>
        </w:rPr>
        <w:t>自新冠疫情发生以来，全乡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_GB2312" w:hint="eastAsia"/>
          <w:color w:val="auto"/>
          <w:sz w:val="32"/>
          <w:szCs w:val="32"/>
          <w:shd w:val="clear" w:color="auto" w:fill="FFFFFF"/>
          <w:lang w:val="en-US" w:eastAsia="zh-CN"/>
        </w:rPr>
      </w:pPr>
      <w:r>
        <w:rPr>
          <w:rFonts w:eastAsia="仿宋_GB2312" w:hint="eastAsia"/>
          <w:color w:val="auto"/>
          <w:sz w:val="32"/>
          <w:szCs w:val="32"/>
          <w:shd w:val="clear" w:color="auto" w:fill="FFFFFF"/>
          <w:lang w:val="en-US" w:eastAsia="zh-CN"/>
        </w:rPr>
        <w:t>三是</w:t>
      </w:r>
      <w:r>
        <w:rPr>
          <w:rFonts w:ascii="仿宋_GB2312" w:eastAsia="仿宋_GB2312" w:cs="??_GB2312" w:hint="eastAsia"/>
          <w:color w:val="auto"/>
          <w:sz w:val="32"/>
          <w:szCs w:val="32"/>
          <w:shd w:val="clear" w:color="auto" w:fill="FFFFFF"/>
          <w:lang w:val="en-US" w:eastAsia="zh-CN"/>
        </w:rPr>
        <w:t>围绕项目建设主线，着力优化发展环境，下好项目建设“先手棋”，五年来，我乡争取基础设施建设项目总投资2.631亿元，有力助推经济社会跨越发展。</w:t>
      </w:r>
    </w:p>
    <w:p>
      <w:pPr>
        <w:pStyle w:val="2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rFonts w:ascii="仿宋_GB2312" w:eastAsia="仿宋_GB2312" w:cs="仿宋_GB2312" w:hint="eastAsia"/>
          <w:b w:val="0"/>
          <w:bCs w:val="0"/>
          <w:color w:val="000000"/>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四是</w:t>
      </w:r>
      <w:r>
        <w:rPr>
          <w:rFonts w:ascii="仿宋_GB2312" w:eastAsia="仿宋_GB2312" w:cs="仿宋_GB2312" w:hint="eastAsia"/>
          <w:kern w:val="0"/>
          <w:sz w:val="32"/>
          <w:szCs w:val="32"/>
          <w:lang w:val="en-US" w:eastAsia="zh-CN"/>
        </w:rPr>
        <w:t>始终坚持以习近平生态文明思想为指引，认真践行“绿水青山就是金山银山</w:t>
      </w:r>
      <w:r>
        <w:rPr>
          <w:rFonts w:ascii="仿宋_GB2312" w:eastAsia="仿宋_GB2312" w:cs="仿宋_GB2312" w:hint="eastAsia"/>
          <w:b w:val="0"/>
          <w:bCs w:val="0"/>
          <w:color w:val="000000"/>
          <w:sz w:val="32"/>
          <w:szCs w:val="32"/>
          <w:shd w:val="clear" w:color="auto" w:fill="FFFFFF"/>
          <w:lang w:val="en-US" w:eastAsia="zh-CN"/>
        </w:rPr>
        <w:t>”</w:t>
      </w:r>
      <w:r>
        <w:rPr>
          <w:rFonts w:ascii="仿宋_GB2312" w:eastAsia="仿宋_GB2312" w:cs="仿宋_GB2312" w:hint="eastAsia"/>
          <w:b w:val="0"/>
          <w:bCs w:val="0"/>
          <w:color w:val="000000"/>
          <w:sz w:val="32"/>
          <w:szCs w:val="32"/>
          <w:shd w:val="clear" w:color="auto" w:fill="FFFFFF"/>
        </w:rPr>
        <w:t>“重在保护、要在治理、高质量发展”</w:t>
      </w:r>
      <w:r>
        <w:rPr>
          <w:rFonts w:ascii="仿宋_GB2312" w:eastAsia="仿宋_GB2312" w:cs="仿宋_GB2312" w:hint="eastAsia"/>
          <w:b w:val="0"/>
          <w:bCs w:val="0"/>
          <w:color w:val="000000"/>
          <w:sz w:val="32"/>
          <w:szCs w:val="32"/>
          <w:shd w:val="clear" w:color="auto" w:fill="FFFFFF"/>
          <w:lang w:val="en-US" w:eastAsia="zh-CN"/>
        </w:rPr>
        <w:t>理念，切实把生态环境保护摆在压倒性</w:t>
      </w:r>
      <w:r>
        <w:rPr>
          <w:rFonts w:ascii="仿宋_GB2312" w:eastAsia="仿宋_GB2312" w:cs="??_GB2312" w:hint="eastAsia"/>
          <w:color w:val="auto"/>
          <w:sz w:val="32"/>
          <w:szCs w:val="32"/>
          <w:shd w:val="clear" w:color="auto" w:fill="FFFFFF"/>
          <w:lang w:val="en-US" w:eastAsia="zh-CN"/>
        </w:rPr>
        <w:t>位置</w:t>
      </w:r>
      <w:r>
        <w:rPr>
          <w:rFonts w:ascii="仿宋_GB2312" w:eastAsia="仿宋_GB2312" w:cs="仿宋_GB2312" w:hint="eastAsia"/>
          <w:b w:val="0"/>
          <w:bCs w:val="0"/>
          <w:color w:val="000000"/>
          <w:sz w:val="32"/>
          <w:szCs w:val="32"/>
          <w:shd w:val="clear" w:color="auto" w:fill="FFFFFF"/>
          <w:lang w:val="en-US" w:eastAsia="zh-CN"/>
        </w:rPr>
        <w:t>，共抓大保护、不搞大开发。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eastAsia="仿宋_GB2312" w:hint="eastAsia"/>
          <w:color w:val="auto"/>
          <w:sz w:val="32"/>
          <w:szCs w:val="32"/>
          <w:shd w:val="clear" w:color="auto" w:fill="FFFFFF"/>
          <w:lang w:val="en-US" w:eastAsia="zh-CN"/>
        </w:rPr>
      </w:pPr>
      <w:r>
        <w:rPr>
          <w:rFonts w:ascii="仿宋_GB2312" w:eastAsia="仿宋_GB2312" w:cs="仿宋_GB2312" w:hint="eastAsia"/>
          <w:b w:val="0"/>
          <w:bCs w:val="0"/>
          <w:color w:val="000000"/>
          <w:sz w:val="32"/>
          <w:szCs w:val="32"/>
          <w:shd w:val="clear" w:color="auto" w:fill="FFFFFF"/>
          <w:lang w:val="en-US" w:eastAsia="zh-CN"/>
        </w:rPr>
        <w:t>五是</w:t>
      </w:r>
      <w:r>
        <w:rPr>
          <w:rFonts w:eastAsia="仿宋_GB2312" w:hint="eastAsia"/>
          <w:color w:val="auto"/>
          <w:sz w:val="32"/>
          <w:szCs w:val="32"/>
          <w:shd w:val="clear" w:color="auto" w:fill="FFFFFF"/>
          <w:lang w:val="en-US" w:eastAsia="zh-CN"/>
        </w:rPr>
        <w:t>坚定贯彻总体国家安全观，旗帜鲜明开展反分维稳斗争，“扫黑除恶专项斗争”强力推进，“天</w:t>
      </w:r>
      <w:r>
        <w:rPr>
          <w:rFonts w:eastAsia="仿宋_GB2312"/>
          <w:color w:val="auto"/>
          <w:sz w:val="32"/>
          <w:szCs w:val="32"/>
          <w:shd w:val="clear" w:color="auto" w:fill="FFFFFF"/>
          <w:lang w:val="en-US" w:eastAsia="zh-CN"/>
        </w:rPr>
        <w:t>网</w:t>
      </w:r>
      <w:r>
        <w:rPr>
          <w:rFonts w:eastAsia="仿宋_GB2312" w:hint="eastAsia"/>
          <w:color w:val="auto"/>
          <w:sz w:val="32"/>
          <w:szCs w:val="32"/>
          <w:shd w:val="clear" w:color="auto" w:fill="FFFFFF"/>
          <w:lang w:val="en-US" w:eastAsia="zh-CN"/>
        </w:rPr>
        <w:t>”“雪亮”工程拓展延伸，平安防线牢不可破，“两</w:t>
      </w:r>
      <w:r>
        <w:rPr>
          <w:rFonts w:eastAsia="仿宋_GB2312"/>
          <w:color w:val="auto"/>
          <w:sz w:val="32"/>
          <w:szCs w:val="32"/>
          <w:shd w:val="clear" w:color="auto" w:fill="FFFFFF"/>
          <w:lang w:val="en-US" w:eastAsia="zh-CN"/>
        </w:rPr>
        <w:t>项</w:t>
      </w:r>
      <w:r>
        <w:rPr>
          <w:rFonts w:eastAsia="仿宋_GB2312" w:hint="eastAsia"/>
          <w:color w:val="auto"/>
          <w:sz w:val="32"/>
          <w:szCs w:val="32"/>
          <w:shd w:val="clear" w:color="auto" w:fill="FFFFFF"/>
          <w:lang w:val="en-US" w:eastAsia="zh-CN"/>
        </w:rPr>
        <w:t>”改革调整优化2个村。</w:t>
      </w:r>
    </w:p>
    <w:p>
      <w:pPr>
        <w:pStyle w:val="2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lang w:val="en-US"/>
        </w:rPr>
      </w:pPr>
      <w:r>
        <w:rPr>
          <w:rFonts w:eastAsia="仿宋_GB2312" w:hint="eastAsia"/>
          <w:color w:val="auto"/>
          <w:sz w:val="32"/>
          <w:szCs w:val="32"/>
          <w:shd w:val="clear" w:color="auto" w:fill="FFFFFF"/>
          <w:lang w:val="en-US" w:eastAsia="zh-CN"/>
        </w:rPr>
        <w:t>六是</w:t>
      </w:r>
      <w:r>
        <w:rPr>
          <w:rFonts w:ascii="仿宋_GB2312" w:eastAsia="仿宋_GB2312" w:cs="仿宋_GB2312" w:hint="eastAsia"/>
          <w:sz w:val="32"/>
          <w:szCs w:val="32"/>
          <w:lang w:val="en-US" w:eastAsia="zh-CN"/>
        </w:rPr>
        <w:t>近两年来，持续强降雨致使全乡境内基础设施、农作物、房屋等财产遭受严重损毁，全乡百姓生命财产安全遭受严重威胁，防汛工作经受严重考验。全乡累计受灾438户1432人，</w:t>
      </w:r>
      <w:r>
        <w:rPr>
          <w:rStyle w:val="34"/>
          <w:rFonts w:ascii="仿宋_GB2312" w:eastAsia="仿宋_GB2312" w:cs="仿宋_GB2312" w:hint="eastAsia"/>
          <w:b w:val="0"/>
          <w:bCs w:val="0"/>
          <w:kern w:val="2"/>
          <w:sz w:val="32"/>
          <w:szCs w:val="32"/>
          <w:lang w:val="en-US" w:eastAsia="zh-CN" w:bidi="ar-SA"/>
        </w:rPr>
        <w:t>造成经济损失4274.25万元。我们始终坚持把守护人民群众的生命财产安全作为践行初心使命、体现责任担当的试金石。</w:t>
      </w:r>
    </w:p>
    <w:p>
      <w:pPr>
        <w:spacing w:line="578" w:lineRule="exact"/>
        <w:ind w:firstLineChars="200" w:firstLine="640"/>
        <w:rPr>
          <w:rStyle w:val="2Char"/>
          <w:b w:val="0"/>
          <w:bCs w:val="0"/>
        </w:rPr>
      </w:pPr>
      <w:bookmarkStart w:id="30" w:name="_Toc17641"/>
      <w:r>
        <w:rPr>
          <w:rStyle w:val="2Char"/>
          <w:rFonts w:ascii="黑体" w:eastAsia="黑体" w:hint="eastAsia"/>
          <w:b w:val="0"/>
          <w:bCs w:val="0"/>
        </w:rPr>
        <w:t>二、机构设置</w:t>
      </w:r>
      <w:bookmarkEnd w:id="29"/>
    </w:p>
    <w:p>
      <w:pPr>
        <w:snapToGrid w:val="0"/>
        <w:spacing w:line="560" w:lineRule="exact"/>
        <w:ind w:firstLineChars="200" w:firstLine="640"/>
        <w:rPr>
          <w:rFonts w:ascii="仿宋_GB2312" w:eastAsia="仿宋_GB2312" w:cs="仿宋_GB2312"/>
          <w:bCs/>
          <w:sz w:val="32"/>
        </w:rPr>
      </w:pPr>
      <w:bookmarkStart w:id="31" w:name="_Toc15377204"/>
      <w:bookmarkEnd w:id="30"/>
      <w:r>
        <w:rPr>
          <w:rFonts w:ascii="仿宋_GB2312" w:eastAsia="仿宋_GB2312" w:cs="仿宋_GB2312" w:hint="eastAsia"/>
          <w:bCs/>
          <w:sz w:val="32"/>
        </w:rPr>
        <w:t>我乡</w:t>
      </w:r>
      <w:r>
        <w:rPr>
          <w:rFonts w:ascii="仿宋_GB2312" w:eastAsia="仿宋_GB2312" w:cs="仿宋_GB2312" w:hint="eastAsia"/>
          <w:bCs/>
          <w:sz w:val="32"/>
          <w:lang w:eastAsia="zh-CN"/>
        </w:rPr>
        <w:t>2022年</w:t>
      </w:r>
      <w:r>
        <w:rPr>
          <w:rFonts w:ascii="仿宋_GB2312" w:eastAsia="仿宋_GB2312" w:cs="仿宋_GB2312" w:hint="eastAsia"/>
          <w:bCs/>
          <w:sz w:val="32"/>
        </w:rPr>
        <w:t>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w:t>
      </w:r>
      <w:r>
        <w:rPr>
          <w:rFonts w:ascii="仿宋_GB2312" w:eastAsia="仿宋_GB2312" w:cs="仿宋_GB2312" w:hint="eastAsia"/>
          <w:bCs/>
          <w:sz w:val="32"/>
          <w:lang w:eastAsia="zh-CN"/>
        </w:rPr>
        <w:t>由乡人民政府办公室、乡人大办公室、乡党委办公室、乡综合服务中心，设统一核算机构为</w:t>
      </w:r>
      <w:r>
        <w:rPr>
          <w:rFonts w:ascii="仿宋_GB2312" w:eastAsia="仿宋_GB2312" w:cs="仿宋_GB2312" w:hint="eastAsia"/>
          <w:bCs/>
          <w:sz w:val="32"/>
          <w:lang w:val="en-US" w:eastAsia="zh-CN"/>
        </w:rPr>
        <w:t>1个，独立编制机构1个，其中：公务员编制21个，事业编制14个，机关工勤2个，</w:t>
      </w:r>
      <w:r>
        <w:rPr>
          <w:rFonts w:ascii="仿宋_GB2312" w:eastAsia="仿宋_GB2312" w:cs="仿宋_GB2312" w:hint="eastAsia"/>
          <w:bCs/>
          <w:sz w:val="32"/>
        </w:rPr>
        <w:t>较上年无变动。我乡本年度年末实有人数为</w:t>
      </w:r>
      <w:r>
        <w:rPr>
          <w:rFonts w:ascii="仿宋_GB2312" w:eastAsia="仿宋_GB2312" w:cs="仿宋_GB2312" w:hint="eastAsia"/>
          <w:bCs/>
          <w:sz w:val="32"/>
          <w:lang w:val="en-US" w:eastAsia="zh-CN"/>
        </w:rPr>
        <w:t>33</w:t>
      </w:r>
      <w:r>
        <w:rPr>
          <w:rFonts w:ascii="仿宋_GB2312" w:eastAsia="仿宋_GB2312" w:cs="仿宋_GB2312" w:hint="eastAsia"/>
          <w:bCs/>
          <w:sz w:val="32"/>
        </w:rPr>
        <w:t>人，比上年</w:t>
      </w:r>
      <w:r>
        <w:rPr>
          <w:rFonts w:ascii="仿宋_GB2312" w:eastAsia="仿宋_GB2312" w:cs="仿宋_GB2312" w:hint="eastAsia"/>
          <w:bCs/>
          <w:sz w:val="32"/>
          <w:lang w:val="en-US" w:eastAsia="zh-CN"/>
        </w:rPr>
        <w:t>行政人员减少2</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事业人员无变动，由于编制空缺，有人员新进及调进</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5</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18人</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13</w:t>
      </w:r>
      <w:r>
        <w:rPr>
          <w:rFonts w:ascii="仿宋_GB2312" w:eastAsia="仿宋_GB2312" w:cs="仿宋_GB2312" w:hint="eastAsia"/>
          <w:bCs/>
          <w:sz w:val="32"/>
        </w:rPr>
        <w:t>人）。</w:t>
      </w:r>
    </w:p>
    <w:p>
      <w:pPr>
        <w:snapToGrid w:val="0"/>
        <w:spacing w:line="360" w:lineRule="auto"/>
        <w:ind w:firstLineChars="200" w:firstLine="640"/>
        <w:rPr>
          <w:rFonts w:ascii="仿宋_GB2312" w:eastAsia="仿宋_GB2312"/>
          <w:sz w:val="32"/>
          <w:szCs w:val="32"/>
        </w:rPr>
      </w:pPr>
    </w:p>
    <w:p>
      <w:pPr>
        <w:pStyle w:val="1"/>
        <w:ind w:right="440"/>
        <w:jc w:val="right"/>
      </w:pPr>
      <w:bookmarkStart w:id="32" w:name="_Toc22592"/>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2022年度部门决算情况说明</w:t>
      </w:r>
      <w:bookmarkEnd w:id="31"/>
      <w:bookmarkEnd w:id="32"/>
    </w:p>
    <w:p>
      <w:pPr>
        <w:pStyle w:val="31"/>
        <w:numPr>
          <w:ilvl w:val="0"/>
          <w:numId w:val="1"/>
        </w:numPr>
        <w:ind w:left="0" w:firstLineChars="0" w:firstLine="0"/>
        <w:outlineLvl w:val="1"/>
        <w:rPr>
          <w:rStyle w:val="2Char"/>
          <w:rFonts w:ascii="黑体" w:eastAsia="黑体"/>
          <w:b w:val="0"/>
        </w:rPr>
      </w:pPr>
      <w:bookmarkStart w:id="33" w:name="_Toc15377205"/>
      <w:bookmarkStart w:id="34" w:name="_Toc26389"/>
      <w:r>
        <w:rPr>
          <w:rFonts w:ascii="黑体" w:eastAsia="黑体" w:hint="eastAsia"/>
          <w:color w:val="000000"/>
          <w:sz w:val="32"/>
          <w:szCs w:val="32"/>
        </w:rPr>
        <w:t>收</w:t>
      </w:r>
      <w:r>
        <w:rPr>
          <w:rStyle w:val="2Char"/>
          <w:rFonts w:ascii="黑体" w:eastAsia="黑体" w:hint="eastAsia"/>
          <w:b w:val="0"/>
        </w:rPr>
        <w:t>入支出决算总体情况说明</w:t>
      </w:r>
      <w:bookmarkEnd w:id="33"/>
      <w:bookmarkEnd w:id="34"/>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rPr>
        <w:t>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1127.72</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110.19</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9.77</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工资福利标准调整</w:t>
      </w:r>
      <w:r>
        <w:rPr>
          <w:rFonts w:ascii="仿宋_GB2312" w:eastAsia="仿宋_GB2312" w:hint="eastAsia"/>
          <w:color w:val="000000"/>
          <w:spacing w:val="-2"/>
          <w:sz w:val="32"/>
          <w:szCs w:val="32"/>
        </w:rPr>
        <w:t>。</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lang w:eastAsia="zh-CN"/>
        </w:rPr>
        <w:t>2022年</w:t>
      </w:r>
      <w:r>
        <w:rPr>
          <w:rFonts w:ascii="仿宋_GB2312" w:eastAsia="仿宋_GB2312" w:hint="eastAsia"/>
          <w:spacing w:val="-2"/>
          <w:sz w:val="32"/>
          <w:szCs w:val="32"/>
        </w:rPr>
        <w:t>总支出</w:t>
      </w:r>
      <w:r>
        <w:rPr>
          <w:rFonts w:ascii="仿宋_GB2312" w:eastAsia="仿宋_GB2312" w:hint="eastAsia"/>
          <w:color w:val="000000"/>
          <w:sz w:val="32"/>
          <w:szCs w:val="32"/>
          <w:shd w:val="clear" w:color="auto" w:fill="FFFFFF"/>
          <w14:textFill>
            <w14:solidFill>
              <w14:srgbClr w14:val="000000"/>
            </w14:solidFill>
          </w14:textFill>
          <w:lang w:val="en-US" w:eastAsia="zh-CN"/>
        </w:rPr>
        <w:t>1127.72</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w:t>
      </w:r>
      <w:r>
        <w:rPr>
          <w:rFonts w:ascii="仿宋_GB2312" w:eastAsia="仿宋_GB2312" w:hint="eastAsia"/>
          <w:color w:val="000000"/>
          <w:spacing w:val="-2"/>
          <w:sz w:val="32"/>
          <w:szCs w:val="32"/>
          <w:lang w:val="en-US" w:eastAsia="zh-CN"/>
        </w:rPr>
        <w:t>110.19</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w:t>
      </w:r>
      <w:r>
        <w:rPr>
          <w:rFonts w:ascii="仿宋_GB2312" w:eastAsia="仿宋_GB2312" w:hint="eastAsia"/>
          <w:color w:val="000000"/>
          <w:spacing w:val="-2"/>
          <w:sz w:val="32"/>
          <w:szCs w:val="32"/>
          <w:lang w:val="en-US" w:eastAsia="zh-CN"/>
        </w:rPr>
        <w:t>9.77</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hint="eastAsia"/>
          <w:spacing w:val="-2"/>
          <w:sz w:val="32"/>
          <w:szCs w:val="32"/>
          <w:lang w:eastAsia="zh-CN"/>
        </w:rPr>
        <w:t>2022年</w:t>
      </w:r>
      <w:r>
        <w:rPr>
          <w:rFonts w:ascii="仿宋_GB2312" w:eastAsia="仿宋_GB2312" w:hint="eastAsia"/>
          <w:spacing w:val="-2"/>
          <w:sz w:val="32"/>
          <w:szCs w:val="32"/>
        </w:rPr>
        <w:t>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pStyle w:val="31"/>
        <w:numPr>
          <w:ilvl w:val="0"/>
          <w:numId w:val="1"/>
        </w:numPr>
        <w:ind w:left="0" w:firstLineChars="0" w:firstLine="0"/>
        <w:outlineLvl w:val="1"/>
        <w:rPr>
          <w:rFonts w:ascii="黑体" w:eastAsia="黑体" w:hint="eastAsia"/>
          <w:color w:val="000000"/>
          <w:sz w:val="32"/>
          <w:szCs w:val="32"/>
        </w:rPr>
      </w:pPr>
      <w:bookmarkStart w:id="35" w:name="_Toc13110"/>
      <w:r>
        <w:rPr>
          <w:rFonts w:ascii="黑体" w:eastAsia="黑体" w:hint="eastAsia"/>
          <w:color w:val="000000"/>
          <w:sz w:val="32"/>
          <w:szCs w:val="32"/>
        </w:rPr>
        <w:drawing>
          <wp:anchor distT="0" distB="0" distL="114300" distR="114300" simplePos="0" relativeHeight="21" behindDoc="0" locked="0" layoutInCell="1" hidden="0" allowOverlap="1">
            <wp:simplePos x="0" y="0"/>
            <wp:positionH relativeFrom="column">
              <wp:posOffset>308610</wp:posOffset>
            </wp:positionH>
            <wp:positionV relativeFrom="paragraph">
              <wp:posOffset>45720</wp:posOffset>
            </wp:positionV>
            <wp:extent cx="5079998" cy="2582545"/>
            <wp:effectExtent l="0" t="0" r="0" b="0"/>
            <wp:wrapTopAndBottom/>
            <wp:docPr id="4" name="图表 4"/>
            <wp:cNvGraphicFramePr>
              <a:graphicFrameLocks noChangeAspect="0"/>
            </wp:cNvGraphicFramePr>
            <a:graphic>
              <a:graphicData uri="http://schemas.openxmlformats.org/drawingml/2006/chart">
                <c:chart xmlns:c="http://schemas.openxmlformats.org/drawingml/2006/chart" r:id="rId9"/>
              </a:graphicData>
            </a:graphic>
          </wp:anchor>
        </w:drawing>
      </w:r>
      <w:bookmarkStart w:id="36" w:name="_Toc15377206"/>
      <w:r>
        <w:rPr>
          <w:rFonts w:ascii="黑体" w:eastAsia="黑体" w:hint="eastAsia"/>
          <w:color w:val="000000"/>
          <w:sz w:val="32"/>
          <w:szCs w:val="32"/>
        </w:rPr>
        <w:t>收入决算情况说明</w:t>
      </w:r>
      <w:bookmarkEnd w:id="35"/>
      <w:bookmarkEnd w:id="36"/>
    </w:p>
    <w:p>
      <w:pPr>
        <w:spacing w:line="600" w:lineRule="exact"/>
        <w:ind w:firstLineChars="200" w:firstLine="640"/>
        <w:outlineLvl w:val="1"/>
        <w:rPr>
          <w:rFonts w:ascii="仿宋" w:eastAsia="仿宋"/>
          <w:color w:val="000000"/>
          <w:sz w:val="32"/>
          <w:szCs w:val="32"/>
        </w:rPr>
      </w:pPr>
      <w:bookmarkStart w:id="37" w:name="_Toc22912"/>
      <w:bookmarkStart w:id="38" w:name="_Toc11110"/>
      <w:r>
        <w:rPr>
          <w:rFonts w:ascii="仿宋" w:eastAsia="仿宋" w:hint="eastAsia"/>
          <w:color w:val="000000"/>
          <w:sz w:val="32"/>
          <w:szCs w:val="32"/>
          <w:lang w:eastAsia="zh-CN"/>
        </w:rPr>
        <w:t>2022年</w:t>
      </w:r>
      <w:r>
        <w:rPr>
          <w:rFonts w:ascii="仿宋" w:eastAsia="仿宋" w:hint="eastAsia"/>
          <w:color w:val="000000"/>
          <w:sz w:val="32"/>
          <w:szCs w:val="32"/>
        </w:rPr>
        <w:t>总收入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1127.72</w:t>
      </w:r>
      <w:r>
        <w:rPr>
          <w:rFonts w:ascii="仿宋" w:eastAsia="仿宋" w:hint="eastAsia"/>
          <w:color w:val="000000"/>
          <w:sz w:val="32"/>
          <w:szCs w:val="32"/>
        </w:rPr>
        <w:t>万元，其中：一般公共预算财政拨款收入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1127.72</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7"/>
      <w:bookmarkEnd w:id="38"/>
    </w:p>
    <w:p>
      <w:pPr>
        <w:spacing w:line="600" w:lineRule="exact"/>
        <w:ind w:firstLineChars="200" w:firstLine="640"/>
        <w:outlineLvl w:val="1"/>
        <w:rPr>
          <w:rStyle w:val="2Char"/>
          <w:rFonts w:ascii="黑体" w:eastAsia="黑体"/>
          <w:b w:val="0"/>
        </w:rPr>
      </w:pPr>
      <w:bookmarkStart w:id="39" w:name="_Toc6605"/>
      <w:r>
        <w:rPr>
          <w:rFonts w:ascii="黑体" w:eastAsia="黑体" w:hint="eastAsia"/>
          <w:color w:val="000000"/>
          <w:sz w:val="32"/>
          <w:szCs w:val="32"/>
        </w:rPr>
        <w:drawing>
          <wp:anchor distT="0" distB="0" distL="114300" distR="114300" simplePos="0" relativeHeight="23"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5" name="图表 5"/>
            <wp:cNvGraphicFramePr>
              <a:graphicFrameLocks noChangeAspect="0"/>
            </wp:cNvGraphicFramePr>
            <a:graphic>
              <a:graphicData uri="http://schemas.openxmlformats.org/drawingml/2006/chart">
                <c:chart xmlns:c="http://schemas.openxmlformats.org/drawingml/2006/chart" r:id="rId10"/>
              </a:graphicData>
            </a:graphic>
          </wp:anchor>
        </w:drawing>
      </w:r>
      <w:bookmarkStart w:id="40" w:name="_Toc15377207"/>
      <w:r>
        <w:rPr>
          <w:rFonts w:ascii="黑体" w:eastAsia="黑体" w:hint="eastAsia"/>
          <w:color w:val="000000"/>
          <w:sz w:val="32"/>
          <w:szCs w:val="32"/>
        </w:rPr>
        <w:t>三、支出决</w:t>
      </w:r>
      <w:r>
        <w:rPr>
          <w:rStyle w:val="2Char"/>
          <w:rFonts w:ascii="黑体" w:eastAsia="黑体" w:hint="eastAsia"/>
          <w:b w:val="0"/>
        </w:rPr>
        <w:t>算情况说明</w:t>
      </w:r>
      <w:bookmarkEnd w:id="39"/>
      <w:bookmarkEnd w:id="40"/>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2022年</w:t>
      </w:r>
      <w:r>
        <w:rPr>
          <w:rFonts w:ascii="仿宋" w:eastAsia="仿宋" w:hint="eastAsia"/>
          <w:color w:val="000000"/>
          <w:sz w:val="32"/>
          <w:szCs w:val="32"/>
        </w:rPr>
        <w:t>本年总支出</w:t>
      </w:r>
      <w:r>
        <w:rPr>
          <w:rFonts w:ascii="仿宋" w:eastAsia="仿宋" w:hint="eastAsia"/>
          <w:color w:val="000000"/>
          <w:sz w:val="32"/>
          <w:szCs w:val="32"/>
          <w:lang w:val="en-US" w:eastAsia="zh-CN"/>
        </w:rPr>
        <w:t>1127.72</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745.34</w:t>
      </w:r>
      <w:r>
        <w:rPr>
          <w:rFonts w:ascii="仿宋" w:eastAsia="仿宋" w:hint="eastAsia"/>
          <w:color w:val="000000"/>
          <w:sz w:val="32"/>
          <w:szCs w:val="32"/>
        </w:rPr>
        <w:t>万元，占</w:t>
      </w:r>
      <w:r>
        <w:rPr>
          <w:rFonts w:ascii="仿宋" w:eastAsia="仿宋" w:hint="eastAsia"/>
          <w:color w:val="000000"/>
          <w:sz w:val="32"/>
          <w:szCs w:val="32"/>
          <w:lang w:val="en-US" w:eastAsia="zh-CN"/>
        </w:rPr>
        <w:t>66.09</w:t>
      </w:r>
      <w:r>
        <w:rPr>
          <w:rFonts w:ascii="仿宋" w:eastAsia="仿宋" w:hint="eastAsia"/>
          <w:color w:val="000000"/>
          <w:sz w:val="32"/>
          <w:szCs w:val="32"/>
        </w:rPr>
        <w:t>%；项目支出</w:t>
      </w:r>
      <w:r>
        <w:rPr>
          <w:rFonts w:ascii="仿宋" w:eastAsia="仿宋" w:hint="eastAsia"/>
          <w:color w:val="000000"/>
          <w:sz w:val="32"/>
          <w:szCs w:val="32"/>
          <w:lang w:val="en-US" w:eastAsia="zh-CN"/>
        </w:rPr>
        <w:t>382.38</w:t>
      </w:r>
      <w:r>
        <w:rPr>
          <w:rFonts w:ascii="仿宋" w:eastAsia="仿宋" w:hint="eastAsia"/>
          <w:color w:val="000000"/>
          <w:sz w:val="32"/>
          <w:szCs w:val="32"/>
        </w:rPr>
        <w:t>万元，占</w:t>
      </w:r>
      <w:r>
        <w:rPr>
          <w:rFonts w:ascii="仿宋" w:eastAsia="仿宋" w:hint="eastAsia"/>
          <w:color w:val="000000"/>
          <w:sz w:val="32"/>
          <w:szCs w:val="32"/>
          <w:lang w:val="en-US" w:eastAsia="zh-CN"/>
        </w:rPr>
        <w:t>33。91</w:t>
      </w:r>
      <w:r>
        <w:rPr>
          <w:rFonts w:ascii="仿宋" w:eastAsia="仿宋" w:hint="eastAsia"/>
          <w:color w:val="000000"/>
          <w:sz w:val="32"/>
          <w:szCs w:val="32"/>
        </w:rPr>
        <w:t>%</w:t>
      </w:r>
      <w:r>
        <w:rPr>
          <w:rFonts w:ascii="仿宋" w:eastAsia="仿宋" w:hint="eastAsia"/>
          <w:color w:val="000000"/>
          <w:sz w:val="32"/>
          <w:szCs w:val="32"/>
          <w:lang w:eastAsia="zh-CN"/>
        </w:rPr>
        <w:t>。</w:t>
      </w:r>
    </w:p>
    <w:p>
      <w:pPr>
        <w:pStyle w:val="25"/>
        <w:rPr>
          <w:lang w:val="en-US"/>
        </w:rPr>
      </w:pPr>
      <w:r>
        <w:rPr>
          <w:rFonts w:ascii="黑体" w:eastAsia="黑体" w:hint="eastAsia"/>
          <w:color w:val="000000"/>
          <w:sz w:val="32"/>
          <w:szCs w:val="32"/>
        </w:rPr>
        <w:drawing>
          <wp:anchor distT="0" distB="0" distL="114300" distR="114300" simplePos="0" relativeHeight="25" behindDoc="0" locked="0" layoutInCell="1" hidden="0" allowOverlap="1">
            <wp:simplePos x="0" y="0"/>
            <wp:positionH relativeFrom="column">
              <wp:posOffset>-167639</wp:posOffset>
            </wp:positionH>
            <wp:positionV relativeFrom="paragraph">
              <wp:posOffset>501015</wp:posOffset>
            </wp:positionV>
            <wp:extent cx="5373368" cy="2648584"/>
            <wp:effectExtent l="0" t="0" r="0" b="0"/>
            <wp:wrapTopAndBottom/>
            <wp:docPr id="6" name="图表 5"/>
            <wp:cNvGraphicFramePr>
              <a:graphicFrameLocks noChangeAspect="0"/>
            </wp:cNvGraphicFramePr>
            <a:graphic>
              <a:graphicData uri="http://schemas.openxmlformats.org/drawingml/2006/chart">
                <c:chart xmlns:c="http://schemas.openxmlformats.org/drawingml/2006/chart" r:id="rId11"/>
              </a:graphicData>
            </a:graphic>
          </wp:anchor>
        </w:drawing>
      </w:r>
    </w:p>
    <w:p>
      <w:pPr>
        <w:spacing w:line="600" w:lineRule="exact"/>
        <w:ind w:firstLineChars="200" w:firstLine="640"/>
        <w:outlineLvl w:val="1"/>
        <w:rPr>
          <w:rStyle w:val="2Char"/>
          <w:rFonts w:ascii="黑体" w:eastAsia="黑体"/>
          <w:b w:val="0"/>
        </w:rPr>
      </w:pPr>
      <w:bookmarkStart w:id="41" w:name="_Toc15377208"/>
      <w:bookmarkStart w:id="42" w:name="_Toc17317"/>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1"/>
      <w:bookmarkEnd w:id="42"/>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财政拨款收入</w:t>
      </w:r>
      <w:r>
        <w:rPr>
          <w:rFonts w:ascii="仿宋" w:eastAsia="仿宋" w:hint="eastAsia"/>
          <w:color w:val="000000"/>
          <w:sz w:val="32"/>
          <w:szCs w:val="32"/>
          <w:lang w:val="en-US" w:eastAsia="zh-CN"/>
        </w:rPr>
        <w:t>1127.72</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hint="eastAsia"/>
          <w:color w:val="000000"/>
          <w:sz w:val="32"/>
          <w:szCs w:val="32"/>
          <w:lang w:val="en-US" w:eastAsia="zh-CN"/>
        </w:rPr>
        <w:t>2020</w:t>
      </w:r>
      <w:r>
        <w:rPr>
          <w:rFonts w:ascii="仿宋" w:eastAsia="仿宋" w:hint="eastAsia"/>
          <w:color w:val="000000"/>
          <w:sz w:val="32"/>
          <w:szCs w:val="32"/>
        </w:rPr>
        <w:t>年相比，一般公共预算财政拨款收入</w:t>
      </w:r>
      <w:r>
        <w:rPr>
          <w:rFonts w:ascii="仿宋_GB2312" w:eastAsia="仿宋_GB2312" w:hint="eastAsia"/>
          <w:color w:val="000000"/>
          <w:spacing w:val="-2"/>
          <w:sz w:val="32"/>
          <w:szCs w:val="32"/>
        </w:rPr>
        <w:t>较上年收入增加</w:t>
      </w:r>
      <w:r>
        <w:rPr>
          <w:rFonts w:ascii="仿宋_GB2312" w:eastAsia="仿宋_GB2312" w:hint="eastAsia"/>
          <w:color w:val="000000"/>
          <w:spacing w:val="-2"/>
          <w:sz w:val="32"/>
          <w:szCs w:val="32"/>
          <w:lang w:val="en-US" w:eastAsia="zh-CN"/>
        </w:rPr>
        <w:t>110.19</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9.77</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工资福利标准调整，人员经费增加</w:t>
      </w:r>
      <w:r>
        <w:rPr>
          <w:rFonts w:ascii="仿宋_GB2312" w:eastAsia="仿宋_GB2312" w:hint="eastAsia"/>
          <w:color w:val="000000"/>
          <w:spacing w:val="-2"/>
          <w:sz w:val="32"/>
          <w:szCs w:val="32"/>
        </w:rPr>
        <w:t>。</w:t>
      </w:r>
    </w:p>
    <w:p>
      <w:pPr>
        <w:spacing w:line="600" w:lineRule="exact"/>
        <w:ind w:firstLineChars="200" w:firstLine="640"/>
        <w:rPr>
          <w:rFonts w:ascii="仿宋_GB2312" w:eastAsia="仿宋_GB2312" w:hint="eastAsia"/>
          <w:spacing w:val="-2"/>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财政拨款</w:t>
      </w:r>
      <w:r>
        <w:rPr>
          <w:rFonts w:ascii="仿宋" w:eastAsia="仿宋" w:hint="eastAsia"/>
          <w:color w:val="000000"/>
          <w:sz w:val="32"/>
          <w:szCs w:val="32"/>
          <w:lang w:val="en-US" w:eastAsia="zh-CN"/>
        </w:rPr>
        <w:t>支出1127.72</w:t>
      </w:r>
      <w:r>
        <w:rPr>
          <w:rFonts w:ascii="仿宋" w:eastAsia="仿宋" w:hint="eastAsia"/>
          <w:color w:val="000000"/>
          <w:sz w:val="32"/>
          <w:szCs w:val="32"/>
        </w:rPr>
        <w:t>万元</w:t>
      </w:r>
      <w:r>
        <w:rPr>
          <w:rFonts w:ascii="仿宋_GB2312" w:eastAsia="仿宋_GB2312" w:hint="eastAsia"/>
          <w:spacing w:val="-2"/>
          <w:sz w:val="32"/>
          <w:szCs w:val="32"/>
        </w:rPr>
        <w:t>，较上年支出</w:t>
      </w:r>
      <w:r>
        <w:rPr>
          <w:rFonts w:ascii="仿宋_GB2312" w:eastAsia="仿宋_GB2312" w:hint="eastAsia"/>
          <w:spacing w:val="-2"/>
          <w:sz w:val="32"/>
          <w:szCs w:val="32"/>
          <w:lang w:val="en-US" w:eastAsia="zh-CN"/>
        </w:rPr>
        <w:t>增加</w:t>
      </w:r>
      <w:r>
        <w:rPr>
          <w:rFonts w:ascii="仿宋_GB2312" w:eastAsia="仿宋_GB2312" w:hint="eastAsia"/>
          <w:color w:val="000000"/>
          <w:spacing w:val="-2"/>
          <w:sz w:val="32"/>
          <w:szCs w:val="32"/>
          <w:lang w:val="en-US" w:eastAsia="zh-CN"/>
        </w:rPr>
        <w:t>110.19</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9.77</w:t>
      </w:r>
      <w:r>
        <w:rPr>
          <w:rFonts w:ascii="仿宋_GB2312" w:eastAsia="仿宋_GB2312" w:hint="eastAsia"/>
          <w:color w:val="000000"/>
          <w:spacing w:val="-2"/>
          <w:sz w:val="32"/>
          <w:szCs w:val="32"/>
        </w:rPr>
        <w:t>%</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hint="eastAsia"/>
          <w:spacing w:val="-2"/>
          <w:sz w:val="32"/>
          <w:szCs w:val="32"/>
          <w:lang w:eastAsia="zh-CN"/>
        </w:rPr>
        <w:t>2022年</w:t>
      </w:r>
      <w:r>
        <w:rPr>
          <w:rFonts w:ascii="仿宋_GB2312" w:eastAsia="仿宋_GB2312" w:hint="eastAsia"/>
          <w:spacing w:val="-2"/>
          <w:sz w:val="32"/>
          <w:szCs w:val="32"/>
        </w:rPr>
        <w:t>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7"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7" name="图表 7"/>
            <wp:cNvGraphicFramePr>
              <a:graphicFrameLocks noChangeAspect="0"/>
            </wp:cNvGraphicFramePr>
            <a:graphic>
              <a:graphicData uri="http://schemas.openxmlformats.org/drawingml/2006/chart">
                <c:chart xmlns:c="http://schemas.openxmlformats.org/drawingml/2006/chart" r:id="rId12"/>
              </a:graphicData>
            </a:graphic>
          </wp:anchor>
        </w:drawing>
      </w:r>
      <w:bookmarkStart w:id="43"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43"/>
    </w:p>
    <w:p>
      <w:pPr>
        <w:spacing w:line="600" w:lineRule="exact"/>
        <w:ind w:firstLineChars="200" w:firstLine="640"/>
        <w:outlineLvl w:val="2"/>
        <w:rPr>
          <w:rFonts w:ascii="仿宋" w:eastAsia="仿宋"/>
          <w:b/>
          <w:color w:val="000000"/>
          <w:sz w:val="32"/>
          <w:szCs w:val="32"/>
        </w:rPr>
      </w:pPr>
      <w:bookmarkStart w:id="44" w:name="_Toc15377210"/>
      <w:r>
        <w:rPr>
          <w:rFonts w:ascii="仿宋" w:eastAsia="仿宋" w:hint="eastAsia"/>
          <w:b/>
          <w:color w:val="000000"/>
          <w:sz w:val="32"/>
          <w:szCs w:val="32"/>
        </w:rPr>
        <w:t>（一）一般公共预算财政拨款支出决算总体情况</w:t>
      </w:r>
      <w:bookmarkEnd w:id="44"/>
    </w:p>
    <w:p>
      <w:pPr>
        <w:spacing w:line="600" w:lineRule="exact"/>
        <w:ind w:firstLineChars="200" w:firstLine="640"/>
        <w:rPr>
          <w:rFonts w:ascii="仿宋_GB2312" w:eastAsia="仿宋_GB2312"/>
          <w:spacing w:val="-2"/>
          <w:sz w:val="32"/>
          <w:szCs w:val="32"/>
        </w:rPr>
      </w:pPr>
      <w:r>
        <w:rPr>
          <w:rFonts w:ascii="仿宋" w:eastAsia="仿宋" w:hint="eastAsia"/>
          <w:color w:val="000000"/>
          <w:sz w:val="32"/>
          <w:szCs w:val="32"/>
          <w:lang w:eastAsia="zh-CN"/>
        </w:rPr>
        <w:t>2022年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1127.72</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增加</w:t>
      </w:r>
      <w:r>
        <w:rPr>
          <w:rFonts w:ascii="仿宋_GB2312" w:eastAsia="仿宋_GB2312" w:hint="eastAsia"/>
          <w:color w:val="000000"/>
          <w:spacing w:val="-2"/>
          <w:sz w:val="32"/>
          <w:szCs w:val="32"/>
          <w:lang w:val="en-US" w:eastAsia="zh-CN"/>
        </w:rPr>
        <w:t>110.19</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9.77</w:t>
      </w:r>
      <w:r>
        <w:rPr>
          <w:rFonts w:ascii="仿宋_GB2312" w:eastAsia="仿宋_GB2312" w:hint="eastAsia"/>
          <w:color w:val="000000"/>
          <w:spacing w:val="-2"/>
          <w:sz w:val="32"/>
          <w:szCs w:val="32"/>
        </w:rPr>
        <w:t>%</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hint="eastAsia"/>
          <w:spacing w:val="-2"/>
          <w:sz w:val="32"/>
          <w:szCs w:val="32"/>
          <w:lang w:eastAsia="zh-CN"/>
        </w:rPr>
        <w:t>2022年</w:t>
      </w:r>
      <w:r>
        <w:rPr>
          <w:rFonts w:ascii="仿宋_GB2312" w:eastAsia="仿宋_GB2312" w:hint="eastAsia"/>
          <w:spacing w:val="-2"/>
          <w:sz w:val="32"/>
          <w:szCs w:val="32"/>
        </w:rPr>
        <w:t>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numPr>
          <w:ilvl w:val="0"/>
          <w:numId w:val="2"/>
        </w:numPr>
        <w:spacing w:line="600" w:lineRule="exact"/>
        <w:ind w:left="0" w:firstLineChars="200" w:firstLine="640"/>
        <w:outlineLvl w:val="2"/>
        <w:rPr>
          <w:rFonts w:ascii="仿宋" w:eastAsia="仿宋"/>
          <w:b/>
          <w:color w:val="000000"/>
          <w:sz w:val="32"/>
          <w:szCs w:val="32"/>
        </w:rPr>
      </w:pPr>
      <w:bookmarkStart w:id="45" w:name="_Toc15377211"/>
      <w:r>
        <w:rPr>
          <w:rFonts w:ascii="仿宋" w:eastAsia="仿宋" w:hint="eastAsia"/>
          <w:b/>
          <w:color w:val="000000"/>
          <w:sz w:val="32"/>
          <w:szCs w:val="32"/>
        </w:rPr>
        <w:t>一般公共预算财政拨款支出决算结构情况</w:t>
      </w:r>
      <w:bookmarkEnd w:id="45"/>
    </w:p>
    <w:p>
      <w:pPr>
        <w:spacing w:line="600" w:lineRule="exact"/>
        <w:ind w:firstLineChars="200" w:firstLine="640"/>
        <w:outlineLvl w:val="2"/>
        <w:rPr>
          <w:rFonts w:ascii="仿宋" w:eastAsia="仿宋"/>
          <w:bCs/>
          <w:color w:val="000000"/>
          <w:sz w:val="32"/>
          <w:szCs w:val="32"/>
        </w:rPr>
      </w:pPr>
      <w:r>
        <w:rPr>
          <w:rFonts w:ascii="仿宋" w:eastAsia="仿宋" w:hint="eastAsia"/>
          <w:bCs/>
          <w:color w:val="000000"/>
          <w:sz w:val="32"/>
          <w:szCs w:val="32"/>
          <w:lang w:eastAsia="zh-CN"/>
        </w:rPr>
        <w:t>2022年</w:t>
      </w:r>
      <w:r>
        <w:rPr>
          <w:rFonts w:ascii="仿宋" w:eastAsia="仿宋" w:hint="eastAsia"/>
          <w:bCs/>
          <w:color w:val="000000"/>
          <w:sz w:val="32"/>
          <w:szCs w:val="32"/>
        </w:rPr>
        <w:t>一般公共预算财政拨款支出为</w:t>
      </w:r>
      <w:r>
        <w:rPr>
          <w:rFonts w:ascii="仿宋" w:eastAsia="仿宋" w:hint="eastAsia"/>
          <w:bCs/>
          <w:color w:val="000000"/>
          <w:sz w:val="32"/>
          <w:szCs w:val="32"/>
          <w:lang w:val="en-US" w:eastAsia="zh-CN"/>
        </w:rPr>
        <w:t>1127.72</w:t>
      </w:r>
      <w:r>
        <w:rPr>
          <w:rFonts w:ascii="仿宋" w:eastAsia="仿宋" w:hint="eastAsia"/>
          <w:bCs/>
          <w:color w:val="000000"/>
          <w:sz w:val="32"/>
          <w:szCs w:val="32"/>
        </w:rPr>
        <w:t>万元。其中：一般公共服务支出为</w:t>
      </w:r>
      <w:r>
        <w:rPr>
          <w:rFonts w:ascii="仿宋" w:eastAsia="仿宋" w:hint="eastAsia"/>
          <w:bCs/>
          <w:color w:val="000000"/>
          <w:sz w:val="32"/>
          <w:szCs w:val="32"/>
          <w:lang w:val="en-US" w:eastAsia="zh-CN"/>
        </w:rPr>
        <w:t>378.81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33.59</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80.2</w:t>
      </w:r>
      <w:r>
        <w:rPr>
          <w:rFonts w:ascii="仿宋" w:eastAsia="仿宋" w:hint="eastAsia"/>
          <w:bCs/>
          <w:color w:val="000000"/>
          <w:sz w:val="32"/>
          <w:szCs w:val="32"/>
        </w:rPr>
        <w:t>万元，占比</w:t>
      </w:r>
      <w:r>
        <w:rPr>
          <w:rFonts w:ascii="仿宋" w:eastAsia="仿宋" w:hint="eastAsia"/>
          <w:bCs/>
          <w:color w:val="000000"/>
          <w:sz w:val="32"/>
          <w:szCs w:val="32"/>
          <w:lang w:val="en-US" w:eastAsia="zh-CN"/>
        </w:rPr>
        <w:t>7.11</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39.29</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3.48</w:t>
      </w:r>
      <w:r>
        <w:rPr>
          <w:rFonts w:ascii="仿宋" w:eastAsia="仿宋" w:hint="eastAsia"/>
          <w:bCs/>
          <w:color w:val="000000"/>
          <w:sz w:val="32"/>
          <w:szCs w:val="32"/>
        </w:rPr>
        <w:t>%；</w:t>
      </w:r>
      <w:r>
        <w:rPr>
          <w:rFonts w:ascii="仿宋" w:eastAsia="仿宋" w:hint="eastAsia"/>
          <w:bCs/>
          <w:color w:val="000000"/>
          <w:sz w:val="32"/>
          <w:szCs w:val="32"/>
          <w:lang w:val="en-US" w:eastAsia="zh-CN"/>
        </w:rPr>
        <w:t>节能环保支出98.32万元，占比8.72%；</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640.41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56.79</w:t>
      </w:r>
      <w:r>
        <w:rPr>
          <w:rFonts w:ascii="仿宋" w:eastAsia="仿宋" w:hint="eastAsia"/>
          <w:bCs/>
          <w:color w:val="000000"/>
          <w:sz w:val="32"/>
          <w:szCs w:val="32"/>
        </w:rPr>
        <w:t>%；</w:t>
      </w:r>
      <w:r>
        <w:rPr>
          <w:rFonts w:ascii="仿宋" w:eastAsia="仿宋" w:hint="eastAsia"/>
          <w:bCs/>
          <w:color w:val="000000"/>
          <w:sz w:val="32"/>
          <w:szCs w:val="32"/>
          <w:lang w:val="en-US" w:eastAsia="zh-CN"/>
        </w:rPr>
        <w:t>灾害防治及应急管理支出15万元，占比1.33%；</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51.37</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4.56</w:t>
      </w:r>
      <w:r>
        <w:rPr>
          <w:rFonts w:ascii="仿宋" w:eastAsia="仿宋" w:hint="eastAsia"/>
          <w:bCs/>
          <w:color w:val="000000"/>
          <w:sz w:val="32"/>
          <w:szCs w:val="32"/>
        </w:rPr>
        <w:t>%；其他支出为</w:t>
      </w:r>
      <w:r>
        <w:rPr>
          <w:rFonts w:ascii="仿宋" w:eastAsia="仿宋" w:hint="eastAsia"/>
          <w:bCs/>
          <w:color w:val="000000"/>
          <w:sz w:val="32"/>
          <w:szCs w:val="32"/>
          <w:lang w:val="en-US" w:eastAsia="zh-CN"/>
        </w:rPr>
        <w:t>4.32</w:t>
      </w:r>
      <w:r>
        <w:rPr>
          <w:rFonts w:ascii="仿宋" w:eastAsia="仿宋" w:hint="eastAsia"/>
          <w:bCs/>
          <w:color w:val="000000"/>
          <w:sz w:val="32"/>
          <w:szCs w:val="32"/>
        </w:rPr>
        <w:t>万元，占比</w:t>
      </w:r>
      <w:r>
        <w:rPr>
          <w:rFonts w:ascii="仿宋" w:eastAsia="仿宋" w:hint="eastAsia"/>
          <w:bCs/>
          <w:color w:val="000000"/>
          <w:sz w:val="32"/>
          <w:szCs w:val="32"/>
          <w:lang w:val="en-US" w:eastAsia="zh-CN"/>
        </w:rPr>
        <w:t>0.38</w:t>
      </w:r>
      <w:r>
        <w:rPr>
          <w:rFonts w:ascii="仿宋" w:eastAsia="仿宋" w:hint="eastAsia"/>
          <w:bCs/>
          <w:color w:val="000000"/>
          <w:sz w:val="32"/>
          <w:szCs w:val="32"/>
        </w:rPr>
        <w:t>%。</w:t>
      </w:r>
    </w:p>
    <w:p>
      <w:pPr>
        <w:pStyle w:val="25"/>
        <w:rPr>
          <w:rFonts w:ascii="仿宋" w:eastAsia="仿宋" w:hint="eastAsia"/>
          <w:bCs/>
          <w:color w:val="000000"/>
          <w:sz w:val="32"/>
          <w:szCs w:val="32"/>
          <w:lang w:eastAsia="zh-CN"/>
        </w:rPr>
      </w:pPr>
      <w:r>
        <w:rPr>
          <w:rFonts w:ascii="仿宋" w:eastAsia="仿宋" w:hint="eastAsia"/>
          <w:bCs/>
          <w:color w:val="000000"/>
          <w:sz w:val="32"/>
          <w:szCs w:val="32"/>
          <w:lang w:eastAsia="zh-CN"/>
        </w:rPr>
        <w:drawing>
          <wp:inline distT="0" distB="0" distL="114300" distR="114300">
            <wp:extent cx="5079998" cy="3810000"/>
            <wp:effectExtent l="0" t="0" r="0" b="0"/>
            <wp:docPr id="8" name="图表 10"/>
            <wp:cNvGraphicFramePr>
              <a:graphicFrameLocks noChangeAspect="0"/>
            </wp:cNvGraphicFramePr>
            <a:graphic>
              <a:graphicData uri="http://schemas.openxmlformats.org/drawingml/2006/chart">
                <c:chart xmlns:c="http://schemas.openxmlformats.org/drawingml/2006/chart" r:id="rId13"/>
              </a:graphicData>
            </a:graphic>
          </wp:inline>
        </w:drawing>
      </w:r>
    </w:p>
    <w:p>
      <w:pPr>
        <w:spacing w:line="600" w:lineRule="exact"/>
        <w:outlineLvl w:val="2"/>
        <w:rPr>
          <w:rFonts w:ascii="仿宋" w:eastAsia="仿宋"/>
          <w:b/>
          <w:color w:val="000000"/>
          <w:sz w:val="32"/>
          <w:szCs w:val="32"/>
        </w:rPr>
      </w:pPr>
      <w:bookmarkStart w:id="46" w:name="_Toc15377444"/>
      <w:bookmarkStart w:id="47" w:name="_Toc15377213"/>
      <w:bookmarkStart w:id="48" w:name="_Toc15378460"/>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仿宋" w:eastAsia="仿宋"/>
          <w:b/>
          <w:color w:val="000000"/>
          <w:sz w:val="32"/>
          <w:szCs w:val="32"/>
        </w:rPr>
      </w:pPr>
      <w:bookmarkStart w:id="49" w:name="_Toc15377212"/>
      <w:r>
        <w:rPr>
          <w:rFonts w:ascii="仿宋" w:eastAsia="仿宋" w:hint="eastAsia"/>
          <w:b/>
          <w:color w:val="000000"/>
          <w:sz w:val="32"/>
          <w:szCs w:val="32"/>
        </w:rPr>
        <w:t>（三）一般公共预算财政拨款支出决算具体情况</w:t>
      </w:r>
      <w:bookmarkEnd w:id="49"/>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hint="eastAsia"/>
          <w:bCs/>
          <w:color w:val="000000"/>
          <w:sz w:val="32"/>
          <w:szCs w:val="32"/>
          <w:lang w:eastAsia="zh-CN"/>
        </w:rPr>
        <w:t>2022年</w:t>
      </w:r>
      <w:r>
        <w:rPr>
          <w:rFonts w:ascii="仿宋" w:eastAsia="仿宋" w:hint="eastAsia"/>
          <w:bCs/>
          <w:color w:val="000000"/>
          <w:sz w:val="32"/>
          <w:szCs w:val="32"/>
        </w:rPr>
        <w:t>一般公共预算数为</w:t>
      </w:r>
      <w:r>
        <w:rPr>
          <w:rFonts w:ascii="仿宋" w:eastAsia="仿宋" w:hint="eastAsia"/>
          <w:bCs/>
          <w:color w:val="000000"/>
          <w:sz w:val="32"/>
          <w:szCs w:val="32"/>
          <w:lang w:val="en-US" w:eastAsia="zh-CN"/>
        </w:rPr>
        <w:t>1127.72</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1127.72</w:t>
      </w:r>
      <w:r>
        <w:rPr>
          <w:rFonts w:ascii="仿宋" w:eastAsia="仿宋" w:hint="eastAsia"/>
          <w:bCs/>
          <w:color w:val="000000"/>
          <w:sz w:val="32"/>
          <w:szCs w:val="32"/>
        </w:rPr>
        <w:t>万元，完</w:t>
      </w:r>
      <w:r>
        <w:rPr>
          <w:rStyle w:val="23"/>
          <w:rFonts w:ascii="仿宋" w:eastAsia="仿宋" w:hint="eastAsia"/>
          <w:b w:val="0"/>
          <w:bCs/>
          <w:color w:val="000000"/>
          <w:sz w:val="32"/>
          <w:szCs w:val="32"/>
        </w:rPr>
        <w:t>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，其中：</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b w:val="0"/>
          <w:bCs/>
          <w:color w:val="000000"/>
          <w:sz w:val="32"/>
          <w:szCs w:val="32"/>
        </w:rPr>
      </w:pPr>
      <w:bookmarkStart w:id="50" w:name="_Toc15377214"/>
      <w:r>
        <w:rPr>
          <w:rStyle w:val="23"/>
          <w:rFonts w:ascii="仿宋" w:eastAsia="仿宋" w:hint="eastAsia"/>
          <w:bCs/>
          <w:color w:val="000000"/>
          <w:sz w:val="32"/>
          <w:szCs w:val="32"/>
        </w:rPr>
        <w:t>1.一般公共服务（类）政府办公厅（室）及相关机构事务（款）行政运行（项）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340.88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bCs/>
          <w:color w:val="000000"/>
          <w:sz w:val="32"/>
          <w:szCs w:val="32"/>
        </w:rPr>
        <w:t>2.</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val="en-US" w:eastAsia="zh-CN"/>
        </w:rPr>
        <w:t>党委</w:t>
      </w:r>
      <w:r>
        <w:rPr>
          <w:rStyle w:val="23"/>
          <w:rFonts w:ascii="仿宋" w:eastAsia="仿宋" w:hint="eastAsia"/>
          <w:bCs/>
          <w:color w:val="000000"/>
          <w:sz w:val="32"/>
          <w:szCs w:val="32"/>
        </w:rPr>
        <w:t>办公室（室）及相关机构事务（款）一般行政管理事务（项）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18.68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cs="Times New Roman" w:hint="eastAsia"/>
          <w:bCs/>
          <w:color w:val="000000"/>
          <w:kern w:val="2"/>
          <w:sz w:val="32"/>
          <w:szCs w:val="32"/>
          <w:lang w:val="en-US" w:eastAsia="zh-CN" w:bidi="ar-SA"/>
        </w:rPr>
        <w:t>3.一般公共服务（类）人大事务（款）一般行政管理事务（项）: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19.16</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cs="Times New Roman" w:hint="eastAsia"/>
          <w:bCs/>
          <w:color w:val="000000"/>
          <w:kern w:val="2"/>
          <w:sz w:val="32"/>
          <w:szCs w:val="32"/>
          <w:lang w:val="en-US" w:eastAsia="zh-CN" w:bidi="ar-SA"/>
        </w:rPr>
        <w:t>4.一般公共服务（类）人大事务（款）人大会议（项）: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0.09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b/>
          <w:color w:val="000000"/>
          <w:sz w:val="32"/>
          <w:szCs w:val="32"/>
        </w:rPr>
      </w:pPr>
      <w:r>
        <w:rPr>
          <w:rStyle w:val="23"/>
          <w:rFonts w:ascii="仿宋" w:eastAsia="仿宋" w:hint="eastAsia"/>
          <w:bCs/>
          <w:color w:val="000000"/>
          <w:sz w:val="32"/>
          <w:szCs w:val="32"/>
          <w:lang w:val="en-US" w:eastAsia="zh-CN"/>
        </w:rPr>
        <w:t>5</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Cs/>
          <w:color w:val="000000"/>
          <w:sz w:val="32"/>
          <w:szCs w:val="32"/>
        </w:rPr>
        <w:t>社会保障和就业（类）行政事业单位离退休（款）机关事业单位基本养老保险缴费支出（项）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52,88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7</w:t>
      </w:r>
      <w:r>
        <w:rPr>
          <w:rStyle w:val="23"/>
          <w:rFonts w:ascii="仿宋" w:eastAsia="仿宋"/>
          <w:bCs/>
          <w:color w:val="000000"/>
          <w:sz w:val="32"/>
          <w:szCs w:val="32"/>
        </w:rPr>
        <w:t>.</w:t>
      </w:r>
      <w:r>
        <w:rPr>
          <w:rStyle w:val="23"/>
          <w:rFonts w:ascii="仿宋" w:eastAsia="仿宋" w:hint="eastAsia"/>
          <w:bCs/>
          <w:color w:val="000000"/>
          <w:sz w:val="32"/>
          <w:szCs w:val="32"/>
        </w:rPr>
        <w:t>社会保障和就业（类）行政事业单位离退休（款）机关事业单位基本职业年金缴费支出（项）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27.32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pStyle w:val="2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rPr>
          <w:rFonts w:eastAsia="仿宋" w:hint="eastAsia"/>
          <w:lang w:eastAsia="zh-CN"/>
        </w:rPr>
      </w:pPr>
      <w:r>
        <w:rPr>
          <w:rStyle w:val="23"/>
          <w:rFonts w:ascii="仿宋" w:eastAsia="仿宋" w:hint="eastAsia"/>
          <w:bCs/>
          <w:color w:val="000000"/>
          <w:sz w:val="32"/>
          <w:szCs w:val="32"/>
          <w:lang w:val="en-US" w:eastAsia="zh-CN"/>
        </w:rPr>
        <w:t>8</w:t>
      </w:r>
      <w:r>
        <w:rPr>
          <w:rStyle w:val="23"/>
          <w:rFonts w:ascii="仿宋" w:eastAsia="仿宋" w:hint="eastAsia"/>
          <w:bCs/>
          <w:color w:val="000000"/>
          <w:sz w:val="32"/>
          <w:szCs w:val="32"/>
        </w:rPr>
        <w:t>.卫生健康支出（类）</w:t>
      </w:r>
      <w:r>
        <w:rPr>
          <w:rStyle w:val="23"/>
          <w:rFonts w:ascii="仿宋" w:eastAsia="仿宋" w:hint="eastAsia"/>
          <w:bCs/>
          <w:color w:val="000000"/>
          <w:sz w:val="32"/>
          <w:szCs w:val="32"/>
          <w:lang w:val="en-US" w:eastAsia="zh-CN"/>
        </w:rPr>
        <w:t>公共卫生</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突发公共卫生应急处理</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9</w:t>
      </w:r>
      <w:r>
        <w:rPr>
          <w:rStyle w:val="23"/>
          <w:rFonts w:ascii="仿宋" w:eastAsia="仿宋" w:hint="eastAsia"/>
          <w:bCs/>
          <w:color w:val="000000"/>
          <w:sz w:val="32"/>
          <w:szCs w:val="32"/>
        </w:rPr>
        <w:t>.卫生健康支出（类）行政事业单位医疗（款）行政单位医疗（项）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20.45</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pStyle w:val="2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10</w:t>
      </w:r>
      <w:r>
        <w:rPr>
          <w:rStyle w:val="23"/>
          <w:rFonts w:ascii="仿宋" w:eastAsia="仿宋" w:hint="eastAsia"/>
          <w:bCs/>
          <w:color w:val="000000"/>
          <w:sz w:val="32"/>
          <w:szCs w:val="32"/>
        </w:rPr>
        <w:t>.卫生健康支出（类）行政事业单位医疗（款）</w:t>
      </w:r>
      <w:r>
        <w:rPr>
          <w:rStyle w:val="23"/>
          <w:rFonts w:ascii="仿宋" w:eastAsia="仿宋" w:hint="eastAsia"/>
          <w:bCs/>
          <w:color w:val="000000"/>
          <w:sz w:val="32"/>
          <w:szCs w:val="32"/>
          <w:lang w:val="en-US" w:eastAsia="zh-CN"/>
        </w:rPr>
        <w:t>事业单位医疗</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7.3</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pStyle w:val="2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11</w:t>
      </w:r>
      <w:r>
        <w:rPr>
          <w:rStyle w:val="23"/>
          <w:rFonts w:ascii="仿宋" w:eastAsia="仿宋" w:hint="eastAsia"/>
          <w:bCs/>
          <w:color w:val="000000"/>
          <w:sz w:val="32"/>
          <w:szCs w:val="32"/>
        </w:rPr>
        <w:t>.卫生健康支出（类）行政事业单位医疗（款）公务员医疗补助（项）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4.34</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pStyle w:val="2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rPr>
          <w:rFonts w:ascii="仿宋" w:eastAsia="仿宋"/>
          <w:color w:val="000000"/>
          <w:sz w:val="32"/>
          <w:szCs w:val="32"/>
        </w:rPr>
      </w:pPr>
      <w:r>
        <w:rPr>
          <w:rStyle w:val="23"/>
          <w:rFonts w:ascii="仿宋" w:eastAsia="仿宋" w:hint="eastAsia"/>
          <w:bCs/>
          <w:color w:val="000000"/>
          <w:sz w:val="32"/>
          <w:szCs w:val="32"/>
          <w:lang w:val="en-US" w:eastAsia="zh-CN"/>
        </w:rPr>
        <w:t>12</w:t>
      </w:r>
      <w:r>
        <w:rPr>
          <w:rStyle w:val="23"/>
          <w:rFonts w:ascii="仿宋" w:eastAsia="仿宋" w:hint="eastAsia"/>
          <w:bCs/>
          <w:color w:val="000000"/>
          <w:sz w:val="32"/>
          <w:szCs w:val="32"/>
        </w:rPr>
        <w:t>.卫生健康支出（类）行政事业单位医疗（款）</w:t>
      </w:r>
      <w:r>
        <w:rPr>
          <w:rStyle w:val="23"/>
          <w:rFonts w:ascii="仿宋" w:eastAsia="仿宋" w:hint="eastAsia"/>
          <w:bCs/>
          <w:color w:val="000000"/>
          <w:sz w:val="32"/>
          <w:szCs w:val="32"/>
          <w:lang w:val="en-US" w:eastAsia="zh-CN"/>
        </w:rPr>
        <w:t>其他行政事业单位医疗支出</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13</w:t>
      </w:r>
      <w:r>
        <w:rPr>
          <w:rStyle w:val="23"/>
          <w:rFonts w:ascii="仿宋" w:eastAsia="仿宋" w:hint="eastAsia"/>
          <w:bCs/>
          <w:color w:val="000000"/>
          <w:sz w:val="32"/>
          <w:szCs w:val="32"/>
        </w:rPr>
        <w:t>.住房保障（类）住房改革支出（款）住房公积金（项）：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51.37</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14.节能环保支出（类）自然生态保护（款）生态保护（项）：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98.32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15.农林水支出（类）农业农村（款）事业运行（项）：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200.76</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16.农林水支出（类）农业农村（款）农村道路建设（项）：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39.76</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17.农林水支出（类）农村综合改革（款）对村民委员会和党支部的补助（项）：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219.89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r>
        <w:rPr>
          <w:rStyle w:val="23"/>
          <w:rFonts w:ascii="仿宋" w:eastAsia="仿宋" w:hint="eastAsia"/>
          <w:b w:val="0"/>
          <w:bCs/>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18.灾害防治和应急管理支出（类）自然灾害防治（款）地质灾害防治（项）：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15</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19.其他支出（类）其他支出（款）其他支出（项）：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4.32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keepNext w:val="0"/>
        <w:keepLines w:val="0"/>
        <w:pageBreakBefore w:val="0"/>
        <w:widowControl w:val="0"/>
        <w:tabs>
          <w:tab w:val="right" w:pos="7663"/>
        </w:tabs>
        <w:kinsoku/>
        <w:wordWrap/>
        <w:overflowPunct/>
        <w:topLinePunct w:val="0"/>
        <w:autoSpaceDE/>
        <w:autoSpaceDN/>
        <w:bidi w:val="0"/>
        <w:adjustRightInd/>
        <w:snapToGrid/>
        <w:spacing w:line="560" w:lineRule="exact"/>
        <w:textAlignment w:val="auto"/>
        <w:rPr>
          <w:rStyle w:val="23"/>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50"/>
      <w:r>
        <w:rPr>
          <w:rStyle w:val="2Char"/>
          <w:rFonts w:ascii="黑体" w:eastAsia="黑体"/>
          <w:b w:val="0"/>
        </w:rPr>
        <w:tab/>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lang w:eastAsia="zh-CN"/>
        </w:rPr>
        <w:t>2022年</w:t>
      </w:r>
      <w:r>
        <w:rPr>
          <w:rFonts w:ascii="仿宋" w:eastAsia="仿宋" w:hint="eastAsia"/>
          <w:color w:val="000000"/>
          <w:sz w:val="32"/>
          <w:szCs w:val="32"/>
        </w:rPr>
        <w:t>一般公共预算财政拨款支出</w:t>
      </w:r>
      <w:r>
        <w:rPr>
          <w:rFonts w:ascii="仿宋" w:eastAsia="仿宋" w:hint="eastAsia"/>
          <w:bCs/>
          <w:color w:val="000000"/>
          <w:sz w:val="32"/>
          <w:szCs w:val="32"/>
          <w:lang w:val="en-US" w:eastAsia="zh-CN"/>
        </w:rPr>
        <w:t>1127.72</w:t>
      </w:r>
      <w:r>
        <w:rPr>
          <w:rFonts w:ascii="仿宋" w:eastAsia="仿宋" w:hint="eastAsia"/>
          <w:color w:val="000000"/>
          <w:sz w:val="32"/>
          <w:szCs w:val="32"/>
        </w:rPr>
        <w:t>万元</w:t>
      </w:r>
      <w:r>
        <w:rPr>
          <w:rFonts w:ascii="仿宋" w:eastAsia="仿宋" w:hint="eastAsia"/>
          <w:color w:val="000000"/>
          <w:sz w:val="32"/>
          <w:szCs w:val="32"/>
          <w:lang w:eastAsia="zh-CN"/>
        </w:rPr>
        <w:t>。</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bookmarkStart w:id="51"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745.34</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704.92</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130.73</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171.4</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122.58</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37.22</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52.88</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27.32</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1.45</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51.37</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27.74</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6.55</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1.79</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72.89</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40.42</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8.34</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4.2</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3.46</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8.02</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4.5</w:t>
      </w:r>
      <w:r>
        <w:rPr>
          <w:rFonts w:ascii="仿宋_GB2312" w:eastAsia="仿宋_GB2312" w:hint="eastAsia"/>
          <w:color w:val="000000"/>
          <w:sz w:val="32"/>
          <w:szCs w:val="32"/>
        </w:rPr>
        <w:t>万元、其他交通0.</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 xml:space="preserve"> 项目支出为382.28万元，主要包括：疫情防控经费5万元、金川县卡撒乡三埂子高家沟口通组桥建设项目36.07万元、金川县卡撒乡三埂子至新桥河堤建设项目62.26万元、金川县卡撒乡马厂村学校后面至晒场坝道路维修项目39.76万元、村级运维费、村干部生活补助、保险219.89万元、2020年、2021年应急抢险15万元、三老干部生活补助4.32万元,人大会议费0.09万元。</w:t>
      </w:r>
    </w:p>
    <w:p>
      <w:pPr>
        <w:spacing w:line="600" w:lineRule="exact"/>
        <w:ind w:firstLineChars="200" w:firstLine="640"/>
        <w:outlineLvl w:val="1"/>
        <w:rPr>
          <w:rStyle w:val="2Char"/>
          <w:rFonts w:ascii="黑体" w:eastAsia="黑体"/>
          <w:b w:val="0"/>
        </w:rPr>
      </w:pPr>
      <w:bookmarkStart w:id="52" w:name="_Toc14624"/>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51"/>
      <w:bookmarkEnd w:id="52"/>
    </w:p>
    <w:p>
      <w:pPr>
        <w:spacing w:line="600" w:lineRule="exact"/>
        <w:ind w:firstLine="640"/>
        <w:outlineLvl w:val="2"/>
        <w:rPr>
          <w:rFonts w:ascii="仿宋" w:eastAsia="仿宋"/>
          <w:b/>
          <w:color w:val="000000"/>
          <w:sz w:val="32"/>
          <w:szCs w:val="32"/>
        </w:rPr>
      </w:pPr>
      <w:bookmarkStart w:id="53" w:name="_Toc15377216"/>
      <w:r>
        <w:rPr>
          <w:rFonts w:ascii="仿宋" w:eastAsia="仿宋" w:hint="eastAsia"/>
          <w:b/>
          <w:color w:val="000000"/>
          <w:sz w:val="32"/>
          <w:szCs w:val="32"/>
        </w:rPr>
        <w:t>（一）“三公”经费财政拨款支出决算总体情况说明</w:t>
      </w:r>
      <w:bookmarkEnd w:id="53"/>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“三公”经费财政拨款</w:t>
      </w:r>
      <w:r>
        <w:rPr>
          <w:rFonts w:ascii="仿宋" w:eastAsia="仿宋" w:hint="eastAsia"/>
          <w:color w:val="000000"/>
          <w:sz w:val="32"/>
          <w:szCs w:val="32"/>
          <w:lang w:val="en-US" w:eastAsia="zh-CN"/>
        </w:rPr>
        <w:t>支出预算为9万元，</w:t>
      </w:r>
      <w:r>
        <w:rPr>
          <w:rFonts w:ascii="仿宋" w:eastAsia="仿宋" w:hint="eastAsia"/>
          <w:color w:val="000000"/>
          <w:sz w:val="32"/>
          <w:szCs w:val="32"/>
        </w:rPr>
        <w:t>支出决算为</w:t>
      </w:r>
      <w:r>
        <w:rPr>
          <w:rFonts w:ascii="仿宋" w:eastAsia="仿宋" w:hint="eastAsia"/>
          <w:color w:val="000000"/>
          <w:sz w:val="32"/>
          <w:szCs w:val="32"/>
          <w:lang w:val="en-US" w:eastAsia="zh-CN"/>
        </w:rPr>
        <w:t>9</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54" w:name="_Toc15377217"/>
      <w:r>
        <w:rPr>
          <w:rFonts w:ascii="仿宋" w:eastAsia="仿宋" w:hint="eastAsia"/>
          <w:b/>
          <w:color w:val="000000"/>
          <w:sz w:val="32"/>
          <w:szCs w:val="32"/>
        </w:rPr>
        <w:t>（二）“三公”经费财政拨款支出决算具体情况说明</w:t>
      </w:r>
      <w:bookmarkEnd w:id="54"/>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“三公”经费财政拨款</w:t>
      </w:r>
      <w:r>
        <w:rPr>
          <w:rFonts w:ascii="仿宋" w:eastAsia="仿宋" w:hint="eastAsia"/>
          <w:color w:val="000000"/>
          <w:sz w:val="32"/>
          <w:szCs w:val="32"/>
          <w:lang w:val="en-US" w:eastAsia="zh-CN"/>
        </w:rPr>
        <w:t>支出预算为9万元，</w:t>
      </w:r>
      <w:r>
        <w:rPr>
          <w:rFonts w:ascii="仿宋" w:eastAsia="仿宋" w:hint="eastAsia"/>
          <w:color w:val="000000"/>
          <w:sz w:val="32"/>
          <w:szCs w:val="32"/>
        </w:rPr>
        <w:t>支出</w:t>
      </w:r>
      <w:r>
        <w:rPr>
          <w:rFonts w:ascii="仿宋" w:eastAsia="仿宋" w:hint="eastAsia"/>
          <w:sz w:val="32"/>
          <w:szCs w:val="32"/>
        </w:rPr>
        <w:t>决算</w:t>
      </w:r>
      <w:r>
        <w:rPr>
          <w:rFonts w:ascii="仿宋" w:eastAsia="仿宋" w:hint="eastAsia"/>
          <w:sz w:val="32"/>
          <w:szCs w:val="32"/>
          <w:lang w:val="en-US" w:eastAsia="zh-CN"/>
        </w:rPr>
        <w:t>9</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9</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sz w:val="32"/>
          <w:szCs w:val="32"/>
          <w:lang w:val="en-US" w:eastAsia="zh-CN"/>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w:t>
      </w:r>
      <w:r>
        <w:rPr>
          <w:rStyle w:val="23"/>
          <w:rFonts w:ascii="仿宋" w:eastAsia="仿宋" w:hint="eastAsia"/>
          <w:b w:val="0"/>
          <w:bCs/>
          <w:color w:val="000000"/>
          <w:sz w:val="32"/>
          <w:szCs w:val="32"/>
        </w:rPr>
        <w:t>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cs="仿宋" w:hint="eastAsia"/>
          <w:color w:val="000000"/>
          <w:sz w:val="32"/>
          <w:szCs w:val="32"/>
          <w:lang w:val="en-US" w:eastAsia="zh-CN"/>
        </w:rPr>
        <w:t>与上年相比无变动。</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hint="eastAsia"/>
          <w:color w:val="000000"/>
          <w:sz w:val="32"/>
          <w:szCs w:val="32"/>
          <w:lang w:eastAsia="zh-CN"/>
        </w:rPr>
        <w:t>2022年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辆、执法执勤用车0辆、特种专业技术用车0辆、离退休干部用车0辆、其他用车0辆；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lang w:val="en-US" w:eastAsia="zh-CN"/>
        </w:rPr>
        <w:t>9</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3"/>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无变化。</w:t>
      </w:r>
      <w:r>
        <w:rPr>
          <w:rFonts w:ascii="仿宋_GB2312" w:eastAsia="仿宋_GB2312" w:hint="eastAsia"/>
          <w:color w:val="000000"/>
          <w:sz w:val="32"/>
          <w:szCs w:val="32"/>
        </w:rPr>
        <w:t>国内公务接待0批次，0人次，共计支出0万元。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560" w:lineRule="exact"/>
        <w:ind w:firstLineChars="200" w:firstLine="640"/>
      </w:pPr>
      <w:r>
        <w:rPr>
          <w:rFonts w:ascii="仿宋_GB2312" w:eastAsia="仿宋_GB2312" w:cs="仿宋_GB2312" w:hint="eastAsia"/>
          <w:b/>
          <w:bCs/>
          <w:color w:val="000000"/>
          <w:sz w:val="32"/>
          <w:szCs w:val="32"/>
          <w:lang w:val="en-US" w:eastAsia="zh-CN" w:bidi="ar-SA"/>
        </w:rPr>
        <w:t>3.</w:t>
      </w:r>
      <w:r>
        <w:rPr>
          <w:rFonts w:ascii="仿宋_GB2312" w:eastAsia="仿宋_GB2312" w:cs="仿宋_GB2312" w:hint="eastAsia"/>
          <w:b/>
          <w:bCs/>
          <w:color w:val="000000"/>
          <w:sz w:val="32"/>
          <w:szCs w:val="32"/>
          <w:lang w:bidi="ar-SA"/>
        </w:rPr>
        <w:t>因公出国（境）费支出</w:t>
      </w:r>
      <w:r>
        <w:rPr>
          <w:rFonts w:ascii="仿宋_GB2312" w:eastAsia="仿宋_GB2312" w:cs="仿宋_GB2312" w:hint="eastAsia"/>
          <w:b/>
          <w:bCs/>
          <w:color w:val="000000"/>
          <w:sz w:val="32"/>
          <w:szCs w:val="32"/>
          <w:lang w:val="en-US" w:eastAsia="zh-CN" w:bidi="ar-SA"/>
        </w:rPr>
        <w:t>0</w:t>
      </w:r>
      <w:r>
        <w:rPr>
          <w:rFonts w:ascii="仿宋_GB2312" w:eastAsia="仿宋_GB2312" w:cs="仿宋_GB2312" w:hint="eastAsia"/>
          <w:b/>
          <w:bCs/>
          <w:color w:val="000000"/>
          <w:sz w:val="32"/>
          <w:szCs w:val="32"/>
          <w:lang w:bidi="ar-SA"/>
        </w:rPr>
        <w:t>万元</w:t>
      </w:r>
      <w:r>
        <w:rPr>
          <w:rFonts w:ascii="仿宋_GB2312" w:eastAsia="仿宋_GB2312" w:cs="仿宋_GB2312" w:hint="eastAsia"/>
          <w:b/>
          <w:bCs/>
          <w:color w:val="000000"/>
          <w:sz w:val="32"/>
          <w:szCs w:val="32"/>
          <w:lang w:eastAsia="zh-CN" w:bidi="ar-SA"/>
        </w:rPr>
        <w:t>。</w:t>
      </w:r>
    </w:p>
    <w:p>
      <w:pPr>
        <w:spacing w:line="600" w:lineRule="exact"/>
        <w:ind w:firstLine="640"/>
        <w:outlineLvl w:val="1"/>
        <w:rPr>
          <w:rStyle w:val="2Char"/>
          <w:rFonts w:ascii="黑体" w:eastAsia="黑体"/>
        </w:rPr>
      </w:pPr>
      <w:bookmarkStart w:id="55" w:name="_Toc15377218"/>
      <w:bookmarkStart w:id="56" w:name="_Toc18709"/>
      <w:r>
        <w:rPr>
          <w:rFonts w:ascii="黑体" w:eastAsia="黑体" w:hint="eastAsia"/>
          <w:color w:val="000000"/>
          <w:sz w:val="32"/>
          <w:szCs w:val="32"/>
        </w:rPr>
        <w:t>八、</w:t>
      </w:r>
      <w:r>
        <w:rPr>
          <w:rStyle w:val="2Char"/>
          <w:rFonts w:ascii="黑体" w:eastAsia="黑体" w:hint="eastAsia"/>
          <w:b w:val="0"/>
        </w:rPr>
        <w:t>政府性基金预算支出决算情况说明</w:t>
      </w:r>
      <w:bookmarkEnd w:id="55"/>
      <w:bookmarkEnd w:id="56"/>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2022年</w:t>
      </w:r>
      <w:r>
        <w:rPr>
          <w:rFonts w:ascii="仿宋_GB2312" w:eastAsia="仿宋_GB2312" w:hint="eastAsia"/>
          <w:color w:val="000000"/>
          <w:sz w:val="32"/>
          <w:szCs w:val="32"/>
        </w:rPr>
        <w:t>政府性基金预算拨款支出0万元。</w:t>
      </w:r>
    </w:p>
    <w:p>
      <w:pPr>
        <w:numPr>
          <w:ilvl w:val="0"/>
          <w:numId w:val="3"/>
        </w:numPr>
        <w:spacing w:line="600" w:lineRule="exact"/>
        <w:ind w:left="0" w:firstLine="640"/>
        <w:outlineLvl w:val="1"/>
        <w:rPr>
          <w:rStyle w:val="2Char"/>
          <w:rFonts w:ascii="黑体" w:eastAsia="黑体"/>
          <w:b w:val="0"/>
        </w:rPr>
      </w:pPr>
      <w:bookmarkStart w:id="57" w:name="_Toc15377219"/>
      <w:bookmarkStart w:id="58" w:name="_Toc11190"/>
      <w:r>
        <w:rPr>
          <w:rStyle w:val="2Char"/>
          <w:rFonts w:ascii="黑体" w:eastAsia="黑体" w:hint="eastAsia"/>
          <w:b w:val="0"/>
        </w:rPr>
        <w:t>国有资本经营预算支出决算情况说明</w:t>
      </w:r>
      <w:bookmarkEnd w:id="57"/>
      <w:bookmarkEnd w:id="58"/>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2022年</w:t>
      </w:r>
      <w:r>
        <w:rPr>
          <w:rFonts w:ascii="仿宋_GB2312" w:eastAsia="仿宋_GB2312" w:hint="eastAsia"/>
          <w:color w:val="000000"/>
          <w:sz w:val="32"/>
          <w:szCs w:val="32"/>
        </w:rPr>
        <w:t>国有资本经营预算拨款支出0万元。</w:t>
      </w:r>
    </w:p>
    <w:p>
      <w:pPr>
        <w:pStyle w:val="31"/>
        <w:numPr>
          <w:ilvl w:val="0"/>
          <w:numId w:val="4"/>
        </w:numPr>
        <w:spacing w:line="580" w:lineRule="exact"/>
        <w:ind w:firstLineChars="0"/>
        <w:rPr>
          <w:rStyle w:val="2Char"/>
          <w:rFonts w:ascii="黑体" w:eastAsia="黑体"/>
          <w:b w:val="0"/>
        </w:rPr>
      </w:pPr>
      <w:bookmarkStart w:id="59" w:name="_Toc24899"/>
      <w:r>
        <w:rPr>
          <w:rStyle w:val="2Char"/>
          <w:rFonts w:ascii="黑体" w:eastAsia="黑体" w:hint="eastAsia"/>
          <w:b w:val="0"/>
        </w:rPr>
        <w:t>预算绩效情况说明</w:t>
      </w:r>
    </w:p>
    <w:p>
      <w:pPr>
        <w:numPr>
          <w:ilvl w:val="0"/>
          <w:numId w:val="5"/>
        </w:numPr>
        <w:spacing w:line="580" w:lineRule="exact"/>
        <w:ind w:left="0" w:firstLineChars="200" w:firstLine="640"/>
        <w:rPr>
          <w:rStyle w:val="2Char"/>
          <w:rFonts w:ascii="黑体" w:eastAsia="黑体"/>
          <w:b w:val="0"/>
        </w:rPr>
      </w:pPr>
      <w:bookmarkStart w:id="60" w:name="_Toc10625"/>
      <w:bookmarkEnd w:id="59"/>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60"/>
      <w:r>
        <w:rPr>
          <w:rFonts w:ascii="仿宋_GB2312" w:eastAsia="仿宋_GB2312" w:cs="仿宋_GB2312" w:hint="eastAsia"/>
          <w:sz w:val="32"/>
          <w:szCs w:val="32"/>
        </w:rPr>
        <w:t>根据预算绩效管理要求，我单位在年初预算编制阶段，组织对项目开展了预算事前绩效评估，对</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2022年</w:t>
      </w:r>
      <w:r>
        <w:rPr>
          <w:rFonts w:ascii="仿宋_GB2312" w:eastAsia="仿宋_GB2312" w:cs="仿宋_GB2312" w:hint="eastAsia"/>
          <w:sz w:val="32"/>
          <w:szCs w:val="32"/>
        </w:rPr>
        <w:t>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w:t>
      </w:r>
      <w:r>
        <w:rPr>
          <w:rFonts w:ascii="仿宋_GB2312" w:eastAsia="仿宋_GB2312"/>
          <w:sz w:val="32"/>
          <w:szCs w:val="32"/>
        </w:rPr>
        <w:t>党的</w:t>
      </w:r>
      <w:r>
        <w:rPr>
          <w:rFonts w:ascii="仿宋_GB2312" w:eastAsia="仿宋_GB2312" w:hint="eastAsia"/>
          <w:sz w:val="32"/>
          <w:szCs w:val="32"/>
        </w:rPr>
        <w:t>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。本单位还自行组织了4个项目绩效评价，从评价情况来看我单位年初预算项目基本按照绩效目标完成支付，有部分项目结转质保金在下年质保期后进行支付。</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snapToGrid w:val="0"/>
        <w:spacing w:line="52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   本部门在</w:t>
      </w:r>
      <w:r>
        <w:rPr>
          <w:rFonts w:ascii="仿宋_GB2312" w:eastAsia="仿宋_GB2312" w:cs="仿宋_GB2312" w:hint="eastAsia"/>
          <w:sz w:val="32"/>
          <w:szCs w:val="32"/>
          <w:lang w:eastAsia="zh-CN"/>
        </w:rPr>
        <w:t>2022年</w:t>
      </w:r>
      <w:r>
        <w:rPr>
          <w:rFonts w:ascii="仿宋_GB2312" w:eastAsia="仿宋_GB2312" w:cs="仿宋_GB2312" w:hint="eastAsia"/>
          <w:sz w:val="32"/>
          <w:szCs w:val="32"/>
        </w:rPr>
        <w:t>度部门决算中反映</w:t>
      </w:r>
      <w:r>
        <w:rPr>
          <w:rFonts w:ascii="仿宋_GB2312" w:eastAsia="仿宋_GB2312" w:hint="eastAsia"/>
          <w:color w:val="000000"/>
          <w:sz w:val="32"/>
          <w:szCs w:val="32"/>
          <w:lang w:val="en-US" w:eastAsia="zh-CN"/>
        </w:rPr>
        <w:t>疫情防控经费、金川县卡撒乡三埂子高家沟口通组桥建设项目、金川县卡撒乡三埂子至新桥河堤建设项目、金川县卡撒乡马厂村学校后面至晒场坝道路维修项目、村级运维费、村干部生活补助、保险、2020年、2021年应急抢险、三老干部生活补助、人大会议费</w:t>
      </w:r>
      <w:r>
        <w:rPr>
          <w:rFonts w:ascii="仿宋_GB2312" w:eastAsia="仿宋_GB2312" w:cs="仿宋_GB2312" w:hint="eastAsia"/>
          <w:sz w:val="32"/>
          <w:szCs w:val="32"/>
          <w:lang w:val="en-US" w:eastAsia="zh-CN"/>
        </w:rPr>
        <w:t>共8</w:t>
      </w:r>
      <w:r>
        <w:rPr>
          <w:rFonts w:ascii="仿宋_GB2312" w:eastAsia="仿宋_GB2312" w:cs="仿宋_GB2312" w:hint="eastAsia"/>
          <w:sz w:val="32"/>
          <w:szCs w:val="32"/>
        </w:rPr>
        <w:t>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hint="eastAsia"/>
          <w:color w:val="000000"/>
          <w:sz w:val="32"/>
          <w:szCs w:val="32"/>
          <w:lang w:val="en-US" w:eastAsia="zh-CN"/>
        </w:rPr>
        <w:t>疫情防控经费</w:t>
      </w:r>
      <w:r>
        <w:rPr>
          <w:rFonts w:ascii="仿宋_GB2312" w:eastAsia="仿宋_GB2312" w:cs="仿宋_GB2312" w:hint="eastAsia"/>
          <w:sz w:val="32"/>
          <w:szCs w:val="32"/>
        </w:rPr>
        <w:t>”运转类项目绩效目标完成情况综述。项目全年预算数</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2022年</w:t>
            </w:r>
            <w:r>
              <w:rPr>
                <w:rFonts w:ascii="宋体" w:cs="宋体" w:hint="eastAsia"/>
                <w:color w:val="000000"/>
                <w:kern w:val="0"/>
                <w:sz w:val="36"/>
                <w:szCs w:val="36"/>
              </w:rPr>
              <w:t>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hint="eastAsia"/>
                <w:color w:val="000000"/>
                <w:sz w:val="32"/>
                <w:szCs w:val="32"/>
                <w:lang w:val="en-US" w:eastAsia="zh-CN"/>
              </w:rPr>
              <w:t>疫情防控经费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rPr>
              <w:t>金川县</w:t>
            </w:r>
            <w:r>
              <w:rPr>
                <w:rFonts w:ascii="宋体" w:cs="宋体" w:hint="eastAsia"/>
                <w:color w:val="000000"/>
                <w:sz w:val="24"/>
                <w:lang w:eastAsia="zh-CN"/>
              </w:rPr>
              <w:t>卡撒</w:t>
            </w:r>
            <w:r>
              <w:rPr>
                <w:rFonts w:ascii="宋体" w:cs="宋体" w:hint="eastAsia"/>
                <w:color w:val="000000"/>
                <w:sz w:val="24"/>
              </w:rPr>
              <w:t>乡人民政府</w:t>
            </w:r>
            <w:r>
              <w:rPr>
                <w:rFonts w:ascii="宋体" w:cs="宋体" w:hint="eastAsia"/>
                <w:color w:val="000000"/>
                <w:sz w:val="24"/>
                <w:lang w:val="en-US" w:eastAsia="zh-CN"/>
              </w:rPr>
              <w:t>办公室</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rPr>
              <w:t>保证</w:t>
            </w:r>
            <w:r>
              <w:rPr>
                <w:rFonts w:ascii="宋体" w:cs="宋体" w:hint="eastAsia"/>
                <w:color w:val="000000"/>
                <w:sz w:val="24"/>
                <w:lang w:eastAsia="zh-CN"/>
              </w:rPr>
              <w:t>卡撒</w:t>
            </w:r>
            <w:r>
              <w:rPr>
                <w:rFonts w:ascii="宋体" w:cs="宋体" w:hint="eastAsia"/>
                <w:color w:val="000000"/>
                <w:sz w:val="24"/>
              </w:rPr>
              <w:t>乡顺利完成</w:t>
            </w:r>
            <w:r>
              <w:rPr>
                <w:rFonts w:ascii="宋体" w:cs="宋体" w:hint="eastAsia"/>
                <w:color w:val="000000"/>
                <w:sz w:val="24"/>
                <w:lang w:val="en-US" w:eastAsia="zh-CN"/>
              </w:rPr>
              <w:t>疫情防控工作</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拨付疫情防控经费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abs>
                <w:tab w:val="center" w:pos="1182"/>
              </w:tabs>
              <w:jc w:val="both"/>
              <w:textAlignment w:val="center"/>
              <w:rPr>
                <w:rFonts w:ascii="宋体" w:eastAsia="宋体" w:cs="宋体" w:hint="eastAsia"/>
                <w:color w:val="000000"/>
                <w:sz w:val="24"/>
                <w:lang w:val="en-US" w:eastAsia="zh-CN"/>
              </w:rPr>
            </w:pPr>
            <w:r>
              <w:rPr>
                <w:rFonts w:ascii="宋体" w:cs="宋体" w:hint="eastAsia"/>
                <w:color w:val="000000"/>
                <w:sz w:val="24"/>
                <w:lang w:val="en-US" w:eastAsia="zh-CN"/>
              </w:rPr>
              <w:t>5</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疫情防控</w:t>
            </w:r>
            <w:r>
              <w:rPr>
                <w:rFonts w:ascii="宋体" w:cs="宋体" w:hint="eastAsia"/>
                <w:color w:val="000000"/>
                <w:sz w:val="24"/>
              </w:rPr>
              <w:t>中资金拨付到位及时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疫情防控</w:t>
            </w:r>
            <w:r>
              <w:rPr>
                <w:rFonts w:ascii="宋体" w:cs="宋体" w:hint="eastAsia"/>
                <w:color w:val="000000"/>
                <w:sz w:val="24"/>
              </w:rPr>
              <w:t>过程中所需资金占补助资金比例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全乡群众</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left="0" w:firstLineChars="200" w:firstLine="640"/>
        <w:rPr>
          <w:rFonts w:ascii="仿宋_GB2312" w:eastAsia="仿宋_GB2312" w:cs="仿宋_GB2312"/>
          <w:sz w:val="32"/>
          <w:szCs w:val="32"/>
        </w:rPr>
      </w:pPr>
      <w:r>
        <w:rPr>
          <w:rFonts w:ascii="仿宋_GB2312" w:eastAsia="仿宋_GB2312" w:hint="eastAsia"/>
          <w:color w:val="000000"/>
          <w:sz w:val="32"/>
          <w:szCs w:val="32"/>
          <w:lang w:val="en-US" w:eastAsia="zh-CN"/>
        </w:rPr>
        <w:t>2.金川县卡撒乡三埂子高家沟口通组桥建设项目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36.07</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36.07</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金川县卡撒乡三埂子高家沟口通组桥建设项目、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卡撒</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36.07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36.07</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36.07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36.07</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eastAsia="宋体" w:cs="宋体" w:hint="eastAsia"/>
                <w:color w:val="000000"/>
                <w:sz w:val="24"/>
                <w:lang w:eastAsia="zh-CN"/>
              </w:rPr>
              <w:t>新建水泥桥1座，长12米、宽4米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新建水泥桥1座，长12米、宽4米</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cs="宋体" w:hint="eastAsia"/>
                <w:color w:val="000000"/>
                <w:sz w:val="24"/>
                <w:lang w:val="en-US" w:eastAsia="zh-CN"/>
              </w:rPr>
              <w:t>水泥桥数量</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一座</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一座</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eastAsia="宋体" w:cs="宋体"/>
                <w:color w:val="000000"/>
                <w:sz w:val="24"/>
                <w:lang w:val="en-US" w:eastAsia="zh-CN"/>
              </w:rPr>
            </w:pPr>
            <w:r>
              <w:rPr>
                <w:rFonts w:ascii="宋体" w:cs="宋体" w:hint="eastAsia"/>
                <w:color w:val="000000"/>
                <w:sz w:val="24"/>
              </w:rPr>
              <w:t xml:space="preserve">              </w:t>
            </w:r>
            <w:r>
              <w:rPr>
                <w:rFonts w:ascii="宋体" w:cs="宋体" w:hint="eastAsia"/>
                <w:color w:val="000000"/>
                <w:sz w:val="24"/>
                <w:lang w:val="en-US" w:eastAsia="zh-CN"/>
              </w:rPr>
              <w:t>项目完工时间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val="en-US" w:eastAsia="zh-CN"/>
              </w:rPr>
              <w:t>定性</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2022年11月30日前完成</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36.07</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36.07</w:t>
            </w:r>
            <w:r>
              <w:rPr>
                <w:rFonts w:ascii="宋体" w:cs="宋体" w:hint="eastAsia"/>
                <w:color w:val="000000"/>
                <w:sz w:val="24"/>
              </w:rPr>
              <w:t>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工程设计使用年限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≥10年</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≥10年</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群众</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left="0" w:firstLineChars="200" w:firstLine="640"/>
        <w:rPr>
          <w:rFonts w:ascii="仿宋_GB2312" w:eastAsia="仿宋_GB2312" w:cs="仿宋_GB2312"/>
          <w:sz w:val="32"/>
          <w:szCs w:val="32"/>
        </w:rPr>
      </w:pPr>
      <w:r>
        <w:rPr>
          <w:rFonts w:ascii="仿宋_GB2312" w:eastAsia="仿宋_GB2312" w:hint="eastAsia"/>
          <w:color w:val="000000"/>
          <w:sz w:val="32"/>
          <w:szCs w:val="32"/>
          <w:lang w:val="en-US" w:eastAsia="zh-CN"/>
        </w:rPr>
        <w:t>3.金川县卡撒乡三埂子至新桥河堤建设项目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62.26</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62.26</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金川县卡撒乡三埂子至新桥河堤建设项目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卡撒</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62.26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62.26</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62.26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62.26</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eastAsia="宋体" w:cs="宋体" w:hint="eastAsia"/>
                <w:color w:val="000000"/>
                <w:sz w:val="24"/>
                <w:lang w:eastAsia="zh-CN"/>
              </w:rPr>
              <w:t>新建三埂子至新桥河堤200米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新建三埂子至新桥河堤200米</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cs="宋体" w:hint="eastAsia"/>
                <w:color w:val="000000"/>
                <w:sz w:val="24"/>
                <w:lang w:val="en-US" w:eastAsia="zh-CN"/>
              </w:rPr>
              <w:t>河堤长度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≥200米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≥200米</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eastAsia="宋体" w:cs="宋体"/>
                <w:color w:val="000000"/>
                <w:sz w:val="24"/>
                <w:lang w:val="en-US" w:eastAsia="zh-CN"/>
              </w:rPr>
            </w:pPr>
            <w:r>
              <w:rPr>
                <w:rFonts w:ascii="宋体" w:cs="宋体" w:hint="eastAsia"/>
                <w:color w:val="000000"/>
                <w:sz w:val="24"/>
              </w:rPr>
              <w:t xml:space="preserve">              </w:t>
            </w:r>
            <w:r>
              <w:rPr>
                <w:rFonts w:ascii="宋体" w:cs="宋体" w:hint="eastAsia"/>
                <w:color w:val="000000"/>
                <w:sz w:val="24"/>
                <w:lang w:val="en-US" w:eastAsia="zh-CN"/>
              </w:rPr>
              <w:t>项目完工时间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val="en-US" w:eastAsia="zh-CN"/>
              </w:rPr>
              <w:t>定性</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2022年11月30日前完成</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62.26</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62.26</w:t>
            </w:r>
            <w:r>
              <w:rPr>
                <w:rFonts w:ascii="宋体" w:cs="宋体" w:hint="eastAsia"/>
                <w:color w:val="000000"/>
                <w:sz w:val="24"/>
              </w:rPr>
              <w:t>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工程设计使用年限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≥10年</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≥10年</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群众</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left="0" w:firstLineChars="200" w:firstLine="640"/>
        <w:rPr>
          <w:rFonts w:ascii="仿宋_GB2312" w:eastAsia="仿宋_GB2312" w:cs="仿宋_GB2312"/>
          <w:sz w:val="32"/>
          <w:szCs w:val="32"/>
        </w:rPr>
      </w:pPr>
      <w:r>
        <w:rPr>
          <w:rFonts w:ascii="仿宋_GB2312" w:eastAsia="仿宋_GB2312" w:hint="eastAsia"/>
          <w:color w:val="000000"/>
          <w:sz w:val="32"/>
          <w:szCs w:val="32"/>
          <w:lang w:val="en-US" w:eastAsia="zh-CN"/>
        </w:rPr>
        <w:t>4.金川县卡撒乡马厂村学校后面至晒场坝道路维修项目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39.76</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39.76</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金川县卡撒乡马厂村学校后面至晒场坝道路维修项目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卡撒</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39.76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39.76</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39.76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39.76</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eastAsia="宋体" w:cs="宋体" w:hint="eastAsia"/>
                <w:color w:val="000000"/>
                <w:sz w:val="24"/>
                <w:lang w:eastAsia="zh-CN"/>
              </w:rPr>
              <w:t>马厂村学校后面至晒场坝沿路堡坎1200立方米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马厂村学校后面至晒场坝沿路堡坎1200立方米</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eastAsia="宋体" w:cs="宋体"/>
                <w:sz w:val="24"/>
                <w:szCs w:val="24"/>
              </w:rPr>
              <w:t>堡坎方量</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w:t>
            </w:r>
            <w:r>
              <w:rPr>
                <w:rFonts w:ascii="宋体" w:eastAsia="宋体" w:cs="宋体" w:hint="eastAsia"/>
                <w:color w:val="000000"/>
                <w:sz w:val="24"/>
                <w:lang w:eastAsia="zh-CN"/>
              </w:rPr>
              <w:t>1200立方米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w:t>
            </w:r>
            <w:r>
              <w:rPr>
                <w:rFonts w:ascii="宋体" w:eastAsia="宋体" w:cs="宋体" w:hint="eastAsia"/>
                <w:color w:val="000000"/>
                <w:sz w:val="24"/>
                <w:lang w:eastAsia="zh-CN"/>
              </w:rPr>
              <w:t>1200立方米</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eastAsia="宋体" w:cs="宋体"/>
                <w:color w:val="000000"/>
                <w:sz w:val="24"/>
                <w:lang w:val="en-US" w:eastAsia="zh-CN"/>
              </w:rPr>
            </w:pPr>
            <w:r>
              <w:rPr>
                <w:rFonts w:ascii="宋体" w:cs="宋体" w:hint="eastAsia"/>
                <w:color w:val="000000"/>
                <w:sz w:val="24"/>
              </w:rPr>
              <w:t xml:space="preserve">              </w:t>
            </w:r>
            <w:r>
              <w:rPr>
                <w:rFonts w:ascii="宋体" w:cs="宋体" w:hint="eastAsia"/>
                <w:color w:val="000000"/>
                <w:sz w:val="24"/>
                <w:lang w:val="en-US" w:eastAsia="zh-CN"/>
              </w:rPr>
              <w:t>项目完工时间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val="en-US" w:eastAsia="zh-CN"/>
              </w:rPr>
              <w:t>定性</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2022年11月30日前完成</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39.76</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39.76</w:t>
            </w:r>
            <w:r>
              <w:rPr>
                <w:rFonts w:ascii="宋体" w:cs="宋体" w:hint="eastAsia"/>
                <w:color w:val="000000"/>
                <w:sz w:val="24"/>
              </w:rPr>
              <w:t>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工程设计使用年限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≥8年</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≥8年</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群众</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spacing w:line="580" w:lineRule="exact"/>
        <w:ind w:left="0" w:firstLineChars="200" w:firstLine="640"/>
        <w:rPr>
          <w:rFonts w:ascii="仿宋_GB2312" w:eastAsia="仿宋_GB2312" w:cs="仿宋_GB2312"/>
          <w:sz w:val="32"/>
          <w:szCs w:val="32"/>
        </w:rPr>
      </w:pPr>
      <w:r>
        <w:rPr>
          <w:rFonts w:ascii="仿宋_GB2312" w:eastAsia="仿宋_GB2312" w:hint="eastAsia"/>
          <w:color w:val="000000"/>
          <w:sz w:val="32"/>
          <w:szCs w:val="32"/>
          <w:lang w:val="en-US" w:eastAsia="zh-CN"/>
        </w:rPr>
        <w:t>5.“村级运维费、村干部生活补助、保险”项目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219.89</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219.89</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村级运维费、村干部生活补助、保险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卡撒</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219.89万元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219.89万元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219.89万元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219.89万元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保障卡撒乡6个村正常运行维护、52名村干部生活补助的发放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保障卡撒乡6个村正常运行维护、52名村干部生活补助的发放</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cs="宋体" w:hint="eastAsia"/>
                <w:sz w:val="24"/>
                <w:szCs w:val="24"/>
                <w:lang w:val="en-US" w:eastAsia="zh-CN"/>
              </w:rPr>
              <w:t>行政村数量、村干部数量</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6个，52人</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6个，52人</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eastAsia="宋体" w:cs="宋体"/>
                <w:color w:val="000000"/>
                <w:sz w:val="24"/>
                <w:lang w:val="en-US" w:eastAsia="zh-CN"/>
              </w:rPr>
            </w:pPr>
            <w:r>
              <w:rPr>
                <w:rFonts w:ascii="宋体" w:cs="宋体" w:hint="eastAsia"/>
                <w:color w:val="000000"/>
                <w:sz w:val="24"/>
              </w:rPr>
              <w:t xml:space="preserve">              </w:t>
            </w:r>
            <w:r>
              <w:rPr>
                <w:rFonts w:ascii="宋体" w:cs="宋体" w:hint="eastAsia"/>
                <w:color w:val="000000"/>
                <w:sz w:val="24"/>
                <w:lang w:val="en-US" w:eastAsia="zh-CN"/>
              </w:rPr>
              <w:t>项目完工时间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val="en-US" w:eastAsia="zh-CN"/>
              </w:rPr>
              <w:t>定性</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2022年12月31日前完成</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219.89万元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219.89万元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村正常运行维护率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≥99%</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群众</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left="0" w:firstLineChars="200" w:firstLine="640"/>
        <w:rPr>
          <w:rFonts w:ascii="仿宋_GB2312" w:eastAsia="仿宋_GB2312" w:cs="仿宋_GB2312"/>
          <w:sz w:val="32"/>
          <w:szCs w:val="32"/>
        </w:rPr>
      </w:pPr>
      <w:r>
        <w:rPr>
          <w:rFonts w:ascii="仿宋_GB2312" w:eastAsia="仿宋_GB2312" w:hint="eastAsia"/>
          <w:color w:val="000000"/>
          <w:sz w:val="32"/>
          <w:szCs w:val="32"/>
          <w:lang w:val="en-US" w:eastAsia="zh-CN"/>
        </w:rPr>
        <w:t>6.“2020年、2021年应急抢险”项目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15</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15</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2020年、2021年应急抢险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卡撒</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15万元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2020年、2021年我乡多处受泥石流、滑坡造成道路中断、威胁农房安全，两年内卡撒乡党委政府积极组织人工、机械力量疏河道、清淤泥、转废方等抢修工作，确保河堤不溃坝、道路保通畅、电力不间断、饮水有保障。</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2020年、2021年我乡多处受泥石流、滑坡造成道路中断、威胁农房安全，两年内卡撒乡党委政府积极组织人工、机械力量疏河道、清淤泥、转废方等抢修工作，确保河堤不溃坝、道路保通畅、电力不间断、饮水有保障。</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eastAsia="宋体" w:cs="宋体"/>
                <w:sz w:val="24"/>
                <w:szCs w:val="24"/>
              </w:rPr>
              <w:t>转废方数量</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sz w:val="24"/>
                <w:szCs w:val="24"/>
              </w:rPr>
              <w:t>≥</w:t>
            </w:r>
            <w:r>
              <w:rPr>
                <w:rFonts w:ascii="宋体" w:eastAsia="宋体" w:cs="宋体" w:hint="eastAsia"/>
                <w:sz w:val="24"/>
                <w:szCs w:val="24"/>
                <w:lang w:val="en-US" w:eastAsia="zh-CN"/>
              </w:rPr>
              <w:t>4500立方米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sz w:val="24"/>
                <w:szCs w:val="24"/>
              </w:rPr>
              <w:t>≥</w:t>
            </w:r>
            <w:r>
              <w:rPr>
                <w:rFonts w:ascii="宋体" w:eastAsia="宋体" w:cs="宋体" w:hint="eastAsia"/>
                <w:sz w:val="24"/>
                <w:szCs w:val="24"/>
                <w:lang w:val="en-US" w:eastAsia="zh-CN"/>
              </w:rPr>
              <w:t>4500立方米</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ascii="宋体" w:eastAsia="宋体" w:cs="宋体"/>
                <w:sz w:val="24"/>
                <w:szCs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eastAsia="宋体" w:cs="宋体"/>
                <w:color w:val="000000"/>
                <w:sz w:val="24"/>
                <w:lang w:val="en-US" w:eastAsia="zh-CN"/>
              </w:rPr>
            </w:pPr>
            <w:r>
              <w:rPr>
                <w:rFonts w:ascii="宋体" w:eastAsia="宋体" w:cs="宋体"/>
                <w:sz w:val="24"/>
                <w:szCs w:val="24"/>
              </w:rPr>
              <w:t>道路验收合格率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效益</w:t>
            </w:r>
            <w:r>
              <w:rPr>
                <w:rFonts w:asci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sz w:val="24"/>
                <w:szCs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sz w:val="24"/>
                <w:szCs w:val="24"/>
              </w:rPr>
              <w:t>恢复道路通畅，保障供电和饮水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定性</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优</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群众</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left="0" w:firstLineChars="200" w:firstLine="640"/>
        <w:rPr>
          <w:rFonts w:ascii="仿宋_GB2312" w:eastAsia="仿宋_GB2312" w:cs="仿宋_GB2312"/>
          <w:sz w:val="32"/>
          <w:szCs w:val="32"/>
        </w:rPr>
      </w:pPr>
      <w:r>
        <w:rPr>
          <w:rFonts w:ascii="仿宋_GB2312" w:eastAsia="仿宋_GB2312" w:hint="eastAsia"/>
          <w:color w:val="000000"/>
          <w:sz w:val="32"/>
          <w:szCs w:val="32"/>
          <w:lang w:val="en-US" w:eastAsia="zh-CN"/>
        </w:rPr>
        <w:t>7.“三老干部生活补助”项目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4.32</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4.32</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三老干部生活补助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卡撒</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4.32万元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4.32万元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4.32万元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4.32万元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切实保障三老干部基本的生活，有利于夯实党在基层执政的组织基础和群众基础，有利于提高基层组织引领发展、服务群众的能力和水平。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切实保障三老干部基本的生活，有利于夯实党在基层执政的组织基础和群众基础，有利于提高基层组织引领发展、服务群众的能力和水平。</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eastAsia="宋体" w:cs="宋体"/>
                <w:sz w:val="24"/>
                <w:szCs w:val="24"/>
              </w:rPr>
              <w:t>三老干部人数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sz w:val="24"/>
                <w:szCs w:val="24"/>
                <w:lang w:val="en-US" w:eastAsia="zh-CN"/>
              </w:rPr>
              <w:t>=9人</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szCs w:val="24"/>
                <w:lang w:val="en-US" w:eastAsia="zh-CN"/>
              </w:rPr>
              <w:t>=9人</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4.32万元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4.32万元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效益</w:t>
            </w:r>
            <w:r>
              <w:rPr>
                <w:rFonts w:asci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sz w:val="24"/>
                <w:szCs w:val="24"/>
                <w:lang w:val="en-US" w:eastAsia="zh-CN"/>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切实保障三老干部基本的生活</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定性</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优</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三老干部</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left="0" w:firstLineChars="200" w:firstLine="640"/>
        <w:rPr>
          <w:rFonts w:ascii="仿宋_GB2312" w:eastAsia="仿宋_GB2312" w:cs="仿宋_GB2312"/>
          <w:sz w:val="32"/>
          <w:szCs w:val="32"/>
        </w:rPr>
      </w:pPr>
      <w:r>
        <w:rPr>
          <w:rFonts w:ascii="仿宋_GB2312" w:eastAsia="仿宋_GB2312" w:hint="eastAsia"/>
          <w:color w:val="000000"/>
          <w:sz w:val="32"/>
          <w:szCs w:val="32"/>
          <w:lang w:val="en-US" w:eastAsia="zh-CN"/>
        </w:rPr>
        <w:t>8.“人大会议费”项目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0.09</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0.09</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hint="eastAsia"/>
                <w:color w:val="000000"/>
                <w:sz w:val="32"/>
                <w:szCs w:val="32"/>
                <w:lang w:val="en-US" w:eastAsia="zh-CN"/>
              </w:rPr>
              <w:t>人大会议费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卡撒</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0.09万元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0.09万元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0.09万元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0.09万元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保证乡人大工作正常开展</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保证乡人大工作正常开展</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cs="宋体" w:hint="eastAsia"/>
                <w:sz w:val="24"/>
                <w:szCs w:val="24"/>
                <w:lang w:val="en-US" w:eastAsia="zh-CN"/>
              </w:rPr>
              <w:t>召开会议次数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sz w:val="24"/>
                <w:szCs w:val="24"/>
                <w:lang w:val="en-US" w:eastAsia="zh-CN"/>
              </w:rPr>
              <w:t>2次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sz w:val="24"/>
                <w:szCs w:val="24"/>
                <w:lang w:val="en-US" w:eastAsia="zh-CN"/>
              </w:rPr>
              <w:t>2次</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0.09万元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0.09万元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效益</w:t>
            </w:r>
            <w:r>
              <w:rPr>
                <w:rFonts w:asci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sz w:val="24"/>
                <w:szCs w:val="24"/>
                <w:lang w:val="en-US" w:eastAsia="zh-CN"/>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切实乡人大工作正常开展</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定性</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优</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人大代表</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pStyle w:val="25"/>
      </w:pPr>
    </w:p>
    <w:p>
      <w:pPr>
        <w:pStyle w:val="25"/>
        <w:ind w:leftChars="0" w:left="0" w:firstLineChars="0" w:firstLine="0"/>
      </w:pPr>
    </w:p>
    <w:p>
      <w:pPr>
        <w:spacing w:line="600" w:lineRule="exact"/>
        <w:ind w:firstLineChars="200" w:firstLine="640"/>
        <w:outlineLvl w:val="1"/>
        <w:rPr>
          <w:rStyle w:val="2Char"/>
          <w:rFonts w:ascii="黑体" w:eastAsia="黑体"/>
        </w:rPr>
      </w:pPr>
      <w:bookmarkStart w:id="61" w:name="_Toc15377221"/>
      <w:bookmarkStart w:id="62" w:name="_Toc21130"/>
      <w:r>
        <w:rPr>
          <w:rFonts w:ascii="黑体" w:eastAsia="黑体" w:hint="eastAsia"/>
          <w:color w:val="000000"/>
          <w:sz w:val="32"/>
          <w:szCs w:val="32"/>
        </w:rPr>
        <w:t>十</w:t>
      </w:r>
      <w:r>
        <w:rPr>
          <w:rFonts w:ascii="黑体" w:eastAsia="黑体" w:hint="eastAsia"/>
          <w:color w:val="000000"/>
          <w:sz w:val="32"/>
          <w:szCs w:val="32"/>
          <w:lang w:val="en-US" w:eastAsia="zh-CN"/>
        </w:rPr>
        <w:t>一</w:t>
      </w:r>
      <w:r>
        <w:rPr>
          <w:rStyle w:val="2Char"/>
          <w:rFonts w:ascii="黑体" w:eastAsia="黑体" w:hint="eastAsia"/>
        </w:rPr>
        <w:t>、</w:t>
      </w:r>
      <w:r>
        <w:rPr>
          <w:rStyle w:val="2Char"/>
          <w:rFonts w:ascii="黑体" w:eastAsia="黑体" w:hint="eastAsia"/>
          <w:b w:val="0"/>
        </w:rPr>
        <w:t>其他重要事项的情况说明</w:t>
      </w:r>
      <w:bookmarkEnd w:id="61"/>
      <w:bookmarkEnd w:id="62"/>
    </w:p>
    <w:p>
      <w:pPr>
        <w:spacing w:line="600" w:lineRule="exact"/>
        <w:ind w:firstLineChars="200" w:firstLine="640"/>
        <w:outlineLvl w:val="2"/>
        <w:rPr>
          <w:rFonts w:ascii="仿宋" w:eastAsia="仿宋"/>
          <w:color w:val="000000"/>
          <w:sz w:val="32"/>
          <w:szCs w:val="32"/>
        </w:rPr>
      </w:pPr>
      <w:bookmarkStart w:id="63" w:name="_Toc15377222"/>
      <w:r>
        <w:rPr>
          <w:rFonts w:ascii="仿宋" w:eastAsia="仿宋" w:hint="eastAsia"/>
          <w:b/>
          <w:color w:val="000000"/>
          <w:sz w:val="32"/>
          <w:szCs w:val="32"/>
        </w:rPr>
        <w:t>（一）机关运行经费支出情况</w:t>
      </w:r>
      <w:bookmarkEnd w:id="63"/>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lang w:eastAsia="zh-CN"/>
        </w:rPr>
        <w:t>2022年</w:t>
      </w:r>
      <w:r>
        <w:rPr>
          <w:rFonts w:ascii="仿宋_GB2312" w:eastAsia="仿宋_GB2312" w:hint="eastAsia"/>
          <w:color w:val="000000"/>
          <w:sz w:val="32"/>
          <w:szCs w:val="32"/>
        </w:rPr>
        <w:t>，卡撒乡人民政府运行经费支出</w:t>
      </w:r>
      <w:r>
        <w:rPr>
          <w:rFonts w:ascii="仿宋_GB2312" w:eastAsia="仿宋_GB2312"/>
          <w:color w:val="000000"/>
          <w:sz w:val="32"/>
          <w:szCs w:val="32"/>
        </w:rPr>
        <w:t>26.99</w:t>
      </w:r>
      <w:r>
        <w:rPr>
          <w:rFonts w:ascii="仿宋_GB2312" w:eastAsia="仿宋_GB2312" w:hint="eastAsia"/>
          <w:color w:val="000000"/>
          <w:sz w:val="32"/>
          <w:szCs w:val="32"/>
        </w:rPr>
        <w:t>万元</w:t>
      </w:r>
      <w:r>
        <w:rPr>
          <w:rFonts w:ascii="仿宋_GB2312" w:eastAsia="仿宋_GB2312" w:hint="eastAsia"/>
          <w:sz w:val="32"/>
          <w:szCs w:val="32"/>
        </w:rPr>
        <w:t>。比2021年增加</w:t>
      </w:r>
      <w:r>
        <w:rPr>
          <w:rFonts w:ascii="仿宋_GB2312" w:eastAsia="仿宋_GB2312"/>
          <w:sz w:val="32"/>
          <w:szCs w:val="32"/>
        </w:rPr>
        <w:t>26.99</w:t>
      </w:r>
      <w:r>
        <w:rPr>
          <w:rFonts w:ascii="仿宋_GB2312" w:eastAsia="仿宋_GB2312" w:hint="eastAsia"/>
          <w:sz w:val="32"/>
          <w:szCs w:val="32"/>
        </w:rPr>
        <w:t>万元，增长100%，</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bookmarkStart w:id="64" w:name="_GoBack"/>
      <w:bookmarkEnd w:id="64"/>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65" w:name="_Toc15377224"/>
      <w:r>
        <w:rPr>
          <w:rFonts w:ascii="仿宋" w:eastAsia="仿宋" w:hint="eastAsia"/>
          <w:b/>
          <w:color w:val="000000"/>
          <w:sz w:val="32"/>
          <w:szCs w:val="32"/>
        </w:rPr>
        <w:t>（二）国有资产占有使用情况</w:t>
      </w:r>
      <w:bookmarkEnd w:id="65"/>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辆，为日常工作及应急保障用车。</w:t>
      </w:r>
    </w:p>
    <w:p>
      <w:pPr>
        <w:widowControl/>
        <w:numPr>
          <w:ilvl w:val="0"/>
          <w:numId w:val="5"/>
        </w:numPr>
        <w:ind w:left="0"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政府采购支出情况   </w:t>
      </w:r>
    </w:p>
    <w:p>
      <w:pPr>
        <w:pStyle w:val="22"/>
        <w:keepNext w:val="0"/>
        <w:keepLines w:val="0"/>
        <w:widowControl/>
        <w:suppressLineNumbers w:val="0"/>
        <w:spacing w:beforeAutospacing="0"/>
        <w:ind w:left="0" w:firstLineChars="200" w:firstLine="640"/>
        <w:rPr>
          <w:rFonts w:ascii="仿宋" w:eastAsia="仿宋" w:cs="仿宋" w:hint="eastAsia"/>
          <w:sz w:val="32"/>
          <w:szCs w:val="32"/>
          <w:shd w:val="clear" w:color="auto" w:fill="FFFFFF"/>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widowControl/>
        <w:tabs>
          <w:tab w:val="left" w:pos="0"/>
        </w:tabs>
        <w:ind w:leftChars="200" w:left="42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6"/>
        </w:numPr>
        <w:spacing w:line="600" w:lineRule="exact"/>
        <w:ind w:left="0" w:firstLineChars="150" w:firstLine="660"/>
        <w:jc w:val="center"/>
        <w:outlineLvl w:val="0"/>
        <w:rPr>
          <w:rStyle w:val="1Char"/>
          <w:rFonts w:ascii="黑体" w:eastAsia="黑体"/>
          <w:b w:val="0"/>
        </w:rPr>
      </w:pPr>
      <w:bookmarkStart w:id="66" w:name="_Toc15377225"/>
      <w:bookmarkStart w:id="67" w:name="_Toc23765"/>
      <w:r>
        <w:rPr>
          <w:rFonts w:ascii="黑体" w:eastAsia="黑体" w:hint="eastAsia"/>
          <w:b/>
          <w:color w:val="000000"/>
          <w:sz w:val="44"/>
          <w:szCs w:val="44"/>
        </w:rPr>
        <w:t>名</w:t>
      </w:r>
      <w:r>
        <w:rPr>
          <w:rStyle w:val="1Char"/>
          <w:rFonts w:ascii="黑体" w:eastAsia="黑体" w:hint="eastAsia"/>
          <w:b w:val="0"/>
        </w:rPr>
        <w:t>词解释</w:t>
      </w:r>
      <w:bookmarkEnd w:id="66"/>
      <w:bookmarkEnd w:id="67"/>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8" w:name="_Toc15377226"/>
      <w:bookmarkStart w:id="69" w:name="_Toc15396614"/>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bookmarkStart w:id="70" w:name="_Toc19886"/>
      <w:r>
        <w:rPr>
          <w:rFonts w:ascii="黑体" w:eastAsia="黑体" w:hint="eastAsia"/>
          <w:b/>
          <w:color w:val="000000"/>
          <w:sz w:val="44"/>
          <w:szCs w:val="44"/>
          <w:lang w:val="en-US" w:eastAsia="zh-CN"/>
        </w:rPr>
        <w:t>第四部分</w:t>
      </w:r>
      <w:bookmarkEnd w:id="70"/>
    </w:p>
    <w:p>
      <w:pPr>
        <w:rPr>
          <w:rFonts w:ascii="宋体" w:eastAsia="宋体" w:cs="宋体" w:hint="eastAsia"/>
          <w:sz w:val="44"/>
          <w:szCs w:val="44"/>
          <w:lang w:val="en-US" w:eastAsia="zh-CN"/>
        </w:rPr>
      </w:pPr>
    </w:p>
    <w:p>
      <w:pPr>
        <w:rPr>
          <w:rFonts w:ascii="宋体" w:eastAsia="宋体" w:cs="宋体" w:hint="eastAsia"/>
          <w:sz w:val="44"/>
          <w:szCs w:val="44"/>
          <w:lang w:val="en-US" w:eastAsia="zh-CN"/>
        </w:rPr>
      </w:pPr>
      <w:r>
        <w:rPr>
          <w:rFonts w:ascii="宋体" w:eastAsia="宋体" w:cs="宋体" w:hint="eastAsia"/>
          <w:sz w:val="44"/>
          <w:szCs w:val="44"/>
          <w:lang w:val="en-US" w:eastAsia="zh-CN"/>
        </w:rPr>
        <w:t>附件</w:t>
      </w:r>
    </w:p>
    <w:p>
      <w:pPr>
        <w:spacing w:line="600" w:lineRule="exact"/>
        <w:jc w:val="both"/>
        <w:outlineLvl w:val="0"/>
        <w:rPr>
          <w:rFonts w:ascii="黑体" w:eastAsia="黑体"/>
          <w:color w:val="000000"/>
          <w:sz w:val="44"/>
          <w:szCs w:val="44"/>
        </w:rPr>
      </w:pPr>
      <w:bookmarkStart w:id="71" w:name="_Toc15396618"/>
      <w:bookmarkStart w:id="72" w:name="_Toc15396619"/>
      <w:bookmarkEnd w:id="68"/>
      <w:bookmarkEnd w:id="69"/>
    </w:p>
    <w:p>
      <w:pPr>
        <w:jc w:val="center"/>
        <w:rPr>
          <w:rFonts w:ascii="宋体" w:eastAsia="宋体" w:cs="宋体" w:hint="eastAsia"/>
          <w:b/>
          <w:bCs/>
          <w:sz w:val="44"/>
          <w:szCs w:val="44"/>
          <w:lang w:val="en-US" w:eastAsia="zh-CN"/>
        </w:rPr>
      </w:pPr>
      <w:bookmarkEnd w:id="71"/>
      <w:bookmarkEnd w:id="72"/>
      <w:r>
        <w:rPr>
          <w:rFonts w:ascii="方正小标宋简体" w:eastAsia="方正小标宋简体" w:cs="方正小标宋简体" w:hint="eastAsia"/>
          <w:b/>
          <w:spacing w:val="34"/>
          <w:sz w:val="44"/>
          <w:szCs w:val="44"/>
          <w:shd w:val="clear" w:color="auto" w:fill="FFFFFF"/>
          <w:lang w:eastAsia="zh-CN"/>
        </w:rPr>
        <w:tab/>
      </w:r>
      <w:r>
        <w:rPr>
          <w:rFonts w:ascii="宋体" w:eastAsia="宋体" w:cs="宋体" w:hint="eastAsia"/>
          <w:b/>
          <w:bCs/>
          <w:sz w:val="44"/>
          <w:szCs w:val="44"/>
          <w:lang w:val="en-US" w:eastAsia="zh-CN"/>
        </w:rPr>
        <w:t>金川县卡撒乡人民政府</w:t>
      </w:r>
    </w:p>
    <w:p>
      <w:pPr>
        <w:jc w:val="center"/>
        <w:rPr>
          <w:rFonts w:ascii="宋体" w:eastAsia="宋体" w:cs="宋体" w:hint="eastAsia"/>
          <w:b/>
          <w:bCs/>
          <w:sz w:val="44"/>
          <w:szCs w:val="44"/>
          <w:lang w:val="en-US" w:eastAsia="zh-CN"/>
        </w:rPr>
      </w:pPr>
      <w:r>
        <w:rPr>
          <w:rFonts w:ascii="宋体" w:eastAsia="宋体" w:cs="宋体" w:hint="eastAsia"/>
          <w:b/>
          <w:bCs/>
          <w:sz w:val="44"/>
          <w:szCs w:val="44"/>
          <w:lang w:val="en-US" w:eastAsia="zh-CN"/>
        </w:rPr>
        <w:t>2022年县级部门整体支出绩效评价报告</w:t>
      </w:r>
    </w:p>
    <w:p>
      <w:pPr>
        <w:keepNext w:val="0"/>
        <w:keepLines w:val="0"/>
        <w:pageBreakBefore w:val="0"/>
        <w:widowControl/>
        <w:kinsoku w:val="0"/>
        <w:overflowPunct w:val="0"/>
        <w:autoSpaceDE w:val="0"/>
        <w:autoSpaceDN w:val="0"/>
        <w:bidi w:val="0"/>
        <w:spacing w:line="600" w:lineRule="exact"/>
        <w:ind w:firstLineChars="200" w:firstLine="640"/>
        <w:jc w:val="left"/>
        <w:textAlignment w:val="auto"/>
        <w:rPr>
          <w:rFonts w:ascii="Mongolian Baiti" w:eastAsia="黑体" w:cs="Mongolian Baiti" w:hAnsi="Mongolian Baiti"/>
          <w:color w:val="auto"/>
          <w:kern w:val="2"/>
          <w:sz w:val="32"/>
          <w:szCs w:val="32"/>
          <w:u w:val="none"/>
          <w:vertAlign w:val="baseline"/>
          <w:lang w:val="en-US" w:eastAsia="zh-CN" w:bidi="ar-SA"/>
        </w:rPr>
      </w:pPr>
      <w:bookmarkStart w:id="73" w:name="_Toc12355"/>
      <w:r>
        <w:rPr>
          <w:rFonts w:ascii="仿宋" w:eastAsia="仿宋" w:hint="eastAsia"/>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w:t>
      </w:r>
      <w:r>
        <w:rPr>
          <w:rFonts w:ascii="仿宋" w:eastAsia="仿宋" w:hint="eastAsia"/>
          <w:color w:val="000000"/>
          <w:sz w:val="32"/>
          <w:szCs w:val="32"/>
          <w:lang w:eastAsia="zh-CN"/>
        </w:rPr>
        <w:t>按照</w:t>
      </w:r>
      <w:r>
        <w:rPr>
          <w:rFonts w:ascii="仿宋" w:eastAsia="仿宋" w:hint="eastAsia"/>
          <w:color w:val="000000"/>
          <w:sz w:val="32"/>
          <w:szCs w:val="32"/>
        </w:rPr>
        <w:t>《关于开展202</w:t>
      </w:r>
      <w:r>
        <w:rPr>
          <w:rFonts w:ascii="仿宋" w:eastAsia="仿宋" w:hint="eastAsia"/>
          <w:color w:val="000000"/>
          <w:sz w:val="32"/>
          <w:szCs w:val="32"/>
          <w:lang w:val="en-US" w:eastAsia="zh-CN"/>
        </w:rPr>
        <w:t>3</w:t>
      </w:r>
      <w:r>
        <w:rPr>
          <w:rFonts w:ascii="仿宋" w:eastAsia="仿宋" w:hint="eastAsia"/>
          <w:color w:val="000000"/>
          <w:sz w:val="32"/>
          <w:szCs w:val="32"/>
        </w:rPr>
        <w:t>年部门</w:t>
      </w:r>
      <w:r>
        <w:rPr>
          <w:rFonts w:ascii="仿宋" w:eastAsia="仿宋" w:hint="eastAsia"/>
          <w:color w:val="000000"/>
          <w:sz w:val="32"/>
          <w:szCs w:val="32"/>
          <w:lang w:eastAsia="zh-CN"/>
        </w:rPr>
        <w:t>、政策、</w:t>
      </w:r>
      <w:r>
        <w:rPr>
          <w:rFonts w:ascii="仿宋" w:eastAsia="仿宋" w:hint="eastAsia"/>
          <w:color w:val="000000"/>
          <w:sz w:val="32"/>
          <w:szCs w:val="32"/>
        </w:rPr>
        <w:t>项目支出绩效评价工作的通知》（金财监绩〔202</w:t>
      </w:r>
      <w:r>
        <w:rPr>
          <w:rFonts w:ascii="仿宋" w:eastAsia="仿宋" w:hint="eastAsia"/>
          <w:color w:val="000000"/>
          <w:sz w:val="32"/>
          <w:szCs w:val="32"/>
          <w:lang w:val="en-US" w:eastAsia="zh-CN"/>
        </w:rPr>
        <w:t>3</w:t>
      </w:r>
      <w:r>
        <w:rPr>
          <w:rFonts w:ascii="仿宋" w:eastAsia="仿宋" w:hint="eastAsia"/>
          <w:color w:val="000000"/>
          <w:sz w:val="32"/>
          <w:szCs w:val="32"/>
        </w:rPr>
        <w:t>〕</w:t>
      </w:r>
      <w:r>
        <w:rPr>
          <w:rFonts w:ascii="仿宋" w:eastAsia="仿宋" w:hint="eastAsia"/>
          <w:color w:val="000000"/>
          <w:sz w:val="32"/>
          <w:szCs w:val="32"/>
          <w:lang w:val="en-US" w:eastAsia="zh-CN"/>
        </w:rPr>
        <w:t>32</w:t>
      </w:r>
      <w:r>
        <w:rPr>
          <w:rFonts w:ascii="仿宋" w:eastAsia="仿宋" w:hint="eastAsia"/>
          <w:color w:val="000000"/>
          <w:sz w:val="32"/>
          <w:szCs w:val="32"/>
        </w:rPr>
        <w:t>号）等文件要求，我乡高度重视，</w:t>
      </w:r>
      <w:r>
        <w:rPr>
          <w:rFonts w:ascii="仿宋" w:eastAsia="仿宋"/>
          <w:color w:val="000000"/>
          <w:sz w:val="32"/>
          <w:szCs w:val="32"/>
        </w:rPr>
        <w:t>赓</w:t>
      </w:r>
      <w:r>
        <w:rPr>
          <w:rFonts w:ascii="仿宋" w:eastAsia="仿宋" w:hint="eastAsia"/>
          <w:color w:val="000000"/>
          <w:sz w:val="32"/>
          <w:szCs w:val="32"/>
        </w:rPr>
        <w:t>即成立了绩效评价工作组负责开展202</w:t>
      </w:r>
      <w:r>
        <w:rPr>
          <w:rFonts w:ascii="仿宋" w:eastAsia="仿宋" w:hint="eastAsia"/>
          <w:color w:val="000000"/>
          <w:sz w:val="32"/>
          <w:szCs w:val="32"/>
          <w:lang w:val="en-US" w:eastAsia="zh-CN"/>
        </w:rPr>
        <w:t>2</w:t>
      </w:r>
      <w:r>
        <w:rPr>
          <w:rFonts w:ascii="仿宋" w:eastAsia="仿宋" w:hint="eastAsia"/>
          <w:color w:val="000000"/>
          <w:sz w:val="32"/>
          <w:szCs w:val="32"/>
        </w:rPr>
        <w:t>年财政支出绩效评价。</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b/>
          <w:bCs/>
          <w:snapToGrid/>
          <w:color w:val="000000"/>
          <w:spacing w:val="34"/>
          <w:w w:val="100"/>
          <w:kern w:val="2"/>
          <w:szCs w:val="32"/>
          <w:lang w:val="zh-CN"/>
        </w:rPr>
      </w:pPr>
      <w:bookmarkStart w:id="74" w:name="_Toc11301"/>
      <w:r>
        <w:rPr>
          <w:rFonts w:ascii="Mongolian Baiti" w:eastAsia="黑体" w:cs="Mongolian Baiti" w:hAnsi="Mongolian Baiti"/>
          <w:color w:val="auto"/>
          <w:kern w:val="2"/>
          <w:sz w:val="32"/>
          <w:szCs w:val="32"/>
          <w:u w:val="none"/>
          <w:vertAlign w:val="baseline"/>
          <w:lang w:val="en-US" w:eastAsia="zh-CN" w:bidi="ar-SA"/>
        </w:rPr>
        <w:t>一、部门整体概况</w:t>
      </w:r>
      <w:bookmarkEnd w:id="73"/>
      <w:bookmarkEnd w:id="74"/>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bookmarkStart w:id="75" w:name="_Toc13050"/>
      <w:r>
        <w:rPr>
          <w:rFonts w:ascii="仿宋_GB2312" w:eastAsia="仿宋_GB2312" w:cs="仿宋_GB2312" w:hint="eastAsia"/>
          <w:b/>
          <w:bCs/>
          <w:snapToGrid/>
          <w:color w:val="000000"/>
          <w:spacing w:val="34"/>
          <w:w w:val="100"/>
          <w:kern w:val="2"/>
          <w:sz w:val="32"/>
          <w:szCs w:val="32"/>
          <w:lang w:val="zh-CN"/>
        </w:rPr>
        <w:t>（一）机构组成</w:t>
      </w:r>
      <w:bookmarkEnd w:id="75"/>
    </w:p>
    <w:p>
      <w:pPr>
        <w:keepNext w:val="0"/>
        <w:keepLines w:val="0"/>
        <w:pageBreakBefore w:val="0"/>
        <w:widowControl w:val="0"/>
        <w:kinsoku/>
        <w:wordWrap w:val="0"/>
        <w:overflowPunct/>
        <w:autoSpaceDE/>
        <w:autoSpaceDN/>
        <w:bidi w:val="0"/>
        <w:spacing w:line="560" w:lineRule="exact"/>
        <w:ind w:firstLineChars="200" w:firstLine="776"/>
        <w:jc w:val="left"/>
        <w:textAlignment w:val="auto"/>
        <w:rPr>
          <w:rFonts w:ascii="仿宋_GB2312" w:eastAsia="仿宋_GB2312" w:cs="仿宋_GB2312" w:hint="eastAsia"/>
          <w:spacing w:val="34"/>
          <w:sz w:val="32"/>
          <w:szCs w:val="32"/>
          <w:lang w:val="zh-CN"/>
        </w:rPr>
      </w:pPr>
      <w:r>
        <w:rPr>
          <w:rFonts w:ascii="仿宋_GB2312" w:eastAsia="仿宋_GB2312" w:cs="仿宋_GB2312" w:hint="eastAsia"/>
          <w:spacing w:val="34"/>
          <w:sz w:val="32"/>
          <w:szCs w:val="32"/>
          <w:lang w:val="zh-CN"/>
        </w:rPr>
        <w:t>本部门预算单位</w:t>
      </w:r>
      <w:r>
        <w:rPr>
          <w:rFonts w:ascii="仿宋_GB2312" w:eastAsia="仿宋_GB2312" w:cs="仿宋_GB2312" w:hint="eastAsia"/>
          <w:spacing w:val="34"/>
          <w:sz w:val="32"/>
          <w:szCs w:val="32"/>
          <w:lang w:val="en-US" w:eastAsia="zh-CN"/>
        </w:rPr>
        <w:t>1</w:t>
      </w:r>
      <w:r>
        <w:rPr>
          <w:rFonts w:ascii="仿宋_GB2312" w:eastAsia="仿宋_GB2312" w:cs="仿宋_GB2312" w:hint="eastAsia"/>
          <w:spacing w:val="34"/>
          <w:sz w:val="32"/>
          <w:szCs w:val="32"/>
          <w:lang w:val="zh-CN"/>
        </w:rPr>
        <w:t>个，其中内设机构</w:t>
      </w:r>
      <w:r>
        <w:rPr>
          <w:rFonts w:ascii="仿宋_GB2312" w:eastAsia="仿宋_GB2312" w:cs="仿宋_GB2312" w:hint="eastAsia"/>
          <w:spacing w:val="34"/>
          <w:sz w:val="32"/>
          <w:szCs w:val="32"/>
          <w:lang w:val="en-US" w:eastAsia="zh-CN"/>
        </w:rPr>
        <w:t>4</w:t>
      </w:r>
      <w:r>
        <w:rPr>
          <w:rFonts w:ascii="仿宋_GB2312" w:eastAsia="仿宋_GB2312" w:cs="仿宋_GB2312" w:hint="eastAsia"/>
          <w:spacing w:val="34"/>
          <w:sz w:val="32"/>
          <w:szCs w:val="32"/>
          <w:lang w:val="zh-CN"/>
        </w:rPr>
        <w:t>个，分别是卡撒乡人民政府办公室、人大办公室、党委办公室、综合服务中心。</w:t>
      </w:r>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r>
        <w:rPr>
          <w:rFonts w:ascii="仿宋_GB2312" w:eastAsia="仿宋_GB2312" w:cs="仿宋_GB2312" w:hint="eastAsia"/>
          <w:b/>
          <w:bCs/>
          <w:snapToGrid/>
          <w:color w:val="000000"/>
          <w:spacing w:val="34"/>
          <w:w w:val="100"/>
          <w:kern w:val="2"/>
          <w:sz w:val="32"/>
          <w:szCs w:val="32"/>
          <w:lang w:val="zh-CN"/>
        </w:rPr>
        <w:t>（二）机构职能</w:t>
      </w:r>
    </w:p>
    <w:p>
      <w:pPr>
        <w:keepNext w:val="0"/>
        <w:keepLines w:val="0"/>
        <w:pageBreakBefore w:val="0"/>
        <w:widowControl/>
        <w:kinsoku/>
        <w:overflowPunct/>
        <w:autoSpaceDE/>
        <w:autoSpaceDN/>
        <w:bidi w:val="0"/>
        <w:spacing w:line="560" w:lineRule="exact"/>
        <w:ind w:firstLineChars="200" w:firstLine="776"/>
        <w:jc w:val="left"/>
        <w:textAlignment w:val="auto"/>
        <w:rPr>
          <w:rFonts w:ascii="仿宋_GB2312" w:eastAsia="仿宋_GB2312" w:cs="仿宋_GB2312" w:hint="eastAsia"/>
          <w:sz w:val="32"/>
          <w:szCs w:val="32"/>
        </w:rPr>
      </w:pPr>
      <w:r>
        <w:rPr>
          <w:rFonts w:ascii="仿宋_GB2312" w:eastAsia="仿宋_GB2312" w:cs="仿宋_GB2312" w:hint="eastAsia"/>
          <w:spacing w:val="34"/>
          <w:sz w:val="32"/>
          <w:szCs w:val="32"/>
          <w:lang w:val="zh-CN"/>
        </w:rPr>
        <w:t>主要职能职责：</w:t>
      </w:r>
      <w:r>
        <w:rPr>
          <w:rFonts w:ascii="仿宋_GB2312" w:eastAsia="仿宋_GB2312" w:cs="仿宋_GB2312" w:hint="eastAsia"/>
          <w:sz w:val="32"/>
          <w:szCs w:val="32"/>
        </w:rPr>
        <w:t>根据党章和《地方组织法》的规定，乡党委、政府承担辖区内促进经济发展、提供公共服务、加强社会管理、维护社会稳定，推动物质文明、政治文明、精神文明及和谐社会建设等任务。其主要职能是：</w:t>
      </w:r>
    </w:p>
    <w:p>
      <w:pPr>
        <w:keepNext w:val="0"/>
        <w:keepLines w:val="0"/>
        <w:pageBreakBefore w:val="0"/>
        <w:widowControl w:val="0"/>
        <w:kinsoku/>
        <w:overflowPunct/>
        <w:autoSpaceDE/>
        <w:autoSpaceDN/>
        <w:bidi w:val="0"/>
        <w:snapToGrid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（1）贯彻落实党和政府各项路线方针政策。深入贯彻党的十</w:t>
      </w:r>
      <w:r>
        <w:rPr>
          <w:rFonts w:ascii="仿宋_GB2312" w:eastAsia="仿宋_GB2312" w:cs="仿宋_GB2312" w:hint="eastAsia"/>
          <w:sz w:val="32"/>
          <w:szCs w:val="32"/>
          <w:lang w:eastAsia="zh-CN"/>
        </w:rPr>
        <w:t>九</w:t>
      </w:r>
      <w:r>
        <w:rPr>
          <w:rFonts w:ascii="仿宋_GB2312" w:eastAsia="仿宋_GB2312" w:cs="仿宋_GB2312" w:hint="eastAsia"/>
          <w:sz w:val="32"/>
          <w:szCs w:val="32"/>
        </w:rPr>
        <w:t>大、十八届四中、五中全会精神，宣传和贯彻执行党的路线、方针、政策和国家的</w:t>
      </w:r>
    </w:p>
    <w:p>
      <w:pPr>
        <w:keepNext w:val="0"/>
        <w:keepLines w:val="0"/>
        <w:pageBreakBefore w:val="0"/>
        <w:widowControl w:val="0"/>
        <w:kinsoku/>
        <w:overflowPunct/>
        <w:autoSpaceDE/>
        <w:autoSpaceDN/>
        <w:bidi w:val="0"/>
        <w:snapToGrid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法律、法令；宣传和贯彻上级机关的政策、法规、规章、决定等；执行本级党代会和人代会的决定、决议；研究决定辖区内政治、经济、文化等重大问题。</w:t>
      </w:r>
    </w:p>
    <w:p>
      <w:pPr>
        <w:keepNext w:val="0"/>
        <w:keepLines w:val="0"/>
        <w:pageBreakBefore w:val="0"/>
        <w:widowControl w:val="0"/>
        <w:kinsoku/>
        <w:overflowPunct/>
        <w:autoSpaceDE/>
        <w:autoSpaceDN/>
        <w:bidi w:val="0"/>
        <w:snapToGrid w:val="0"/>
        <w:spacing w:line="560" w:lineRule="exact"/>
        <w:ind w:firstLineChars="150" w:firstLine="480"/>
        <w:textAlignment w:val="auto"/>
        <w:rPr>
          <w:rFonts w:ascii="仿宋_GB2312" w:eastAsia="仿宋_GB2312" w:cs="仿宋_GB2312" w:hint="eastAsia"/>
          <w:sz w:val="32"/>
          <w:szCs w:val="32"/>
        </w:rPr>
      </w:pPr>
      <w:r>
        <w:rPr>
          <w:rFonts w:ascii="仿宋_GB2312" w:eastAsia="仿宋_GB2312" w:cs="仿宋_GB2312" w:hint="eastAsia"/>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keepNext w:val="0"/>
        <w:keepLines w:val="0"/>
        <w:pageBreakBefore w:val="0"/>
        <w:widowControl w:val="0"/>
        <w:kinsoku/>
        <w:overflowPunct/>
        <w:autoSpaceDE/>
        <w:autoSpaceDN/>
        <w:bidi w:val="0"/>
        <w:snapToGrid w:val="0"/>
        <w:spacing w:line="560" w:lineRule="exact"/>
        <w:ind w:firstLineChars="150" w:firstLine="480"/>
        <w:textAlignment w:val="auto"/>
        <w:rPr>
          <w:rFonts w:ascii="仿宋_GB2312" w:eastAsia="仿宋_GB2312" w:cs="仿宋_GB2312" w:hint="eastAsia"/>
          <w:sz w:val="32"/>
          <w:szCs w:val="32"/>
        </w:rPr>
      </w:pPr>
      <w:r>
        <w:rPr>
          <w:rFonts w:ascii="仿宋_GB2312" w:eastAsia="仿宋_GB2312" w:cs="仿宋_GB2312" w:hint="eastAsia"/>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keepNext w:val="0"/>
        <w:keepLines w:val="0"/>
        <w:pageBreakBefore w:val="0"/>
        <w:widowControl w:val="0"/>
        <w:kinsoku/>
        <w:overflowPunct/>
        <w:autoSpaceDE/>
        <w:autoSpaceDN/>
        <w:bidi w:val="0"/>
        <w:snapToGrid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keepNext w:val="0"/>
        <w:keepLines w:val="0"/>
        <w:pageBreakBefore w:val="0"/>
        <w:widowControl/>
        <w:kinsoku/>
        <w:overflowPunct/>
        <w:autoSpaceDE/>
        <w:autoSpaceDN/>
        <w:bidi w:val="0"/>
        <w:adjustRightInd w:val="0"/>
        <w:snapToGrid w:val="0"/>
        <w:spacing w:line="560" w:lineRule="exact"/>
        <w:ind w:firstLine="720"/>
        <w:jc w:val="left"/>
        <w:textAlignment w:val="auto"/>
        <w:rPr>
          <w:rFonts w:ascii="仿宋_GB2312" w:eastAsia="仿宋_GB2312" w:cs="仿宋_GB2312" w:hint="eastAsia"/>
          <w:spacing w:val="34"/>
          <w:sz w:val="32"/>
          <w:szCs w:val="32"/>
          <w:lang w:val="zh-CN"/>
        </w:rPr>
      </w:pPr>
      <w:r>
        <w:rPr>
          <w:rFonts w:ascii="仿宋_GB2312" w:eastAsia="仿宋_GB2312" w:cs="仿宋_GB2312" w:hint="eastAsia"/>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bookmarkStart w:id="76" w:name="_Toc28385"/>
      <w:r>
        <w:rPr>
          <w:rFonts w:ascii="仿宋_GB2312" w:eastAsia="仿宋_GB2312" w:cs="仿宋_GB2312" w:hint="eastAsia"/>
          <w:b/>
          <w:bCs/>
          <w:snapToGrid/>
          <w:color w:val="000000"/>
          <w:spacing w:val="34"/>
          <w:w w:val="100"/>
          <w:kern w:val="2"/>
          <w:sz w:val="32"/>
          <w:szCs w:val="32"/>
          <w:lang w:val="zh-CN"/>
        </w:rPr>
        <w:t>（三）人员概况</w:t>
      </w:r>
      <w:bookmarkEnd w:id="76"/>
    </w:p>
    <w:p>
      <w:pPr>
        <w:keepNext w:val="0"/>
        <w:keepLines w:val="0"/>
        <w:pageBreakBefore w:val="0"/>
        <w:widowControl w:val="0"/>
        <w:kinsoku/>
        <w:wordWrap w:val="0"/>
        <w:overflowPunct/>
        <w:autoSpaceDE/>
        <w:autoSpaceDN/>
        <w:bidi w:val="0"/>
        <w:spacing w:line="560" w:lineRule="exact"/>
        <w:ind w:firstLineChars="200" w:firstLine="640"/>
        <w:jc w:val="left"/>
        <w:textAlignment w:val="auto"/>
        <w:rPr>
          <w:rFonts w:ascii="仿宋_GB2312" w:eastAsia="仿宋_GB2312" w:cs="仿宋_GB2312" w:hint="eastAsia"/>
          <w:color w:val="auto"/>
          <w:spacing w:val="34"/>
          <w:sz w:val="32"/>
          <w:szCs w:val="32"/>
          <w:lang w:val="zh-CN" w:eastAsia="zh-CN"/>
        </w:rPr>
      </w:pPr>
      <w:r>
        <w:rPr>
          <w:rFonts w:ascii="仿宋_GB2312" w:eastAsia="仿宋_GB2312" w:cs="仿宋_GB2312" w:hint="eastAsia"/>
          <w:sz w:val="32"/>
          <w:szCs w:val="32"/>
        </w:rPr>
        <w:t>机构情况：我</w:t>
      </w:r>
      <w:r>
        <w:rPr>
          <w:rFonts w:ascii="仿宋_GB2312" w:eastAsia="仿宋_GB2312" w:cs="仿宋_GB2312" w:hint="eastAsia"/>
          <w:sz w:val="32"/>
          <w:szCs w:val="32"/>
          <w:lang w:eastAsia="zh-CN"/>
        </w:rPr>
        <w:t>乡</w:t>
      </w:r>
      <w:r>
        <w:rPr>
          <w:rFonts w:ascii="仿宋_GB2312" w:eastAsia="仿宋_GB2312" w:cs="仿宋_GB2312" w:hint="eastAsia"/>
          <w:sz w:val="32"/>
          <w:szCs w:val="32"/>
        </w:rPr>
        <w:t>只有一个行政核算机构。</w:t>
      </w:r>
      <w:r>
        <w:rPr>
          <w:rFonts w:ascii="仿宋_GB2312" w:eastAsia="仿宋_GB2312" w:cs="仿宋_GB2312" w:hint="eastAsia"/>
          <w:color w:val="auto"/>
          <w:spacing w:val="34"/>
          <w:sz w:val="32"/>
          <w:szCs w:val="32"/>
          <w:lang w:val="zh-CN" w:eastAsia="zh-CN"/>
        </w:rPr>
        <w:t>单位编制数</w:t>
      </w:r>
      <w:r>
        <w:rPr>
          <w:rFonts w:ascii="仿宋_GB2312" w:eastAsia="仿宋_GB2312" w:cs="仿宋_GB2312" w:hint="eastAsia"/>
          <w:color w:val="auto"/>
          <w:spacing w:val="34"/>
          <w:sz w:val="32"/>
          <w:szCs w:val="32"/>
          <w:lang w:val="en-US" w:eastAsia="zh-CN"/>
        </w:rPr>
        <w:t>37</w:t>
      </w:r>
      <w:r>
        <w:rPr>
          <w:rFonts w:ascii="仿宋_GB2312" w:eastAsia="仿宋_GB2312" w:cs="仿宋_GB2312" w:hint="eastAsia"/>
          <w:color w:val="auto"/>
          <w:spacing w:val="34"/>
          <w:sz w:val="32"/>
          <w:szCs w:val="32"/>
          <w:lang w:val="zh-CN" w:eastAsia="zh-CN"/>
        </w:rPr>
        <w:t>个，其中：公务员编制</w:t>
      </w:r>
      <w:r>
        <w:rPr>
          <w:rFonts w:ascii="仿宋_GB2312" w:eastAsia="仿宋_GB2312" w:cs="仿宋_GB2312" w:hint="eastAsia"/>
          <w:color w:val="auto"/>
          <w:spacing w:val="34"/>
          <w:sz w:val="32"/>
          <w:szCs w:val="32"/>
          <w:lang w:val="en-US" w:eastAsia="zh-CN"/>
        </w:rPr>
        <w:t>21个</w:t>
      </w:r>
      <w:r>
        <w:rPr>
          <w:rFonts w:ascii="仿宋_GB2312" w:eastAsia="仿宋_GB2312" w:cs="仿宋_GB2312" w:hint="eastAsia"/>
          <w:color w:val="auto"/>
          <w:spacing w:val="34"/>
          <w:sz w:val="32"/>
          <w:szCs w:val="32"/>
          <w:lang w:val="zh-CN" w:eastAsia="zh-CN"/>
        </w:rPr>
        <w:t>、行政工勤编制</w:t>
      </w:r>
      <w:r>
        <w:rPr>
          <w:rFonts w:ascii="仿宋_GB2312" w:eastAsia="仿宋_GB2312" w:cs="仿宋_GB2312" w:hint="eastAsia"/>
          <w:color w:val="auto"/>
          <w:spacing w:val="34"/>
          <w:sz w:val="32"/>
          <w:szCs w:val="32"/>
          <w:lang w:val="en-US" w:eastAsia="zh-CN"/>
        </w:rPr>
        <w:t>2</w:t>
      </w:r>
      <w:r>
        <w:rPr>
          <w:rFonts w:ascii="仿宋_GB2312" w:eastAsia="仿宋_GB2312" w:cs="仿宋_GB2312" w:hint="eastAsia"/>
          <w:color w:val="auto"/>
          <w:spacing w:val="34"/>
          <w:sz w:val="32"/>
          <w:szCs w:val="32"/>
          <w:lang w:val="zh-CN" w:eastAsia="zh-CN"/>
        </w:rPr>
        <w:t>个，</w:t>
      </w:r>
      <w:r>
        <w:rPr>
          <w:rFonts w:ascii="仿宋_GB2312" w:eastAsia="仿宋_GB2312" w:cs="仿宋_GB2312" w:hint="eastAsia"/>
          <w:sz w:val="32"/>
          <w:szCs w:val="32"/>
        </w:rPr>
        <w:t>财政补助事业编制</w:t>
      </w:r>
      <w:r>
        <w:rPr>
          <w:rFonts w:ascii="仿宋_GB2312" w:eastAsia="仿宋_GB2312" w:cs="仿宋_GB2312" w:hint="eastAsia"/>
          <w:sz w:val="32"/>
          <w:szCs w:val="32"/>
          <w:lang w:val="en-US" w:eastAsia="zh-CN"/>
        </w:rPr>
        <w:t>14</w:t>
      </w:r>
      <w:r>
        <w:rPr>
          <w:rFonts w:ascii="仿宋_GB2312" w:eastAsia="仿宋_GB2312" w:cs="仿宋_GB2312" w:hint="eastAsia"/>
          <w:sz w:val="32"/>
          <w:szCs w:val="32"/>
        </w:rPr>
        <w:t>名</w:t>
      </w:r>
      <w:r>
        <w:rPr>
          <w:rFonts w:ascii="仿宋_GB2312" w:eastAsia="仿宋_GB2312" w:cs="仿宋_GB2312" w:hint="eastAsia"/>
          <w:color w:val="auto"/>
          <w:spacing w:val="34"/>
          <w:sz w:val="32"/>
          <w:szCs w:val="32"/>
          <w:lang w:val="zh-CN" w:eastAsia="zh-CN"/>
        </w:rPr>
        <w:t>。截止20</w:t>
      </w:r>
      <w:r>
        <w:rPr>
          <w:rFonts w:ascii="仿宋_GB2312" w:eastAsia="仿宋_GB2312" w:cs="仿宋_GB2312" w:hint="eastAsia"/>
          <w:color w:val="auto"/>
          <w:spacing w:val="34"/>
          <w:sz w:val="32"/>
          <w:szCs w:val="32"/>
          <w:lang w:val="en-US" w:eastAsia="zh-CN"/>
        </w:rPr>
        <w:t>22</w:t>
      </w:r>
      <w:r>
        <w:rPr>
          <w:rFonts w:ascii="仿宋_GB2312" w:eastAsia="仿宋_GB2312" w:cs="仿宋_GB2312" w:hint="eastAsia"/>
          <w:color w:val="auto"/>
          <w:spacing w:val="34"/>
          <w:sz w:val="32"/>
          <w:szCs w:val="32"/>
          <w:lang w:val="zh-CN" w:eastAsia="zh-CN"/>
        </w:rPr>
        <w:t>年</w:t>
      </w:r>
      <w:r>
        <w:rPr>
          <w:rFonts w:ascii="仿宋_GB2312" w:eastAsia="仿宋_GB2312" w:cs="仿宋_GB2312" w:hint="eastAsia"/>
          <w:color w:val="auto"/>
          <w:spacing w:val="34"/>
          <w:sz w:val="32"/>
          <w:szCs w:val="32"/>
          <w:lang w:val="en-US" w:eastAsia="zh-CN"/>
        </w:rPr>
        <w:t>12月</w:t>
      </w:r>
      <w:r>
        <w:rPr>
          <w:rFonts w:ascii="仿宋_GB2312" w:eastAsia="仿宋_GB2312" w:cs="仿宋_GB2312" w:hint="eastAsia"/>
          <w:color w:val="auto"/>
          <w:spacing w:val="34"/>
          <w:sz w:val="32"/>
          <w:szCs w:val="32"/>
          <w:lang w:val="zh-CN" w:eastAsia="zh-CN"/>
        </w:rPr>
        <w:t>，单位实有人数</w:t>
      </w:r>
      <w:r>
        <w:rPr>
          <w:rFonts w:ascii="仿宋_GB2312" w:eastAsia="仿宋_GB2312" w:cs="仿宋_GB2312" w:hint="eastAsia"/>
          <w:color w:val="auto"/>
          <w:spacing w:val="34"/>
          <w:sz w:val="32"/>
          <w:szCs w:val="32"/>
          <w:lang w:val="en-US" w:eastAsia="zh-CN"/>
        </w:rPr>
        <w:t>34</w:t>
      </w:r>
      <w:r>
        <w:rPr>
          <w:rFonts w:ascii="仿宋_GB2312" w:eastAsia="仿宋_GB2312" w:cs="仿宋_GB2312" w:hint="eastAsia"/>
          <w:color w:val="auto"/>
          <w:spacing w:val="34"/>
          <w:sz w:val="32"/>
          <w:szCs w:val="32"/>
          <w:lang w:val="zh-CN" w:eastAsia="zh-CN"/>
        </w:rPr>
        <w:t>人，其中：在职</w:t>
      </w:r>
      <w:r>
        <w:rPr>
          <w:rFonts w:ascii="仿宋_GB2312" w:eastAsia="仿宋_GB2312" w:cs="仿宋_GB2312" w:hint="eastAsia"/>
          <w:color w:val="auto"/>
          <w:spacing w:val="34"/>
          <w:sz w:val="32"/>
          <w:szCs w:val="32"/>
          <w:lang w:val="en-US" w:eastAsia="zh-CN"/>
        </w:rPr>
        <w:t>34</w:t>
      </w:r>
      <w:r>
        <w:rPr>
          <w:rFonts w:ascii="仿宋_GB2312" w:eastAsia="仿宋_GB2312" w:cs="仿宋_GB2312" w:hint="eastAsia"/>
          <w:color w:val="auto"/>
          <w:spacing w:val="34"/>
          <w:sz w:val="32"/>
          <w:szCs w:val="32"/>
          <w:lang w:val="zh-CN" w:eastAsia="zh-CN"/>
        </w:rPr>
        <w:t>人（公务员</w:t>
      </w:r>
      <w:r>
        <w:rPr>
          <w:rFonts w:ascii="仿宋_GB2312" w:eastAsia="仿宋_GB2312" w:cs="仿宋_GB2312" w:hint="eastAsia"/>
          <w:color w:val="auto"/>
          <w:spacing w:val="34"/>
          <w:sz w:val="32"/>
          <w:szCs w:val="32"/>
          <w:lang w:val="en-US" w:eastAsia="zh-CN"/>
        </w:rPr>
        <w:t>19个</w:t>
      </w:r>
      <w:r>
        <w:rPr>
          <w:rFonts w:ascii="仿宋_GB2312" w:eastAsia="仿宋_GB2312" w:cs="仿宋_GB2312" w:hint="eastAsia"/>
          <w:color w:val="auto"/>
          <w:spacing w:val="34"/>
          <w:sz w:val="32"/>
          <w:szCs w:val="32"/>
          <w:lang w:val="zh-CN" w:eastAsia="zh-CN"/>
        </w:rPr>
        <w:t>、行政工勤</w:t>
      </w:r>
      <w:r>
        <w:rPr>
          <w:rFonts w:ascii="仿宋_GB2312" w:eastAsia="仿宋_GB2312" w:cs="仿宋_GB2312" w:hint="eastAsia"/>
          <w:color w:val="auto"/>
          <w:spacing w:val="34"/>
          <w:sz w:val="32"/>
          <w:szCs w:val="32"/>
          <w:lang w:val="en-US" w:eastAsia="zh-CN"/>
        </w:rPr>
        <w:t>2</w:t>
      </w:r>
      <w:r>
        <w:rPr>
          <w:rFonts w:ascii="仿宋_GB2312" w:eastAsia="仿宋_GB2312" w:cs="仿宋_GB2312" w:hint="eastAsia"/>
          <w:color w:val="auto"/>
          <w:spacing w:val="34"/>
          <w:sz w:val="32"/>
          <w:szCs w:val="32"/>
          <w:lang w:val="zh-CN" w:eastAsia="zh-CN"/>
        </w:rPr>
        <w:t>个，</w:t>
      </w:r>
      <w:r>
        <w:rPr>
          <w:rFonts w:ascii="仿宋_GB2312" w:eastAsia="仿宋_GB2312" w:cs="仿宋_GB2312" w:hint="eastAsia"/>
          <w:sz w:val="32"/>
          <w:szCs w:val="32"/>
        </w:rPr>
        <w:t>事业</w:t>
      </w:r>
      <w:r>
        <w:rPr>
          <w:rFonts w:ascii="仿宋_GB2312" w:eastAsia="仿宋_GB2312" w:cs="仿宋_GB2312" w:hint="eastAsia"/>
          <w:sz w:val="32"/>
          <w:szCs w:val="32"/>
          <w:lang w:val="en-US" w:eastAsia="zh-CN"/>
        </w:rPr>
        <w:t>13</w:t>
      </w:r>
      <w:r>
        <w:rPr>
          <w:rFonts w:ascii="仿宋_GB2312" w:eastAsia="仿宋_GB2312" w:cs="仿宋_GB2312" w:hint="eastAsia"/>
          <w:sz w:val="32"/>
          <w:szCs w:val="32"/>
        </w:rPr>
        <w:t>名</w:t>
      </w:r>
      <w:r>
        <w:rPr>
          <w:rFonts w:ascii="仿宋_GB2312" w:eastAsia="仿宋_GB2312" w:cs="仿宋_GB2312" w:hint="eastAsia"/>
          <w:color w:val="auto"/>
          <w:spacing w:val="34"/>
          <w:sz w:val="32"/>
          <w:szCs w:val="32"/>
          <w:lang w:val="zh-CN" w:eastAsia="zh-CN"/>
        </w:rPr>
        <w:t>），退休</w:t>
      </w:r>
      <w:r>
        <w:rPr>
          <w:rFonts w:ascii="仿宋_GB2312" w:eastAsia="仿宋_GB2312" w:cs="仿宋_GB2312" w:hint="eastAsia"/>
          <w:color w:val="auto"/>
          <w:spacing w:val="34"/>
          <w:sz w:val="32"/>
          <w:szCs w:val="32"/>
          <w:lang w:val="en-US" w:eastAsia="zh-CN"/>
        </w:rPr>
        <w:t>4</w:t>
      </w:r>
      <w:r>
        <w:rPr>
          <w:rFonts w:ascii="仿宋_GB2312" w:eastAsia="仿宋_GB2312" w:cs="仿宋_GB2312" w:hint="eastAsia"/>
          <w:color w:val="auto"/>
          <w:spacing w:val="34"/>
          <w:sz w:val="32"/>
          <w:szCs w:val="32"/>
          <w:lang w:val="zh-CN" w:eastAsia="zh-CN"/>
        </w:rPr>
        <w:t>人，（退休人员工资转由社保部门发放）。</w:t>
      </w:r>
    </w:p>
    <w:p>
      <w:pPr>
        <w:keepNext w:val="0"/>
        <w:keepLines w:val="0"/>
        <w:pageBreakBefore w:val="0"/>
        <w:widowControl w:val="0"/>
        <w:numPr>
          <w:ilvl w:val="0"/>
          <w:numId w:val="7"/>
        </w:numPr>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hint="eastAsia"/>
          <w:color w:val="auto"/>
          <w:kern w:val="2"/>
          <w:sz w:val="32"/>
          <w:szCs w:val="32"/>
          <w:u w:val="none"/>
          <w:vertAlign w:val="baseline"/>
          <w:lang w:val="en-US" w:eastAsia="zh-CN" w:bidi="ar-SA"/>
        </w:rPr>
      </w:pPr>
      <w:bookmarkStart w:id="77" w:name="_Toc7469"/>
      <w:r>
        <w:rPr>
          <w:rFonts w:ascii="Mongolian Baiti" w:eastAsia="黑体" w:cs="Mongolian Baiti" w:hAnsi="Mongolian Baiti" w:hint="eastAsia"/>
          <w:color w:val="auto"/>
          <w:kern w:val="2"/>
          <w:sz w:val="32"/>
          <w:szCs w:val="32"/>
          <w:u w:val="none"/>
          <w:vertAlign w:val="baseline"/>
          <w:lang w:val="en-US" w:eastAsia="zh-CN" w:bidi="ar-SA"/>
        </w:rPr>
        <w:t>部门财政资金收支情况</w:t>
      </w:r>
      <w:bookmarkEnd w:id="77"/>
    </w:p>
    <w:p>
      <w:pPr>
        <w:keepNext w:val="0"/>
        <w:keepLines w:val="0"/>
        <w:pageBreakBefore w:val="0"/>
        <w:widowControl/>
        <w:numPr>
          <w:ilvl w:val="0"/>
          <w:numId w:val="8"/>
        </w:numPr>
        <w:kinsoku/>
        <w:wordWrap w:val="0"/>
        <w:overflowPunct/>
        <w:topLinePunct/>
        <w:autoSpaceDE/>
        <w:autoSpaceDN/>
        <w:bidi w:val="0"/>
        <w:adjustRightInd w:val="0"/>
        <w:snapToGrid w:val="0"/>
        <w:spacing w:line="560" w:lineRule="exact"/>
        <w:ind w:left="0" w:firstLineChars="200" w:firstLine="776"/>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部分财政资金收入情况</w:t>
      </w:r>
    </w:p>
    <w:p>
      <w:pPr>
        <w:spacing w:line="600" w:lineRule="exact"/>
        <w:ind w:firstLineChars="200" w:firstLine="632"/>
        <w:outlineLvl w:val="1"/>
        <w:rPr>
          <w:rFonts w:hint="eastAsia"/>
          <w:lang w:val="en-US" w:eastAsia="zh-CN"/>
        </w:rPr>
      </w:pPr>
      <w:bookmarkStart w:id="78" w:name="_Toc1663"/>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rPr>
        <w:t>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1127.72</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110.19</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9.77</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工资福利标准调整</w:t>
      </w:r>
      <w:r>
        <w:rPr>
          <w:rFonts w:ascii="仿宋_GB2312" w:eastAsia="仿宋_GB2312" w:hint="eastAsia"/>
          <w:color w:val="000000"/>
          <w:spacing w:val="-2"/>
          <w:sz w:val="32"/>
          <w:szCs w:val="32"/>
        </w:rPr>
        <w:t>。</w:t>
      </w:r>
      <w:r>
        <w:rPr>
          <w:rFonts w:ascii="仿宋" w:eastAsia="仿宋" w:hint="eastAsia"/>
          <w:color w:val="000000"/>
          <w:sz w:val="32"/>
          <w:szCs w:val="32"/>
        </w:rPr>
        <w:t>其中：一般公共预算财政拨款收入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1127.72</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78"/>
    </w:p>
    <w:p>
      <w:pPr>
        <w:keepNext w:val="0"/>
        <w:keepLines w:val="0"/>
        <w:pageBreakBefore w:val="0"/>
        <w:widowControl/>
        <w:numPr>
          <w:ilvl w:val="0"/>
          <w:numId w:val="8"/>
        </w:numPr>
        <w:kinsoku/>
        <w:wordWrap w:val="0"/>
        <w:overflowPunct/>
        <w:topLinePunct/>
        <w:autoSpaceDE/>
        <w:autoSpaceDN/>
        <w:bidi w:val="0"/>
        <w:adjustRightInd w:val="0"/>
        <w:snapToGrid w:val="0"/>
        <w:spacing w:line="560" w:lineRule="exact"/>
        <w:ind w:left="0" w:firstLineChars="200" w:firstLine="776"/>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部门财政资金支出情况</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2022年</w:t>
      </w:r>
      <w:r>
        <w:rPr>
          <w:rFonts w:ascii="仿宋" w:eastAsia="仿宋" w:hint="eastAsia"/>
          <w:color w:val="000000"/>
          <w:sz w:val="32"/>
          <w:szCs w:val="32"/>
        </w:rPr>
        <w:t>一般公共预算财政拨款支出</w:t>
      </w:r>
      <w:r>
        <w:rPr>
          <w:rFonts w:ascii="仿宋" w:eastAsia="仿宋" w:hint="eastAsia"/>
          <w:bCs/>
          <w:color w:val="000000"/>
          <w:sz w:val="32"/>
          <w:szCs w:val="32"/>
          <w:lang w:val="en-US" w:eastAsia="zh-CN"/>
        </w:rPr>
        <w:t>1127.72</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增加</w:t>
      </w:r>
      <w:r>
        <w:rPr>
          <w:rFonts w:ascii="仿宋_GB2312" w:eastAsia="仿宋_GB2312" w:hint="eastAsia"/>
          <w:color w:val="000000"/>
          <w:spacing w:val="-2"/>
          <w:sz w:val="32"/>
          <w:szCs w:val="32"/>
          <w:lang w:val="en-US" w:eastAsia="zh-CN"/>
        </w:rPr>
        <w:t>110.19</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9.77</w:t>
      </w:r>
      <w:r>
        <w:rPr>
          <w:rFonts w:ascii="仿宋_GB2312" w:eastAsia="仿宋_GB2312" w:hint="eastAsia"/>
          <w:color w:val="000000"/>
          <w:spacing w:val="-2"/>
          <w:sz w:val="32"/>
          <w:szCs w:val="32"/>
        </w:rPr>
        <w:t>%</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hint="eastAsia"/>
          <w:spacing w:val="-2"/>
          <w:sz w:val="32"/>
          <w:szCs w:val="32"/>
          <w:lang w:eastAsia="zh-CN"/>
        </w:rPr>
        <w:t>2022年</w:t>
      </w:r>
      <w:r>
        <w:rPr>
          <w:rFonts w:ascii="仿宋_GB2312" w:eastAsia="仿宋_GB2312" w:hint="eastAsia"/>
          <w:spacing w:val="-2"/>
          <w:sz w:val="32"/>
          <w:szCs w:val="32"/>
        </w:rPr>
        <w:t>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745.34</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704.92</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130.73</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171.4</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122.58</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37.22</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52.88</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27.32</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1.45</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51.37</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27.74</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6.55</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1.79</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72.89</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40.42</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8.34</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4.2</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3.46</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8.02</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4.5</w:t>
      </w:r>
      <w:r>
        <w:rPr>
          <w:rFonts w:ascii="仿宋_GB2312" w:eastAsia="仿宋_GB2312" w:hint="eastAsia"/>
          <w:color w:val="000000"/>
          <w:sz w:val="32"/>
          <w:szCs w:val="32"/>
        </w:rPr>
        <w:t>万元、其他交通0.</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 xml:space="preserve"> 项目支出为382.28万元，主要包括：疫情防控经费5万元、金川县卡撒乡三埂子高家沟口通组桥建设项目36.07万元、金川县卡撒乡三埂子至新桥河堤建设项目62.26万元、金川县卡撒乡马厂村学校后面至晒场坝道路维修项目39.76万元、村级运维费、村干部生活补助、保险219.89万元、2020年、2021年应急抢险15万元、三老干部生活补助4.32万元,人大会议费0.09万元。</w:t>
      </w:r>
    </w:p>
    <w:p>
      <w:pPr>
        <w:keepNext w:val="0"/>
        <w:keepLines w:val="0"/>
        <w:pageBreakBefore w:val="0"/>
        <w:widowControl w:val="0"/>
        <w:numPr>
          <w:ilvl w:val="0"/>
          <w:numId w:val="7"/>
        </w:numPr>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color w:val="auto"/>
          <w:kern w:val="2"/>
          <w:sz w:val="32"/>
          <w:szCs w:val="32"/>
          <w:u w:val="none"/>
          <w:vertAlign w:val="baseline"/>
          <w:lang w:val="en-US" w:eastAsia="zh-CN" w:bidi="ar-SA"/>
        </w:rPr>
      </w:pPr>
      <w:bookmarkStart w:id="79" w:name="_Toc12345"/>
      <w:r>
        <w:rPr>
          <w:rFonts w:ascii="Mongolian Baiti" w:eastAsia="黑体" w:cs="Mongolian Baiti" w:hAnsi="Mongolian Baiti" w:hint="eastAsia"/>
          <w:color w:val="auto"/>
          <w:kern w:val="2"/>
          <w:sz w:val="32"/>
          <w:szCs w:val="32"/>
          <w:u w:val="none"/>
          <w:vertAlign w:val="baseline"/>
          <w:lang w:val="en-US" w:eastAsia="zh-CN" w:bidi="ar-SA"/>
        </w:rPr>
        <w:t>部门整体预算绩效管理情况</w:t>
      </w:r>
      <w:bookmarkEnd w:id="79"/>
    </w:p>
    <w:p>
      <w:pPr>
        <w:keepNext w:val="0"/>
        <w:keepLines w:val="0"/>
        <w:pageBreakBefore w:val="0"/>
        <w:widowControl/>
        <w:numPr>
          <w:ilvl w:val="0"/>
          <w:numId w:val="9"/>
        </w:numPr>
        <w:kinsoku/>
        <w:wordWrap w:val="0"/>
        <w:overflowPunct/>
        <w:topLinePunct/>
        <w:autoSpaceDE/>
        <w:autoSpaceDN/>
        <w:bidi w:val="0"/>
        <w:adjustRightInd w:val="0"/>
        <w:snapToGrid w:val="0"/>
        <w:spacing w:line="560" w:lineRule="exact"/>
        <w:ind w:leftChars="200" w:left="42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部门预算管理</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hint="eastAsia"/>
          <w:lang w:val="en-US" w:eastAsia="zh-CN"/>
        </w:rPr>
      </w:pPr>
      <w:r>
        <w:rPr>
          <w:rFonts w:ascii="仿宋" w:eastAsia="仿宋" w:hint="eastAsia"/>
          <w:color w:val="000000"/>
          <w:sz w:val="32"/>
          <w:szCs w:val="32"/>
        </w:rPr>
        <w:t>严格按照县级部门预算编制通知和有关要求，按时完成基础库、项目库报送工作，按时完成202</w:t>
      </w:r>
      <w:r>
        <w:rPr>
          <w:rFonts w:ascii="仿宋" w:eastAsia="仿宋" w:hint="eastAsia"/>
          <w:color w:val="000000"/>
          <w:sz w:val="32"/>
          <w:szCs w:val="32"/>
          <w:lang w:val="en-US" w:eastAsia="zh-CN"/>
        </w:rPr>
        <w:t>2</w:t>
      </w:r>
      <w:r>
        <w:rPr>
          <w:rFonts w:ascii="仿宋" w:eastAsia="仿宋" w:hint="eastAsia"/>
          <w:color w:val="000000"/>
          <w:sz w:val="32"/>
          <w:szCs w:val="32"/>
        </w:rPr>
        <w:t>年预算编制工作，并按时提交部门预算草案。预算编制全面、科学。202</w:t>
      </w:r>
      <w:r>
        <w:rPr>
          <w:rFonts w:ascii="仿宋" w:eastAsia="仿宋" w:hint="eastAsia"/>
          <w:color w:val="000000"/>
          <w:sz w:val="32"/>
          <w:szCs w:val="32"/>
          <w:lang w:val="en-US" w:eastAsia="zh-CN"/>
        </w:rPr>
        <w:t>2</w:t>
      </w:r>
      <w:r>
        <w:rPr>
          <w:rFonts w:ascii="仿宋" w:eastAsia="仿宋" w:hint="eastAsia"/>
          <w:color w:val="000000"/>
          <w:sz w:val="32"/>
          <w:szCs w:val="32"/>
        </w:rPr>
        <w:t>年实际支出和部门决算一致，绩效目标填报及年末结余结转都是严格按照县财政局的要求认真完成，不存在违规违纪使用资金的情况并按时完成202</w:t>
      </w:r>
      <w:r>
        <w:rPr>
          <w:rFonts w:ascii="仿宋" w:eastAsia="仿宋" w:hint="eastAsia"/>
          <w:color w:val="000000"/>
          <w:sz w:val="32"/>
          <w:szCs w:val="32"/>
          <w:lang w:val="en-US" w:eastAsia="zh-CN"/>
        </w:rPr>
        <w:t>3</w:t>
      </w:r>
      <w:r>
        <w:rPr>
          <w:rFonts w:ascii="仿宋" w:eastAsia="仿宋" w:hint="eastAsia"/>
          <w:color w:val="000000"/>
          <w:sz w:val="32"/>
          <w:szCs w:val="32"/>
        </w:rPr>
        <w:t>年预算编制工作，及时提交了部门预算草案。</w:t>
      </w:r>
    </w:p>
    <w:p>
      <w:pPr>
        <w:keepNext w:val="0"/>
        <w:keepLines w:val="0"/>
        <w:pageBreakBefore w:val="0"/>
        <w:widowControl/>
        <w:numPr>
          <w:ilvl w:val="0"/>
          <w:numId w:val="9"/>
        </w:numPr>
        <w:kinsoku/>
        <w:wordWrap w:val="0"/>
        <w:overflowPunct/>
        <w:topLinePunct/>
        <w:autoSpaceDE/>
        <w:autoSpaceDN/>
        <w:bidi w:val="0"/>
        <w:adjustRightInd w:val="0"/>
        <w:snapToGrid w:val="0"/>
        <w:spacing w:line="560" w:lineRule="exact"/>
        <w:ind w:leftChars="200" w:left="420" w:firstLine="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结果应用情况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9</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年“三公”经费预算</w:t>
      </w:r>
      <w:r>
        <w:rPr>
          <w:rFonts w:ascii="仿宋" w:eastAsia="仿宋" w:hint="eastAsia"/>
          <w:color w:val="000000"/>
          <w:sz w:val="32"/>
          <w:szCs w:val="32"/>
          <w:lang w:val="en-US" w:eastAsia="zh-CN"/>
        </w:rPr>
        <w:t>9</w:t>
      </w:r>
      <w:r>
        <w:rPr>
          <w:rFonts w:ascii="仿宋" w:eastAsia="仿宋" w:hint="eastAsia"/>
          <w:color w:val="000000"/>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widowControl w:val="0"/>
        <w:tabs>
          <w:tab w:val="left" w:pos="0"/>
        </w:tabs>
        <w:bidi w:val="0"/>
        <w:spacing w:line="600" w:lineRule="exact"/>
        <w:ind w:left="630"/>
        <w:textAlignment w:val="auto"/>
        <w:outlineLvl w:val="2"/>
        <w:rPr>
          <w:rFonts w:ascii="楷体_GB2312" w:eastAsia="楷体_GB2312" w:cs="楷体_GB2312" w:hint="eastAsia"/>
          <w:b/>
          <w:bCs/>
          <w:color w:val="000000"/>
          <w:spacing w:val="34"/>
          <w:sz w:val="32"/>
          <w:szCs w:val="48"/>
          <w:lang w:val="zh-CN"/>
        </w:rPr>
      </w:pPr>
      <w:bookmarkStart w:id="80" w:name="_Toc30116"/>
      <w:r>
        <w:rPr>
          <w:rFonts w:ascii="楷体_GB2312" w:eastAsia="楷体_GB2312" w:cs="楷体_GB2312" w:hint="eastAsia"/>
          <w:b/>
          <w:bCs/>
          <w:color w:val="000000"/>
          <w:spacing w:val="34"/>
          <w:sz w:val="32"/>
          <w:szCs w:val="48"/>
          <w:lang w:val="en-US" w:eastAsia="zh-CN"/>
        </w:rPr>
        <w:t>1、</w:t>
      </w:r>
      <w:r>
        <w:rPr>
          <w:rFonts w:ascii="楷体_GB2312" w:eastAsia="楷体_GB2312" w:cs="楷体_GB2312" w:hint="eastAsia"/>
          <w:b/>
          <w:bCs/>
          <w:color w:val="000000"/>
          <w:spacing w:val="34"/>
          <w:sz w:val="32"/>
          <w:szCs w:val="48"/>
          <w:lang w:val="zh-CN"/>
        </w:rPr>
        <w:t>整体绩效 </w:t>
      </w:r>
      <w:bookmarkEnd w:id="80"/>
    </w:p>
    <w:p>
      <w:pPr>
        <w:keepNext w:val="0"/>
        <w:keepLines w:val="0"/>
        <w:pageBreakBefore w:val="0"/>
        <w:widowControl w:val="0"/>
        <w:tabs>
          <w:tab w:val="left" w:pos="0"/>
        </w:tabs>
        <w:bidi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我乡对本部门实施了整体支出绩效评价 ，按照要求向金川县财政局按时报送自评报告，财政资金支出主要用于保障本部门机构正常运转、更好完成各项日常工作，社会群众对我乡的工作总体较满意。</w:t>
      </w:r>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楷体" w:eastAsia="楷体" w:cs="楷体" w:hint="eastAsia"/>
          <w:b/>
          <w:bCs/>
          <w:color w:val="000000"/>
          <w:spacing w:val="34"/>
          <w:sz w:val="32"/>
          <w:szCs w:val="48"/>
          <w:lang w:val="zh-CN"/>
        </w:rPr>
      </w:pPr>
      <w:r>
        <w:rPr>
          <w:rFonts w:ascii="楷体" w:eastAsia="楷体" w:cs="楷体" w:hint="eastAsia"/>
          <w:b/>
          <w:bCs/>
          <w:color w:val="000000"/>
          <w:spacing w:val="34"/>
          <w:sz w:val="32"/>
          <w:szCs w:val="48"/>
          <w:lang w:val="en-US" w:eastAsia="zh-CN"/>
        </w:rPr>
        <w:t>2.</w:t>
      </w:r>
      <w:r>
        <w:rPr>
          <w:rFonts w:ascii="楷体" w:eastAsia="楷体" w:cs="楷体" w:hint="eastAsia"/>
          <w:b/>
          <w:bCs/>
          <w:color w:val="000000"/>
          <w:spacing w:val="34"/>
          <w:sz w:val="32"/>
          <w:szCs w:val="48"/>
          <w:lang w:val="zh-CN"/>
        </w:rPr>
        <w:t>绩效管理工作开展情况 </w:t>
      </w:r>
    </w:p>
    <w:p>
      <w:pPr>
        <w:keepNext w:val="0"/>
        <w:keepLines w:val="0"/>
        <w:pageBreakBefore w:val="0"/>
        <w:widowControl/>
        <w:wordWrap w:val="0"/>
        <w:topLinePunct/>
        <w:bidi w:val="0"/>
        <w:adjustRightInd w:val="0"/>
        <w:snapToGrid w:val="0"/>
        <w:spacing w:line="600" w:lineRule="exact"/>
        <w:ind w:firstLineChars="200" w:firstLine="556"/>
        <w:jc w:val="left"/>
        <w:textAlignment w:val="auto"/>
        <w:rPr>
          <w:rFonts w:ascii="仿宋_GB2312" w:eastAsia="仿宋_GB2312" w:cs="仿宋_GB2312" w:hint="eastAsia"/>
          <w:spacing w:val="34"/>
          <w:sz w:val="32"/>
          <w:szCs w:val="32"/>
          <w:lang w:val="zh-CN"/>
        </w:rPr>
      </w:pPr>
      <w:r>
        <w:rPr>
          <w:rFonts w:ascii="仿宋_GB2312" w:cs="宋体" w:hAnsi="仿宋_GB2312" w:hint="eastAsia"/>
          <w:color w:val="000000"/>
          <w:spacing w:val="34"/>
          <w:szCs w:val="32"/>
          <w:lang w:val="zh-CN"/>
        </w:rPr>
        <w:t xml:space="preserve">  </w:t>
      </w:r>
      <w:r>
        <w:rPr>
          <w:rFonts w:ascii="仿宋" w:eastAsia="仿宋" w:hint="eastAsia"/>
          <w:color w:val="000000"/>
          <w:sz w:val="32"/>
          <w:szCs w:val="32"/>
        </w:rPr>
        <w:t xml:space="preserve"> 根据金财监绩〔202</w:t>
      </w:r>
      <w:r>
        <w:rPr>
          <w:rFonts w:ascii="仿宋" w:eastAsia="仿宋" w:hint="eastAsia"/>
          <w:color w:val="000000"/>
          <w:sz w:val="32"/>
          <w:szCs w:val="32"/>
          <w:lang w:val="en-US" w:eastAsia="zh-CN"/>
        </w:rPr>
        <w:t>3</w:t>
      </w:r>
      <w:r>
        <w:rPr>
          <w:rFonts w:ascii="仿宋" w:eastAsia="仿宋" w:hint="eastAsia"/>
          <w:color w:val="000000"/>
          <w:sz w:val="32"/>
          <w:szCs w:val="32"/>
        </w:rPr>
        <w:t>〕</w:t>
      </w:r>
      <w:r>
        <w:rPr>
          <w:rFonts w:ascii="仿宋" w:eastAsia="仿宋" w:hint="eastAsia"/>
          <w:color w:val="000000"/>
          <w:sz w:val="32"/>
          <w:szCs w:val="32"/>
          <w:lang w:val="en-US" w:eastAsia="zh-CN"/>
        </w:rPr>
        <w:t>3</w:t>
      </w:r>
      <w:r>
        <w:rPr>
          <w:rFonts w:ascii="仿宋" w:eastAsia="仿宋" w:hint="eastAsia"/>
          <w:color w:val="000000"/>
          <w:sz w:val="32"/>
          <w:szCs w:val="32"/>
        </w:rPr>
        <w:t>2号文件要求，我乡对财政资金使用管理情况，按照《关于开展2022年部门整体和项目支出绩效评价工作的通知》认真开展自评工作，撰写部门自评报告。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楷体" w:eastAsia="楷体" w:cs="楷体" w:hint="eastAsia"/>
          <w:b/>
          <w:bCs/>
          <w:color w:val="000000"/>
          <w:spacing w:val="34"/>
          <w:sz w:val="32"/>
          <w:szCs w:val="48"/>
          <w:lang w:val="zh-CN" w:eastAsia="zh-CN"/>
        </w:rPr>
      </w:pPr>
      <w:r>
        <w:rPr>
          <w:rFonts w:ascii="楷体" w:eastAsia="楷体" w:cs="楷体" w:hint="eastAsia"/>
          <w:b/>
          <w:bCs/>
          <w:color w:val="000000"/>
          <w:spacing w:val="34"/>
          <w:sz w:val="32"/>
          <w:szCs w:val="48"/>
          <w:lang w:val="en-US" w:eastAsia="zh-CN"/>
        </w:rPr>
        <w:t>3.</w:t>
      </w:r>
      <w:r>
        <w:rPr>
          <w:rFonts w:ascii="楷体" w:eastAsia="楷体" w:cs="楷体" w:hint="eastAsia"/>
          <w:b/>
          <w:bCs/>
          <w:color w:val="000000"/>
          <w:spacing w:val="34"/>
          <w:sz w:val="32"/>
          <w:szCs w:val="48"/>
          <w:lang w:val="zh-CN" w:eastAsia="zh-CN"/>
        </w:rPr>
        <w:t>信息公开情况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lang w:val="en-US" w:eastAsia="zh-CN"/>
        </w:rPr>
      </w:pPr>
      <w:r>
        <w:rPr>
          <w:rFonts w:ascii="仿宋" w:eastAsia="仿宋" w:hint="eastAsia"/>
          <w:color w:val="000000"/>
          <w:sz w:val="32"/>
          <w:szCs w:val="32"/>
        </w:rPr>
        <w:t>我乡202</w:t>
      </w:r>
      <w:r>
        <w:rPr>
          <w:rFonts w:ascii="仿宋" w:eastAsia="仿宋" w:hint="eastAsia"/>
          <w:color w:val="000000"/>
          <w:sz w:val="32"/>
          <w:szCs w:val="32"/>
          <w:lang w:val="en-US" w:eastAsia="zh-CN"/>
        </w:rPr>
        <w:t>2</w:t>
      </w:r>
      <w:r>
        <w:rPr>
          <w:rFonts w:ascii="仿宋" w:eastAsia="仿宋" w:hint="eastAsia"/>
          <w:color w:val="000000"/>
          <w:sz w:val="32"/>
          <w:szCs w:val="32"/>
        </w:rPr>
        <w:t>年的预、决算编制说明、“三公”经费预、决算情况；按县财政要求由县财政统一公开，202</w:t>
      </w:r>
      <w:r>
        <w:rPr>
          <w:rFonts w:ascii="仿宋" w:eastAsia="仿宋" w:hint="eastAsia"/>
          <w:color w:val="000000"/>
          <w:sz w:val="32"/>
          <w:szCs w:val="32"/>
          <w:lang w:val="en-US" w:eastAsia="zh-CN"/>
        </w:rPr>
        <w:t>3</w:t>
      </w:r>
      <w:r>
        <w:rPr>
          <w:rFonts w:ascii="仿宋" w:eastAsia="仿宋" w:hint="eastAsia"/>
          <w:color w:val="000000"/>
          <w:sz w:val="32"/>
          <w:szCs w:val="32"/>
        </w:rPr>
        <w:t>年的预算编制说明、“三公”经费预算情况在政府网站上已公开。</w:t>
      </w:r>
    </w:p>
    <w:p>
      <w:pPr>
        <w:keepNext w:val="0"/>
        <w:keepLines w:val="0"/>
        <w:pageBreakBefore w:val="0"/>
        <w:widowControl w:val="0"/>
        <w:numPr>
          <w:ilvl w:val="0"/>
          <w:numId w:val="7"/>
        </w:numPr>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hint="eastAsia"/>
          <w:color w:val="auto"/>
          <w:kern w:val="2"/>
          <w:sz w:val="32"/>
          <w:szCs w:val="32"/>
          <w:u w:val="none"/>
          <w:vertAlign w:val="baseline"/>
          <w:lang w:val="en-US" w:eastAsia="zh-CN" w:bidi="ar-SA"/>
        </w:rPr>
      </w:pPr>
      <w:bookmarkStart w:id="81" w:name="_Toc28966"/>
      <w:r>
        <w:rPr>
          <w:rFonts w:ascii="Mongolian Baiti" w:eastAsia="黑体" w:cs="Mongolian Baiti" w:hAnsi="Mongolian Baiti" w:hint="eastAsia"/>
          <w:color w:val="auto"/>
          <w:kern w:val="2"/>
          <w:sz w:val="32"/>
          <w:szCs w:val="32"/>
          <w:u w:val="none"/>
          <w:vertAlign w:val="baseline"/>
          <w:lang w:val="en-US" w:eastAsia="zh-CN" w:bidi="ar-SA"/>
        </w:rPr>
        <w:t>评价结论及建议</w:t>
      </w:r>
      <w:bookmarkEnd w:id="81"/>
    </w:p>
    <w:p>
      <w:pPr>
        <w:keepNext w:val="0"/>
        <w:keepLines w:val="0"/>
        <w:pageBreakBefore w:val="0"/>
        <w:widowControl/>
        <w:numPr>
          <w:ilvl w:val="0"/>
          <w:numId w:val="10"/>
        </w:numPr>
        <w:kinsoku/>
        <w:wordWrap w:val="0"/>
        <w:overflowPunct/>
        <w:topLinePunct/>
        <w:autoSpaceDE/>
        <w:autoSpaceDN/>
        <w:bidi w:val="0"/>
        <w:adjustRightInd w:val="0"/>
        <w:snapToGrid w:val="0"/>
        <w:spacing w:line="560" w:lineRule="exact"/>
        <w:ind w:leftChars="200" w:left="42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评价结论</w:t>
      </w:r>
    </w:p>
    <w:p>
      <w:pPr>
        <w:keepNext w:val="0"/>
        <w:keepLines w:val="0"/>
        <w:pageBreakBefore w:val="0"/>
        <w:widowControl w:val="0"/>
        <w:bidi w:val="0"/>
        <w:snapToGrid w:val="0"/>
        <w:spacing w:line="60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根据部门支出绩效评价指标体系进行单位自评，圆满完成绩效自评工作，圆满完成中央、省、州委和县的重要工作、目标任务。</w:t>
      </w:r>
    </w:p>
    <w:p>
      <w:pPr>
        <w:keepNext w:val="0"/>
        <w:keepLines w:val="0"/>
        <w:pageBreakBefore w:val="0"/>
        <w:widowControl w:val="0"/>
        <w:bidi w:val="0"/>
        <w:spacing w:line="600" w:lineRule="exact"/>
        <w:ind w:firstLineChars="200" w:firstLine="640"/>
        <w:textAlignment w:val="auto"/>
        <w:rPr>
          <w:rFonts w:hint="eastAsia"/>
          <w:lang w:val="en-US" w:eastAsia="zh-CN"/>
        </w:rPr>
      </w:pPr>
      <w:r>
        <w:rPr>
          <w:rFonts w:ascii="仿宋" w:eastAsia="仿宋" w:hint="eastAsia"/>
          <w:color w:val="000000"/>
          <w:sz w:val="32"/>
          <w:szCs w:val="32"/>
        </w:rPr>
        <w:t>我乡本次自评总分8</w:t>
      </w:r>
      <w:r>
        <w:rPr>
          <w:rFonts w:ascii="仿宋" w:eastAsia="仿宋" w:hint="eastAsia"/>
          <w:color w:val="000000"/>
          <w:sz w:val="32"/>
          <w:szCs w:val="32"/>
          <w:lang w:val="en-US" w:eastAsia="zh-CN"/>
        </w:rPr>
        <w:t>7</w:t>
      </w:r>
      <w:r>
        <w:rPr>
          <w:rFonts w:ascii="仿宋" w:eastAsia="仿宋" w:hint="eastAsia"/>
          <w:color w:val="000000"/>
          <w:sz w:val="32"/>
          <w:szCs w:val="32"/>
        </w:rPr>
        <w:t>。</w:t>
      </w:r>
    </w:p>
    <w:p>
      <w:pPr>
        <w:keepNext w:val="0"/>
        <w:keepLines w:val="0"/>
        <w:pageBreakBefore w:val="0"/>
        <w:widowControl/>
        <w:numPr>
          <w:ilvl w:val="0"/>
          <w:numId w:val="10"/>
        </w:numPr>
        <w:kinsoku/>
        <w:wordWrap w:val="0"/>
        <w:overflowPunct/>
        <w:topLinePunct/>
        <w:autoSpaceDE/>
        <w:autoSpaceDN/>
        <w:bidi w:val="0"/>
        <w:adjustRightInd w:val="0"/>
        <w:snapToGrid w:val="0"/>
        <w:spacing w:line="560" w:lineRule="exact"/>
        <w:ind w:leftChars="200" w:left="420" w:firstLine="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存在问题</w:t>
      </w:r>
    </w:p>
    <w:p>
      <w:pPr>
        <w:keepNext w:val="0"/>
        <w:keepLines w:val="0"/>
        <w:pageBreakBefore w:val="0"/>
        <w:widowControl w:val="0"/>
        <w:bidi w:val="0"/>
        <w:snapToGrid w:val="0"/>
        <w:spacing w:line="600" w:lineRule="exact"/>
        <w:ind w:firstLineChars="200" w:firstLine="640"/>
        <w:textAlignment w:val="auto"/>
        <w:rPr>
          <w:rFonts w:hint="eastAsia"/>
          <w:lang w:val="en-US" w:eastAsia="zh-CN"/>
        </w:rPr>
      </w:pPr>
      <w:r>
        <w:rPr>
          <w:rFonts w:ascii="仿宋" w:eastAsia="仿宋"/>
          <w:color w:val="000000"/>
          <w:sz w:val="32"/>
          <w:szCs w:val="32"/>
          <w:lang w:val="en-US" w:eastAsia="zh-CN"/>
        </w:rPr>
        <w:t>资金支付“无纸化”后虽加快了预算执行，但是部分操作流程繁琐，系统不稳定，致使工作效率变低。</w:t>
      </w:r>
      <w:r>
        <w:rPr>
          <w:rFonts w:ascii="仿宋" w:eastAsia="仿宋" w:hint="eastAsia"/>
          <w:color w:val="000000"/>
          <w:sz w:val="32"/>
          <w:szCs w:val="32"/>
          <w:lang w:val="en-US" w:eastAsia="zh-CN"/>
        </w:rPr>
        <w:t>预算执行稍有滞后，主要原因是我乡大部分资金为村级运维费及村干部生活补助该资金大多为年底支付。</w:t>
      </w:r>
    </w:p>
    <w:p>
      <w:pPr>
        <w:keepNext w:val="0"/>
        <w:keepLines w:val="0"/>
        <w:pageBreakBefore w:val="0"/>
        <w:widowControl/>
        <w:kinsoku/>
        <w:wordWrap w:val="0"/>
        <w:overflowPunct/>
        <w:topLinePunct/>
        <w:autoSpaceDE/>
        <w:autoSpaceDN/>
        <w:bidi w:val="0"/>
        <w:adjustRightInd w:val="0"/>
        <w:snapToGrid w:val="0"/>
        <w:spacing w:line="560" w:lineRule="exact"/>
        <w:ind w:leftChars="200" w:left="42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（三）改进建议</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我乡202</w:t>
      </w:r>
      <w:r>
        <w:rPr>
          <w:rFonts w:ascii="仿宋" w:eastAsia="仿宋" w:hint="eastAsia"/>
          <w:color w:val="000000"/>
          <w:sz w:val="32"/>
          <w:szCs w:val="32"/>
          <w:lang w:val="en-US" w:eastAsia="zh-CN"/>
        </w:rPr>
        <w:t>2</w:t>
      </w:r>
      <w:r>
        <w:rPr>
          <w:rFonts w:ascii="仿宋" w:eastAsia="仿宋" w:hint="eastAsia"/>
          <w:color w:val="000000"/>
          <w:sz w:val="32"/>
          <w:szCs w:val="32"/>
        </w:rPr>
        <w:t>年部门支出与年初预算基本一致，达到预期绩效目标。但预算编制还需进一步细化，针对我会预算存在的问题，提出以下建议：</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keepNext w:val="0"/>
        <w:keepLines w:val="0"/>
        <w:pageBreakBefore w:val="0"/>
        <w:widowControl/>
        <w:wordWrap w:val="0"/>
        <w:bidi w:val="0"/>
        <w:snapToGrid w:val="0"/>
        <w:spacing w:line="600" w:lineRule="exact"/>
        <w:ind w:firstLineChars="100" w:firstLine="320"/>
        <w:jc w:val="left"/>
        <w:textAlignment w:val="auto"/>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Pr>
        <w:pStyle w:val="25"/>
        <w:keepNext w:val="0"/>
        <w:keepLines w:val="0"/>
        <w:pageBreakBefore w:val="0"/>
        <w:widowControl w:val="0"/>
        <w:bidi w:val="0"/>
        <w:spacing w:line="600" w:lineRule="exact"/>
        <w:ind w:leftChars="47" w:left="298" w:hangingChars="95" w:hanging="199"/>
        <w:jc w:val="right"/>
        <w:textAlignment w:val="auto"/>
        <w:rPr>
          <w:rFonts w:hint="eastAsia"/>
        </w:rPr>
      </w:pPr>
    </w:p>
    <w:p>
      <w:pPr>
        <w:pStyle w:val="25"/>
        <w:keepNext w:val="0"/>
        <w:keepLines w:val="0"/>
        <w:pageBreakBefore w:val="0"/>
        <w:widowControl w:val="0"/>
        <w:bidi w:val="0"/>
        <w:spacing w:line="600" w:lineRule="exact"/>
        <w:ind w:leftChars="47" w:left="298" w:hangingChars="95" w:hanging="199"/>
        <w:jc w:val="right"/>
        <w:textAlignment w:val="auto"/>
        <w:rPr>
          <w:rFonts w:hint="eastAsia"/>
        </w:rPr>
      </w:pPr>
    </w:p>
    <w:p>
      <w:pPr>
        <w:pageBreakBefore w:val="0"/>
        <w:widowControl w:val="0"/>
        <w:kinsoku/>
        <w:wordWrap/>
        <w:overflowPunct/>
        <w:topLinePunct w:val="0"/>
        <w:bidi w:val="0"/>
        <w:spacing w:line="576" w:lineRule="exact"/>
        <w:jc w:val="center"/>
        <w:outlineLvl w:val="0"/>
        <w:rPr>
          <w:rFonts w:ascii="Times New Roman" w:eastAsia="黑体" w:cs="Times New Roman" w:hAnsi="Times New Roman"/>
          <w:sz w:val="44"/>
          <w:szCs w:val="44"/>
        </w:rPr>
      </w:pPr>
      <w:bookmarkStart w:id="82" w:name="_Toc26843625"/>
    </w:p>
    <w:p>
      <w:pPr>
        <w:pStyle w:val="15"/>
        <w:rPr>
          <w:rFonts w:ascii="Times New Roman" w:eastAsia="黑体" w:cs="Times New Roman" w:hAnsi="Times New Roman"/>
          <w:sz w:val="44"/>
          <w:szCs w:val="44"/>
        </w:rPr>
      </w:pPr>
    </w:p>
    <w:p>
      <w:pPr>
        <w:pStyle w:val="15"/>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outlineLvl w:val="0"/>
        <w:rPr>
          <w:rFonts w:ascii="Times New Roman" w:eastAsia="黑体" w:cs="Times New Roman" w:hAnsi="Times New Roman"/>
          <w:sz w:val="44"/>
          <w:szCs w:val="44"/>
        </w:rPr>
      </w:pPr>
      <w:bookmarkStart w:id="83" w:name="_Toc26242"/>
    </w:p>
    <w:p>
      <w:pPr>
        <w:ind w:left="0" w:firstLine="0"/>
        <w:jc w:val="center"/>
        <w:rPr>
          <w:sz w:val="44"/>
          <w:szCs w:val="44"/>
        </w:rPr>
      </w:pPr>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End w:id="82"/>
      <w:bookmarkEnd w:id="83"/>
      <w:r>
        <w:rPr>
          <w:rFonts w:ascii="黑体" w:eastAsia="黑体" w:hint="eastAsia"/>
          <w:b w:val="0"/>
          <w:sz w:val="44"/>
          <w:szCs w:val="44"/>
        </w:rPr>
        <w:fldChar w:fldCharType="begin"/>
      </w:r>
      <w:r>
        <w:rPr>
          <w:rFonts w:ascii="黑体" w:eastAsia="黑体" w:hint="eastAsia"/>
          <w:b w:val="0"/>
          <w:sz w:val="44"/>
          <w:szCs w:val="44"/>
        </w:rPr>
        <w:instrText xml:space="preserve">TOC \o "1-2" \h \u </w:instrText>
      </w:r>
      <w:r>
        <w:rPr>
          <w:rFonts w:ascii="黑体" w:eastAsia="黑体" w:hint="eastAsia"/>
          <w:b w:val="0"/>
          <w:sz w:val="44"/>
          <w:szCs w:val="44"/>
        </w:rPr>
        <w:fldChar w:fldCharType="separate"/>
      </w:r>
    </w:p>
    <w:p>
      <w:pPr>
        <w:spacing w:line="600" w:lineRule="exact"/>
        <w:ind w:left="0"/>
        <w:rPr>
          <w:rFonts w:ascii="仿宋_GB2312" w:eastAsia="仿宋_GB2312" w:cs="仿宋_GB2312" w:hint="eastAsia"/>
          <w:b w:val="0"/>
          <w:color w:val="000000"/>
          <w:sz w:val="32"/>
          <w:szCs w:val="32"/>
          <w:lang w:val="en-US" w:eastAsia="zh-CN"/>
        </w:rPr>
      </w:pPr>
      <w:r>
        <w:rPr>
          <w:rFonts w:ascii="黑体" w:eastAsia="黑体" w:hint="eastAsia"/>
          <w:b/>
          <w:sz w:val="44"/>
          <w:szCs w:val="44"/>
        </w:rPr>
        <w:fldChar w:fldCharType="end"/>
      </w:r>
      <w:r>
        <w:rPr>
          <w:rFonts w:ascii="仿宋_GB2312" w:eastAsia="仿宋_GB2312" w:cs="仿宋_GB2312" w:hint="eastAsia"/>
          <w:b w:val="0"/>
          <w:color w:val="000000"/>
          <w:sz w:val="32"/>
          <w:szCs w:val="32"/>
          <w:lang w:val="en-US" w:eastAsia="zh-CN"/>
        </w:rPr>
        <w:t>（一）收入支出决算总表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（二）收入决算表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（三）支出决算表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（四）财政拨款收入支出决算总表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（五）财政拨款收入支出决算总表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（六）一般公共预算财政拨款支出决算表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（七）一般公共预算财政拨款支出决算表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（八）一般公共预算财政拨款基本支出决算明细表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（九）一般公共预算财政拨款项目支出决算表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（十）政府性基金预算财政拨款收入支出决算表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（十一）国有资本经营预算财政拨款收入支出决算表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（十二）国有资本经营预算财政拨款支出决算表</w:t>
      </w:r>
    </w:p>
    <w:p>
      <w:pPr>
        <w:ind w:left="0"/>
      </w:pPr>
      <w:r>
        <w:rPr>
          <w:rFonts w:ascii="仿宋_GB2312" w:eastAsia="仿宋_GB2312" w:cs="仿宋_GB2312" w:hint="eastAsia"/>
          <w:b w:val="0"/>
          <w:color w:val="000000"/>
          <w:sz w:val="32"/>
          <w:szCs w:val="32"/>
          <w:lang w:val="en-US" w:eastAsia="zh-CN"/>
        </w:rPr>
        <w:t>（十三）财政拨款“三公”经费支出决算表</w:t>
      </w:r>
    </w:p>
    <w:p>
      <w:pPr>
        <w:pageBreakBefore w:val="0"/>
        <w:widowControl w:val="0"/>
        <w:kinsoku/>
        <w:wordWrap/>
        <w:overflowPunct/>
        <w:topLinePunct w:val="0"/>
        <w:spacing w:line="576" w:lineRule="exact"/>
        <w:jc w:val="center"/>
        <w:outlineLvl w:val="0"/>
        <w:rPr>
          <w:rFonts w:ascii="仿宋" w:eastAsia="仿宋"/>
          <w:color w:val="000000"/>
        </w:rPr>
      </w:pPr>
    </w:p>
    <w:sectPr>
      <w:footerReference w:type="default" r:id="rId7"/>
      <w:footerReference w:type="first" r:id="rId8"/>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script"/>
    <w:pitch w:val="variable"/>
    <w:sig w:usb0="00000001" w:usb1="080E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Mongolian Baiti">
    <w:altName w:val="DejaVu Sans"/>
    <w:panose1 w:val="03000500000000000000"/>
    <w:charset w:val="00"/>
    <w:family w:val="auto"/>
    <w:pitch w:val="variable"/>
    <w:sig w:usb0="80000023" w:usb1="00000000" w:usb2="00020000" w:usb3="00000000" w:csb0="00000001" w:csb1="00000000"/>
  </w:font>
  <w:font w:name="Times New Roman">
    <w:altName w:val="DejaVu Sans"/>
    <w:panose1 w:val="02020603050405020304"/>
    <w:charset w:val="01"/>
    <w:family w:val="auto"/>
    <w:pitch w:val="variable"/>
    <w:sig w:usb0="E0002AFF" w:usb1="C0007841"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_GB2312">
    <w:altName w:val="DejaVu Sans"/>
    <w:panose1 w:val="00000000000000000000"/>
    <w:charset w:val="00"/>
    <w:family w:val="auto"/>
    <w:pitch w:val="variable"/>
    <w:sig w:usb0="00000000" w:usb1="00000000" w:usb2="00000000" w:usb3="00000000" w:csb0="00000001" w:csb1="00000000"/>
  </w:font>
  <w:font w:name="宋体">
    <w:altName w:val="方正书宋_GBK"/>
    <w:panose1 w:val="02010600030101010101"/>
    <w:charset w:val="7A"/>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778308376"/>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8"/>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126402466"/>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8"/>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6">
    <w:nsid w:val="02CAF503"/>
    <w:multiLevelType w:val="singleLevel"/>
    <w:tmpl w:val="02CAF503"/>
    <w:lvl w:ilvl="0">
      <w:start w:val="2"/>
      <w:numFmt w:val="chineseCounting"/>
      <w:lvlRestart w:val="0"/>
      <w:suff w:val="nothing"/>
      <w:lvlText w:val="%1、"/>
      <w:lvlJc w:val="left"/>
      <w:pPr>
        <w:tabs>
          <w:tab w:val="num" w:pos="0"/>
        </w:tabs>
        <w:ind w:left="0" w:hanging="0"/>
      </w:pPr>
      <w:rPr>
        <w:rFonts w:hint="eastAsia"/>
      </w:rPr>
    </w:lvl>
  </w:abstractNum>
  <w:abstractNum w:abstractNumId="7">
    <w:nsid w:val="8BD8C466"/>
    <w:multiLevelType w:val="singleLevel"/>
    <w:tmpl w:val="8BD8C466"/>
    <w:lvl w:ilvl="0">
      <w:start w:val="1"/>
      <w:numFmt w:val="chineseCounting"/>
      <w:lvlRestart w:val="0"/>
      <w:suff w:val="nothing"/>
      <w:lvlText w:val="（%1）"/>
      <w:lvlJc w:val="left"/>
      <w:pPr>
        <w:tabs>
          <w:tab w:val="num" w:pos="0"/>
        </w:tabs>
        <w:ind w:left="0" w:hanging="0"/>
      </w:pPr>
      <w:rPr>
        <w:rFonts w:hint="eastAsia"/>
      </w:rPr>
    </w:lvl>
  </w:abstractNum>
  <w:abstractNum w:abstractNumId="8">
    <w:nsid w:val="0EE52E05"/>
    <w:multiLevelType w:val="singleLevel"/>
    <w:tmpl w:val="0EE52E05"/>
    <w:lvl w:ilvl="0">
      <w:start w:val="1"/>
      <w:numFmt w:val="chineseCounting"/>
      <w:lvlRestart w:val="0"/>
      <w:suff w:val="nothing"/>
      <w:lvlText w:val="（%1）"/>
      <w:lvlJc w:val="left"/>
      <w:pPr>
        <w:tabs>
          <w:tab w:val="num" w:pos="0"/>
        </w:tabs>
        <w:ind w:left="0" w:hanging="0"/>
      </w:pPr>
      <w:rPr>
        <w:rFonts w:hint="eastAsia"/>
      </w:rPr>
    </w:lvl>
  </w:abstractNum>
  <w:abstractNum w:abstractNumId="9">
    <w:nsid w:val="70E74D74"/>
    <w:multiLevelType w:val="singleLevel"/>
    <w:tmpl w:val="70E74D74"/>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jdiMTc4NjNjM2Q3N2VjNDNkNGQyMGY3MDZhZWMyMG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next w:val="21"/>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 w:type="character" w:styleId="23">
    <w:name w:val="Strong"/>
    <w:basedOn w:val="10"/>
    <w:rPr>
      <w:b/>
    </w:rPr>
  </w:style>
  <w:style w:type="character" w:styleId="24">
    <w:name w:val="Hyperlink"/>
    <w:basedOn w:val="10"/>
    <w:rPr>
      <w:color w:val="0000FF"/>
      <w:u w:val="single"/>
    </w:rPr>
  </w:style>
  <w:style w:type="paragraph" w:customStyle="1" w:styleId="25">
    <w:name w:val="table of figures"/>
    <w:basedOn w:val="0"/>
    <w:next w:val="0"/>
    <w:pPr>
      <w:spacing w:before="100" w:beforeAutospacing="1" w:after="100" w:afterAutospacing="1"/>
      <w:ind w:leftChars="200" w:left="400" w:hangingChars="200" w:hanging="200"/>
    </w:pPr>
  </w:style>
  <w:style w:type="paragraph" w:customStyle="1" w:styleId="26">
    <w:name w:val="图表目录1"/>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普通(网站) Char"/>
    <w:basedOn w:val="0"/>
    <w:pPr>
      <w:spacing w:before="100" w:beforeAutospacing="1" w:after="100" w:afterAutospacing="1"/>
    </w:pPr>
  </w:style>
  <w:style w:type="character" w:customStyle="1" w:styleId="34">
    <w:name w:val="NormalCharacter"/>
    <w:rPr>
      <w:rFonts w:eastAsia="宋体"/>
      <w:kern w:val="2"/>
      <w:sz w:val="21"/>
      <w:szCs w:val="24"/>
      <w:lang w:val="en-US" w:eastAsia="zh-CN" w:bidi="ar-SA"/>
    </w:rPr>
  </w:style>
  <w:style w:type="paragraph" w:customStyle="1" w:styleId="35">
    <w:name w:val="table of figures1"/>
    <w:basedOn w:val="0"/>
    <w:next w:val="0"/>
    <w:pPr>
      <w:spacing w:before="100" w:beforeAutospacing="1" w:after="100" w:afterAutospacing="1"/>
      <w:ind w:leftChars="200" w:left="400" w:hangingChars="200" w:hanging="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chart" Target="charts/chart1.xml"/><Relationship Id="rId10" Type="http://schemas.openxmlformats.org/officeDocument/2006/relationships/chart" Target="charts/chart2.xml"/><Relationship Id="rId11" Type="http://schemas.openxmlformats.org/officeDocument/2006/relationships/chart" Target="charts/chart3.xml"/><Relationship Id="rId12" Type="http://schemas.openxmlformats.org/officeDocument/2006/relationships/chart" Target="charts/chart4.xml"/><Relationship Id="rId13" Type="http://schemas.openxmlformats.org/officeDocument/2006/relationships/chart" Target="charts/chart5.xml"/><Relationship Id="rId14" Type="http://schemas.openxmlformats.org/officeDocument/2006/relationships/styles" Target="styles.xml"/><Relationship Id="rId15" Type="http://schemas.openxmlformats.org/officeDocument/2006/relationships/numbering" Target="numbering.xml"/><Relationship Id="rId1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numCache>
            </c:numRef>
          </c:cat>
          <c:val>
            <c:numRef>
              <c:f>'Sheet1'!$B$2:$B$3</c:f>
              <c:numCache>
                <c:formatCode>General</c:formatCode>
                <c:ptCount val="2"/>
                <c:pt idx="0">
                  <c:v>1017.53</c:v>
                </c:pt>
                <c:pt idx="1">
                  <c:v>1127.72</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numCache>
            </c:numRef>
          </c:cat>
          <c:val>
            <c:numRef>
              <c:f>'Sheet1'!$C$2:$C$3</c:f>
              <c:numCache>
                <c:formatCode>General</c:formatCode>
                <c:ptCount val="2"/>
                <c:pt idx="0">
                  <c:v>1071.07</c:v>
                </c:pt>
                <c:pt idx="1">
                  <c:v>1127.72</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10</a:t>
                    </a:r>
                    <a:r>
                      <a:rPr lang="zh-CN" sz="1000" b="0" i="0" u="none" strike="noStrike" baseline="0">
                        <a:solidFill>
                          <a:srgbClr val="000000"/>
                        </a:solidFill>
                        <a:latin typeface="AR PL UKai CN"/>
                        <a:ea typeface="AR PL UKai CN"/>
                        <a:cs typeface="Lucida Sans"/>
                      </a:rPr>
                      <a:t>0</a:t>
                    </a:r>
                    <a:r>
                      <a:rPr lang="zh-CN" sz="1000" b="0" i="0" u="none" strike="noStrike" baseline="0">
                        <a:solidFill>
                          <a:srgbClr val="000000"/>
                        </a:solidFill>
                        <a:latin typeface="AR PL UKai CN"/>
                        <a:ea typeface="AR PL UKai CN"/>
                        <a:cs typeface="Lucida Sans"/>
                      </a:rPr>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1127.72</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15284116"/>
                  <c:y val="-0.03085217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392.24</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745.34</c:v>
                </c:pt>
                <c:pt idx="1">
                  <c:v>382.38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1017.53</c:v>
                </c:pt>
                <c:pt idx="1">
                  <c:v>1071.07</c:v>
                </c:pt>
              </c:numCache>
            </c:numRef>
          </c:val>
        </c:ser>
        <c:ser>
          <c:idx val="1"/>
          <c:order val="1"/>
          <c:tx>
            <c:strRef>
              <c:f>'Sheet1 (4)'!$A$3</c:f>
              <c:strCache>
                <c:ptCount val="1"/>
                <c:pt idx="0">
                  <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1127.72</c:v>
                </c:pt>
                <c:pt idx="1">
                  <c:v>1127.72</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Pt>
            <c:idx val="7"/>
            <c:bubble3D val="0"/>
            <c:spPr>
              <a:solidFill>
                <a:srgbClr val="772C2A"/>
              </a:solidFill>
              <a:ln w="19050">
                <a:solidFill>
                  <a:srgbClr val="FFFFFF"/>
                </a:solidFill>
                <a:prstDash val="solid"/>
              </a:ln>
            </c:spPr>
          </c:dPt>
          <c:dLbls>
            <c:showLegendKey val="0"/>
            <c:showVal val="0"/>
            <c:showCatName val="0"/>
            <c:showSerName val="0"/>
            <c:showPercent val="0"/>
            <c:showBubbleSize val="0"/>
            <c:showLeaderLines val="0"/>
          </c:dLbls>
          <c:cat>
            <c:strRef>
              <c:f>'Sheet1 (5)'!$A$2:$A$9</c:f>
              <c:strCache>
                <c:ptCount val="8"/>
                <c:pt idx="0">
                  <c:v>一般公共服务支出</c:v>
                </c:pt>
                <c:pt idx="1">
                  <c:v>社会保障和就业支出</c:v>
                </c:pt>
                <c:pt idx="2">
                  <c:v>卫生健康支出</c:v>
                </c:pt>
                <c:pt idx="3">
                  <c:v>节能环保支出</c:v>
                </c:pt>
                <c:pt idx="4">
                  <c:v>农林水支出</c:v>
                </c:pt>
                <c:pt idx="5">
                  <c:v>灾害防治及应急管理支出</c:v>
                </c:pt>
                <c:pt idx="6">
                  <c:v>住房保障支出</c:v>
                </c:pt>
                <c:pt idx="7">
                  <c:v>其他支出</c:v>
                </c:pt>
              </c:strCache>
            </c:strRef>
          </c:cat>
          <c:val>
            <c:numRef>
              <c:f>'Sheet1 (5)'!$B$2:$B$9</c:f>
              <c:numCache>
                <c:formatCode>General</c:formatCode>
                <c:ptCount val="8"/>
                <c:pt idx="0">
                  <c:v>378.81</c:v>
                </c:pt>
                <c:pt idx="1">
                  <c:v>80.2</c:v>
                </c:pt>
                <c:pt idx="2">
                  <c:v>39.29</c:v>
                </c:pt>
                <c:pt idx="3">
                  <c:v>98.32</c:v>
                </c:pt>
                <c:pt idx="4">
                  <c:v>460.41</c:v>
                </c:pt>
                <c:pt idx="5">
                  <c:v>15.0</c:v>
                </c:pt>
                <c:pt idx="6">
                  <c:v>51.37</c:v>
                </c:pt>
                <c:pt idx="7">
                  <c:v>4.32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8</TotalTime>
  <Application>Yozo_Office27021597764231179</Application>
  <Pages>39</Pages>
  <Words>12967</Words>
  <Characters>14286</Characters>
  <Lines>1248</Lines>
  <Paragraphs>636</Paragraphs>
  <CharactersWithSpaces>14540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2023-08-24T02:28:51Z</cp:lastPrinted>
  <dcterms:created xsi:type="dcterms:W3CDTF">2021-09-18T03:28:00Z</dcterms:created>
  <dcterms:modified xsi:type="dcterms:W3CDTF">2023-09-22T00:59:30Z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2052-12.1.0.15358</vt:lpwstr>
  </property>
  <property fmtid="{D5CDD505-2E9C-101B-9397-08002B2CF9AE}" pid="3" name="ICV">
    <vt:lpwstr>823F19DE076149B8A9CFE1CF60ED4A36</vt:lpwstr>
  </property>
</Properties>
</file>