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425"/>
      <w:bookmarkStart w:id="3" w:name="_Toc15378441"/>
      <w:bookmarkStart w:id="4" w:name="_Toc12796"/>
      <w:bookmarkStart w:id="5" w:name="_Toc15396597"/>
      <w:bookmarkStart w:id="6" w:name="_Toc15377193"/>
      <w:r>
        <w:rPr>
          <w:rFonts w:ascii="黑体" w:eastAsia="黑体"/>
          <w:color w:val="000000"/>
          <w:sz w:val="72"/>
          <w:szCs w:val="72"/>
        </w:rPr>
        <w:t>202</w:t>
      </w:r>
      <w:r>
        <w:rPr>
          <w:rFonts w:ascii="黑体" w:eastAsia="黑体" w:hint="eastAsia"/>
          <w:color w:val="000000"/>
          <w:sz w:val="72"/>
          <w:szCs w:val="72"/>
          <w:lang w:val="en-US" w:eastAsia="zh-CN"/>
        </w:rPr>
        <w:t>1</w:t>
      </w:r>
      <w:r>
        <w:rPr>
          <w:rFonts w:ascii="方正小标宋简体" w:eastAsia="方正小标宋简体" w:hint="eastAsia"/>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96476"/>
      <w:bookmarkStart w:id="8" w:name="_Toc15378442"/>
      <w:bookmarkStart w:id="9" w:name="_Toc15396598"/>
      <w:bookmarkStart w:id="10" w:name="_Toc6811"/>
      <w:bookmarkStart w:id="11" w:name="_Toc15377426"/>
      <w:bookmarkStart w:id="12" w:name="_Toc15377194"/>
      <w:r>
        <w:rPr>
          <w:rFonts w:ascii="方正小标宋简体" w:eastAsia="方正小标宋简体" w:hint="eastAsia"/>
          <w:color w:val="000000"/>
          <w:sz w:val="72"/>
          <w:szCs w:val="72"/>
        </w:rPr>
        <w:t>四川省</w:t>
      </w:r>
      <w:bookmarkStart w:id="13" w:name="_Toc15306268"/>
      <w:bookmarkEnd w:id="0"/>
      <w:r>
        <w:rPr>
          <w:rFonts w:ascii="方正小标宋简体" w:eastAsia="方正小标宋简体" w:hint="eastAsia"/>
          <w:color w:val="000000"/>
          <w:sz w:val="72"/>
          <w:szCs w:val="72"/>
        </w:rPr>
        <w:t>金川县卡撒乡人民政府部门决算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hint="eastAsia"/>
          <w:color w:val="000000"/>
          <w:sz w:val="48"/>
          <w:szCs w:val="48"/>
        </w:rPr>
        <w:sectPr>
          <w:headerReference w:type="default" r:id="rId2"/>
          <w:footerReference w:type="default" r:id="rId3"/>
          <w:pgSz w:w="11906" w:h="16838"/>
          <w:pgMar w:top="1440" w:right="1800" w:bottom="1440" w:left="1800" w:header="851" w:footer="992" w:gutter="0"/>
          <w:pgNumType w:start="1"/>
          <w:titlePg/>
          <w:docGrid w:type="lines" w:linePitch="312" w:charSpace="0"/>
        </w:sectPr>
      </w:pPr>
    </w:p>
    <w:p>
      <w:pPr>
        <w:widowControl/>
        <w:jc w:val="center"/>
        <w:rPr>
          <w:rFonts w:ascii="黑体" w:eastAsia="黑体"/>
          <w:color w:val="000000"/>
          <w:sz w:val="48"/>
          <w:szCs w:val="48"/>
        </w:rPr>
      </w:pPr>
      <w:r>
        <w:rPr>
          <w:rFonts w:ascii="黑体" w:eastAsia="黑体" w:hint="eastAsia"/>
          <w:color w:val="000000"/>
          <w:sz w:val="48"/>
          <w:szCs w:val="48"/>
        </w:rPr>
        <w:t>目录</w:t>
      </w:r>
    </w:p>
    <w:p>
      <w:pPr>
        <w:pStyle w:val="21"/>
        <w:tabs>
          <w:tab w:val="clear" w:pos="8296"/>
          <w:tab w:val="right" w:leader="dot" w:pos="8306"/>
        </w:tabs>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1"/>
        <w:tabs>
          <w:tab w:val="clear" w:pos="8296"/>
          <w:tab w:val="right" w:leader="dot" w:pos="8306"/>
        </w:tabs>
      </w:pPr>
      <w:r>
        <w:fldChar w:fldCharType="begin"/>
      </w:r>
      <w:r>
        <w:instrText xml:space="preserve"> HYPERLINK \l "_Toc27352" </w:instrText>
      </w:r>
      <w:r>
        <w:fldChar w:fldCharType="separate"/>
      </w:r>
      <w:r>
        <w:rPr>
          <w:rFonts w:ascii="黑体" w:eastAsia="黑体" w:hint="eastAsia"/>
        </w:rPr>
        <w:t>第一部分 部门概况</w:t>
      </w:r>
      <w:r>
        <w:tab/>
      </w:r>
      <w:r>
        <w:fldChar w:fldCharType="begin"/>
      </w:r>
      <w:r>
        <w:instrText xml:space="preserve"> PAGEREF _Toc27352 \h </w:instrText>
      </w:r>
      <w:r>
        <w:fldChar w:fldCharType="separate"/>
      </w:r>
      <w:r>
        <w:t>1</w:t>
      </w:r>
      <w:r>
        <w:fldChar w:fldCharType="end"/>
      </w:r>
      <w:r>
        <w:fldChar w:fldCharType="end"/>
      </w:r>
    </w:p>
    <w:p>
      <w:pPr>
        <w:pStyle w:val="22"/>
        <w:tabs>
          <w:tab w:val="clear" w:pos="8296"/>
          <w:tab w:val="right" w:leader="dot" w:pos="8306"/>
        </w:tabs>
        <w:rPr>
          <w:sz w:val="28"/>
          <w:szCs w:val="28"/>
        </w:rPr>
      </w:pPr>
      <w:r>
        <w:fldChar w:fldCharType="begin"/>
      </w:r>
      <w:r>
        <w:instrText xml:space="preserve"> HYPERLINK \l "_Toc20678" </w:instrText>
      </w:r>
      <w:r>
        <w:fldChar w:fldCharType="separate"/>
      </w:r>
      <w:r>
        <w:rPr>
          <w:rFonts w:ascii="黑体" w:eastAsia="黑体" w:hint="eastAsia"/>
          <w:sz w:val="28"/>
          <w:szCs w:val="28"/>
        </w:rPr>
        <w:t>一、基本职能及主要工作</w:t>
      </w:r>
      <w:r>
        <w:rPr>
          <w:sz w:val="28"/>
          <w:szCs w:val="28"/>
        </w:rPr>
        <w:tab/>
      </w:r>
      <w:r>
        <w:rPr>
          <w:sz w:val="28"/>
          <w:szCs w:val="28"/>
        </w:rPr>
        <w:fldChar w:fldCharType="begin"/>
      </w:r>
      <w:r>
        <w:rPr>
          <w:sz w:val="28"/>
          <w:szCs w:val="28"/>
        </w:rPr>
        <w:instrText xml:space="preserve"> PAGEREF _Toc20678 \h </w:instrText>
      </w:r>
      <w:r>
        <w:rPr>
          <w:sz w:val="28"/>
          <w:szCs w:val="28"/>
        </w:rPr>
        <w:fldChar w:fldCharType="separate"/>
      </w:r>
      <w:r>
        <w:rPr>
          <w:sz w:val="28"/>
          <w:szCs w:val="28"/>
        </w:rPr>
        <w:t>1</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"_Toc31800" </w:instrText>
      </w:r>
      <w:r>
        <w:fldChar w:fldCharType="separate"/>
      </w:r>
      <w:r>
        <w:rPr>
          <w:rFonts w:ascii="楷体" w:eastAsia="楷体" w:cs="楷体" w:hint="eastAsia"/>
          <w:sz w:val="28"/>
          <w:szCs w:val="28"/>
        </w:rPr>
        <w:t>（一）主要职能</w:t>
      </w:r>
      <w:r>
        <w:rPr>
          <w:sz w:val="28"/>
          <w:szCs w:val="28"/>
        </w:rPr>
        <w:tab/>
      </w:r>
      <w:r>
        <w:rPr>
          <w:sz w:val="28"/>
          <w:szCs w:val="28"/>
        </w:rPr>
        <w:fldChar w:fldCharType="begin"/>
      </w:r>
      <w:r>
        <w:rPr>
          <w:sz w:val="28"/>
          <w:szCs w:val="28"/>
        </w:rPr>
        <w:instrText xml:space="preserve"> PAGEREF _Toc31800 \h </w:instrText>
      </w:r>
      <w:r>
        <w:rPr>
          <w:sz w:val="28"/>
          <w:szCs w:val="28"/>
        </w:rPr>
        <w:fldChar w:fldCharType="separate"/>
      </w:r>
      <w:r>
        <w:rPr>
          <w:sz w:val="28"/>
          <w:szCs w:val="28"/>
        </w:rPr>
        <w:t>1</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"_Toc21487" </w:instrText>
      </w:r>
      <w:r>
        <w:fldChar w:fldCharType="separate"/>
      </w:r>
      <w:r>
        <w:rPr>
          <w:rFonts w:ascii="楷体" w:eastAsia="楷体" w:cs="楷体" w:hint="eastAsia"/>
          <w:sz w:val="28"/>
          <w:szCs w:val="28"/>
        </w:rPr>
        <w:t>（二）</w:t>
      </w:r>
      <w:r>
        <w:rPr>
          <w:rFonts w:ascii="楷体" w:eastAsia="楷体" w:cs="楷体"/>
          <w:sz w:val="28"/>
          <w:szCs w:val="28"/>
        </w:rPr>
        <w:t>202</w:t>
      </w:r>
      <w:r>
        <w:rPr>
          <w:rFonts w:ascii="楷体" w:eastAsia="楷体" w:cs="楷体" w:hint="eastAsia"/>
          <w:sz w:val="28"/>
          <w:szCs w:val="28"/>
          <w:lang w:val="en-US" w:eastAsia="zh-CN"/>
        </w:rPr>
        <w:t>1</w:t>
      </w:r>
      <w:r>
        <w:rPr>
          <w:rFonts w:ascii="楷体" w:eastAsia="楷体" w:cs="楷体" w:hint="eastAsia"/>
          <w:sz w:val="28"/>
          <w:szCs w:val="28"/>
        </w:rPr>
        <w:t>年重点工作完成情况</w:t>
      </w:r>
      <w:r>
        <w:rPr>
          <w:sz w:val="28"/>
          <w:szCs w:val="28"/>
        </w:rPr>
        <w:tab/>
      </w:r>
      <w:r>
        <w:rPr>
          <w:sz w:val="28"/>
          <w:szCs w:val="28"/>
        </w:rPr>
        <w:fldChar w:fldCharType="begin"/>
      </w:r>
      <w:r>
        <w:rPr>
          <w:sz w:val="28"/>
          <w:szCs w:val="28"/>
        </w:rPr>
        <w:instrText xml:space="preserve"> PAGEREF _Toc21487 \h </w:instrText>
      </w:r>
      <w:r>
        <w:rPr>
          <w:sz w:val="28"/>
          <w:szCs w:val="28"/>
        </w:rPr>
        <w:fldChar w:fldCharType="separate"/>
      </w:r>
      <w:r>
        <w:rPr>
          <w:sz w:val="28"/>
          <w:szCs w:val="28"/>
        </w:rPr>
        <w:t>1</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"_Toc15978" </w:instrText>
      </w:r>
      <w:r>
        <w:fldChar w:fldCharType="separate"/>
      </w:r>
      <w:r>
        <w:rPr>
          <w:rFonts w:ascii="黑体" w:eastAsia="黑体" w:hint="eastAsia"/>
          <w:sz w:val="28"/>
          <w:szCs w:val="28"/>
        </w:rPr>
        <w:t>二、机构设置</w:t>
      </w:r>
      <w:r>
        <w:rPr>
          <w:sz w:val="28"/>
          <w:szCs w:val="28"/>
        </w:rPr>
        <w:tab/>
      </w:r>
      <w:r>
        <w:rPr>
          <w:sz w:val="28"/>
          <w:szCs w:val="28"/>
        </w:rPr>
        <w:fldChar w:fldCharType="begin"/>
      </w:r>
      <w:r>
        <w:rPr>
          <w:sz w:val="28"/>
          <w:szCs w:val="28"/>
        </w:rPr>
        <w:instrText xml:space="preserve"> PAGEREF _Toc15978 \h </w:instrText>
      </w:r>
      <w:r>
        <w:rPr>
          <w:sz w:val="28"/>
          <w:szCs w:val="28"/>
        </w:rPr>
        <w:fldChar w:fldCharType="separate"/>
      </w:r>
      <w:r>
        <w:rPr>
          <w:sz w:val="28"/>
          <w:szCs w:val="28"/>
        </w:rPr>
        <w:t>3</w:t>
      </w:r>
      <w:r>
        <w:rPr>
          <w:sz w:val="28"/>
          <w:szCs w:val="28"/>
        </w:rPr>
        <w:fldChar w:fldCharType="end"/>
      </w:r>
      <w:r>
        <w:rPr>
          <w:sz w:val="28"/>
          <w:szCs w:val="28"/>
        </w:rPr>
        <w:fldChar w:fldCharType="end"/>
      </w:r>
    </w:p>
    <w:p>
      <w:pPr>
        <w:pStyle w:val="21"/>
        <w:tabs>
          <w:tab w:val="clear" w:pos="8296"/>
          <w:tab w:val="right" w:leader="dot" w:pos="8306"/>
        </w:tabs>
      </w:pPr>
      <w:r>
        <w:fldChar w:fldCharType="begin"/>
      </w:r>
      <w:r>
        <w:instrText xml:space="preserve"> HYPERLINK \l "_Toc32723" </w:instrText>
      </w:r>
      <w:r>
        <w:fldChar w:fldCharType="separate"/>
      </w:r>
      <w:r>
        <w:rPr>
          <w:rFonts w:ascii="黑体" w:eastAsia="黑体" w:hint="eastAsia"/>
        </w:rPr>
        <w:t xml:space="preserve">第二部分 </w:t>
      </w:r>
      <w:r>
        <w:rPr>
          <w:rFonts w:ascii="黑体" w:eastAsia="黑体"/>
        </w:rPr>
        <w:t>202</w:t>
      </w:r>
      <w:r>
        <w:rPr>
          <w:rFonts w:ascii="黑体" w:eastAsia="黑体" w:hint="eastAsia"/>
          <w:lang w:val="en-US" w:eastAsia="zh-CN"/>
        </w:rPr>
        <w:t>1</w:t>
      </w:r>
      <w:r>
        <w:rPr>
          <w:rFonts w:ascii="黑体" w:eastAsia="黑体" w:hint="eastAsia"/>
        </w:rPr>
        <w:t>年度部门决算情况说明</w:t>
      </w:r>
      <w:r>
        <w:tab/>
      </w:r>
      <w:r>
        <w:fldChar w:fldCharType="begin"/>
      </w:r>
      <w:r>
        <w:instrText xml:space="preserve"> PAGEREF _Toc32723 \h </w:instrText>
      </w:r>
      <w:r>
        <w:fldChar w:fldCharType="separate"/>
      </w:r>
      <w:r>
        <w:t>3</w:t>
      </w:r>
      <w:r>
        <w:fldChar w:fldCharType="end"/>
      </w:r>
      <w:r>
        <w:fldChar w:fldCharType="end"/>
      </w:r>
    </w:p>
    <w:p>
      <w:pPr>
        <w:pStyle w:val="22"/>
        <w:tabs>
          <w:tab w:val="clear" w:pos="8296"/>
          <w:tab w:val="right" w:leader="dot" w:pos="8306"/>
        </w:tabs>
        <w:rPr>
          <w:sz w:val="28"/>
          <w:szCs w:val="28"/>
        </w:rPr>
      </w:pPr>
      <w:r>
        <w:fldChar w:fldCharType="begin"/>
      </w:r>
      <w:r>
        <w:instrText xml:space="preserve"> HYPERLINK \l "_Toc14461" </w:instrText>
      </w:r>
      <w:r>
        <w:fldChar w:fldCharType="separate"/>
      </w:r>
      <w:r>
        <w:rPr>
          <w:rFonts w:ascii="黑体" w:eastAsia="黑体"/>
          <w:sz w:val="28"/>
          <w:szCs w:val="28"/>
        </w:rPr>
        <w:t xml:space="preserve">一、 </w:t>
      </w:r>
      <w:r>
        <w:rPr>
          <w:rFonts w:ascii="黑体" w:eastAsia="黑体" w:hint="eastAsia"/>
          <w:sz w:val="28"/>
          <w:szCs w:val="28"/>
        </w:rPr>
        <w:t>收入支出决算总体情况说明</w:t>
      </w:r>
      <w:r>
        <w:rPr>
          <w:sz w:val="28"/>
          <w:szCs w:val="28"/>
        </w:rPr>
        <w:tab/>
      </w:r>
      <w:r>
        <w:rPr>
          <w:sz w:val="28"/>
          <w:szCs w:val="28"/>
        </w:rPr>
        <w:fldChar w:fldCharType="begin"/>
      </w:r>
      <w:r>
        <w:rPr>
          <w:sz w:val="28"/>
          <w:szCs w:val="28"/>
        </w:rPr>
        <w:instrText xml:space="preserve"> PAGEREF _Toc14461 \h </w:instrText>
      </w:r>
      <w:r>
        <w:rPr>
          <w:sz w:val="28"/>
          <w:szCs w:val="28"/>
        </w:rPr>
        <w:fldChar w:fldCharType="separate"/>
      </w:r>
      <w:r>
        <w:rPr>
          <w:sz w:val="28"/>
          <w:szCs w:val="28"/>
        </w:rPr>
        <w:t>3</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"_Toc4194" </w:instrText>
      </w:r>
      <w:r>
        <w:fldChar w:fldCharType="separate"/>
      </w:r>
      <w:r>
        <w:rPr>
          <w:rFonts w:ascii="黑体" w:eastAsia="黑体" w:hint="eastAsia"/>
          <w:sz w:val="28"/>
          <w:szCs w:val="28"/>
        </w:rPr>
        <w:t>三、支出决算情况说明</w:t>
      </w:r>
      <w:r>
        <w:rPr>
          <w:sz w:val="28"/>
          <w:szCs w:val="28"/>
        </w:rPr>
        <w:tab/>
      </w:r>
      <w:r>
        <w:rPr>
          <w:sz w:val="28"/>
          <w:szCs w:val="28"/>
        </w:rPr>
        <w:fldChar w:fldCharType="begin"/>
      </w:r>
      <w:r>
        <w:rPr>
          <w:sz w:val="28"/>
          <w:szCs w:val="28"/>
        </w:rPr>
        <w:instrText xml:space="preserve"> PAGEREF _Toc4194 \h </w:instrText>
      </w:r>
      <w:r>
        <w:rPr>
          <w:sz w:val="28"/>
          <w:szCs w:val="28"/>
        </w:rPr>
        <w:fldChar w:fldCharType="separate"/>
      </w:r>
      <w:r>
        <w:rPr>
          <w:sz w:val="28"/>
          <w:szCs w:val="28"/>
        </w:rPr>
        <w:t>4</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"_Toc27948" </w:instrText>
      </w:r>
      <w:r>
        <w:fldChar w:fldCharType="separate"/>
      </w:r>
      <w:r>
        <w:rPr>
          <w:rFonts w:ascii="黑体" w:eastAsia="黑体" w:hint="eastAsia"/>
          <w:sz w:val="28"/>
          <w:szCs w:val="28"/>
        </w:rPr>
        <w:t>四、财政拨款收入支出决算总体情况说明</w:t>
      </w:r>
      <w:r>
        <w:rPr>
          <w:sz w:val="28"/>
          <w:szCs w:val="28"/>
        </w:rPr>
        <w:tab/>
      </w:r>
      <w:r>
        <w:rPr>
          <w:sz w:val="28"/>
          <w:szCs w:val="28"/>
        </w:rPr>
        <w:fldChar w:fldCharType="begin"/>
      </w:r>
      <w:r>
        <w:rPr>
          <w:sz w:val="28"/>
          <w:szCs w:val="28"/>
        </w:rPr>
        <w:instrText xml:space="preserve"> PAGEREF _Toc27948 \h </w:instrText>
      </w:r>
      <w:r>
        <w:rPr>
          <w:sz w:val="28"/>
          <w:szCs w:val="28"/>
        </w:rPr>
        <w:fldChar w:fldCharType="separate"/>
      </w:r>
      <w:r>
        <w:rPr>
          <w:sz w:val="28"/>
          <w:szCs w:val="28"/>
        </w:rPr>
        <w:t>5</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"_Toc9449" </w:instrText>
      </w:r>
      <w:r>
        <w:fldChar w:fldCharType="separate"/>
      </w:r>
      <w:r>
        <w:rPr>
          <w:rFonts w:ascii="黑体" w:eastAsia="黑体" w:hint="eastAsia"/>
          <w:sz w:val="28"/>
          <w:szCs w:val="28"/>
        </w:rPr>
        <w:t>七、“三公”经费财政拨款支出决算情况说明</w:t>
      </w:r>
      <w:r>
        <w:rPr>
          <w:sz w:val="28"/>
          <w:szCs w:val="28"/>
        </w:rPr>
        <w:tab/>
      </w:r>
      <w:r>
        <w:rPr>
          <w:sz w:val="28"/>
          <w:szCs w:val="28"/>
        </w:rPr>
        <w:fldChar w:fldCharType="begin"/>
      </w:r>
      <w:r>
        <w:rPr>
          <w:sz w:val="28"/>
          <w:szCs w:val="28"/>
        </w:rPr>
        <w:instrText xml:space="preserve"> PAGEREF _Toc9449 \h </w:instrText>
      </w:r>
      <w:r>
        <w:rPr>
          <w:sz w:val="28"/>
          <w:szCs w:val="28"/>
        </w:rPr>
        <w:fldChar w:fldCharType="separate"/>
      </w:r>
      <w:r>
        <w:rPr>
          <w:sz w:val="28"/>
          <w:szCs w:val="28"/>
        </w:rPr>
        <w:t>10</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"_Toc23573" </w:instrText>
      </w:r>
      <w:r>
        <w:fldChar w:fldCharType="separate"/>
      </w:r>
      <w:r>
        <w:rPr>
          <w:rFonts w:ascii="黑体" w:eastAsia="黑体" w:hint="eastAsia"/>
          <w:sz w:val="28"/>
          <w:szCs w:val="28"/>
        </w:rPr>
        <w:t>八、政府性基金预算支出决算情况说明</w:t>
      </w:r>
      <w:r>
        <w:rPr>
          <w:sz w:val="28"/>
          <w:szCs w:val="28"/>
        </w:rPr>
        <w:tab/>
      </w:r>
      <w:r>
        <w:rPr>
          <w:sz w:val="28"/>
          <w:szCs w:val="28"/>
        </w:rPr>
        <w:fldChar w:fldCharType="begin"/>
      </w:r>
      <w:r>
        <w:rPr>
          <w:sz w:val="28"/>
          <w:szCs w:val="28"/>
        </w:rPr>
        <w:instrText xml:space="preserve"> PAGEREF _Toc23573 \h </w:instrText>
      </w:r>
      <w:r>
        <w:rPr>
          <w:sz w:val="28"/>
          <w:szCs w:val="28"/>
        </w:rPr>
        <w:fldChar w:fldCharType="separate"/>
      </w:r>
      <w:r>
        <w:rPr>
          <w:sz w:val="28"/>
          <w:szCs w:val="28"/>
        </w:rPr>
        <w:t>11</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"_Toc351" </w:instrText>
      </w:r>
      <w:r>
        <w:fldChar w:fldCharType="separate"/>
      </w:r>
      <w:r>
        <w:rPr>
          <w:rFonts w:ascii="黑体" w:eastAsia="黑体" w:hint="eastAsia"/>
          <w:sz w:val="28"/>
          <w:szCs w:val="28"/>
        </w:rPr>
        <w:t>九、 国有资本经营预算支出决算情况说明</w:t>
      </w:r>
      <w:r>
        <w:rPr>
          <w:sz w:val="28"/>
          <w:szCs w:val="28"/>
        </w:rPr>
        <w:tab/>
      </w:r>
      <w:r>
        <w:rPr>
          <w:sz w:val="28"/>
          <w:szCs w:val="28"/>
        </w:rPr>
        <w:fldChar w:fldCharType="begin"/>
      </w:r>
      <w:r>
        <w:rPr>
          <w:sz w:val="28"/>
          <w:szCs w:val="28"/>
        </w:rPr>
        <w:instrText xml:space="preserve"> PAGEREF _Toc351 \h </w:instrText>
      </w:r>
      <w:r>
        <w:rPr>
          <w:sz w:val="28"/>
          <w:szCs w:val="28"/>
        </w:rPr>
        <w:fldChar w:fldCharType="separate"/>
      </w:r>
      <w:r>
        <w:rPr>
          <w:sz w:val="28"/>
          <w:szCs w:val="28"/>
        </w:rPr>
        <w:t>11</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"_Toc16199" </w:instrText>
      </w:r>
      <w:r>
        <w:fldChar w:fldCharType="separate"/>
      </w:r>
      <w:r>
        <w:rPr>
          <w:rFonts w:ascii="黑体" w:eastAsia="黑体"/>
          <w:sz w:val="28"/>
          <w:szCs w:val="28"/>
        </w:rPr>
        <w:t xml:space="preserve">十、 </w:t>
      </w:r>
      <w:r>
        <w:rPr>
          <w:rFonts w:ascii="黑体" w:eastAsia="黑体" w:hint="eastAsia"/>
          <w:sz w:val="28"/>
          <w:szCs w:val="28"/>
        </w:rPr>
        <w:t>预算绩效情况说明</w:t>
      </w:r>
      <w:r>
        <w:rPr>
          <w:sz w:val="28"/>
          <w:szCs w:val="28"/>
        </w:rPr>
        <w:tab/>
      </w:r>
      <w:r>
        <w:rPr>
          <w:sz w:val="28"/>
          <w:szCs w:val="28"/>
        </w:rPr>
        <w:fldChar w:fldCharType="begin"/>
      </w:r>
      <w:r>
        <w:rPr>
          <w:sz w:val="28"/>
          <w:szCs w:val="28"/>
        </w:rPr>
        <w:instrText xml:space="preserve"> PAGEREF _Toc16199 \h </w:instrText>
      </w:r>
      <w:r>
        <w:rPr>
          <w:sz w:val="28"/>
          <w:szCs w:val="28"/>
        </w:rPr>
        <w:fldChar w:fldCharType="separate"/>
      </w:r>
      <w:r>
        <w:rPr>
          <w:sz w:val="28"/>
          <w:szCs w:val="28"/>
        </w:rPr>
        <w:t>11</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"_Toc4523" </w:instrText>
      </w:r>
      <w:r>
        <w:fldChar w:fldCharType="separate"/>
      </w:r>
      <w:r>
        <w:rPr>
          <w:rFonts w:ascii="楷体_GB2312" w:eastAsia="楷体_GB2312" w:cs="楷体_GB2312" w:hint="eastAsia"/>
          <w:bCs/>
          <w:sz w:val="28"/>
          <w:szCs w:val="28"/>
        </w:rPr>
        <w:t xml:space="preserve">（一） </w:t>
      </w:r>
      <w:r>
        <w:rPr>
          <w:rFonts w:ascii="黑体" w:eastAsia="黑体" w:hint="eastAsia"/>
          <w:sz w:val="28"/>
          <w:szCs w:val="28"/>
        </w:rPr>
        <w:t>预算绩效管理工作开展情况。</w:t>
      </w:r>
      <w:r>
        <w:rPr>
          <w:sz w:val="28"/>
          <w:szCs w:val="28"/>
        </w:rPr>
        <w:tab/>
      </w:r>
      <w:r>
        <w:rPr>
          <w:sz w:val="28"/>
          <w:szCs w:val="28"/>
        </w:rPr>
        <w:fldChar w:fldCharType="begin"/>
      </w:r>
      <w:r>
        <w:rPr>
          <w:sz w:val="28"/>
          <w:szCs w:val="28"/>
        </w:rPr>
        <w:instrText xml:space="preserve"> PAGEREF _Toc4523 \h </w:instrText>
      </w:r>
      <w:r>
        <w:rPr>
          <w:sz w:val="28"/>
          <w:szCs w:val="28"/>
        </w:rPr>
        <w:fldChar w:fldCharType="separate"/>
      </w:r>
      <w:r>
        <w:rPr>
          <w:sz w:val="28"/>
          <w:szCs w:val="28"/>
        </w:rPr>
        <w:t>12</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"_Toc30171" </w:instrText>
      </w:r>
      <w:r>
        <w:fldChar w:fldCharType="separate"/>
      </w:r>
      <w:r>
        <w:rPr>
          <w:rFonts w:ascii="黑体" w:eastAsia="黑体" w:hint="eastAsia"/>
          <w:sz w:val="28"/>
          <w:szCs w:val="28"/>
        </w:rPr>
        <w:t>十一、其他重要事项的情况说明</w:t>
      </w:r>
      <w:r>
        <w:rPr>
          <w:sz w:val="28"/>
          <w:szCs w:val="28"/>
        </w:rPr>
        <w:tab/>
      </w:r>
      <w:r>
        <w:rPr>
          <w:sz w:val="28"/>
          <w:szCs w:val="28"/>
        </w:rPr>
        <w:fldChar w:fldCharType="begin"/>
      </w:r>
      <w:r>
        <w:rPr>
          <w:sz w:val="28"/>
          <w:szCs w:val="28"/>
        </w:rPr>
        <w:instrText xml:space="preserve"> PAGEREF _Toc30171 \h </w:instrText>
      </w:r>
      <w:r>
        <w:rPr>
          <w:sz w:val="28"/>
          <w:szCs w:val="28"/>
        </w:rPr>
        <w:fldChar w:fldCharType="separate"/>
      </w:r>
      <w:r>
        <w:rPr>
          <w:sz w:val="28"/>
          <w:szCs w:val="28"/>
        </w:rPr>
        <w:t>24</w:t>
      </w:r>
      <w:r>
        <w:rPr>
          <w:sz w:val="28"/>
          <w:szCs w:val="28"/>
        </w:rPr>
        <w:fldChar w:fldCharType="end"/>
      </w:r>
      <w:r>
        <w:rPr>
          <w:sz w:val="28"/>
          <w:szCs w:val="28"/>
        </w:rPr>
        <w:fldChar w:fldCharType="end"/>
      </w:r>
    </w:p>
    <w:p>
      <w:pPr>
        <w:pStyle w:val="21"/>
        <w:tabs>
          <w:tab w:val="clear" w:pos="8296"/>
          <w:tab w:val="right" w:leader="dot" w:pos="8306"/>
        </w:tabs>
      </w:pPr>
      <w:r>
        <w:fldChar w:fldCharType="begin"/>
      </w:r>
      <w:r>
        <w:instrText xml:space="preserve"> HYPERLINK \l "_Toc30760" </w:instrText>
      </w:r>
      <w:r>
        <w:fldChar w:fldCharType="separate"/>
      </w:r>
      <w:r>
        <w:rPr>
          <w:rFonts w:ascii="黑体" w:eastAsia="黑体" w:hint="eastAsia"/>
        </w:rPr>
        <w:t>第三部分 名词解释</w:t>
      </w:r>
      <w:r>
        <w:tab/>
      </w:r>
      <w:r>
        <w:fldChar w:fldCharType="begin"/>
      </w:r>
      <w:r>
        <w:instrText xml:space="preserve"> PAGEREF _Toc30760 \h </w:instrText>
      </w:r>
      <w:r>
        <w:fldChar w:fldCharType="separate"/>
      </w:r>
      <w:r>
        <w:t>25</w:t>
      </w:r>
      <w:r>
        <w:fldChar w:fldCharType="end"/>
      </w:r>
      <w:r>
        <w:fldChar w:fldCharType="end"/>
      </w:r>
    </w:p>
    <w:p>
      <w:pPr>
        <w:pStyle w:val="21"/>
        <w:tabs>
          <w:tab w:val="right" w:leader="dot" w:pos="8296"/>
        </w:tabs>
        <w:jc w:val="both"/>
        <w:rPr>
          <w:rFonts w:cs="Arial"/>
        </w:rPr>
        <w:sectPr>
          <w:footerReference w:type="default" r:id="rId4"/>
          <w:footerReference w:type="first" r:id="rId5"/>
          <w:pgSz w:w="11906" w:h="16838"/>
          <w:pgMar w:top="1440" w:right="1800" w:bottom="1440" w:left="1800" w:header="851" w:footer="992" w:gutter="0"/>
          <w:pgNumType w:start="1"/>
          <w:titlePg/>
          <w:docGrid w:type="lines" w:linePitch="312" w:charSpace="0"/>
        </w:sectPr>
      </w:pPr>
      <w:r>
        <w:rPr>
          <w:color w:val="000000"/>
        </w:rPr>
        <w:fldChar w:fldCharType="end"/>
      </w:r>
      <w:bookmarkStart w:id="14" w:name="_Toc15377196"/>
      <w:bookmarkStart w:id="15" w:name="_Toc27352"/>
      <w:r>
        <w:rPr>
          <w:rFonts w:ascii="黑体" w:eastAsia="黑体"/>
          <w:b w:val="0"/>
        </w:rPr>
        <w:t>第四部分  附件 ....................................................</w:t>
      </w:r>
      <w:bookmarkStart w:id="16" w:name="_GoBack"/>
      <w:bookmarkEnd w:id="16"/>
      <w:r>
        <w:rPr>
          <w:rFonts w:ascii="黑体" w:eastAsia="黑体"/>
          <w:b w:val="0"/>
        </w:rPr>
        <w:t>..................33</w:t>
      </w: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4"/>
      <w:bookmarkEnd w:id="15"/>
    </w:p>
    <w:p>
      <w:pPr>
        <w:pStyle w:val="2"/>
        <w:spacing w:before="0" w:after="0" w:line="240" w:lineRule="auto"/>
        <w:ind w:left="640" w:hangingChars="200" w:hanging="640"/>
        <w:rPr>
          <w:rStyle w:val="2Char"/>
          <w:rFonts w:ascii="黑体" w:eastAsia="黑体"/>
          <w:b w:val="0"/>
          <w:bCs w:val="0"/>
        </w:rPr>
      </w:pPr>
      <w:bookmarkStart w:id="17" w:name="_Toc15377197"/>
      <w:bookmarkStart w:id="18" w:name="_Toc20678"/>
      <w:r>
        <w:rPr>
          <w:rFonts w:ascii="黑体" w:eastAsia="黑体" w:hint="eastAsia"/>
          <w:b w:val="0"/>
          <w:color w:val="000000"/>
        </w:rPr>
        <w:t>一、基</w:t>
      </w:r>
      <w:r>
        <w:rPr>
          <w:rStyle w:val="2Char"/>
          <w:rFonts w:ascii="黑体" w:eastAsia="黑体" w:hint="eastAsia"/>
          <w:b w:val="0"/>
          <w:bCs w:val="0"/>
        </w:rPr>
        <w:t>本职能及主要工作</w:t>
      </w:r>
      <w:bookmarkStart w:id="19" w:name="_Toc15377198"/>
      <w:bookmarkStart w:id="20" w:name="_Toc15378445"/>
      <w:bookmarkEnd w:id="17"/>
      <w:bookmarkEnd w:id="18"/>
    </w:p>
    <w:p>
      <w:pPr>
        <w:pStyle w:val="2"/>
        <w:spacing w:before="0" w:after="0" w:line="240" w:lineRule="auto"/>
        <w:ind w:leftChars="153" w:left="641" w:hangingChars="100" w:hanging="320"/>
        <w:rPr>
          <w:rFonts w:ascii="楷体" w:eastAsia="楷体" w:cs="楷体"/>
          <w:color w:val="000000"/>
        </w:rPr>
      </w:pPr>
      <w:bookmarkStart w:id="21" w:name="_Toc31800"/>
      <w:r>
        <w:rPr>
          <w:rFonts w:ascii="楷体" w:eastAsia="楷体" w:cs="楷体" w:hint="eastAsia"/>
          <w:color w:val="000000"/>
        </w:rPr>
        <w:t>（一）主要职能</w:t>
      </w:r>
      <w:bookmarkStart w:id="22" w:name="_Toc15378446"/>
      <w:bookmarkStart w:id="23" w:name="_Toc15377199"/>
      <w:bookmarkEnd w:id="19"/>
      <w:bookmarkEnd w:id="20"/>
      <w:bookmarkEnd w:id="21"/>
    </w:p>
    <w:p>
      <w:pPr>
        <w:snapToGrid w:val="0"/>
        <w:spacing w:line="360" w:lineRule="auto"/>
        <w:ind w:firstLineChars="200" w:firstLine="640"/>
        <w:outlineLvl w:val="1"/>
        <w:rPr>
          <w:rFonts w:ascii="仿宋_GB2312" w:eastAsia="仿宋_GB2312" w:cs="仿宋_GB2312"/>
          <w:sz w:val="32"/>
          <w:szCs w:val="32"/>
        </w:rPr>
      </w:pPr>
      <w:bookmarkStart w:id="24" w:name="_Toc32413"/>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ascii="仿宋_GB2312" w:eastAsia="仿宋_GB2312" w:cs="仿宋_GB2312" w:hint="eastAsia"/>
          <w:sz w:val="32"/>
          <w:szCs w:val="32"/>
          <w:lang w:val="en-US" w:eastAsia="zh-CN"/>
        </w:rPr>
        <w:t>卡撒</w:t>
      </w:r>
      <w:r>
        <w:rPr>
          <w:rFonts w:ascii="仿宋_GB2312" w:eastAsia="仿宋_GB2312" w:cs="仿宋_GB2312" w:hint="eastAsia"/>
          <w:sz w:val="32"/>
          <w:szCs w:val="32"/>
        </w:rPr>
        <w:t>发展的新局面。</w:t>
      </w:r>
      <w:bookmarkEnd w:id="24"/>
    </w:p>
    <w:p>
      <w:pPr>
        <w:pStyle w:val="2"/>
        <w:spacing w:before="0" w:after="0" w:line="240" w:lineRule="auto"/>
        <w:ind w:firstLineChars="100" w:firstLine="320"/>
        <w:rPr>
          <w:rFonts w:ascii="楷体" w:eastAsia="楷体" w:cs="楷体"/>
          <w:color w:val="000000"/>
        </w:rPr>
      </w:pPr>
      <w:bookmarkStart w:id="25" w:name="_Toc21487"/>
      <w:r>
        <w:rPr>
          <w:rFonts w:ascii="楷体" w:eastAsia="楷体" w:cs="楷体" w:hint="eastAsia"/>
          <w:color w:val="000000"/>
        </w:rPr>
        <w:t>（二）</w:t>
      </w:r>
      <w:r>
        <w:rPr>
          <w:rFonts w:ascii="楷体" w:eastAsia="楷体" w:cs="楷体"/>
          <w:color w:val="000000"/>
        </w:rPr>
        <w:t>202</w:t>
      </w:r>
      <w:r>
        <w:rPr>
          <w:rFonts w:ascii="楷体" w:eastAsia="楷体" w:cs="楷体" w:hint="eastAsia"/>
          <w:color w:val="000000"/>
          <w:lang w:val="en-US" w:eastAsia="zh-CN"/>
        </w:rPr>
        <w:t>1</w:t>
      </w:r>
      <w:r>
        <w:rPr>
          <w:rFonts w:ascii="楷体" w:eastAsia="楷体" w:cs="楷体" w:hint="eastAsia"/>
          <w:color w:val="000000"/>
        </w:rPr>
        <w:t>年重点工作完成情况</w:t>
      </w:r>
      <w:bookmarkEnd w:id="22"/>
      <w:bookmarkEnd w:id="23"/>
      <w:bookmarkEnd w:id="25"/>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Chars="200" w:firstLine="640"/>
        <w:textAlignment w:val="auto"/>
        <w:outlineLvl w:val="9"/>
        <w:rPr>
          <w:rFonts w:ascii="仿宋_GB2312" w:eastAsia="仿宋_GB2312" w:cs="??_GB2312" w:hint="eastAsia"/>
          <w:color w:val="auto"/>
          <w:sz w:val="32"/>
          <w:szCs w:val="32"/>
          <w:shd w:val="clear" w:color="auto" w:fill="FFFFFF"/>
          <w:lang w:val="en-US" w:eastAsia="zh-CN"/>
        </w:rPr>
      </w:pPr>
      <w:bookmarkStart w:id="26" w:name="_Toc15377200"/>
      <w:r>
        <w:rPr>
          <w:rFonts w:ascii="仿宋_GB2312" w:eastAsia="仿宋_GB2312" w:cs="??_GB2312" w:hint="eastAsia"/>
          <w:color w:val="auto"/>
          <w:sz w:val="32"/>
          <w:szCs w:val="32"/>
          <w:shd w:val="clear" w:color="auto" w:fill="FFFFFF"/>
          <w:lang w:val="en-US" w:eastAsia="zh-CN"/>
        </w:rPr>
        <w:t>在县委、县政府和乡党委的坚强领导下，乡人民政府</w:t>
      </w:r>
      <w:r>
        <w:rPr>
          <w:rFonts w:eastAsia="仿宋_GB2312" w:hint="eastAsia"/>
          <w:color w:val="auto"/>
          <w:sz w:val="32"/>
          <w:szCs w:val="32"/>
          <w:shd w:val="clear" w:color="auto" w:fill="FFFFFF"/>
          <w:lang w:val="en-US" w:eastAsia="zh-CN"/>
        </w:rPr>
        <w:t>坚持以习近平新时代中国特色社会主义思想为指导</w:t>
      </w:r>
      <w:r>
        <w:rPr>
          <w:rFonts w:ascii="仿宋" w:eastAsia="仿宋" w:cs="??_GB2312" w:hint="eastAsia"/>
          <w:color w:val="auto"/>
          <w:sz w:val="32"/>
          <w:szCs w:val="32"/>
          <w:shd w:val="clear" w:color="auto" w:fill="FFFFFF"/>
          <w:lang w:val="en-US" w:eastAsia="zh-CN"/>
        </w:rPr>
        <w:t>，</w:t>
      </w:r>
      <w:r>
        <w:rPr>
          <w:rFonts w:ascii="仿宋_GB2312" w:eastAsia="仿宋_GB2312" w:cs="??_GB2312" w:hint="eastAsia"/>
          <w:color w:val="auto"/>
          <w:sz w:val="32"/>
          <w:szCs w:val="32"/>
          <w:shd w:val="clear" w:color="auto" w:fill="FFFFFF"/>
          <w:lang w:val="en-US" w:eastAsia="zh-CN"/>
        </w:rPr>
        <w:t>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乡呈现出经济持续稳定发展、民生持续改善、社会和谐稳定、干群奋发有为的良好局面。曾先后荣获“四川省脱贫攻坚先进集体”、“阿坝州脱贫攻坚先进集体”、“金川县先进党组织”等殊荣。</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仿宋_GB2312" w:eastAsia="仿宋_GB2312" w:cs="??_GB2312" w:hint="eastAsia"/>
          <w:color w:val="auto"/>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一是紧紧围绕影响经济发展和社会稳定的源头性、苗头性、基础性问题，突出重点、综合施策，进一步优化社会环境，促进社会和谐稳定。</w:t>
      </w:r>
    </w:p>
    <w:p>
      <w:pPr>
        <w:pStyle w:val="15"/>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outlineLvl w:val="9"/>
        <w:rPr>
          <w:rFonts w:eastAsia="仿宋_GB2312" w:hint="eastAsia"/>
          <w:color w:val="auto"/>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二是</w:t>
      </w:r>
      <w:r>
        <w:rPr>
          <w:rFonts w:eastAsia="仿宋_GB2312" w:hint="eastAsia"/>
          <w:color w:val="auto"/>
          <w:sz w:val="32"/>
          <w:szCs w:val="32"/>
          <w:shd w:val="clear" w:color="auto" w:fill="FFFFFF"/>
          <w:lang w:val="en-US" w:eastAsia="zh-CN"/>
        </w:rPr>
        <w:t>自新冠疫情发生以来，全乡上下众志成城、争分夺秒，用实际行动投入疫情防控阻击战，党员干部率先垂范、冲锋在前、勇于担当，人民群众主动参与、甘于奉献、守望相助，迅速筑起疫情防控坚实防线。我们始终坚持“人民至上、生命至上”，认真贯彻落实中央和省州县疫情防控决策部署。</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仿宋_GB2312" w:eastAsia="仿宋_GB2312" w:cs="??_GB2312" w:hint="eastAsia"/>
          <w:color w:val="auto"/>
          <w:sz w:val="32"/>
          <w:szCs w:val="32"/>
          <w:shd w:val="clear" w:color="auto" w:fill="FFFFFF"/>
          <w:lang w:val="en-US" w:eastAsia="zh-CN"/>
        </w:rPr>
      </w:pPr>
      <w:r>
        <w:rPr>
          <w:rFonts w:eastAsia="仿宋_GB2312" w:hint="eastAsia"/>
          <w:color w:val="auto"/>
          <w:sz w:val="32"/>
          <w:szCs w:val="32"/>
          <w:shd w:val="clear" w:color="auto" w:fill="FFFFFF"/>
          <w:lang w:val="en-US" w:eastAsia="zh-CN"/>
        </w:rPr>
        <w:t>三是</w:t>
      </w:r>
      <w:r>
        <w:rPr>
          <w:rFonts w:ascii="仿宋_GB2312" w:eastAsia="仿宋_GB2312" w:cs="??_GB2312" w:hint="eastAsia"/>
          <w:color w:val="auto"/>
          <w:sz w:val="32"/>
          <w:szCs w:val="32"/>
          <w:shd w:val="clear" w:color="auto" w:fill="FFFFFF"/>
          <w:lang w:val="en-US" w:eastAsia="zh-CN"/>
        </w:rPr>
        <w:t>围绕项目建设主线，着力优化发展环境，下好项目建设“先手棋”，五年来，我乡争取基础设施建设项目总投资2.631亿元，有力助推经济社会跨越发展。</w:t>
      </w:r>
    </w:p>
    <w:p>
      <w:pPr>
        <w:pStyle w:val="15"/>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outlineLvl w:val="9"/>
        <w:rPr>
          <w:rFonts w:ascii="仿宋_GB2312" w:eastAsia="仿宋_GB2312" w:cs="仿宋_GB2312" w:hint="eastAsia"/>
          <w:b w:val="0"/>
          <w:bCs w:val="0"/>
          <w:color w:val="000000"/>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四是</w:t>
      </w:r>
      <w:r>
        <w:rPr>
          <w:rFonts w:ascii="仿宋_GB2312" w:eastAsia="仿宋_GB2312" w:cs="仿宋_GB2312" w:hint="eastAsia"/>
          <w:kern w:val="0"/>
          <w:sz w:val="32"/>
          <w:szCs w:val="32"/>
          <w:lang w:val="en-US" w:eastAsia="zh-CN"/>
        </w:rPr>
        <w:t>始终坚持以习近平生态文明思想为指引，认真践行“绿水青山就是金山银山</w:t>
      </w:r>
      <w:r>
        <w:rPr>
          <w:rFonts w:ascii="仿宋_GB2312" w:eastAsia="仿宋_GB2312" w:cs="仿宋_GB2312" w:hint="eastAsia"/>
          <w:b w:val="0"/>
          <w:bCs w:val="0"/>
          <w:color w:val="000000"/>
          <w:sz w:val="32"/>
          <w:szCs w:val="32"/>
          <w:shd w:val="clear" w:color="auto" w:fill="FFFFFF"/>
          <w:lang w:val="en-US" w:eastAsia="zh-CN"/>
        </w:rPr>
        <w:t>”</w:t>
      </w:r>
      <w:r>
        <w:rPr>
          <w:rFonts w:ascii="仿宋_GB2312" w:eastAsia="仿宋_GB2312" w:cs="仿宋_GB2312" w:hint="eastAsia"/>
          <w:b w:val="0"/>
          <w:bCs w:val="0"/>
          <w:color w:val="000000"/>
          <w:sz w:val="32"/>
          <w:szCs w:val="32"/>
          <w:shd w:val="clear" w:color="auto" w:fill="FFFFFF"/>
        </w:rPr>
        <w:t>“重在保护、要在治理、高质量发展”</w:t>
      </w:r>
      <w:r>
        <w:rPr>
          <w:rFonts w:ascii="仿宋_GB2312" w:eastAsia="仿宋_GB2312" w:cs="仿宋_GB2312" w:hint="eastAsia"/>
          <w:b w:val="0"/>
          <w:bCs w:val="0"/>
          <w:color w:val="000000"/>
          <w:sz w:val="32"/>
          <w:szCs w:val="32"/>
          <w:shd w:val="clear" w:color="auto" w:fill="FFFFFF"/>
          <w:lang w:val="en-US" w:eastAsia="zh-CN"/>
        </w:rPr>
        <w:t>理念，切实把生态环境保护摆在压倒性</w:t>
      </w:r>
      <w:r>
        <w:rPr>
          <w:rFonts w:ascii="仿宋_GB2312" w:eastAsia="仿宋_GB2312" w:cs="??_GB2312" w:hint="eastAsia"/>
          <w:color w:val="auto"/>
          <w:sz w:val="32"/>
          <w:szCs w:val="32"/>
          <w:shd w:val="clear" w:color="auto" w:fill="FFFFFF"/>
          <w:lang w:val="en-US" w:eastAsia="zh-CN"/>
        </w:rPr>
        <w:t>位置</w:t>
      </w:r>
      <w:r>
        <w:rPr>
          <w:rFonts w:ascii="仿宋_GB2312" w:eastAsia="仿宋_GB2312" w:cs="仿宋_GB2312" w:hint="eastAsia"/>
          <w:b w:val="0"/>
          <w:bCs w:val="0"/>
          <w:color w:val="000000"/>
          <w:sz w:val="32"/>
          <w:szCs w:val="32"/>
          <w:shd w:val="clear" w:color="auto" w:fill="FFFFFF"/>
          <w:lang w:val="en-US" w:eastAsia="zh-CN"/>
        </w:rPr>
        <w:t>，共抓大保护、不搞大开发。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eastAsia="仿宋_GB2312" w:hint="eastAsia"/>
          <w:color w:val="auto"/>
          <w:sz w:val="32"/>
          <w:szCs w:val="32"/>
          <w:shd w:val="clear" w:color="auto" w:fill="FFFFFF"/>
          <w:lang w:val="en-US" w:eastAsia="zh-CN"/>
        </w:rPr>
      </w:pPr>
      <w:r>
        <w:rPr>
          <w:rFonts w:ascii="仿宋_GB2312" w:eastAsia="仿宋_GB2312" w:cs="仿宋_GB2312" w:hint="eastAsia"/>
          <w:b w:val="0"/>
          <w:bCs w:val="0"/>
          <w:color w:val="000000"/>
          <w:sz w:val="32"/>
          <w:szCs w:val="32"/>
          <w:shd w:val="clear" w:color="auto" w:fill="FFFFFF"/>
          <w:lang w:val="en-US" w:eastAsia="zh-CN"/>
        </w:rPr>
        <w:t>五是</w:t>
      </w:r>
      <w:r>
        <w:rPr>
          <w:rFonts w:eastAsia="仿宋_GB2312" w:hint="eastAsia"/>
          <w:color w:val="auto"/>
          <w:sz w:val="32"/>
          <w:szCs w:val="32"/>
          <w:shd w:val="clear" w:color="auto" w:fill="FFFFFF"/>
          <w:lang w:val="en-US" w:eastAsia="zh-CN"/>
        </w:rPr>
        <w:t>坚定贯彻总体国家安全观，旗帜鲜明开展反分维稳斗争，“扫黑除恶”专项斗争强力推进，“天</w:t>
      </w:r>
      <w:r>
        <w:rPr>
          <w:rFonts w:eastAsia="仿宋_GB2312"/>
          <w:color w:val="auto"/>
          <w:sz w:val="32"/>
          <w:szCs w:val="32"/>
          <w:shd w:val="clear" w:color="auto" w:fill="FFFFFF"/>
          <w:lang w:val="en-US" w:eastAsia="zh-CN"/>
        </w:rPr>
        <w:t>网</w:t>
      </w:r>
      <w:r>
        <w:rPr>
          <w:rFonts w:eastAsia="仿宋_GB2312" w:hint="eastAsia"/>
          <w:color w:val="auto"/>
          <w:sz w:val="32"/>
          <w:szCs w:val="32"/>
          <w:shd w:val="clear" w:color="auto" w:fill="FFFFFF"/>
          <w:lang w:val="en-US" w:eastAsia="zh-CN"/>
        </w:rPr>
        <w:t>”“雪亮”工程拓展延伸，平安防线牢不可破，“两</w:t>
      </w:r>
      <w:r>
        <w:rPr>
          <w:rFonts w:eastAsia="仿宋_GB2312"/>
          <w:color w:val="auto"/>
          <w:sz w:val="32"/>
          <w:szCs w:val="32"/>
          <w:shd w:val="clear" w:color="auto" w:fill="FFFFFF"/>
          <w:lang w:val="en-US" w:eastAsia="zh-CN"/>
        </w:rPr>
        <w:t>项</w:t>
      </w:r>
      <w:r>
        <w:rPr>
          <w:rFonts w:eastAsia="仿宋_GB2312" w:hint="eastAsia"/>
          <w:color w:val="auto"/>
          <w:sz w:val="32"/>
          <w:szCs w:val="32"/>
          <w:shd w:val="clear" w:color="auto" w:fill="FFFFFF"/>
          <w:lang w:val="en-US" w:eastAsia="zh-CN"/>
        </w:rPr>
        <w:t>”改革调整优化2个村。</w:t>
      </w:r>
    </w:p>
    <w:p>
      <w:pPr>
        <w:pStyle w:val="15"/>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outlineLvl w:val="9"/>
        <w:rPr>
          <w:lang w:val="en-US"/>
        </w:rPr>
      </w:pPr>
      <w:r>
        <w:rPr>
          <w:rFonts w:eastAsia="仿宋_GB2312" w:hint="eastAsia"/>
          <w:color w:val="auto"/>
          <w:sz w:val="32"/>
          <w:szCs w:val="32"/>
          <w:shd w:val="clear" w:color="auto" w:fill="FFFFFF"/>
          <w:lang w:val="en-US" w:eastAsia="zh-CN"/>
        </w:rPr>
        <w:t>六是</w:t>
      </w:r>
      <w:r>
        <w:rPr>
          <w:rFonts w:ascii="仿宋_GB2312" w:eastAsia="仿宋_GB2312" w:cs="仿宋_GB2312" w:hint="eastAsia"/>
          <w:sz w:val="32"/>
          <w:szCs w:val="32"/>
          <w:lang w:val="en-US" w:eastAsia="zh-CN"/>
        </w:rPr>
        <w:t>近两年来，持续强降雨致使全乡境内基础设施、农作物、房屋等财产遭受严重损毁，全乡百姓生命财产安全遭受严重威胁，防汛工作经受严重考验。全乡累计受灾438户1432人，</w:t>
      </w:r>
      <w:r>
        <w:rPr>
          <w:rStyle w:val="34"/>
          <w:rFonts w:ascii="仿宋_GB2312" w:eastAsia="仿宋_GB2312" w:cs="仿宋_GB2312" w:hint="eastAsia"/>
          <w:b w:val="0"/>
          <w:bCs w:val="0"/>
          <w:kern w:val="2"/>
          <w:sz w:val="32"/>
          <w:szCs w:val="32"/>
          <w:lang w:val="en-US" w:eastAsia="zh-CN" w:bidi="ar-SA"/>
        </w:rPr>
        <w:t>造成经济损失4274.25万元。我们始终坚持把守护人民群众的生命财产安全作为践行初心使命、体现责任担当的试金石。</w:t>
      </w:r>
    </w:p>
    <w:p>
      <w:pPr>
        <w:spacing w:line="578" w:lineRule="exact"/>
        <w:ind w:firstLineChars="200" w:firstLine="640"/>
        <w:rPr>
          <w:rStyle w:val="2Char"/>
          <w:b w:val="0"/>
          <w:bCs w:val="0"/>
        </w:rPr>
      </w:pPr>
      <w:bookmarkStart w:id="27" w:name="_Toc15978"/>
      <w:r>
        <w:rPr>
          <w:rStyle w:val="2Char"/>
          <w:rFonts w:ascii="黑体" w:eastAsia="黑体" w:hint="eastAsia"/>
          <w:b w:val="0"/>
          <w:bCs w:val="0"/>
        </w:rPr>
        <w:t>二、机构设置</w:t>
      </w:r>
      <w:bookmarkEnd w:id="26"/>
    </w:p>
    <w:p>
      <w:pPr>
        <w:snapToGrid w:val="0"/>
        <w:spacing w:line="560" w:lineRule="exact"/>
        <w:ind w:firstLineChars="200" w:firstLine="640"/>
        <w:rPr>
          <w:rFonts w:ascii="仿宋_GB2312" w:eastAsia="仿宋_GB2312" w:cs="仿宋_GB2312"/>
          <w:bCs/>
          <w:sz w:val="32"/>
        </w:rPr>
      </w:pPr>
      <w:bookmarkStart w:id="28" w:name="_Toc15377204"/>
      <w:bookmarkEnd w:id="27"/>
      <w:r>
        <w:rPr>
          <w:rFonts w:ascii="仿宋_GB2312" w:eastAsia="仿宋_GB2312" w:cs="仿宋_GB2312" w:hint="eastAsia"/>
          <w:bCs/>
          <w:sz w:val="32"/>
        </w:rPr>
        <w:t>我乡20</w:t>
      </w:r>
      <w:r>
        <w:rPr>
          <w:rFonts w:ascii="仿宋_GB2312" w:eastAsia="仿宋_GB2312" w:cs="仿宋_GB2312"/>
          <w:bCs/>
          <w:sz w:val="32"/>
        </w:rPr>
        <w:t>2</w:t>
      </w:r>
      <w:r>
        <w:rPr>
          <w:rFonts w:ascii="仿宋_GB2312" w:eastAsia="仿宋_GB2312" w:cs="仿宋_GB2312" w:hint="eastAsia"/>
          <w:bCs/>
          <w:sz w:val="32"/>
          <w:lang w:val="en-US" w:eastAsia="zh-CN"/>
        </w:rPr>
        <w:t>1</w:t>
      </w:r>
      <w:r>
        <w:rPr>
          <w:rFonts w:ascii="仿宋_GB2312" w:eastAsia="仿宋_GB2312" w:cs="仿宋_GB2312" w:hint="eastAsia"/>
          <w:bCs/>
          <w:sz w:val="32"/>
        </w:rPr>
        <w:t>年有</w:t>
      </w:r>
      <w:r>
        <w:rPr>
          <w:rFonts w:ascii="仿宋_GB2312" w:eastAsia="仿宋_GB2312" w:cs="仿宋_GB2312" w:hint="eastAsia"/>
          <w:bCs/>
          <w:sz w:val="32"/>
          <w:lang w:val="en-US" w:eastAsia="zh-CN"/>
        </w:rPr>
        <w:t>4</w:t>
      </w:r>
      <w:r>
        <w:rPr>
          <w:rFonts w:ascii="仿宋_GB2312" w:eastAsia="仿宋_GB2312" w:cs="仿宋_GB2312" w:hint="eastAsia"/>
          <w:bCs/>
          <w:sz w:val="32"/>
        </w:rPr>
        <w:t>个机构，</w:t>
      </w:r>
      <w:r>
        <w:rPr>
          <w:rFonts w:ascii="仿宋_GB2312" w:eastAsia="仿宋_GB2312" w:cs="仿宋_GB2312" w:hint="eastAsia"/>
          <w:bCs/>
          <w:sz w:val="32"/>
          <w:lang w:eastAsia="zh-CN"/>
        </w:rPr>
        <w:t>由乡人民政府办公室、乡人办公室、乡党委办公室、乡综合服务中心，设统一核算机构为</w:t>
      </w:r>
      <w:r>
        <w:rPr>
          <w:rFonts w:ascii="仿宋_GB2312" w:eastAsia="仿宋_GB2312" w:cs="仿宋_GB2312" w:hint="eastAsia"/>
          <w:bCs/>
          <w:sz w:val="32"/>
          <w:lang w:val="en-US" w:eastAsia="zh-CN"/>
        </w:rPr>
        <w:t>1个，独立编制机构1个，其中：公务员编制21个，事业编制14个，机关工勤2个，</w:t>
      </w:r>
      <w:r>
        <w:rPr>
          <w:rFonts w:ascii="仿宋_GB2312" w:eastAsia="仿宋_GB2312" w:cs="仿宋_GB2312" w:hint="eastAsia"/>
          <w:bCs/>
          <w:sz w:val="32"/>
        </w:rPr>
        <w:t>较上年无变动。我乡本年度年末实有人数为</w:t>
      </w:r>
      <w:r>
        <w:rPr>
          <w:rFonts w:ascii="仿宋_GB2312" w:eastAsia="仿宋_GB2312" w:cs="仿宋_GB2312" w:hint="eastAsia"/>
          <w:bCs/>
          <w:sz w:val="32"/>
          <w:lang w:val="en-US" w:eastAsia="zh-CN"/>
        </w:rPr>
        <w:t>35</w:t>
      </w:r>
      <w:r>
        <w:rPr>
          <w:rFonts w:ascii="仿宋_GB2312" w:eastAsia="仿宋_GB2312" w:cs="仿宋_GB2312" w:hint="eastAsia"/>
          <w:bCs/>
          <w:sz w:val="32"/>
        </w:rPr>
        <w:t>人，比上年</w:t>
      </w:r>
      <w:r>
        <w:rPr>
          <w:rFonts w:ascii="仿宋_GB2312" w:eastAsia="仿宋_GB2312" w:cs="仿宋_GB2312" w:hint="eastAsia"/>
          <w:bCs/>
          <w:sz w:val="32"/>
          <w:lang w:val="en-US" w:eastAsia="zh-CN"/>
        </w:rPr>
        <w:t>行政人员增加1</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事业人员增加6人，由于编制空缺，有人员新进及调进</w:t>
      </w:r>
      <w:r>
        <w:rPr>
          <w:rFonts w:ascii="仿宋_GB2312" w:eastAsia="仿宋_GB2312" w:cs="仿宋_GB2312" w:hint="eastAsia"/>
          <w:bCs/>
          <w:sz w:val="32"/>
        </w:rPr>
        <w:t>；年末实有离退休人数为1人，</w:t>
      </w:r>
      <w:r>
        <w:rPr>
          <w:rFonts w:ascii="仿宋_GB2312" w:eastAsia="仿宋_GB2312" w:cs="仿宋_GB2312" w:hint="eastAsia"/>
          <w:bCs/>
          <w:sz w:val="32"/>
          <w:lang w:val="en-US" w:eastAsia="zh-CN"/>
        </w:rPr>
        <w:t>无变动</w:t>
      </w:r>
      <w:r>
        <w:rPr>
          <w:rFonts w:ascii="仿宋_GB2312" w:eastAsia="仿宋_GB2312" w:cs="仿宋_GB2312" w:hint="eastAsia"/>
          <w:bCs/>
          <w:sz w:val="32"/>
        </w:rPr>
        <w:t>。（行政人员</w:t>
      </w:r>
      <w:r>
        <w:rPr>
          <w:rFonts w:ascii="仿宋_GB2312" w:eastAsia="仿宋_GB2312" w:cs="仿宋_GB2312" w:hint="eastAsia"/>
          <w:bCs/>
          <w:sz w:val="32"/>
          <w:lang w:val="en-US" w:eastAsia="zh-CN"/>
        </w:rPr>
        <w:t>21</w:t>
      </w:r>
      <w:r>
        <w:rPr>
          <w:rFonts w:ascii="仿宋_GB2312" w:eastAsia="仿宋_GB2312" w:cs="仿宋_GB2312" w:hint="eastAsia"/>
          <w:bCs/>
          <w:sz w:val="32"/>
        </w:rPr>
        <w:t>，机关工勤1人，事业人员</w:t>
      </w:r>
      <w:r>
        <w:rPr>
          <w:rFonts w:ascii="仿宋_GB2312" w:eastAsia="仿宋_GB2312" w:cs="仿宋_GB2312" w:hint="eastAsia"/>
          <w:bCs/>
          <w:sz w:val="32"/>
          <w:lang w:val="en-US" w:eastAsia="zh-CN"/>
        </w:rPr>
        <w:t>13</w:t>
      </w:r>
      <w:r>
        <w:rPr>
          <w:rFonts w:ascii="仿宋_GB2312" w:eastAsia="仿宋_GB2312" w:cs="仿宋_GB2312" w:hint="eastAsia"/>
          <w:bCs/>
          <w:sz w:val="32"/>
        </w:rPr>
        <w:t>人）。</w:t>
      </w:r>
    </w:p>
    <w:p>
      <w:pPr>
        <w:snapToGrid w:val="0"/>
        <w:spacing w:line="360" w:lineRule="auto"/>
        <w:ind w:firstLineChars="200" w:firstLine="640"/>
        <w:rPr>
          <w:rFonts w:ascii="仿宋_GB2312" w:eastAsia="仿宋_GB2312"/>
          <w:sz w:val="32"/>
          <w:szCs w:val="32"/>
        </w:rPr>
      </w:pPr>
    </w:p>
    <w:p>
      <w:pPr>
        <w:pStyle w:val="1"/>
        <w:ind w:right="440"/>
        <w:jc w:val="right"/>
      </w:pPr>
      <w:bookmarkStart w:id="29" w:name="_Toc327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b w:val="0"/>
          <w:bCs w:val="0"/>
        </w:rPr>
        <w:t>202</w:t>
      </w:r>
      <w:r>
        <w:rPr>
          <w:rStyle w:val="1Char"/>
          <w:rFonts w:ascii="黑体" w:eastAsia="黑体" w:hint="eastAsia"/>
          <w:b w:val="0"/>
          <w:bCs w:val="0"/>
          <w:lang w:val="en-US"/>
        </w:rPr>
        <w:t>1</w:t>
      </w:r>
      <w:r>
        <w:rPr>
          <w:rStyle w:val="1Char"/>
          <w:rFonts w:ascii="黑体" w:eastAsia="黑体" w:hint="eastAsia"/>
          <w:b w:val="0"/>
          <w:bCs w:val="0"/>
        </w:rPr>
        <w:t>年度部门决算情况说明</w:t>
      </w:r>
      <w:bookmarkEnd w:id="28"/>
      <w:bookmarkEnd w:id="29"/>
    </w:p>
    <w:p>
      <w:pPr>
        <w:pStyle w:val="31"/>
        <w:numPr>
          <w:ilvl w:val="0"/>
          <w:numId w:val="1"/>
        </w:numPr>
        <w:ind w:left="0" w:firstLineChars="0" w:firstLine="0"/>
        <w:outlineLvl w:val="1"/>
        <w:rPr>
          <w:rStyle w:val="2Char"/>
          <w:rFonts w:ascii="黑体" w:eastAsia="黑体"/>
          <w:b w:val="0"/>
        </w:rPr>
      </w:pPr>
      <w:bookmarkStart w:id="30" w:name="_Toc14461"/>
      <w:bookmarkStart w:id="31"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30"/>
      <w:bookmarkEnd w:id="31"/>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年度总收入</w:t>
      </w:r>
      <w:r>
        <w:rPr>
          <w:rFonts w:ascii="仿宋_GB2312" w:eastAsia="仿宋_GB2312" w:hint="eastAsia"/>
          <w:color w:val="000000"/>
          <w:sz w:val="32"/>
          <w:szCs w:val="32"/>
          <w:shd w:val="clear" w:color="auto" w:fill="FFFFFF"/>
          <w14:textFill>
            <w14:solidFill>
              <w14:srgbClr w14:val="000000"/>
            </w14:solidFill>
          </w14:textFill>
          <w:lang w:val="en-US" w:eastAsia="zh-CN"/>
        </w:rPr>
        <w:t>1017.53</w:t>
      </w:r>
      <w:r>
        <w:rPr>
          <w:rFonts w:ascii="仿宋_GB2312" w:eastAsia="仿宋_GB2312" w:hint="eastAsia"/>
          <w:color w:val="000000"/>
          <w:spacing w:val="-2"/>
          <w:sz w:val="32"/>
          <w:szCs w:val="32"/>
        </w:rPr>
        <w:t>万元，较上年收入增加</w:t>
      </w:r>
      <w:r>
        <w:rPr>
          <w:rFonts w:ascii="仿宋_GB2312" w:eastAsia="仿宋_GB2312" w:hint="eastAsia"/>
          <w:color w:val="000000"/>
          <w:spacing w:val="-2"/>
          <w:sz w:val="32"/>
          <w:szCs w:val="32"/>
          <w:lang w:val="en-US" w:eastAsia="zh-CN"/>
        </w:rPr>
        <w:t>281.75</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38.29</w:t>
      </w:r>
      <w:r>
        <w:rPr>
          <w:rFonts w:ascii="仿宋_GB2312" w:eastAsia="仿宋_GB2312" w:hint="eastAsia"/>
          <w:color w:val="000000"/>
          <w:spacing w:val="-2"/>
          <w:sz w:val="32"/>
          <w:szCs w:val="32"/>
        </w:rPr>
        <w:t>%。增加的主要原因是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年人员增加，工资变动。</w:t>
      </w:r>
    </w:p>
    <w:p>
      <w:pPr>
        <w:snapToGrid w:val="0"/>
        <w:spacing w:line="520" w:lineRule="exact"/>
        <w:ind w:firstLineChars="200" w:firstLine="632"/>
        <w:rPr>
          <w:rFonts w:ascii="仿宋" w:eastAsia="仿宋"/>
          <w:sz w:val="32"/>
          <w:szCs w:val="32"/>
        </w:rPr>
      </w:pP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年总支出</w:t>
      </w:r>
      <w:r>
        <w:rPr>
          <w:rFonts w:ascii="仿宋_GB2312" w:eastAsia="仿宋_GB2312" w:hint="eastAsia"/>
          <w:spacing w:val="-2"/>
          <w:sz w:val="32"/>
          <w:szCs w:val="32"/>
          <w:lang w:val="en-US" w:eastAsia="zh-CN"/>
        </w:rPr>
        <w:t>1071.07</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增加395.3</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增加58.5</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308610</wp:posOffset>
            </wp:positionH>
            <wp:positionV relativeFrom="paragraph">
              <wp:posOffset>45720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8"/>
              </a:graphicData>
            </a:graphic>
          </wp:anchor>
        </w:drawing>
      </w:r>
      <w:bookmarkStart w:id="32" w:name="_Toc15377206"/>
      <w:r>
        <w:rPr>
          <w:rFonts w:ascii="黑体" w:eastAsia="黑体" w:hint="eastAsia"/>
          <w:color w:val="000000"/>
          <w:sz w:val="32"/>
          <w:szCs w:val="32"/>
        </w:rPr>
        <w:t>二、收入决</w:t>
      </w:r>
      <w:r>
        <w:rPr>
          <w:rStyle w:val="2Char"/>
          <w:rFonts w:ascii="黑体" w:eastAsia="黑体" w:hint="eastAsia"/>
          <w:b w:val="0"/>
        </w:rPr>
        <w:t>算情况说明</w:t>
      </w:r>
      <w:bookmarkEnd w:id="32"/>
    </w:p>
    <w:p>
      <w:pPr>
        <w:spacing w:line="600" w:lineRule="exact"/>
        <w:ind w:firstLineChars="200" w:firstLine="640"/>
        <w:outlineLvl w:val="1"/>
        <w:rPr>
          <w:rFonts w:ascii="仿宋" w:eastAsia="仿宋"/>
          <w:color w:val="000000"/>
          <w:sz w:val="32"/>
          <w:szCs w:val="32"/>
        </w:rPr>
      </w:pPr>
      <w:bookmarkStart w:id="33" w:name="_Toc22912"/>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年总收入</w:t>
      </w:r>
      <w:r>
        <w:rPr>
          <w:rFonts w:ascii="仿宋_GB2312" w:eastAsia="仿宋" w:hAnsi="仿宋_GB2312" w:hint="eastAsia"/>
          <w:color w:val="000000"/>
          <w:sz w:val="32"/>
          <w:szCs w:val="32"/>
          <w:shd w:val="clear" w:color="auto" w:fill="FFFFFF"/>
          <w14:textFill>
            <w14:solidFill>
              <w14:srgbClr w14:val="000000"/>
            </w14:solidFill>
          </w14:textFill>
          <w:lang w:val="en-US" w:eastAsia="zh-CN"/>
        </w:rPr>
        <w:t>1017.53</w:t>
      </w:r>
      <w:r>
        <w:rPr>
          <w:rFonts w:ascii="仿宋" w:eastAsia="仿宋" w:hint="eastAsia"/>
          <w:color w:val="000000"/>
          <w:sz w:val="32"/>
          <w:szCs w:val="32"/>
        </w:rPr>
        <w:t>万元，其中：一般公共预算财政拨款收入</w:t>
      </w:r>
      <w:r>
        <w:rPr>
          <w:rFonts w:ascii="仿宋_GB2312" w:eastAsia="仿宋" w:hAnsi="仿宋_GB2312" w:hint="eastAsia"/>
          <w:color w:val="000000"/>
          <w:sz w:val="32"/>
          <w:szCs w:val="32"/>
          <w:shd w:val="clear" w:color="auto" w:fill="FFFFFF"/>
          <w14:textFill>
            <w14:solidFill>
              <w14:srgbClr w14:val="000000"/>
            </w14:solidFill>
          </w14:textFill>
          <w:lang w:val="en-US" w:eastAsia="zh-CN"/>
        </w:rPr>
        <w:t>1017.53</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33"/>
    </w:p>
    <w:p>
      <w:pPr>
        <w:spacing w:line="600" w:lineRule="exact"/>
        <w:ind w:firstLineChars="200" w:firstLine="640"/>
        <w:outlineLvl w:val="1"/>
        <w:rPr>
          <w:rStyle w:val="2Char"/>
          <w:rFonts w:ascii="黑体" w:eastAsia="黑体"/>
          <w:b w:val="0"/>
        </w:rPr>
      </w:pPr>
      <w:bookmarkStart w:id="34" w:name="_Toc4194"/>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177165</wp:posOffset>
            </wp:positionH>
            <wp:positionV relativeFrom="paragraph">
              <wp:posOffset>134620</wp:posOffset>
            </wp:positionV>
            <wp:extent cx="5373369"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9"/>
              </a:graphicData>
            </a:graphic>
          </wp:anchor>
        </w:drawing>
      </w:r>
      <w:bookmarkStart w:id="35" w:name="_Toc15377207"/>
      <w:r>
        <w:rPr>
          <w:rFonts w:ascii="黑体" w:eastAsia="黑体" w:hint="eastAsia"/>
          <w:color w:val="000000"/>
          <w:sz w:val="32"/>
          <w:szCs w:val="32"/>
        </w:rPr>
        <w:t>三、支出决</w:t>
      </w:r>
      <w:r>
        <w:rPr>
          <w:rStyle w:val="2Char"/>
          <w:rFonts w:ascii="黑体" w:eastAsia="黑体" w:hint="eastAsia"/>
          <w:b w:val="0"/>
        </w:rPr>
        <w:t>算情况说明</w:t>
      </w:r>
      <w:bookmarkEnd w:id="34"/>
      <w:bookmarkEnd w:id="35"/>
    </w:p>
    <w:p>
      <w:pPr>
        <w:spacing w:line="600" w:lineRule="exact"/>
        <w:ind w:firstLine="640"/>
        <w:rPr>
          <w:rFonts w:ascii="仿宋" w:eastAsia="仿宋" w:hint="eastAsia"/>
          <w:color w:val="000000"/>
          <w:sz w:val="32"/>
          <w:szCs w:val="32"/>
          <w:lang w:val="en-US" w:eastAsia="zh-CN"/>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年本年总支出</w:t>
      </w:r>
      <w:r>
        <w:rPr>
          <w:rFonts w:ascii="仿宋" w:eastAsia="仿宋" w:hint="eastAsia"/>
          <w:color w:val="000000"/>
          <w:sz w:val="32"/>
          <w:szCs w:val="32"/>
          <w:lang w:val="en-US" w:eastAsia="zh-CN"/>
        </w:rPr>
        <w:t>1071.07</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625.29</w:t>
      </w:r>
      <w:r>
        <w:rPr>
          <w:rFonts w:ascii="仿宋" w:eastAsia="仿宋" w:hint="eastAsia"/>
          <w:color w:val="000000"/>
          <w:sz w:val="32"/>
          <w:szCs w:val="32"/>
        </w:rPr>
        <w:t>万元，占</w:t>
      </w:r>
      <w:r>
        <w:rPr>
          <w:rFonts w:ascii="仿宋" w:eastAsia="仿宋" w:hint="eastAsia"/>
          <w:color w:val="000000"/>
          <w:sz w:val="32"/>
          <w:szCs w:val="32"/>
          <w:lang w:val="en-US" w:eastAsia="zh-CN"/>
        </w:rPr>
        <w:t>58.38</w:t>
      </w:r>
      <w:r>
        <w:rPr>
          <w:rFonts w:ascii="仿宋" w:eastAsia="仿宋" w:hint="eastAsia"/>
          <w:color w:val="000000"/>
          <w:sz w:val="32"/>
          <w:szCs w:val="32"/>
        </w:rPr>
        <w:t>%；项目支出</w:t>
      </w:r>
      <w:r>
        <w:rPr>
          <w:rFonts w:ascii="仿宋" w:eastAsia="仿宋" w:hint="eastAsia"/>
          <w:color w:val="000000"/>
          <w:sz w:val="32"/>
          <w:szCs w:val="32"/>
          <w:lang w:val="en-US" w:eastAsia="zh-CN"/>
        </w:rPr>
        <w:t>392.24</w:t>
      </w:r>
      <w:r>
        <w:rPr>
          <w:rFonts w:ascii="仿宋" w:eastAsia="仿宋" w:hint="eastAsia"/>
          <w:color w:val="000000"/>
          <w:sz w:val="32"/>
          <w:szCs w:val="32"/>
        </w:rPr>
        <w:t>万元，占</w:t>
      </w:r>
      <w:r>
        <w:rPr>
          <w:rFonts w:ascii="仿宋" w:eastAsia="仿宋" w:hint="eastAsia"/>
          <w:color w:val="000000"/>
          <w:sz w:val="32"/>
          <w:szCs w:val="32"/>
          <w:lang w:val="en-US" w:eastAsia="zh-CN"/>
        </w:rPr>
        <w:t>36.62</w:t>
      </w:r>
      <w:r>
        <w:rPr>
          <w:rFonts w:ascii="仿宋" w:eastAsia="仿宋" w:hint="eastAsia"/>
          <w:color w:val="000000"/>
          <w:sz w:val="32"/>
          <w:szCs w:val="32"/>
        </w:rPr>
        <w:t>%；</w:t>
      </w:r>
      <w:r>
        <w:rPr>
          <w:rFonts w:ascii="仿宋" w:eastAsia="仿宋" w:hint="eastAsia"/>
          <w:color w:val="000000"/>
          <w:sz w:val="32"/>
          <w:szCs w:val="32"/>
          <w:lang w:val="en-US" w:eastAsia="zh-CN"/>
        </w:rPr>
        <w:t>项目支出结余和结转为53.54万员，占5%。</w:t>
      </w:r>
    </w:p>
    <w:p>
      <w:pPr>
        <w:pStyle w:val="15"/>
        <w:rPr>
          <w:lang w:val="en-US"/>
        </w:rPr>
      </w:pPr>
      <w:r>
        <w:rPr>
          <w:rFonts w:ascii="黑体" w:eastAsia="黑体" w:hint="eastAsia"/>
          <w:color w:val="000000"/>
          <w:sz w:val="32"/>
          <w:szCs w:val="32"/>
        </w:rPr>
        <w:drawing>
          <wp:anchor distT="0" distB="0" distL="114300" distR="114300" simplePos="0" relativeHeight="22" behindDoc="0" locked="0" layoutInCell="1" hidden="0" allowOverlap="1">
            <wp:simplePos x="0" y="0"/>
            <wp:positionH relativeFrom="column">
              <wp:posOffset>-167639</wp:posOffset>
            </wp:positionH>
            <wp:positionV relativeFrom="paragraph">
              <wp:posOffset>501015</wp:posOffset>
            </wp:positionV>
            <wp:extent cx="5373369" cy="2648584"/>
            <wp:effectExtent l="0" t="0" r="0" b="0"/>
            <wp:wrapTopAndBottom/>
            <wp:docPr id="3" name="图表 5"/>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Chars="200" w:firstLine="640"/>
        <w:outlineLvl w:val="1"/>
        <w:rPr>
          <w:rStyle w:val="2Char"/>
          <w:rFonts w:ascii="黑体" w:eastAsia="黑体"/>
          <w:b w:val="0"/>
        </w:rPr>
      </w:pPr>
      <w:bookmarkStart w:id="36" w:name="_Toc27948"/>
      <w:bookmarkStart w:id="37"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6"/>
      <w:bookmarkEnd w:id="37"/>
    </w:p>
    <w:p>
      <w:pPr>
        <w:snapToGrid w:val="0"/>
        <w:spacing w:line="520" w:lineRule="exact"/>
        <w:ind w:firstLineChars="200" w:firstLine="640"/>
        <w:rPr>
          <w:rFonts w:ascii="仿宋_GB2312" w:eastAsia="仿宋_GB2312"/>
          <w:color w:val="000000"/>
          <w:spacing w:val="-2"/>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年财政拨款收入</w:t>
      </w:r>
      <w:r>
        <w:rPr>
          <w:rFonts w:ascii="仿宋" w:eastAsia="仿宋" w:hint="eastAsia"/>
          <w:color w:val="000000"/>
          <w:sz w:val="32"/>
          <w:szCs w:val="32"/>
          <w:lang w:val="en-US" w:eastAsia="zh-CN"/>
        </w:rPr>
        <w:t>1017.53</w:t>
      </w:r>
      <w:r>
        <w:rPr>
          <w:rFonts w:ascii="仿宋" w:eastAsia="仿宋" w:hint="eastAsia"/>
          <w:color w:val="000000"/>
          <w:sz w:val="32"/>
          <w:szCs w:val="32"/>
        </w:rPr>
        <w:t>万元。与</w:t>
      </w:r>
      <w:r>
        <w:rPr>
          <w:rFonts w:ascii="仿宋" w:eastAsia="仿宋" w:hint="eastAsia"/>
          <w:color w:val="000000"/>
          <w:sz w:val="32"/>
          <w:szCs w:val="32"/>
          <w:lang w:val="en-US" w:eastAsia="zh-CN"/>
        </w:rPr>
        <w:t>2020</w:t>
      </w:r>
      <w:r>
        <w:rPr>
          <w:rFonts w:ascii="仿宋" w:eastAsia="仿宋" w:hint="eastAsia"/>
          <w:color w:val="000000"/>
          <w:sz w:val="32"/>
          <w:szCs w:val="32"/>
        </w:rPr>
        <w:t>年相比，一般公共预算财政拨款收入</w:t>
      </w:r>
      <w:r>
        <w:rPr>
          <w:rFonts w:ascii="仿宋_GB2312" w:eastAsia="仿宋_GB2312" w:hint="eastAsia"/>
          <w:color w:val="000000"/>
          <w:spacing w:val="-2"/>
          <w:sz w:val="32"/>
          <w:szCs w:val="32"/>
        </w:rPr>
        <w:t>较上年收入增加</w:t>
      </w:r>
      <w:r>
        <w:rPr>
          <w:rFonts w:ascii="仿宋_GB2312" w:eastAsia="仿宋_GB2312" w:hint="eastAsia"/>
          <w:color w:val="000000"/>
          <w:spacing w:val="-2"/>
          <w:sz w:val="32"/>
          <w:szCs w:val="32"/>
          <w:lang w:val="en-US" w:eastAsia="zh-CN"/>
        </w:rPr>
        <w:t>281.75</w:t>
      </w:r>
      <w:r>
        <w:rPr>
          <w:rFonts w:ascii="仿宋_GB2312" w:eastAsia="仿宋_GB2312" w:hint="eastAsia"/>
          <w:color w:val="000000"/>
          <w:spacing w:val="-2"/>
          <w:sz w:val="32"/>
          <w:szCs w:val="32"/>
        </w:rPr>
        <w:t>万元</w:t>
      </w:r>
      <w:r>
        <w:rPr>
          <w:rFonts w:ascii="仿宋" w:eastAsia="仿宋" w:hint="eastAsia"/>
          <w:color w:val="000000"/>
          <w:sz w:val="32"/>
          <w:szCs w:val="32"/>
        </w:rPr>
        <w:t>，</w:t>
      </w:r>
      <w:r>
        <w:rPr>
          <w:rFonts w:ascii="仿宋_GB2312" w:eastAsia="仿宋_GB2312" w:hint="eastAsia"/>
          <w:color w:val="000000"/>
          <w:spacing w:val="-2"/>
          <w:sz w:val="32"/>
          <w:szCs w:val="32"/>
        </w:rPr>
        <w:t>增加</w:t>
      </w:r>
      <w:r>
        <w:rPr>
          <w:rFonts w:ascii="仿宋_GB2312" w:eastAsia="仿宋_GB2312" w:hint="eastAsia"/>
          <w:color w:val="000000"/>
          <w:spacing w:val="-2"/>
          <w:sz w:val="32"/>
          <w:szCs w:val="32"/>
          <w:lang w:val="en-US" w:eastAsia="zh-CN"/>
        </w:rPr>
        <w:t>38.29</w:t>
      </w:r>
      <w:r>
        <w:rPr>
          <w:rFonts w:ascii="仿宋_GB2312" w:eastAsia="仿宋_GB2312" w:hint="eastAsia"/>
          <w:color w:val="000000"/>
          <w:spacing w:val="-2"/>
          <w:sz w:val="32"/>
          <w:szCs w:val="32"/>
        </w:rPr>
        <w:t>%。增加的主要原因是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年人员增加，工资变动。</w:t>
      </w:r>
    </w:p>
    <w:p>
      <w:pPr>
        <w:spacing w:line="600" w:lineRule="exact"/>
        <w:ind w:firstLineChars="200" w:firstLine="632"/>
        <w:rPr>
          <w:rFonts w:ascii="仿宋_GB2312" w:eastAsia="仿宋_GB2312" w:hint="eastAsia"/>
          <w:spacing w:val="-2"/>
          <w:sz w:val="32"/>
          <w:szCs w:val="32"/>
        </w:rPr>
      </w:pPr>
      <w:r>
        <w:rPr>
          <w:rFonts w:ascii="仿宋_GB2312" w:eastAsia="仿宋_GB2312" w:hint="eastAsia"/>
          <w:spacing w:val="-2"/>
          <w:sz w:val="32"/>
          <w:szCs w:val="32"/>
          <w:lang w:val="en-US" w:eastAsia="zh-CN"/>
        </w:rPr>
        <w:t>1071.07</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增加395.3</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增加58.5</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11"/>
              </a:graphicData>
            </a:graphic>
          </wp:anchor>
        </w:drawing>
      </w:r>
      <w:bookmarkStart w:id="38"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8"/>
    </w:p>
    <w:p>
      <w:pPr>
        <w:spacing w:line="600" w:lineRule="exact"/>
        <w:ind w:firstLineChars="200" w:firstLine="640"/>
        <w:outlineLvl w:val="2"/>
        <w:rPr>
          <w:rFonts w:ascii="仿宋" w:eastAsia="仿宋"/>
          <w:b/>
          <w:color w:val="000000"/>
          <w:sz w:val="32"/>
          <w:szCs w:val="32"/>
        </w:rPr>
      </w:pPr>
      <w:bookmarkStart w:id="39" w:name="_Toc15377210"/>
      <w:r>
        <w:rPr>
          <w:rFonts w:ascii="仿宋" w:eastAsia="仿宋" w:hint="eastAsia"/>
          <w:b/>
          <w:color w:val="000000"/>
          <w:sz w:val="32"/>
          <w:szCs w:val="32"/>
        </w:rPr>
        <w:t>（一）一般公共预算财政拨款支出决算总体情况</w:t>
      </w:r>
      <w:bookmarkEnd w:id="39"/>
    </w:p>
    <w:p>
      <w:pPr>
        <w:spacing w:line="600" w:lineRule="exact"/>
        <w:ind w:firstLineChars="200" w:firstLine="640"/>
        <w:rPr>
          <w:rFonts w:ascii="仿宋_GB2312" w:eastAsia="仿宋_GB2312"/>
          <w:spacing w:val="-2"/>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w:t>
      </w:r>
      <w:r>
        <w:rPr>
          <w:rFonts w:ascii="仿宋_GB2312" w:eastAsia="仿宋_GB2312" w:hint="eastAsia"/>
          <w:spacing w:val="-2"/>
          <w:sz w:val="32"/>
          <w:szCs w:val="32"/>
        </w:rPr>
        <w:t>一般公共预算财政拨款支出</w:t>
      </w:r>
      <w:r>
        <w:rPr>
          <w:rFonts w:ascii="仿宋_GB2312" w:eastAsia="仿宋_GB2312" w:hint="eastAsia"/>
          <w:spacing w:val="-2"/>
          <w:sz w:val="32"/>
          <w:szCs w:val="32"/>
          <w:lang w:val="en-US" w:eastAsia="zh-CN"/>
        </w:rPr>
        <w:t>1071.53</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val="en-US" w:eastAsia="zh-CN"/>
        </w:rPr>
        <w:t>2020</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支出较上年支出</w:t>
      </w:r>
      <w:r>
        <w:rPr>
          <w:rFonts w:ascii="仿宋_GB2312" w:eastAsia="仿宋_GB2312" w:hint="eastAsia"/>
          <w:spacing w:val="-2"/>
          <w:sz w:val="32"/>
          <w:szCs w:val="32"/>
          <w:lang w:val="en-US" w:eastAsia="zh-CN"/>
        </w:rPr>
        <w:t>增加395.3</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增加58.5</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numPr>
          <w:ilvl w:val="0"/>
          <w:numId w:val="2"/>
        </w:numPr>
        <w:spacing w:line="600" w:lineRule="exact"/>
        <w:ind w:left="0" w:firstLineChars="200" w:firstLine="640"/>
        <w:outlineLvl w:val="2"/>
        <w:rPr>
          <w:rFonts w:ascii="仿宋" w:eastAsia="仿宋"/>
          <w:b/>
          <w:color w:val="000000"/>
          <w:sz w:val="32"/>
          <w:szCs w:val="32"/>
        </w:rPr>
      </w:pPr>
      <w:bookmarkStart w:id="40" w:name="_Toc15377211"/>
      <w:r>
        <w:rPr>
          <w:rFonts w:ascii="仿宋" w:eastAsia="仿宋" w:hint="eastAsia"/>
          <w:b/>
          <w:color w:val="000000"/>
          <w:sz w:val="32"/>
          <w:szCs w:val="32"/>
        </w:rPr>
        <w:t>一般公共预算财政拨款支出决算结构情况</w:t>
      </w:r>
      <w:bookmarkEnd w:id="40"/>
    </w:p>
    <w:p>
      <w:pPr>
        <w:spacing w:line="600" w:lineRule="exact"/>
        <w:ind w:firstLineChars="200" w:firstLine="640"/>
        <w:outlineLvl w:val="2"/>
        <w:rPr>
          <w:rFonts w:ascii="仿宋" w:eastAsia="仿宋"/>
          <w:bCs/>
          <w:color w:val="000000"/>
          <w:sz w:val="32"/>
          <w:szCs w:val="32"/>
        </w:rPr>
      </w:pPr>
      <w:r>
        <w:rPr>
          <w:rFonts w:ascii="仿宋" w:eastAsia="仿宋"/>
          <w:bCs/>
          <w:color w:val="000000"/>
          <w:sz w:val="32"/>
          <w:szCs w:val="32"/>
        </w:rPr>
        <w:t>202</w:t>
      </w:r>
      <w:r>
        <w:rPr>
          <w:rFonts w:ascii="仿宋" w:eastAsia="仿宋" w:hint="eastAsia"/>
          <w:bCs/>
          <w:color w:val="000000"/>
          <w:sz w:val="32"/>
          <w:szCs w:val="32"/>
          <w:lang w:val="en-US" w:eastAsia="zh-CN"/>
        </w:rPr>
        <w:t>1</w:t>
      </w:r>
      <w:r>
        <w:rPr>
          <w:rFonts w:ascii="仿宋" w:eastAsia="仿宋" w:hint="eastAsia"/>
          <w:bCs/>
          <w:color w:val="000000"/>
          <w:sz w:val="32"/>
          <w:szCs w:val="32"/>
        </w:rPr>
        <w:t>年一般公共预算财政拨款支出为</w:t>
      </w:r>
      <w:r>
        <w:rPr>
          <w:rFonts w:ascii="仿宋" w:eastAsia="仿宋" w:hint="eastAsia"/>
          <w:bCs/>
          <w:color w:val="000000"/>
          <w:sz w:val="32"/>
          <w:szCs w:val="32"/>
          <w:lang w:val="en-US" w:eastAsia="zh-CN"/>
        </w:rPr>
        <w:t>1071.07</w:t>
      </w:r>
      <w:r>
        <w:rPr>
          <w:rFonts w:ascii="仿宋" w:eastAsia="仿宋" w:hint="eastAsia"/>
          <w:bCs/>
          <w:color w:val="000000"/>
          <w:sz w:val="32"/>
          <w:szCs w:val="32"/>
        </w:rPr>
        <w:t>万元。其中：一般公共服务支出为</w:t>
      </w:r>
      <w:r>
        <w:rPr>
          <w:rFonts w:ascii="仿宋" w:eastAsia="仿宋" w:hint="eastAsia"/>
          <w:bCs/>
          <w:color w:val="000000"/>
          <w:sz w:val="32"/>
          <w:szCs w:val="32"/>
          <w:lang w:val="en-US" w:eastAsia="zh-CN"/>
        </w:rPr>
        <w:t>383.45</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35.8</w:t>
      </w:r>
      <w:r>
        <w:rPr>
          <w:rFonts w:ascii="仿宋" w:eastAsia="仿宋" w:hint="eastAsia"/>
          <w:bCs/>
          <w:color w:val="000000"/>
          <w:sz w:val="32"/>
          <w:szCs w:val="32"/>
        </w:rPr>
        <w:t>%；社会保障和就业支出为</w:t>
      </w:r>
      <w:r>
        <w:rPr>
          <w:rFonts w:ascii="仿宋" w:eastAsia="仿宋" w:hint="eastAsia"/>
          <w:bCs/>
          <w:color w:val="000000"/>
          <w:sz w:val="32"/>
          <w:szCs w:val="32"/>
          <w:lang w:val="en-US" w:eastAsia="zh-CN"/>
        </w:rPr>
        <w:t>66.11</w:t>
      </w:r>
      <w:r>
        <w:rPr>
          <w:rFonts w:ascii="仿宋" w:eastAsia="仿宋" w:hint="eastAsia"/>
          <w:bCs/>
          <w:color w:val="000000"/>
          <w:sz w:val="32"/>
          <w:szCs w:val="32"/>
        </w:rPr>
        <w:t>万元，占比</w:t>
      </w:r>
      <w:r>
        <w:rPr>
          <w:rFonts w:ascii="仿宋" w:eastAsia="仿宋" w:hint="eastAsia"/>
          <w:bCs/>
          <w:color w:val="000000"/>
          <w:sz w:val="32"/>
          <w:szCs w:val="32"/>
          <w:lang w:val="en-US" w:eastAsia="zh-CN"/>
        </w:rPr>
        <w:t>6.17</w:t>
      </w:r>
      <w:r>
        <w:rPr>
          <w:rFonts w:ascii="仿宋" w:eastAsia="仿宋" w:hint="eastAsia"/>
          <w:bCs/>
          <w:color w:val="000000"/>
          <w:sz w:val="32"/>
          <w:szCs w:val="32"/>
        </w:rPr>
        <w:t>%；卫生健康支出为</w:t>
      </w:r>
      <w:r>
        <w:rPr>
          <w:rFonts w:ascii="仿宋" w:eastAsia="仿宋" w:hint="eastAsia"/>
          <w:bCs/>
          <w:color w:val="000000"/>
          <w:sz w:val="32"/>
          <w:szCs w:val="32"/>
          <w:lang w:val="en-US" w:eastAsia="zh-CN"/>
        </w:rPr>
        <w:t>28.01</w:t>
      </w:r>
      <w:r>
        <w:rPr>
          <w:rFonts w:ascii="仿宋" w:eastAsia="仿宋" w:hint="eastAsia"/>
          <w:bCs/>
          <w:color w:val="000000"/>
          <w:sz w:val="32"/>
          <w:szCs w:val="32"/>
        </w:rPr>
        <w:t>万元，占比</w:t>
      </w:r>
      <w:r>
        <w:rPr>
          <w:rFonts w:ascii="仿宋" w:eastAsia="仿宋" w:hint="eastAsia"/>
          <w:bCs/>
          <w:color w:val="000000"/>
          <w:sz w:val="32"/>
          <w:szCs w:val="32"/>
          <w:lang w:val="en-US" w:eastAsia="zh-CN"/>
        </w:rPr>
        <w:t>2.61</w:t>
      </w:r>
      <w:r>
        <w:rPr>
          <w:rFonts w:ascii="仿宋" w:eastAsia="仿宋" w:hint="eastAsia"/>
          <w:bCs/>
          <w:color w:val="000000"/>
          <w:sz w:val="32"/>
          <w:szCs w:val="32"/>
        </w:rPr>
        <w:t>%；</w:t>
      </w:r>
      <w:r>
        <w:rPr>
          <w:rFonts w:ascii="仿宋" w:eastAsia="仿宋" w:hint="eastAsia"/>
          <w:bCs/>
          <w:color w:val="000000"/>
          <w:sz w:val="32"/>
          <w:szCs w:val="32"/>
          <w:lang w:val="en-US" w:eastAsia="zh-CN"/>
        </w:rPr>
        <w:t>节能环保支出71.42万元，占比6.67%；</w:t>
      </w:r>
      <w:r>
        <w:rPr>
          <w:rFonts w:ascii="仿宋" w:eastAsia="仿宋" w:hint="eastAsia"/>
          <w:bCs/>
          <w:color w:val="000000"/>
          <w:sz w:val="32"/>
          <w:szCs w:val="32"/>
        </w:rPr>
        <w:t>农林水支出为</w:t>
      </w:r>
      <w:r>
        <w:rPr>
          <w:rFonts w:ascii="仿宋" w:eastAsia="仿宋" w:hint="eastAsia"/>
          <w:bCs/>
          <w:color w:val="000000"/>
          <w:sz w:val="32"/>
          <w:szCs w:val="32"/>
          <w:lang w:val="en-US" w:eastAsia="zh-CN"/>
        </w:rPr>
        <w:t>407.07</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38</w:t>
      </w:r>
      <w:r>
        <w:rPr>
          <w:rFonts w:ascii="仿宋" w:eastAsia="仿宋" w:hint="eastAsia"/>
          <w:bCs/>
          <w:color w:val="000000"/>
          <w:sz w:val="32"/>
          <w:szCs w:val="32"/>
        </w:rPr>
        <w:t>%；</w:t>
      </w:r>
      <w:r>
        <w:rPr>
          <w:rFonts w:ascii="仿宋" w:eastAsia="仿宋" w:hint="eastAsia"/>
          <w:bCs/>
          <w:color w:val="000000"/>
          <w:sz w:val="32"/>
          <w:szCs w:val="32"/>
          <w:lang w:val="en-US" w:eastAsia="zh-CN"/>
        </w:rPr>
        <w:t>灾害防治及应急管理支出8万元，占比0.78%；</w:t>
      </w:r>
      <w:r>
        <w:rPr>
          <w:rFonts w:ascii="仿宋" w:eastAsia="仿宋" w:hint="eastAsia"/>
          <w:bCs/>
          <w:color w:val="000000"/>
          <w:sz w:val="32"/>
          <w:szCs w:val="32"/>
        </w:rPr>
        <w:t>住房保障支出为</w:t>
      </w:r>
      <w:r>
        <w:rPr>
          <w:rFonts w:ascii="仿宋" w:eastAsia="仿宋" w:hint="eastAsia"/>
          <w:bCs/>
          <w:color w:val="000000"/>
          <w:sz w:val="32"/>
          <w:szCs w:val="32"/>
          <w:lang w:val="en-US" w:eastAsia="zh-CN"/>
        </w:rPr>
        <w:t>47.5</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4.43</w:t>
      </w:r>
      <w:r>
        <w:rPr>
          <w:rFonts w:ascii="仿宋" w:eastAsia="仿宋" w:hint="eastAsia"/>
          <w:bCs/>
          <w:color w:val="000000"/>
          <w:sz w:val="32"/>
          <w:szCs w:val="32"/>
        </w:rPr>
        <w:t>%；其他支出为</w:t>
      </w:r>
      <w:r>
        <w:rPr>
          <w:rFonts w:ascii="仿宋" w:eastAsia="仿宋" w:hint="eastAsia"/>
          <w:bCs/>
          <w:color w:val="000000"/>
          <w:sz w:val="32"/>
          <w:szCs w:val="32"/>
          <w:lang w:val="en-US" w:eastAsia="zh-CN"/>
        </w:rPr>
        <w:t>59.31</w:t>
      </w:r>
      <w:r>
        <w:rPr>
          <w:rFonts w:ascii="仿宋" w:eastAsia="仿宋" w:hint="eastAsia"/>
          <w:bCs/>
          <w:color w:val="000000"/>
          <w:sz w:val="32"/>
          <w:szCs w:val="32"/>
        </w:rPr>
        <w:t>万元，占比</w:t>
      </w:r>
      <w:r>
        <w:rPr>
          <w:rFonts w:ascii="仿宋" w:eastAsia="仿宋" w:hint="eastAsia"/>
          <w:bCs/>
          <w:color w:val="000000"/>
          <w:sz w:val="32"/>
          <w:szCs w:val="32"/>
          <w:lang w:val="en-US" w:eastAsia="zh-CN"/>
        </w:rPr>
        <w:t>5.54</w:t>
      </w:r>
      <w:r>
        <w:rPr>
          <w:rFonts w:ascii="仿宋" w:eastAsia="仿宋" w:hint="eastAsia"/>
          <w:bCs/>
          <w:color w:val="000000"/>
          <w:sz w:val="32"/>
          <w:szCs w:val="32"/>
        </w:rPr>
        <w:t>%。</w:t>
      </w:r>
    </w:p>
    <w:p>
      <w:pPr>
        <w:pStyle w:val="15"/>
        <w:rPr>
          <w:rFonts w:ascii="仿宋" w:eastAsia="仿宋" w:hint="eastAsia"/>
          <w:bCs/>
          <w:color w:val="000000"/>
          <w:sz w:val="32"/>
          <w:szCs w:val="32"/>
          <w:lang w:eastAsia="zh-CN"/>
        </w:rPr>
      </w:pPr>
      <w:r>
        <w:rPr>
          <w:rFonts w:ascii="仿宋" w:eastAsia="仿宋" w:hint="eastAsia"/>
          <w:bCs/>
          <w:color w:val="000000"/>
          <w:sz w:val="32"/>
          <w:szCs w:val="32"/>
          <w:lang w:eastAsia="zh-CN"/>
        </w:rPr>
        <w:drawing>
          <wp:inline distT="0" distB="0" distL="114300" distR="114300">
            <wp:extent cx="5079999" cy="3810000"/>
            <wp:effectExtent l="0" t="0" r="0" b="0"/>
            <wp:docPr id="5" name="图表 10"/>
            <wp:cNvGraphicFramePr>
              <a:graphicFrameLocks noChangeAspect="0"/>
            </wp:cNvGraphicFramePr>
            <a:graphic>
              <a:graphicData uri="http://schemas.openxmlformats.org/drawingml/2006/chart">
                <c:chart xmlns:c="http://schemas.openxmlformats.org/drawingml/2006/chart" r:id="rId12"/>
              </a:graphicData>
            </a:graphic>
          </wp:inline>
        </w:drawing>
      </w:r>
    </w:p>
    <w:p>
      <w:pPr>
        <w:spacing w:line="600" w:lineRule="exact"/>
        <w:outlineLvl w:val="2"/>
        <w:rPr>
          <w:rFonts w:ascii="仿宋" w:eastAsia="仿宋"/>
          <w:b/>
          <w:color w:val="000000"/>
          <w:sz w:val="32"/>
          <w:szCs w:val="32"/>
        </w:rPr>
      </w:pPr>
      <w:bookmarkStart w:id="41" w:name="_Toc15377213"/>
      <w:bookmarkStart w:id="42" w:name="_Toc15378460"/>
      <w:bookmarkStart w:id="43" w:name="_Toc15377444"/>
    </w:p>
    <w:p>
      <w:pPr>
        <w:spacing w:line="600" w:lineRule="exact"/>
        <w:ind w:firstLineChars="200" w:firstLine="640"/>
        <w:outlineLvl w:val="2"/>
        <w:rPr>
          <w:rFonts w:ascii="仿宋" w:eastAsia="仿宋"/>
          <w:b/>
          <w:color w:val="000000"/>
          <w:sz w:val="32"/>
          <w:szCs w:val="32"/>
        </w:rPr>
      </w:pPr>
      <w:bookmarkStart w:id="44" w:name="_Toc15377212"/>
      <w:r>
        <w:rPr>
          <w:rFonts w:ascii="仿宋" w:eastAsia="仿宋" w:hint="eastAsia"/>
          <w:b/>
          <w:color w:val="000000"/>
          <w:sz w:val="32"/>
          <w:szCs w:val="32"/>
        </w:rPr>
        <w:t>（三）一般公共预算财政拨款支出决算具体情况</w:t>
      </w:r>
      <w:bookmarkEnd w:id="44"/>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r>
        <w:rPr>
          <w:rFonts w:ascii="仿宋" w:eastAsia="仿宋"/>
          <w:bCs/>
          <w:color w:val="000000"/>
          <w:sz w:val="32"/>
          <w:szCs w:val="32"/>
        </w:rPr>
        <w:t>202</w:t>
      </w:r>
      <w:r>
        <w:rPr>
          <w:rFonts w:ascii="仿宋" w:eastAsia="仿宋" w:hint="eastAsia"/>
          <w:bCs/>
          <w:color w:val="000000"/>
          <w:sz w:val="32"/>
          <w:szCs w:val="32"/>
          <w:lang w:val="en-US" w:eastAsia="zh-CN"/>
        </w:rPr>
        <w:t>1</w:t>
      </w:r>
      <w:r>
        <w:rPr>
          <w:rFonts w:ascii="仿宋" w:eastAsia="仿宋" w:hint="eastAsia"/>
          <w:bCs/>
          <w:color w:val="000000"/>
          <w:sz w:val="32"/>
          <w:szCs w:val="32"/>
        </w:rPr>
        <w:t>年一般公共预算数为</w:t>
      </w:r>
      <w:r>
        <w:rPr>
          <w:rFonts w:ascii="仿宋" w:eastAsia="仿宋" w:hint="eastAsia"/>
          <w:bCs/>
          <w:color w:val="000000"/>
          <w:sz w:val="32"/>
          <w:szCs w:val="32"/>
          <w:lang w:val="en-US" w:eastAsia="zh-CN"/>
        </w:rPr>
        <w:t>665.43</w:t>
      </w:r>
      <w:r>
        <w:rPr>
          <w:rFonts w:ascii="仿宋" w:eastAsia="仿宋" w:hint="eastAsia"/>
          <w:bCs/>
          <w:color w:val="000000"/>
          <w:sz w:val="32"/>
          <w:szCs w:val="32"/>
        </w:rPr>
        <w:t>万元，支出决算数为</w:t>
      </w:r>
      <w:r>
        <w:rPr>
          <w:rFonts w:ascii="仿宋" w:eastAsia="仿宋" w:hint="eastAsia"/>
          <w:bCs/>
          <w:color w:val="000000"/>
          <w:sz w:val="32"/>
          <w:szCs w:val="32"/>
          <w:lang w:val="en-US" w:eastAsia="zh-CN"/>
        </w:rPr>
        <w:t>1071.07</w:t>
      </w:r>
      <w:r>
        <w:rPr>
          <w:rFonts w:ascii="仿宋" w:eastAsia="仿宋" w:hint="eastAsia"/>
          <w:bCs/>
          <w:color w:val="000000"/>
          <w:sz w:val="32"/>
          <w:szCs w:val="32"/>
        </w:rPr>
        <w:t>万元，完</w:t>
      </w:r>
      <w:r>
        <w:rPr>
          <w:rStyle w:val="24"/>
          <w:rFonts w:ascii="仿宋" w:eastAsia="仿宋" w:hint="eastAsia"/>
          <w:b w:val="0"/>
          <w:bCs/>
          <w:color w:val="000000"/>
          <w:sz w:val="32"/>
          <w:szCs w:val="32"/>
        </w:rPr>
        <w:t>成预算</w:t>
      </w:r>
      <w:r>
        <w:rPr>
          <w:rStyle w:val="24"/>
          <w:rFonts w:ascii="仿宋" w:eastAsia="仿宋" w:hint="eastAsia"/>
          <w:b w:val="0"/>
          <w:bCs/>
          <w:color w:val="000000"/>
          <w:sz w:val="32"/>
          <w:szCs w:val="32"/>
          <w:lang w:val="en-US" w:eastAsia="zh-CN"/>
        </w:rPr>
        <w:t>160.96</w:t>
      </w:r>
      <w:r>
        <w:rPr>
          <w:rStyle w:val="24"/>
          <w:rFonts w:ascii="仿宋" w:eastAsia="仿宋"/>
          <w:b w:val="0"/>
          <w:bCs/>
          <w:color w:val="000000"/>
          <w:sz w:val="32"/>
          <w:szCs w:val="32"/>
        </w:rPr>
        <w:t>%</w:t>
      </w:r>
      <w:r>
        <w:rPr>
          <w:rStyle w:val="24"/>
          <w:rFonts w:ascii="仿宋" w:eastAsia="仿宋" w:hint="eastAsia"/>
          <w:b w:val="0"/>
          <w:bCs/>
          <w:color w:val="000000"/>
          <w:sz w:val="32"/>
          <w:szCs w:val="32"/>
        </w:rPr>
        <w:t>，其中：</w:t>
      </w:r>
      <w:bookmarkEnd w:id="41"/>
      <w:bookmarkEnd w:id="42"/>
      <w:bookmarkEnd w:id="43"/>
    </w:p>
    <w:p>
      <w:pPr>
        <w:spacing w:line="600" w:lineRule="exact"/>
        <w:ind w:firstLineChars="200" w:firstLine="640"/>
        <w:rPr>
          <w:rStyle w:val="24"/>
          <w:rFonts w:ascii="仿宋" w:eastAsia="仿宋"/>
          <w:b w:val="0"/>
          <w:bCs/>
          <w:color w:val="000000"/>
          <w:sz w:val="32"/>
          <w:szCs w:val="32"/>
        </w:rPr>
      </w:pPr>
      <w:bookmarkStart w:id="45" w:name="_Toc15377214"/>
      <w:r>
        <w:rPr>
          <w:rStyle w:val="24"/>
          <w:rFonts w:ascii="仿宋" w:eastAsia="仿宋" w:hint="eastAsia"/>
          <w:bCs/>
          <w:color w:val="000000"/>
          <w:sz w:val="32"/>
          <w:szCs w:val="32"/>
        </w:rPr>
        <w:t>1.一般公共服务（类）政府办公厅（室）及相关机构事务（款）行政运行（项）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360.72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bCs/>
          <w:color w:val="000000"/>
          <w:sz w:val="32"/>
          <w:szCs w:val="32"/>
        </w:rPr>
        <w:t>2.</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党委</w:t>
      </w:r>
      <w:r>
        <w:rPr>
          <w:rStyle w:val="24"/>
          <w:rFonts w:ascii="仿宋" w:eastAsia="仿宋" w:hint="eastAsia"/>
          <w:bCs/>
          <w:color w:val="000000"/>
          <w:sz w:val="32"/>
          <w:szCs w:val="32"/>
        </w:rPr>
        <w:t>办公室（室）及相关机构事务（款）一般行政管理事务（项）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11.43</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cs="Times New Roman" w:hint="eastAsia"/>
          <w:bCs/>
          <w:color w:val="000000"/>
          <w:kern w:val="2"/>
          <w:sz w:val="32"/>
          <w:szCs w:val="32"/>
          <w:lang w:val="en-US" w:eastAsia="zh-CN" w:bidi="ar-SA"/>
        </w:rPr>
        <w:t>3.一般公共服务（类）人大事务（款）一般行政管理事务（项）: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11.39</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cs="Times New Roman" w:hint="eastAsia"/>
          <w:bCs/>
          <w:color w:val="000000"/>
          <w:kern w:val="2"/>
          <w:sz w:val="32"/>
          <w:szCs w:val="32"/>
          <w:lang w:val="en-US" w:eastAsia="zh-CN" w:bidi="ar-SA"/>
        </w:rPr>
        <w:t>4.一般公共服务（类）人大事务（款）人大会议（项）: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0.1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pStyle w:val="15"/>
        <w:ind w:leftChars="0" w:left="0" w:firstLineChars="200" w:firstLine="640"/>
        <w:rPr>
          <w:rFonts w:hint="eastAsia"/>
          <w:lang w:val="en-US" w:eastAsia="zh-CN"/>
        </w:rPr>
      </w:pPr>
      <w:r>
        <w:rPr>
          <w:rStyle w:val="24"/>
          <w:rFonts w:ascii="仿宋" w:eastAsia="仿宋" w:cs="Times New Roman" w:hint="eastAsia"/>
          <w:bCs/>
          <w:color w:val="000000"/>
          <w:kern w:val="2"/>
          <w:sz w:val="32"/>
          <w:szCs w:val="32"/>
          <w:lang w:val="en-US" w:eastAsia="zh-CN" w:bidi="ar-SA"/>
        </w:rPr>
        <w:t>5.社会保障和就业支出（类）民政管理事务（款）基层政权建设和治理（项）：</w:t>
      </w:r>
      <w:r>
        <w:rPr>
          <w:rStyle w:val="24"/>
          <w:rFonts w:ascii="仿宋" w:eastAsia="仿宋" w:hint="eastAsia"/>
          <w:b w:val="0"/>
          <w:bCs/>
          <w:color w:val="000000"/>
          <w:sz w:val="32"/>
          <w:szCs w:val="32"/>
          <w:lang w:val="en-US" w:eastAsia="zh-CN"/>
        </w:rPr>
        <w:t>支出决算为1.15万元，</w:t>
      </w:r>
      <w:r>
        <w:rPr>
          <w:rStyle w:val="24"/>
          <w:rFonts w:ascii="仿宋" w:eastAsia="仿宋" w:hint="eastAsia"/>
          <w:b w:val="0"/>
          <w:bCs/>
          <w:color w:val="000000"/>
          <w:sz w:val="32"/>
          <w:szCs w:val="32"/>
        </w:rPr>
        <w:t>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6</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社会保障和就业（类）行政事业单位离退休（款）机关事业单位基本养老保险缴费支出（项）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43.33</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7</w:t>
      </w:r>
      <w:r>
        <w:rPr>
          <w:rStyle w:val="24"/>
          <w:rFonts w:ascii="仿宋" w:eastAsia="仿宋"/>
          <w:bCs/>
          <w:color w:val="000000"/>
          <w:sz w:val="32"/>
          <w:szCs w:val="32"/>
        </w:rPr>
        <w:t>.</w:t>
      </w:r>
      <w:r>
        <w:rPr>
          <w:rStyle w:val="24"/>
          <w:rFonts w:ascii="仿宋" w:eastAsia="仿宋" w:hint="eastAsia"/>
          <w:bCs/>
          <w:color w:val="000000"/>
          <w:sz w:val="32"/>
          <w:szCs w:val="32"/>
        </w:rPr>
        <w:t>社会保障和就业（类）行政事业单位离退休（款）机关事业单位基本职业年金缴费支出（项）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21.62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8</w:t>
      </w:r>
      <w:r>
        <w:rPr>
          <w:rStyle w:val="24"/>
          <w:rFonts w:ascii="仿宋" w:eastAsia="仿宋" w:hint="eastAsia"/>
          <w:bCs/>
          <w:color w:val="000000"/>
          <w:sz w:val="32"/>
          <w:szCs w:val="32"/>
        </w:rPr>
        <w:t>.卫生健康支出（类）行政事业单位医疗（款）行政单位医疗（项）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22.01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9</w:t>
      </w:r>
      <w:r>
        <w:rPr>
          <w:rStyle w:val="24"/>
          <w:rFonts w:ascii="仿宋" w:eastAsia="仿宋" w:hint="eastAsia"/>
          <w:bCs/>
          <w:color w:val="000000"/>
          <w:sz w:val="32"/>
          <w:szCs w:val="32"/>
        </w:rPr>
        <w:t>.卫生健康支出（类）行政事业单位医疗（款）公务员医疗补助（项）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6</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10</w:t>
      </w:r>
      <w:r>
        <w:rPr>
          <w:rStyle w:val="24"/>
          <w:rFonts w:ascii="仿宋" w:eastAsia="仿宋" w:hint="eastAsia"/>
          <w:bCs/>
          <w:color w:val="000000"/>
          <w:sz w:val="32"/>
          <w:szCs w:val="32"/>
        </w:rPr>
        <w:t>.住房保障（类）住房改革支出（款）住房公积金（项）：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47.5</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11.节能环保支出（类）自然生态保护（款）生态保护（项）：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71.42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12.农林水支出（类）农业农村（款）事业运行（项）：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101.27</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val="en-US" w:eastAsia="zh-CN"/>
        </w:rPr>
        <w:t>农林水支出（类）农业农村（款）农村道路建设（项）：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59.26</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13.农林水支出（类）农村综合改革（款）对村民委员会和党支部的补助（项）：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213.49</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val="en-US" w:eastAsia="zh-CN"/>
        </w:rPr>
        <w:t xml:space="preserve">       </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14.农林水支出（类）其他农林水支出（款）其他农林水支出（项）：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33.05</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15.灾害防治和应急管理支出（类）自然灾害防治（款）地质灾害防治（项）：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8</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16.其他支出（类）其他支出（款）其他支出（项）：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59.31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tabs>
          <w:tab w:val="right" w:pos="7663"/>
        </w:tabs>
        <w:spacing w:line="600" w:lineRule="exact"/>
        <w:rPr>
          <w:rStyle w:val="24"/>
          <w:rFonts w:ascii="仿宋" w:eastAsia="仿宋"/>
          <w:b w:val="0"/>
          <w:bCs/>
          <w:color w:val="000000"/>
          <w:sz w:val="32"/>
          <w:szCs w:val="32"/>
        </w:rPr>
      </w:pP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5"/>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年一般公共预算财政拨款支出</w:t>
      </w:r>
      <w:r>
        <w:rPr>
          <w:rFonts w:ascii="仿宋" w:eastAsia="仿宋" w:hint="eastAsia"/>
          <w:bCs/>
          <w:color w:val="000000"/>
          <w:sz w:val="32"/>
          <w:szCs w:val="32"/>
          <w:lang w:val="en-US" w:eastAsia="zh-CN"/>
        </w:rPr>
        <w:t>1071.07</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14:textFill>
            <w14:solidFill>
              <w14:srgbClr w14:val="000000"/>
            </w14:solidFill>
          </w14:textFill>
        </w:rPr>
      </w:pPr>
      <w:bookmarkStart w:id="46" w:name="_Toc15377215"/>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625.29</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463.52</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主要包括：基本工资</w:t>
      </w:r>
      <w:r>
        <w:rPr>
          <w:rFonts w:ascii="仿宋_GB2312" w:eastAsia="仿宋_GB2312" w:hint="eastAsia"/>
          <w:color w:val="000000"/>
          <w:sz w:val="32"/>
          <w:szCs w:val="32"/>
          <w14:textFill>
            <w14:solidFill>
              <w14:srgbClr w14:val="000000"/>
            </w14:solidFill>
          </w14:textFill>
          <w:lang w:val="en-US" w:eastAsia="zh-CN"/>
        </w:rPr>
        <w:t>110.67</w:t>
      </w:r>
      <w:r>
        <w:rPr>
          <w:rFonts w:ascii="仿宋_GB2312" w:eastAsia="仿宋_GB2312" w:hint="eastAsia"/>
          <w:color w:val="000000"/>
          <w:sz w:val="32"/>
          <w:szCs w:val="32"/>
          <w14:textFill>
            <w14:solidFill>
              <w14:srgbClr w14:val="000000"/>
            </w14:solidFill>
          </w14:textFill>
        </w:rPr>
        <w:t>万元、津贴补贴</w:t>
      </w:r>
      <w:r>
        <w:rPr>
          <w:rFonts w:ascii="仿宋_GB2312" w:eastAsia="仿宋_GB2312" w:hint="eastAsia"/>
          <w:color w:val="000000"/>
          <w:sz w:val="32"/>
          <w:szCs w:val="32"/>
          <w14:textFill>
            <w14:solidFill>
              <w14:srgbClr w14:val="000000"/>
            </w14:solidFill>
          </w14:textFill>
          <w:lang w:val="en-US" w:eastAsia="zh-CN"/>
        </w:rPr>
        <w:t>167.15</w:t>
      </w:r>
      <w:r>
        <w:rPr>
          <w:rFonts w:ascii="仿宋_GB2312" w:eastAsia="仿宋_GB2312" w:hint="eastAsia"/>
          <w:color w:val="000000"/>
          <w:sz w:val="32"/>
          <w:szCs w:val="32"/>
          <w14:textFill>
            <w14:solidFill>
              <w14:srgbClr w14:val="000000"/>
            </w14:solidFill>
          </w14:textFill>
        </w:rPr>
        <w:t>万元、奖金</w:t>
      </w:r>
      <w:r>
        <w:rPr>
          <w:rFonts w:ascii="仿宋_GB2312" w:eastAsia="仿宋_GB2312" w:hint="eastAsia"/>
          <w:color w:val="000000"/>
          <w:sz w:val="32"/>
          <w:szCs w:val="32"/>
          <w14:textFill>
            <w14:solidFill>
              <w14:srgbClr w14:val="000000"/>
            </w14:solidFill>
          </w14:textFill>
          <w:lang w:val="en-US" w:eastAsia="zh-CN"/>
        </w:rPr>
        <w:t>9.57</w:t>
      </w:r>
      <w:r>
        <w:rPr>
          <w:rFonts w:ascii="仿宋_GB2312" w:eastAsia="仿宋_GB2312" w:hint="eastAsia"/>
          <w:color w:val="000000"/>
          <w:sz w:val="32"/>
          <w:szCs w:val="32"/>
          <w14:textFill>
            <w14:solidFill>
              <w14:srgbClr w14:val="000000"/>
            </w14:solidFill>
          </w14:textFill>
        </w:rPr>
        <w:t>万元、绩效工资</w:t>
      </w:r>
      <w:r>
        <w:rPr>
          <w:rFonts w:ascii="仿宋_GB2312" w:eastAsia="仿宋_GB2312" w:hint="eastAsia"/>
          <w:color w:val="000000"/>
          <w:sz w:val="32"/>
          <w:szCs w:val="32"/>
          <w14:textFill>
            <w14:solidFill>
              <w14:srgbClr w14:val="000000"/>
            </w14:solidFill>
          </w14:textFill>
          <w:lang w:val="en-US" w:eastAsia="zh-CN"/>
        </w:rPr>
        <w:t>34.38</w:t>
      </w:r>
      <w:r>
        <w:rPr>
          <w:rFonts w:ascii="仿宋_GB2312" w:eastAsia="仿宋_GB2312" w:hint="eastAsia"/>
          <w:color w:val="000000"/>
          <w:sz w:val="32"/>
          <w:szCs w:val="32"/>
          <w14:textFill>
            <w14:solidFill>
              <w14:srgbClr w14:val="000000"/>
            </w14:solidFill>
          </w14:textFill>
        </w:rPr>
        <w:t>万元、机关事业单位基本养老保险缴费</w:t>
      </w:r>
      <w:r>
        <w:rPr>
          <w:rFonts w:ascii="仿宋_GB2312" w:eastAsia="仿宋_GB2312" w:hint="eastAsia"/>
          <w:color w:val="000000"/>
          <w:sz w:val="32"/>
          <w:szCs w:val="32"/>
          <w14:textFill>
            <w14:solidFill>
              <w14:srgbClr w14:val="000000"/>
            </w14:solidFill>
          </w14:textFill>
          <w:lang w:val="en-US" w:eastAsia="zh-CN"/>
        </w:rPr>
        <w:t>43.34</w:t>
      </w:r>
      <w:r>
        <w:rPr>
          <w:rFonts w:ascii="仿宋_GB2312" w:eastAsia="仿宋_GB2312" w:hint="eastAsia"/>
          <w:color w:val="000000"/>
          <w:sz w:val="32"/>
          <w:szCs w:val="32"/>
          <w14:textFill>
            <w14:solidFill>
              <w14:srgbClr w14:val="000000"/>
            </w14:solidFill>
          </w14:textFill>
        </w:rPr>
        <w:t>万元、职业年金缴费</w:t>
      </w:r>
      <w:r>
        <w:rPr>
          <w:rFonts w:ascii="仿宋_GB2312" w:eastAsia="仿宋_GB2312" w:hint="eastAsia"/>
          <w:color w:val="000000"/>
          <w:sz w:val="32"/>
          <w:szCs w:val="32"/>
          <w14:textFill>
            <w14:solidFill>
              <w14:srgbClr w14:val="000000"/>
            </w14:solidFill>
          </w14:textFill>
          <w:lang w:val="en-US" w:eastAsia="zh-CN"/>
        </w:rPr>
        <w:t>21.62</w:t>
      </w:r>
      <w:r>
        <w:rPr>
          <w:rFonts w:ascii="仿宋_GB2312" w:eastAsia="仿宋_GB2312" w:hint="eastAsia"/>
          <w:color w:val="000000"/>
          <w:sz w:val="32"/>
          <w:szCs w:val="32"/>
          <w14:textFill>
            <w14:solidFill>
              <w14:srgbClr w14:val="000000"/>
            </w14:solidFill>
          </w14:textFill>
        </w:rPr>
        <w:t>万元、其他社会保障缴费</w:t>
      </w:r>
      <w:r>
        <w:rPr>
          <w:rFonts w:ascii="仿宋_GB2312" w:eastAsia="仿宋_GB2312" w:hint="eastAsia"/>
          <w:color w:val="000000"/>
          <w:sz w:val="32"/>
          <w:szCs w:val="32"/>
          <w14:textFill>
            <w14:solidFill>
              <w14:srgbClr w14:val="000000"/>
            </w14:solidFill>
          </w14:textFill>
          <w:lang w:val="en-US" w:eastAsia="zh-CN"/>
        </w:rPr>
        <w:t>1.29</w:t>
      </w:r>
      <w:r>
        <w:rPr>
          <w:rFonts w:ascii="仿宋_GB2312" w:eastAsia="仿宋_GB2312" w:hint="eastAsia"/>
          <w:color w:val="000000"/>
          <w:sz w:val="32"/>
          <w:szCs w:val="32"/>
          <w14:textFill>
            <w14:solidFill>
              <w14:srgbClr w14:val="000000"/>
            </w14:solidFill>
          </w14:textFill>
        </w:rPr>
        <w:t>万元、住房公积金</w:t>
      </w:r>
      <w:r>
        <w:rPr>
          <w:rFonts w:ascii="仿宋_GB2312" w:eastAsia="仿宋_GB2312" w:hint="eastAsia"/>
          <w:color w:val="000000"/>
          <w:sz w:val="32"/>
          <w:szCs w:val="32"/>
          <w14:textFill>
            <w14:solidFill>
              <w14:srgbClr w14:val="000000"/>
            </w14:solidFill>
          </w14:textFill>
          <w:lang w:val="en-US" w:eastAsia="zh-CN"/>
        </w:rPr>
        <w:t>47.5</w:t>
      </w:r>
      <w:r>
        <w:rPr>
          <w:rFonts w:ascii="仿宋_GB2312" w:eastAsia="仿宋_GB2312" w:hint="eastAsia"/>
          <w:color w:val="000000"/>
          <w:sz w:val="32"/>
          <w:szCs w:val="32"/>
          <w14:textFill>
            <w14:solidFill>
              <w14:srgbClr w14:val="000000"/>
            </w14:solidFill>
          </w14:textFill>
        </w:rPr>
        <w:t>万元、职工基本医疗保险缴费</w:t>
      </w:r>
      <w:r>
        <w:rPr>
          <w:rFonts w:ascii="仿宋_GB2312" w:eastAsia="仿宋_GB2312" w:hint="eastAsia"/>
          <w:color w:val="000000"/>
          <w:sz w:val="32"/>
          <w:szCs w:val="32"/>
          <w14:textFill>
            <w14:solidFill>
              <w14:srgbClr w14:val="000000"/>
            </w14:solidFill>
          </w14:textFill>
          <w:lang w:val="en-US" w:eastAsia="zh-CN"/>
        </w:rPr>
        <w:t>22</w:t>
      </w:r>
      <w:r>
        <w:rPr>
          <w:rFonts w:ascii="仿宋_GB2312" w:eastAsia="仿宋_GB2312" w:hint="eastAsia"/>
          <w:color w:val="000000"/>
          <w:sz w:val="32"/>
          <w:szCs w:val="32"/>
          <w14:textFill>
            <w14:solidFill>
              <w14:srgbClr w14:val="000000"/>
            </w14:solidFill>
          </w14:textFill>
        </w:rPr>
        <w:t>万元、公务员医疗补助</w:t>
      </w:r>
      <w:r>
        <w:rPr>
          <w:rFonts w:ascii="仿宋_GB2312" w:eastAsia="仿宋_GB2312" w:hint="eastAsia"/>
          <w:color w:val="000000"/>
          <w:sz w:val="32"/>
          <w:szCs w:val="32"/>
          <w14:textFill>
            <w14:solidFill>
              <w14:srgbClr w14:val="000000"/>
            </w14:solidFill>
          </w14:textFill>
          <w:lang w:val="en-US" w:eastAsia="zh-CN"/>
        </w:rPr>
        <w:t>6</w:t>
      </w:r>
      <w:r>
        <w:rPr>
          <w:rFonts w:ascii="仿宋_GB2312" w:eastAsia="仿宋_GB2312" w:hint="eastAsia"/>
          <w:color w:val="000000"/>
          <w:sz w:val="32"/>
          <w:szCs w:val="32"/>
          <w14:textFill>
            <w14:solidFill>
              <w14:srgbClr w14:val="000000"/>
            </w14:solidFill>
          </w14:textFill>
        </w:rPr>
        <w:t>万元、生活补助</w:t>
      </w:r>
      <w:r>
        <w:rPr>
          <w:rFonts w:ascii="仿宋_GB2312" w:eastAsia="仿宋_GB2312" w:hint="eastAsia"/>
          <w:color w:val="000000"/>
          <w:sz w:val="32"/>
          <w:szCs w:val="32"/>
          <w14:textFill>
            <w14:solidFill>
              <w14:srgbClr w14:val="000000"/>
            </w14:solidFill>
          </w14:textFill>
          <w:lang w:val="en-US" w:eastAsia="zh-CN"/>
        </w:rPr>
        <w:t>5.63</w:t>
      </w:r>
      <w:r>
        <w:rPr>
          <w:rFonts w:ascii="仿宋_GB2312" w:eastAsia="仿宋_GB2312" w:hint="eastAsia"/>
          <w:color w:val="000000"/>
          <w:sz w:val="32"/>
          <w:szCs w:val="32"/>
          <w14:textFill>
            <w14:solidFill>
              <w14:srgbClr w14:val="000000"/>
            </w14:solidFill>
          </w14:textFill>
        </w:rPr>
        <w:t>万元、奖励金</w:t>
      </w:r>
      <w:r>
        <w:rPr>
          <w:rFonts w:ascii="仿宋_GB2312" w:eastAsia="仿宋_GB2312" w:hint="eastAsia"/>
          <w:color w:val="000000"/>
          <w:sz w:val="32"/>
          <w:szCs w:val="32"/>
          <w14:textFill>
            <w14:solidFill>
              <w14:srgbClr w14:val="000000"/>
            </w14:solidFill>
          </w14:textFill>
          <w:lang w:val="en-US" w:eastAsia="zh-CN"/>
        </w:rPr>
        <w:t>115.6</w:t>
      </w:r>
      <w:r>
        <w:rPr>
          <w:rFonts w:ascii="仿宋_GB2312" w:eastAsia="仿宋_GB2312" w:hint="eastAsia"/>
          <w:color w:val="000000"/>
          <w:sz w:val="32"/>
          <w:szCs w:val="32"/>
          <w14:textFill>
            <w14:solidFill>
              <w14:srgbClr w14:val="000000"/>
            </w14:solidFill>
          </w14:textFill>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40.42</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5.24</w:t>
      </w:r>
      <w:r>
        <w:rPr>
          <w:rFonts w:ascii="仿宋_GB2312" w:eastAsia="仿宋_GB2312" w:hint="eastAsia"/>
          <w:color w:val="000000"/>
          <w:sz w:val="32"/>
          <w:szCs w:val="32"/>
        </w:rPr>
        <w:t>万元、印刷费3</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手续费0.09万元、</w:t>
      </w:r>
      <w:r>
        <w:rPr>
          <w:rFonts w:ascii="仿宋_GB2312" w:eastAsia="仿宋_GB2312" w:hint="eastAsia"/>
          <w:color w:val="000000"/>
          <w:sz w:val="32"/>
          <w:szCs w:val="32"/>
        </w:rPr>
        <w:t>电费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万元、取暖费2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8.5</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4.5</w:t>
      </w:r>
      <w:r>
        <w:rPr>
          <w:rFonts w:ascii="仿宋_GB2312" w:eastAsia="仿宋_GB2312" w:hint="eastAsia"/>
          <w:color w:val="000000"/>
          <w:sz w:val="32"/>
          <w:szCs w:val="32"/>
        </w:rPr>
        <w:t>万元、其他交通0.</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万元。</w:t>
      </w:r>
    </w:p>
    <w:p>
      <w:pPr>
        <w:snapToGrid w:val="0"/>
        <w:spacing w:line="520" w:lineRule="exact"/>
        <w:ind w:firstLineChars="200" w:firstLine="640"/>
        <w:rPr>
          <w:rFonts w:eastAsia="仿宋_GB2312" w:hint="eastAsia"/>
          <w:lang w:val="en-US" w:eastAsia="zh-CN"/>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445.79</w:t>
      </w:r>
      <w:r>
        <w:rPr>
          <w:rFonts w:ascii="仿宋_GB2312" w:eastAsia="仿宋_GB2312" w:hint="eastAsia"/>
          <w:color w:val="000000"/>
          <w:sz w:val="32"/>
          <w:szCs w:val="32"/>
        </w:rPr>
        <w:t>万元，主要包括：人大会议费</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万元，对村干部生活补助支出</w:t>
      </w:r>
      <w:r>
        <w:rPr>
          <w:rFonts w:ascii="仿宋_GB2312" w:eastAsia="仿宋_GB2312" w:hint="eastAsia"/>
          <w:color w:val="000000"/>
          <w:sz w:val="32"/>
          <w:szCs w:val="32"/>
          <w:lang w:val="en-US" w:eastAsia="zh-CN"/>
        </w:rPr>
        <w:t>213.49</w:t>
      </w:r>
      <w:r>
        <w:rPr>
          <w:rFonts w:ascii="仿宋_GB2312" w:eastAsia="仿宋_GB2312" w:hint="eastAsia"/>
          <w:color w:val="000000"/>
          <w:sz w:val="32"/>
          <w:szCs w:val="32"/>
        </w:rPr>
        <w:t>万元，村级维护费办公费77万元</w:t>
      </w:r>
      <w:r>
        <w:rPr>
          <w:rFonts w:ascii="仿宋_GB2312" w:eastAsia="仿宋_GB2312" w:cs="仿宋_GB2312" w:hint="eastAsia"/>
          <w:color w:val="000000"/>
          <w:sz w:val="32"/>
          <w:szCs w:val="32"/>
        </w:rPr>
        <w:t>（其中公共运行维护费49万元、基层党组织活动经费14万元、办公费14万元）</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基层政权和社区治理的维修（护）费1.15万元，脚姆塘村改板厂下方河堤灾后恢复建设项目71.43万元，色尔岭村、猫碉村村道提升、脚姆塘村一社通组桥灾后恢复建设59.26万元，色尔岭村葡萄基地建设、色尔岭村幸福美丽家园桥梁建设、三梗子村村道提升项目33.05万元，地质灾害防治维修（护）费项目8万元，春节慰问金、春节农民工慰问金、三老干部生活补助5.77万元，</w:t>
      </w:r>
      <w:r>
        <w:rPr>
          <w:rFonts w:ascii="仿宋_GB2312" w:eastAsia="仿宋_GB2312" w:cs="仿宋_GB2312" w:hint="eastAsia"/>
          <w:bCs/>
          <w:sz w:val="32"/>
          <w:szCs w:val="32"/>
        </w:rPr>
        <w:t>2020年革命老区项目（巴拉塘村政塘大桥修建项目）</w:t>
      </w:r>
      <w:r>
        <w:rPr>
          <w:rFonts w:ascii="仿宋_GB2312" w:eastAsia="仿宋_GB2312" w:cs="仿宋_GB2312" w:hint="eastAsia"/>
          <w:bCs/>
          <w:sz w:val="32"/>
          <w:szCs w:val="32"/>
          <w:lang w:val="en-US" w:eastAsia="zh-CN"/>
        </w:rPr>
        <w:t>53.54万元。</w:t>
      </w:r>
    </w:p>
    <w:p>
      <w:pPr>
        <w:spacing w:line="600" w:lineRule="exact"/>
        <w:ind w:firstLineChars="200" w:firstLine="640"/>
        <w:outlineLvl w:val="1"/>
        <w:rPr>
          <w:rStyle w:val="2Char"/>
          <w:rFonts w:ascii="黑体" w:eastAsia="黑体"/>
          <w:b w:val="0"/>
        </w:rPr>
      </w:pPr>
      <w:bookmarkStart w:id="47" w:name="_Toc944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6"/>
      <w:bookmarkEnd w:id="47"/>
    </w:p>
    <w:p>
      <w:pPr>
        <w:spacing w:line="600" w:lineRule="exact"/>
        <w:ind w:firstLine="640"/>
        <w:outlineLvl w:val="2"/>
        <w:rPr>
          <w:rFonts w:ascii="仿宋" w:eastAsia="仿宋"/>
          <w:b/>
          <w:color w:val="000000"/>
          <w:sz w:val="32"/>
          <w:szCs w:val="32"/>
        </w:rPr>
      </w:pPr>
      <w:bookmarkStart w:id="48" w:name="_Toc15377216"/>
      <w:r>
        <w:rPr>
          <w:rFonts w:ascii="仿宋" w:eastAsia="仿宋" w:hint="eastAsia"/>
          <w:b/>
          <w:color w:val="000000"/>
          <w:sz w:val="32"/>
          <w:szCs w:val="32"/>
        </w:rPr>
        <w:t>（一）“三公”经费财政拨款支出决算总体情况说明</w:t>
      </w:r>
      <w:bookmarkEnd w:id="48"/>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年“三公”经费财政拨款</w:t>
      </w:r>
      <w:r>
        <w:rPr>
          <w:rFonts w:ascii="仿宋" w:eastAsia="仿宋" w:hint="eastAsia"/>
          <w:color w:val="000000"/>
          <w:sz w:val="32"/>
          <w:szCs w:val="32"/>
          <w:lang w:val="en-US" w:eastAsia="zh-CN"/>
        </w:rPr>
        <w:t>支出预算为9万元，</w:t>
      </w:r>
      <w:r>
        <w:rPr>
          <w:rFonts w:ascii="仿宋" w:eastAsia="仿宋" w:hint="eastAsia"/>
          <w:color w:val="000000"/>
          <w:sz w:val="32"/>
          <w:szCs w:val="32"/>
        </w:rPr>
        <w:t>支出决算为</w:t>
      </w:r>
      <w:r>
        <w:rPr>
          <w:rFonts w:ascii="仿宋" w:eastAsia="仿宋" w:hint="eastAsia"/>
          <w:color w:val="000000"/>
          <w:sz w:val="32"/>
          <w:szCs w:val="32"/>
          <w:lang w:val="en-US" w:eastAsia="zh-CN"/>
        </w:rPr>
        <w:t>9</w:t>
      </w:r>
      <w:r>
        <w:rPr>
          <w:rFonts w:ascii="仿宋" w:eastAsia="仿宋" w:hint="eastAsia"/>
          <w:color w:val="000000"/>
          <w:sz w:val="32"/>
          <w:szCs w:val="32"/>
        </w:rPr>
        <w:t>万元，完成预算100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9" w:name="_Toc15377217"/>
      <w:r>
        <w:rPr>
          <w:rFonts w:ascii="仿宋" w:eastAsia="仿宋" w:hint="eastAsia"/>
          <w:b/>
          <w:color w:val="000000"/>
          <w:sz w:val="32"/>
          <w:szCs w:val="32"/>
        </w:rPr>
        <w:t>（二）“三公”经费财政拨款支出决算具体情况说明</w:t>
      </w:r>
      <w:bookmarkEnd w:id="49"/>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年“三公”经费财政拨款</w:t>
      </w:r>
      <w:r>
        <w:rPr>
          <w:rFonts w:ascii="仿宋" w:eastAsia="仿宋" w:hint="eastAsia"/>
          <w:color w:val="000000"/>
          <w:sz w:val="32"/>
          <w:szCs w:val="32"/>
          <w:lang w:val="en-US" w:eastAsia="zh-CN"/>
        </w:rPr>
        <w:t>支出预算为9万元，</w:t>
      </w:r>
      <w:r>
        <w:rPr>
          <w:rFonts w:ascii="仿宋" w:eastAsia="仿宋" w:hint="eastAsia"/>
          <w:color w:val="000000"/>
          <w:sz w:val="32"/>
          <w:szCs w:val="32"/>
        </w:rPr>
        <w:t>支出</w:t>
      </w:r>
      <w:r>
        <w:rPr>
          <w:rFonts w:ascii="仿宋" w:eastAsia="仿宋" w:hint="eastAsia"/>
          <w:sz w:val="32"/>
          <w:szCs w:val="32"/>
        </w:rPr>
        <w:t>决算</w:t>
      </w:r>
      <w:r>
        <w:rPr>
          <w:rFonts w:ascii="仿宋" w:eastAsia="仿宋" w:hint="eastAsia"/>
          <w:sz w:val="32"/>
          <w:szCs w:val="32"/>
          <w:lang w:val="en-US" w:eastAsia="zh-CN"/>
        </w:rPr>
        <w:t>9</w:t>
      </w:r>
      <w:r>
        <w:rPr>
          <w:rFonts w:ascii="仿宋" w:eastAsia="仿宋" w:hint="eastAsia"/>
          <w:sz w:val="32"/>
          <w:szCs w:val="32"/>
        </w:rPr>
        <w:t>万元</w:t>
      </w:r>
      <w:r>
        <w:rPr>
          <w:rFonts w:ascii="仿宋" w:eastAsia="仿宋" w:hint="eastAsia"/>
          <w:color w:val="000000"/>
          <w:sz w:val="32"/>
          <w:szCs w:val="32"/>
        </w:rPr>
        <w:t>，其中：公务用车购置及运行维护费支出决算</w:t>
      </w:r>
      <w:r>
        <w:rPr>
          <w:rFonts w:ascii="仿宋" w:eastAsia="仿宋" w:hint="eastAsia"/>
          <w:color w:val="000000"/>
          <w:sz w:val="32"/>
          <w:szCs w:val="32"/>
          <w:lang w:val="en-US" w:eastAsia="zh-CN"/>
        </w:rPr>
        <w:t>9</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b/>
          <w:sz w:val="32"/>
          <w:szCs w:val="32"/>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年增加</w:t>
      </w:r>
      <w:r>
        <w:rPr>
          <w:rFonts w:ascii="仿宋_GB2312" w:eastAsia="仿宋_GB2312" w:hint="eastAsia"/>
          <w:color w:val="000000"/>
          <w:sz w:val="32"/>
          <w:szCs w:val="32"/>
          <w:lang w:val="en-US" w:eastAsia="zh-CN"/>
        </w:rPr>
        <w:t>5.2</w:t>
      </w:r>
      <w:r>
        <w:rPr>
          <w:rFonts w:ascii="仿宋_GB2312" w:eastAsia="仿宋_GB2312" w:hint="eastAsia"/>
          <w:color w:val="000000"/>
          <w:sz w:val="32"/>
          <w:szCs w:val="32"/>
        </w:rPr>
        <w:t>万元，</w:t>
      </w:r>
      <w:r>
        <w:rPr>
          <w:rFonts w:ascii="仿宋_GB2312" w:eastAsia="仿宋_GB2312" w:hint="eastAsia"/>
          <w:sz w:val="32"/>
          <w:szCs w:val="32"/>
        </w:rPr>
        <w:t>上升</w:t>
      </w:r>
      <w:r>
        <w:rPr>
          <w:rFonts w:ascii="仿宋_GB2312" w:eastAsia="仿宋_GB2312" w:hint="eastAsia"/>
          <w:sz w:val="32"/>
          <w:szCs w:val="32"/>
          <w:lang w:val="en-US" w:eastAsia="zh-CN"/>
        </w:rPr>
        <w:t>136.84</w:t>
      </w:r>
      <w:r>
        <w:rPr>
          <w:rFonts w:ascii="仿宋_GB2312" w:eastAsia="仿宋_GB2312"/>
          <w:sz w:val="32"/>
          <w:szCs w:val="32"/>
        </w:rPr>
        <w:t>%</w:t>
      </w:r>
      <w:r>
        <w:rPr>
          <w:rFonts w:ascii="仿宋_GB2312" w:eastAsia="仿宋_GB2312" w:hint="eastAsia"/>
          <w:sz w:val="32"/>
          <w:szCs w:val="32"/>
        </w:rPr>
        <w:t>。</w:t>
      </w:r>
      <w:r>
        <w:rPr>
          <w:rFonts w:ascii="仿宋_GB2312" w:eastAsia="仿宋_GB2312" w:cs="仿宋" w:hint="eastAsia"/>
          <w:color w:val="000000"/>
          <w:sz w:val="32"/>
          <w:szCs w:val="32"/>
        </w:rPr>
        <w:t>增加原因一是机关公务用车保障任务重、保障路程长、保障半径宽，车辆过半老化，维修维护费用高。</w:t>
      </w:r>
      <w:r>
        <w:rPr>
          <w:rFonts w:ascii="仿宋_GB2312" w:eastAsia="仿宋_GB2312" w:cs="仿宋" w:hint="eastAsia"/>
          <w:color w:val="000000"/>
          <w:sz w:val="32"/>
          <w:szCs w:val="32"/>
          <w:lang w:val="en-US" w:eastAsia="zh-CN"/>
        </w:rPr>
        <w:t>且上级划拨应急抢险车辆；</w:t>
      </w:r>
      <w:r>
        <w:rPr>
          <w:rFonts w:ascii="仿宋_GB2312" w:eastAsia="仿宋_GB2312" w:cs="仿宋" w:hint="eastAsia"/>
          <w:color w:val="000000"/>
          <w:sz w:val="32"/>
          <w:szCs w:val="32"/>
        </w:rPr>
        <w:t>二是按照藏区提前一年实现基本“脱贫”的工作要求，脱贫攻坚任务繁重，开展脱贫攻坚一线调研和现场指导的次数增多</w:t>
      </w:r>
      <w:r>
        <w:rPr>
          <w:rFonts w:ascii="仿宋_GB2312" w:eastAsia="仿宋_GB2312" w:cs="仿宋" w:hint="eastAsia"/>
          <w:color w:val="000000"/>
          <w:sz w:val="32"/>
          <w:szCs w:val="32"/>
          <w:lang w:eastAsia="zh-CN"/>
        </w:rPr>
        <w:t>；</w:t>
      </w:r>
      <w:r>
        <w:rPr>
          <w:rFonts w:ascii="仿宋_GB2312" w:eastAsia="仿宋_GB2312" w:cs="仿宋" w:hint="eastAsia"/>
          <w:color w:val="000000"/>
          <w:sz w:val="32"/>
          <w:szCs w:val="32"/>
        </w:rPr>
        <w:t>三是开展“两联一进”群众工作，保障需求持续增加。四是抗击突发自然灾害，处置和查灾救灾的次数增多。</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日，共有车辆1辆，其中：部级领导干部用车0辆、主要领导干部用车0辆、机要通信用车0辆、应急保障用车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辆、执法执勤用车0辆、特种专业技术用车0辆、离退休干部用车0辆、其他用车0辆；</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color w:val="000000"/>
          <w:sz w:val="32"/>
          <w:szCs w:val="32"/>
          <w:lang w:val="en-US" w:eastAsia="zh-CN"/>
        </w:rPr>
        <w:t>9</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spacing w:line="560" w:lineRule="exact"/>
        <w:ind w:firstLineChars="200" w:firstLine="640"/>
        <w:rPr>
          <w:rFonts w:ascii="仿宋_GB2312" w:eastAsia="仿宋_GB2312" w:hint="eastAsia"/>
          <w:color w:val="000000"/>
          <w:sz w:val="32"/>
          <w:szCs w:val="32"/>
          <w:lang w:eastAsia="zh-CN"/>
        </w:rPr>
      </w:pPr>
      <w:r>
        <w:rPr>
          <w:rFonts w:ascii="仿宋_GB2312" w:eastAsia="仿宋_GB2312" w:hint="eastAsia"/>
          <w:b/>
          <w:color w:val="000000"/>
          <w:sz w:val="32"/>
          <w:szCs w:val="32"/>
          <w:lang w:val="en-US" w:eastAsia="zh-CN"/>
        </w:rPr>
        <w:t>2</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hint="eastAsia"/>
          <w:color w:val="000000"/>
          <w:sz w:val="32"/>
          <w:szCs w:val="32"/>
          <w:lang w:val="en-US" w:eastAsia="zh-CN"/>
        </w:rPr>
        <w:t>2020</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无变化。</w:t>
      </w:r>
    </w:p>
    <w:p>
      <w:pPr>
        <w:spacing w:line="560" w:lineRule="exact"/>
        <w:ind w:firstLineChars="200" w:firstLine="640"/>
      </w:pPr>
      <w:r>
        <w:rPr>
          <w:rFonts w:ascii="仿宋_GB2312" w:eastAsia="仿宋_GB2312" w:cs="仿宋_GB2312" w:hint="eastAsia"/>
          <w:b/>
          <w:bCs/>
          <w:color w:val="000000"/>
          <w:sz w:val="32"/>
          <w:szCs w:val="32"/>
          <w:lang w:val="en-US" w:eastAsia="zh-CN" w:bidi="ar-SA"/>
        </w:rPr>
        <w:t>3.</w:t>
      </w:r>
      <w:r>
        <w:rPr>
          <w:rFonts w:ascii="仿宋_GB2312" w:eastAsia="仿宋_GB2312" w:cs="仿宋_GB2312" w:hint="eastAsia"/>
          <w:b/>
          <w:bCs/>
          <w:color w:val="000000"/>
          <w:sz w:val="32"/>
          <w:szCs w:val="32"/>
          <w:lang w:bidi="ar-SA"/>
        </w:rPr>
        <w:t>因公出国（境）费支出</w:t>
      </w:r>
      <w:r>
        <w:rPr>
          <w:rFonts w:ascii="仿宋_GB2312" w:eastAsia="仿宋_GB2312" w:cs="仿宋_GB2312" w:hint="eastAsia"/>
          <w:b/>
          <w:bCs/>
          <w:color w:val="000000"/>
          <w:sz w:val="32"/>
          <w:szCs w:val="32"/>
          <w:lang w:val="en-US" w:eastAsia="zh-CN" w:bidi="ar-SA"/>
        </w:rPr>
        <w:t>0</w:t>
      </w:r>
      <w:r>
        <w:rPr>
          <w:rFonts w:ascii="仿宋_GB2312" w:eastAsia="仿宋_GB2312" w:cs="仿宋_GB2312" w:hint="eastAsia"/>
          <w:b/>
          <w:bCs/>
          <w:color w:val="000000"/>
          <w:sz w:val="32"/>
          <w:szCs w:val="32"/>
          <w:lang w:bidi="ar-SA"/>
        </w:rPr>
        <w:t>万元</w:t>
      </w:r>
      <w:r>
        <w:rPr>
          <w:rFonts w:ascii="仿宋_GB2312" w:eastAsia="仿宋_GB2312" w:cs="仿宋_GB2312" w:hint="eastAsia"/>
          <w:b/>
          <w:bCs/>
          <w:color w:val="000000"/>
          <w:sz w:val="32"/>
          <w:szCs w:val="32"/>
          <w:lang w:eastAsia="zh-CN" w:bidi="ar-SA"/>
        </w:rPr>
        <w:t>。</w:t>
      </w:r>
    </w:p>
    <w:p>
      <w:pPr>
        <w:spacing w:line="600" w:lineRule="exact"/>
        <w:ind w:firstLine="640"/>
        <w:outlineLvl w:val="1"/>
        <w:rPr>
          <w:rStyle w:val="2Char"/>
          <w:rFonts w:ascii="黑体" w:eastAsia="黑体"/>
        </w:rPr>
      </w:pPr>
      <w:bookmarkStart w:id="50" w:name="_Toc15377218"/>
      <w:bookmarkStart w:id="51" w:name="_Toc23573"/>
      <w:r>
        <w:rPr>
          <w:rFonts w:ascii="黑体" w:eastAsia="黑体" w:hint="eastAsia"/>
          <w:color w:val="000000"/>
          <w:sz w:val="32"/>
          <w:szCs w:val="32"/>
        </w:rPr>
        <w:t>八、</w:t>
      </w:r>
      <w:r>
        <w:rPr>
          <w:rStyle w:val="2Char"/>
          <w:rFonts w:ascii="黑体" w:eastAsia="黑体" w:hint="eastAsia"/>
          <w:b w:val="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年政府性基金预算拨款支出0万元。</w:t>
      </w:r>
    </w:p>
    <w:p>
      <w:pPr>
        <w:numPr>
          <w:ilvl w:val="0"/>
          <w:numId w:val="3"/>
        </w:numPr>
        <w:spacing w:line="600" w:lineRule="exact"/>
        <w:ind w:left="0" w:firstLine="640"/>
        <w:outlineLvl w:val="1"/>
        <w:rPr>
          <w:rStyle w:val="2Char"/>
          <w:rFonts w:ascii="黑体" w:eastAsia="黑体"/>
          <w:b w:val="0"/>
        </w:rPr>
      </w:pPr>
      <w:bookmarkStart w:id="52" w:name="_Toc15377219"/>
      <w:bookmarkStart w:id="53" w:name="_Toc351"/>
      <w:r>
        <w:rPr>
          <w:rStyle w:val="2Char"/>
          <w:rFonts w:ascii="黑体" w:eastAsia="黑体" w:hint="eastAsia"/>
          <w:b w:val="0"/>
        </w:rPr>
        <w:t>国有资本经营预算支出决算情况说明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年国有资本经营预算拨款支出0万元。</w:t>
      </w:r>
    </w:p>
    <w:p>
      <w:pPr>
        <w:pStyle w:val="31"/>
        <w:numPr>
          <w:ilvl w:val="0"/>
          <w:numId w:val="4"/>
        </w:numPr>
        <w:spacing w:line="580" w:lineRule="exact"/>
        <w:ind w:firstLineChars="0"/>
        <w:rPr>
          <w:rStyle w:val="2Char"/>
          <w:rFonts w:ascii="黑体" w:eastAsia="黑体"/>
          <w:b w:val="0"/>
        </w:rPr>
      </w:pPr>
      <w:bookmarkStart w:id="54" w:name="_Toc16199"/>
      <w:r>
        <w:rPr>
          <w:rStyle w:val="2Char"/>
          <w:rFonts w:ascii="黑体" w:eastAsia="黑体" w:hint="eastAsia"/>
          <w:b w:val="0"/>
        </w:rPr>
        <w:t>预算绩效情况说明</w:t>
      </w:r>
    </w:p>
    <w:p>
      <w:pPr>
        <w:numPr>
          <w:ilvl w:val="0"/>
          <w:numId w:val="5"/>
        </w:numPr>
        <w:spacing w:line="580" w:lineRule="exact"/>
        <w:ind w:left="0" w:firstLineChars="200" w:firstLine="640"/>
        <w:rPr>
          <w:rStyle w:val="2Char"/>
          <w:rFonts w:ascii="黑体" w:eastAsia="黑体"/>
          <w:b w:val="0"/>
        </w:rPr>
      </w:pPr>
      <w:bookmarkStart w:id="55" w:name="_Toc4523"/>
      <w:bookmarkEnd w:id="54"/>
      <w:r>
        <w:rPr>
          <w:rStyle w:val="2Char"/>
          <w:rFonts w:ascii="黑体" w:eastAsia="黑体" w:hint="eastAsia"/>
          <w:b w:val="0"/>
        </w:rPr>
        <w:t>预算绩效管理工作开展情况。</w:t>
      </w:r>
    </w:p>
    <w:p>
      <w:pPr>
        <w:spacing w:line="580" w:lineRule="exact"/>
        <w:ind w:firstLineChars="200" w:firstLine="640"/>
        <w:rPr>
          <w:rFonts w:ascii="仿宋_GB2312" w:eastAsia="仿宋_GB2312" w:cs="仿宋_GB2312"/>
          <w:sz w:val="32"/>
          <w:szCs w:val="32"/>
        </w:rPr>
      </w:pPr>
      <w:bookmarkEnd w:id="55"/>
      <w:r>
        <w:rPr>
          <w:rFonts w:ascii="仿宋_GB2312" w:eastAsia="仿宋_GB2312" w:cs="仿宋_GB2312" w:hint="eastAsia"/>
          <w:sz w:val="32"/>
          <w:szCs w:val="32"/>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经全面综合评价，我单位预算支出绩效自评得分94.7</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。本单位还自行组织了4个项目绩效评价，从评价情况来看我单位年初预算项目基本按照绩效目标完成支付，有部分项目结转质保金在下年质保期后进行支付。</w:t>
      </w:r>
    </w:p>
    <w:p>
      <w:pPr>
        <w:numPr>
          <w:ilvl w:val="0"/>
          <w:numId w:val="5"/>
        </w:numPr>
        <w:spacing w:line="580" w:lineRule="exact"/>
        <w:ind w:left="0" w:firstLineChars="200" w:firstLine="640"/>
        <w:jc w:val="left"/>
        <w:rPr>
          <w:rFonts w:ascii="仿宋_GB2312" w:eastAsia="仿宋_GB2312" w:cs="仿宋_GB2312"/>
          <w:sz w:val="32"/>
          <w:szCs w:val="32"/>
        </w:rPr>
      </w:pPr>
      <w:r>
        <w:rPr>
          <w:rFonts w:ascii="仿宋" w:eastAsia="仿宋" w:cs="楷体_GB2312" w:hint="eastAsia"/>
          <w:b/>
          <w:bCs/>
          <w:sz w:val="32"/>
          <w:szCs w:val="32"/>
        </w:rPr>
        <w:t>项目绩效目标完成情况。</w:t>
      </w:r>
    </w:p>
    <w:p>
      <w:pPr>
        <w:tabs>
          <w:tab w:val="left" w:pos="0"/>
        </w:tabs>
        <w:spacing w:line="580" w:lineRule="exact"/>
        <w:ind w:left="0" w:firstLineChars="100" w:firstLine="320"/>
        <w:jc w:val="left"/>
        <w:rPr>
          <w:rFonts w:ascii="仿宋_GB2312" w:eastAsia="仿宋_GB2312" w:cs="仿宋_GB2312"/>
          <w:sz w:val="32"/>
          <w:szCs w:val="32"/>
        </w:rPr>
      </w:pPr>
      <w:r>
        <w:rPr>
          <w:rFonts w:ascii="仿宋_GB2312" w:eastAsia="仿宋_GB2312" w:cs="仿宋_GB2312" w:hint="eastAsia"/>
          <w:sz w:val="32"/>
          <w:szCs w:val="32"/>
        </w:rPr>
        <w:t xml:space="preserve">   本部门在</w:t>
      </w:r>
      <w:r>
        <w:rPr>
          <w:rFonts w:ascii="仿宋_GB2312" w:eastAsia="仿宋_GB2312" w:cs="仿宋_GB2312"/>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年度部门决算中反映“金川县卡撒乡巴拉塘村政塘大桥建设项目”“</w:t>
      </w:r>
      <w:r>
        <w:rPr>
          <w:rFonts w:ascii="仿宋_GB2312" w:eastAsia="仿宋_GB2312" w:cs="仿宋_GB2312" w:hint="eastAsia"/>
          <w:sz w:val="32"/>
          <w:szCs w:val="32"/>
          <w:lang w:val="en-US" w:eastAsia="zh-CN"/>
        </w:rPr>
        <w:t>春节慰问金</w:t>
      </w:r>
      <w:r>
        <w:rPr>
          <w:rFonts w:ascii="仿宋_GB2312" w:eastAsia="仿宋_GB2312" w:cs="仿宋_GB2312"/>
          <w:sz w:val="32"/>
          <w:szCs w:val="32"/>
        </w:rPr>
        <w:t>”</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三梗子村幸福美丽家园桥梁建设</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泥石流清淤等应急抢险</w:t>
      </w:r>
      <w:r>
        <w:rPr>
          <w:rFonts w:ascii="仿宋_GB2312" w:eastAsia="仿宋_GB2312" w:cs="仿宋_GB2312" w:hint="eastAsia"/>
          <w:sz w:val="32"/>
          <w:szCs w:val="32"/>
        </w:rPr>
        <w:t>资金”</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色尔岭村葡萄基地建设”“脚姆塘村一社通组桥灾后恢复建设项目”“色尔岭村通村公路提升工程”“猫碉村村道提升工程”“脚姆塘村改板厂下方河堤灾后恢复建设项目”“布达村葡萄基地建设”等10</w:t>
      </w:r>
      <w:r>
        <w:rPr>
          <w:rFonts w:ascii="仿宋_GB2312" w:eastAsia="仿宋_GB2312" w:cs="仿宋_GB2312" w:hint="eastAsia"/>
          <w:sz w:val="32"/>
          <w:szCs w:val="32"/>
        </w:rPr>
        <w:t>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w:t>
      </w:r>
      <w:r>
        <w:rPr>
          <w:rFonts w:ascii="仿宋_GB2312" w:eastAsia="仿宋_GB2312" w:cs="仿宋_GB2312" w:hint="eastAsia"/>
          <w:sz w:val="32"/>
          <w:szCs w:val="32"/>
          <w:lang w:val="en-US" w:eastAsia="zh-CN"/>
        </w:rPr>
        <w:t>春节慰问金</w:t>
      </w:r>
      <w:r>
        <w:rPr>
          <w:rFonts w:ascii="仿宋_GB2312" w:eastAsia="仿宋_GB2312" w:cs="仿宋_GB2312" w:hint="eastAsia"/>
          <w:sz w:val="32"/>
          <w:szCs w:val="32"/>
        </w:rPr>
        <w:t>”运转类项目绩效目标完成情况综述。项目全年预算数</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31"/>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1"/>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春节慰问金</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金川县卡撒乡人民政府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w:t>
            </w:r>
            <w:r>
              <w:rPr>
                <w:rFonts w:ascii="宋体" w:cs="宋体" w:hint="eastAsia"/>
                <w:color w:val="000000"/>
                <w:sz w:val="24"/>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rPr>
              <w:t>保证卡撒乡顺利完成</w:t>
            </w:r>
            <w:r>
              <w:rPr>
                <w:rFonts w:ascii="宋体" w:cs="宋体" w:hint="eastAsia"/>
                <w:color w:val="000000"/>
                <w:sz w:val="24"/>
                <w:lang w:val="en-US" w:eastAsia="zh-CN"/>
              </w:rPr>
              <w:t>春节慰问活动</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拨付春节慰问金</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000000"/>
                <w:sz w:val="24"/>
                <w:lang w:val="en-US" w:eastAsia="zh-CN"/>
              </w:rPr>
            </w:pPr>
            <w:r>
              <w:rPr>
                <w:rFonts w:ascii="宋体" w:cs="宋体" w:hint="eastAsia"/>
                <w:color w:val="000000"/>
                <w:sz w:val="24"/>
                <w:lang w:val="en-US" w:eastAsia="zh-CN"/>
              </w:rPr>
              <w:t>1万元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春节慰问</w:t>
            </w:r>
            <w:r>
              <w:rPr>
                <w:rFonts w:ascii="宋体" w:cs="宋体" w:hint="eastAsia"/>
                <w:color w:val="000000"/>
                <w:sz w:val="24"/>
              </w:rPr>
              <w:t>中资金拨付到位及时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春节慰问</w:t>
            </w:r>
            <w:r>
              <w:rPr>
                <w:rFonts w:ascii="宋体" w:cs="宋体" w:hint="eastAsia"/>
                <w:color w:val="000000"/>
                <w:sz w:val="24"/>
              </w:rPr>
              <w:t>过程中所需资金占补助资金比例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全乡职工</w:t>
            </w: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p>
    <w:p>
      <w:pPr>
        <w:numPr>
          <w:ilvl w:val="0"/>
          <w:numId w:val="6"/>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hint="eastAsia"/>
          <w:sz w:val="32"/>
          <w:szCs w:val="32"/>
          <w:lang w:val="en-US" w:eastAsia="zh-CN"/>
        </w:rPr>
        <w:t>三梗子村幸福美丽家园桥梁建设</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1"/>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1"/>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三梗子村幸福美丽家园桥梁建设</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ind w:firstLineChars="700" w:firstLine="1680"/>
              <w:textAlignment w:val="center"/>
              <w:rPr>
                <w:rFonts w:ascii="宋体" w:cs="宋体"/>
                <w:color w:val="000000"/>
                <w:sz w:val="24"/>
              </w:rPr>
            </w:pPr>
            <w:r>
              <w:rPr>
                <w:rFonts w:ascii="宋体" w:cs="宋体" w:hint="eastAsia"/>
                <w:color w:val="000000"/>
                <w:sz w:val="24"/>
              </w:rPr>
              <w:t>金川县卡撒乡人民政府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9</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9</w:t>
            </w:r>
            <w:r>
              <w:rPr>
                <w:rFonts w:ascii="宋体" w:cs="宋体" w:hint="eastAsia"/>
                <w:color w:val="000000"/>
                <w:kern w:val="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9</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9</w:t>
            </w:r>
            <w:r>
              <w:rPr>
                <w:rFonts w:ascii="宋体" w:cs="宋体" w:hint="eastAsia"/>
                <w:color w:val="000000"/>
                <w:kern w:val="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完成幸福美丽家园桥梁建设</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完成幸福美丽家园桥梁建设</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钢架桥数量</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钢架桥3座</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钢架桥3座</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质量达标率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ascii="宋体" w:cs="宋体" w:hint="eastAsia"/>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3座钢架桥追加资金</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9万元</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9万元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当地群众</w:t>
            </w:r>
            <w:r>
              <w:rPr>
                <w:rFonts w:ascii="宋体" w:cs="宋体" w:hint="eastAsia"/>
                <w:color w:val="000000"/>
                <w:sz w:val="24"/>
              </w:rPr>
              <w:t>满意</w:t>
            </w:r>
            <w:r>
              <w:rPr>
                <w:rFonts w:ascii="宋体" w:cs="宋体" w:hint="eastAsia"/>
                <w:color w:val="000000"/>
                <w:sz w:val="24"/>
                <w:lang w:val="en-US" w:eastAsia="zh-CN"/>
              </w:rPr>
              <w:t>度</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p>
        </w:tc>
      </w:tr>
    </w:tbl>
    <w:p>
      <w:pPr>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 xml:space="preserve">                                                                                                                                                                     </w:t>
      </w:r>
    </w:p>
    <w:p>
      <w:pPr>
        <w:numPr>
          <w:ilvl w:val="0"/>
          <w:numId w:val="7"/>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hint="eastAsia"/>
          <w:sz w:val="32"/>
          <w:szCs w:val="32"/>
          <w:lang w:val="en-US" w:eastAsia="zh-CN"/>
        </w:rPr>
        <w:t>泥石流清淤等应急抢险</w:t>
      </w:r>
      <w:r>
        <w:rPr>
          <w:rFonts w:ascii="仿宋_GB2312" w:eastAsia="仿宋_GB2312" w:cs="仿宋_GB2312" w:hint="eastAsia"/>
          <w:sz w:val="32"/>
          <w:szCs w:val="32"/>
        </w:rPr>
        <w:t>资金”项目绩效目标完成情况综述。项目全年预算数</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万元，其中部门预算执行数为</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 xml:space="preserve">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泥石流清淤等应急抢险</w:t>
            </w:r>
            <w:r>
              <w:rPr>
                <w:rFonts w:ascii="宋体" w:cs="宋体" w:hint="eastAsia"/>
                <w:color w:val="000000"/>
                <w:sz w:val="24"/>
              </w:rPr>
              <w:t>资金</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金川县卡撒乡人民政府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8</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8</w:t>
            </w:r>
            <w:r>
              <w:rPr>
                <w:rFonts w:ascii="宋体" w:cs="宋体" w:hint="eastAsia"/>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8</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8</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清理我乡</w:t>
            </w:r>
            <w:r>
              <w:rPr>
                <w:rFonts w:ascii="宋体" w:cs="宋体" w:hint="eastAsia"/>
                <w:color w:val="000000"/>
                <w:sz w:val="24"/>
                <w:lang w:val="en-US" w:eastAsia="zh-CN"/>
              </w:rPr>
              <w:t>6</w:t>
            </w:r>
            <w:r>
              <w:rPr>
                <w:rFonts w:ascii="宋体" w:cs="宋体" w:hint="eastAsia"/>
                <w:color w:val="000000"/>
                <w:sz w:val="24"/>
              </w:rPr>
              <w:t>处地质灾害点废方，抢修道路河堤。</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完成我乡</w:t>
            </w:r>
            <w:r>
              <w:rPr>
                <w:rFonts w:ascii="宋体" w:cs="宋体" w:hint="eastAsia"/>
                <w:color w:val="000000"/>
                <w:sz w:val="24"/>
                <w:lang w:val="en-US" w:eastAsia="zh-CN"/>
              </w:rPr>
              <w:t>6</w:t>
            </w:r>
            <w:r>
              <w:rPr>
                <w:rFonts w:ascii="宋体" w:cs="宋体" w:hint="eastAsia"/>
                <w:color w:val="000000"/>
                <w:sz w:val="24"/>
              </w:rPr>
              <w:t>处地质灾害点废方清理和抢修道路河堤。</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r>
              <w:rPr>
                <w:rFonts w:hint="eastAsi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pPr>
            <w:r>
              <w:rPr>
                <w:rFonts w:ascii="宋体" w:cs="宋体" w:hint="eastAsia"/>
                <w:color w:val="000000"/>
                <w:sz w:val="24"/>
              </w:rPr>
              <w:t xml:space="preserve">              地质灾害点</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6</w:t>
            </w:r>
            <w:r>
              <w:rPr>
                <w:rFonts w:ascii="宋体" w:cs="宋体" w:hint="eastAsia"/>
                <w:color w:val="000000"/>
                <w:sz w:val="24"/>
              </w:rPr>
              <w:t>处</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完成我乡</w:t>
            </w:r>
            <w:r>
              <w:rPr>
                <w:rFonts w:ascii="宋体" w:cs="宋体" w:hint="eastAsia"/>
                <w:color w:val="000000"/>
                <w:sz w:val="24"/>
                <w:lang w:val="en-US" w:eastAsia="zh-CN"/>
              </w:rPr>
              <w:t>6</w:t>
            </w:r>
            <w:r>
              <w:rPr>
                <w:rFonts w:ascii="宋体" w:cs="宋体" w:hint="eastAsia"/>
                <w:color w:val="000000"/>
                <w:sz w:val="24"/>
              </w:rPr>
              <w:t>处地质灾害点废方清理和抢修道路河堤。</w:t>
            </w:r>
          </w:p>
        </w:tc>
      </w:tr>
      <w:tr>
        <w:trPr>
          <w:trHeight w:val="1042"/>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cs="宋体"/>
                <w:color w:val="000000"/>
                <w:sz w:val="24"/>
              </w:rPr>
            </w:pPr>
            <w:r>
              <w:rPr>
                <w:rFonts w:ascii="宋体" w:cs="宋体" w:hint="eastAsia"/>
                <w:color w:val="000000"/>
                <w:sz w:val="24"/>
              </w:rPr>
              <w:t xml:space="preserve">              清理废方按时完工率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完成率100%</w:t>
            </w:r>
          </w:p>
        </w:tc>
      </w:tr>
      <w:tr>
        <w:trPr>
          <w:trHeight w:val="1050"/>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清理废方租赁机械费</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8</w:t>
            </w:r>
            <w:r>
              <w:rPr>
                <w:rFonts w:ascii="宋体" w:cs="宋体" w:hint="eastAsia"/>
                <w:color w:val="000000"/>
                <w:sz w:val="24"/>
              </w:rPr>
              <w:t>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8</w:t>
            </w:r>
            <w:r>
              <w:rPr>
                <w:rFonts w:ascii="宋体" w:cs="宋体" w:hint="eastAsia"/>
                <w:color w:val="000000"/>
                <w:sz w:val="24"/>
              </w:rPr>
              <w:t>万元</w:t>
            </w:r>
          </w:p>
        </w:tc>
      </w:tr>
      <w:tr>
        <w:trPr>
          <w:trHeight w:val="1050"/>
        </w:trPr>
        <w:tc>
          <w:tcPr>
            <w:tcW w:w="390" w:type="dxa"/>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可持续影响指标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改善交通道路环境、防汛减灾</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rPr>
        <w:t>4 .“金川县卡撒乡巴拉塘村政塘大桥建设项目”绩效目标完成情况综述。项目全年预算数60万元，执行数为</w:t>
      </w:r>
      <w:r>
        <w:rPr>
          <w:rFonts w:ascii="仿宋_GB2312" w:eastAsia="仿宋_GB2312" w:cs="仿宋_GB2312" w:hint="eastAsia"/>
          <w:sz w:val="32"/>
          <w:szCs w:val="32"/>
          <w:lang w:val="en-US" w:eastAsia="zh-CN"/>
        </w:rPr>
        <w:t>53.54</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89.23%</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金川县卡撒乡巴拉塘村政塘大桥建设项目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金川县卡撒乡人民政府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60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53.54万元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60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53.54</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sz w:val="24"/>
              </w:rPr>
              <w:t>新建长12米，宽4.5米通组水泥桥梁一座。</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rPr>
              <w:t>新建长12米，宽4.5米通组水泥桥梁一座。</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水泥桥、桥宽、桥长</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ascii="宋体" w:cs="宋体" w:hint="eastAsia"/>
                <w:color w:val="000000"/>
                <w:sz w:val="24"/>
              </w:rPr>
              <w:t>水泥桥梁一座，桥长12米，桥宽4.5米。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rPr>
              <w:t>水泥桥梁一座，桥长12米，桥宽4.5米。</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rPr>
          <w:rFonts w:ascii="Calibri" w:hAnsi="Calibri"/>
        </w:rPr>
      </w:pPr>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色尔岭村葡萄基地建设</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14.15</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14.15</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色尔岭村葡萄基地建设</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金川县卡撒乡人民政府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14.15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14.15万元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14.15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14.15</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完成色尔岭村葡萄基地堡坎建设</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完成色尔岭村葡萄基地堡坎建设</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堡坎混泥土、浆砌片石</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堡坎混泥土215立方米、浆砌片石89立方米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堡坎混泥土215立方米、浆砌片石89立方米</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脚姆塘村一社通组桥灾后恢复建设项目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60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43.5</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72.5%</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仿宋_GB2312" w:eastAsia="仿宋_GB2312" w:cs="仿宋_GB2312" w:hint="eastAsia"/>
                <w:sz w:val="32"/>
                <w:szCs w:val="32"/>
                <w:lang w:val="en-US" w:eastAsia="zh-CN"/>
              </w:rPr>
              <w:t>脚姆塘村一社通组桥灾后恢复建设项目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金川县卡撒乡人民政府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60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60万元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60</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43.5</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完成</w:t>
            </w:r>
            <w:r>
              <w:rPr>
                <w:rFonts w:ascii="宋体" w:cs="宋体" w:hint="eastAsia"/>
                <w:color w:val="000000"/>
                <w:kern w:val="0"/>
                <w:sz w:val="24"/>
                <w:lang w:val="en-US" w:eastAsia="zh-CN"/>
              </w:rPr>
              <w:t>脚姆塘村一社通组桥灾后恢复建设项目</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完成</w:t>
            </w:r>
            <w:r>
              <w:rPr>
                <w:rFonts w:ascii="宋体" w:cs="宋体" w:hint="eastAsia"/>
                <w:color w:val="000000"/>
                <w:kern w:val="0"/>
                <w:sz w:val="24"/>
                <w:lang w:val="en-US" w:eastAsia="zh-CN"/>
              </w:rPr>
              <w:t>脚姆塘村一社通组桥灾后恢复建设项目</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桥长、桥宽</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桥长16米、桥宽4.5米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桥长16米、桥宽4.5米</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7</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色尔岭村通村公路提升工程</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2.7</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2.7</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仿宋_GB2312" w:eastAsia="仿宋_GB2312" w:cs="仿宋_GB2312" w:hint="eastAsia"/>
                <w:sz w:val="32"/>
                <w:szCs w:val="32"/>
                <w:lang w:val="en-US" w:eastAsia="zh-CN"/>
              </w:rPr>
              <w:t>色尔岭村通村公路提升工程</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金川县卡撒乡人民政府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2.7</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2.7万元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2.7</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2.7</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完成</w:t>
            </w:r>
            <w:r>
              <w:rPr>
                <w:rFonts w:ascii="宋体" w:cs="宋体" w:hint="eastAsia"/>
                <w:color w:val="000000"/>
                <w:kern w:val="0"/>
                <w:sz w:val="24"/>
                <w:lang w:val="en-US" w:eastAsia="zh-CN"/>
              </w:rPr>
              <w:t>色尔岭村通村公路提升工程</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完成</w:t>
            </w:r>
            <w:r>
              <w:rPr>
                <w:rFonts w:ascii="宋体" w:cs="宋体" w:hint="eastAsia"/>
                <w:color w:val="000000"/>
                <w:kern w:val="0"/>
                <w:sz w:val="24"/>
                <w:lang w:val="en-US" w:eastAsia="zh-CN"/>
              </w:rPr>
              <w:t>色尔岭村通村公路提升工程</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恢复堡坎、挡墙、清运废方</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恢复堡坎长160米、宽5米，恢复挡墙长100米、宽1.3米，清运废方1500立方米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恢复堡坎长160米、宽5米，恢复挡墙长100米、宽1.3米，清运废方1500立方米</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猫碉村村道提升工程</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13.03</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13.03</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ascii="仿宋_GB2312" w:eastAsia="仿宋_GB2312" w:cs="仿宋_GB2312" w:hint="eastAsia"/>
                <w:sz w:val="32"/>
                <w:szCs w:val="32"/>
                <w:lang w:val="en-US" w:eastAsia="zh-CN"/>
              </w:rPr>
              <w:t>猫碉村村道提升工程</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金川县卡撒乡人民政府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13.03</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13.03万元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13.03</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13.03</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完成猫碉村村道提升工程</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lang w:val="en-US" w:eastAsia="zh-CN"/>
              </w:rPr>
              <w:t>完成猫碉村村道提升工程</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恢复通村路</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恢复通村路6公里</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恢复通村路6公里</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pStyle w:val="15"/>
      </w:pPr>
    </w:p>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布达村葡萄基地建设资金</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9.9</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9.9</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布达村葡萄基地建设资金</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金川县卡撒乡人民政府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9.9</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9.9万元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9.9</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9.9</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完成布达村葡萄基地建设项目</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lang w:val="en-US"/>
              </w:rPr>
            </w:pPr>
            <w:r>
              <w:rPr>
                <w:rFonts w:ascii="宋体" w:cs="宋体" w:hint="eastAsia"/>
                <w:color w:val="000000"/>
                <w:sz w:val="24"/>
                <w:lang w:val="en-US" w:eastAsia="zh-CN"/>
              </w:rPr>
              <w:t>完成布达村葡萄基地建设项目</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混泥土堡坎、浆砌片石</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混泥土堡坎189立方米、浆砌片石76立方米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混泥土堡坎189立方米、浆砌片石76立方米</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10</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脚姆塘村改板厂下方河堤灾后恢复建设项目</w:t>
      </w:r>
      <w:r>
        <w:rPr>
          <w:rFonts w:ascii="仿宋_GB2312" w:eastAsia="仿宋_GB2312" w:cs="仿宋_GB2312" w:hint="eastAsia"/>
          <w:sz w:val="32"/>
          <w:szCs w:val="32"/>
        </w:rPr>
        <w:t>”绩效目标完成情况综述。项目全年预算数</w:t>
      </w:r>
      <w:r>
        <w:rPr>
          <w:rFonts w:ascii="仿宋_GB2312" w:eastAsia="仿宋_GB2312" w:cs="仿宋_GB2312" w:hint="eastAsia"/>
          <w:sz w:val="32"/>
          <w:szCs w:val="32"/>
          <w:lang w:val="en-US" w:eastAsia="zh-CN"/>
        </w:rPr>
        <w:t>102</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71.43</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70.3%</w:t>
      </w:r>
      <w:r>
        <w:rPr>
          <w:rFonts w:ascii="仿宋_GB2312" w:eastAsia="仿宋_GB2312" w:cs="仿宋_GB2312" w:hint="eastAsia"/>
          <w:sz w:val="32"/>
          <w:szCs w:val="32"/>
          <w:lang w:eastAsia="zh-CN"/>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lang w:val="en-US" w:eastAsia="zh-CN"/>
              </w:rPr>
              <w:t>1</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kern w:val="0"/>
                <w:sz w:val="24"/>
                <w:lang w:val="en-US" w:eastAsia="zh-CN"/>
              </w:rPr>
              <w:t>脚姆塘村改板厂下方河堤灾后恢复建设项目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金川县卡撒乡人民政府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102</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仿宋_GB2312" w:eastAsia="仿宋_GB2312" w:cs="仿宋_GB2312" w:hint="eastAsia"/>
                <w:sz w:val="32"/>
                <w:szCs w:val="32"/>
                <w:lang w:val="en-US" w:eastAsia="zh-CN"/>
              </w:rPr>
              <w:t>71.43万元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102</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lang w:val="en-US" w:eastAsia="zh-CN"/>
              </w:rPr>
              <w:t>71.43</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完成脚姆塘村改板厂下方河堤灾后恢复建设项目</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lang w:val="en-US"/>
              </w:rPr>
            </w:pPr>
            <w:r>
              <w:rPr>
                <w:rFonts w:ascii="宋体" w:cs="宋体" w:hint="eastAsia"/>
                <w:color w:val="000000"/>
                <w:sz w:val="24"/>
                <w:lang w:val="en-US" w:eastAsia="zh-CN"/>
              </w:rPr>
              <w:t>完成脚姆塘村改板厂下方河堤灾后恢复建设项目</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修筑河堤</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ascii="宋体" w:cs="宋体" w:hint="eastAsia"/>
                <w:color w:val="000000"/>
                <w:sz w:val="24"/>
                <w:lang w:val="en-US" w:eastAsia="zh-CN"/>
              </w:rPr>
              <w:t>修筑河堤长180米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lang w:val="en-US" w:eastAsia="zh-CN"/>
              </w:rPr>
              <w:t>修筑河堤长180米</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pStyle w:val="15"/>
      </w:pPr>
    </w:p>
    <w:p>
      <w:pPr>
        <w:pStyle w:val="15"/>
        <w:ind w:leftChars="0" w:left="0" w:firstLineChars="0" w:firstLine="0"/>
      </w:pPr>
    </w:p>
    <w:p>
      <w:pPr>
        <w:spacing w:line="600" w:lineRule="exact"/>
        <w:ind w:firstLineChars="200" w:firstLine="640"/>
        <w:outlineLvl w:val="1"/>
        <w:rPr>
          <w:rStyle w:val="2Char"/>
          <w:rFonts w:ascii="黑体" w:eastAsia="黑体"/>
        </w:rPr>
      </w:pPr>
      <w:bookmarkStart w:id="56" w:name="_Toc30171"/>
      <w:bookmarkStart w:id="57"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6"/>
      <w:bookmarkEnd w:id="57"/>
    </w:p>
    <w:p>
      <w:pPr>
        <w:spacing w:line="600" w:lineRule="exact"/>
        <w:ind w:firstLineChars="200" w:firstLine="640"/>
        <w:outlineLvl w:val="2"/>
        <w:rPr>
          <w:rFonts w:ascii="仿宋" w:eastAsia="仿宋"/>
          <w:color w:val="000000"/>
          <w:sz w:val="32"/>
          <w:szCs w:val="32"/>
        </w:rPr>
      </w:pPr>
      <w:bookmarkStart w:id="58" w:name="_Toc15377222"/>
      <w:r>
        <w:rPr>
          <w:rFonts w:ascii="仿宋" w:eastAsia="仿宋" w:hint="eastAsia"/>
          <w:b/>
          <w:color w:val="000000"/>
          <w:sz w:val="32"/>
          <w:szCs w:val="32"/>
        </w:rPr>
        <w:t>（一）机关运行经费支出情况</w:t>
      </w:r>
      <w:bookmarkEnd w:id="58"/>
    </w:p>
    <w:p>
      <w:pPr>
        <w:spacing w:line="600" w:lineRule="exact"/>
        <w:ind w:firstLineChars="200" w:firstLine="640"/>
        <w:rPr>
          <w:rFonts w:ascii="仿宋_GB2312" w:eastAsia="仿宋_GB2312"/>
          <w:sz w:val="32"/>
          <w:szCs w:val="32"/>
        </w:rPr>
      </w:pP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年，卡撒乡人民政府运行经费支出0万元</w:t>
      </w:r>
      <w:r>
        <w:rPr>
          <w:rFonts w:ascii="仿宋_GB2312" w:eastAsia="仿宋_GB2312" w:hint="eastAsia"/>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9" w:name="_Toc15377224"/>
      <w:r>
        <w:rPr>
          <w:rFonts w:ascii="仿宋" w:eastAsia="仿宋" w:hint="eastAsia"/>
          <w:b/>
          <w:color w:val="000000"/>
          <w:sz w:val="32"/>
          <w:szCs w:val="32"/>
        </w:rPr>
        <w:t>（二）国有资产占有使用情况</w:t>
      </w:r>
      <w:bookmarkEnd w:id="59"/>
    </w:p>
    <w:p>
      <w:pPr>
        <w:widowControl/>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辆，为日常工作及应急保障用车。</w:t>
      </w:r>
    </w:p>
    <w:p>
      <w:pPr>
        <w:widowControl/>
        <w:numPr>
          <w:ilvl w:val="0"/>
          <w:numId w:val="5"/>
        </w:numPr>
        <w:ind w:left="0"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 xml:space="preserve">政府采购支出情况   </w:t>
      </w:r>
    </w:p>
    <w:p>
      <w:pPr>
        <w:widowControl/>
        <w:tabs>
          <w:tab w:val="left" w:pos="0"/>
        </w:tabs>
        <w:ind w:leftChars="200" w:left="420" w:firstLineChars="100" w:firstLine="320"/>
        <w:jc w:val="left"/>
        <w:rPr>
          <w:rFonts w:ascii="仿宋_GB2312" w:eastAsia="仿宋_GB2312"/>
          <w:color w:val="000000"/>
          <w:sz w:val="32"/>
          <w:szCs w:val="32"/>
        </w:rPr>
      </w:pPr>
      <w:r>
        <w:rPr>
          <w:rFonts w:ascii="仿宋_GB2312" w:eastAsia="仿宋_GB2312" w:hint="eastAsia"/>
          <w:color w:val="000000"/>
          <w:sz w:val="32"/>
          <w:szCs w:val="32"/>
        </w:rPr>
        <w:t>无政府采购支出。</w:t>
      </w:r>
    </w:p>
    <w:p>
      <w:pPr>
        <w:widowControl/>
        <w:tabs>
          <w:tab w:val="left" w:pos="0"/>
        </w:tabs>
        <w:ind w:leftChars="200" w:left="420"/>
        <w:jc w:val="left"/>
        <w:rPr>
          <w:rFonts w:ascii="仿宋_GB2312" w:eastAsia="仿宋_GB2312"/>
          <w:b/>
          <w:color w:val="000000"/>
          <w:sz w:val="32"/>
          <w:szCs w:val="32"/>
        </w:rPr>
      </w:pPr>
      <w:r>
        <w:rPr>
          <w:rFonts w:ascii="仿宋_GB2312" w:eastAsia="仿宋_GB2312" w:hint="eastAsia"/>
          <w:b/>
          <w:color w:val="000000"/>
          <w:sz w:val="32"/>
          <w:szCs w:val="32"/>
        </w:rPr>
        <w:t xml:space="preserve">   </w:t>
      </w:r>
    </w:p>
    <w:p>
      <w:pPr>
        <w:numPr>
          <w:ilvl w:val="0"/>
          <w:numId w:val="8"/>
        </w:numPr>
        <w:spacing w:line="600" w:lineRule="exact"/>
        <w:ind w:left="0" w:firstLineChars="150" w:firstLine="660"/>
        <w:jc w:val="center"/>
        <w:outlineLvl w:val="0"/>
        <w:rPr>
          <w:rStyle w:val="1Char"/>
          <w:rFonts w:ascii="黑体" w:eastAsia="黑体"/>
          <w:b w:val="0"/>
        </w:rPr>
      </w:pPr>
      <w:bookmarkStart w:id="60" w:name="_Toc15377225"/>
      <w:bookmarkStart w:id="61" w:name="_Toc30760"/>
      <w:r>
        <w:rPr>
          <w:rFonts w:ascii="黑体" w:eastAsia="黑体" w:hint="eastAsia"/>
          <w:b/>
          <w:color w:val="000000"/>
          <w:sz w:val="44"/>
          <w:szCs w:val="44"/>
        </w:rPr>
        <w:t>名</w:t>
      </w:r>
      <w:r>
        <w:rPr>
          <w:rStyle w:val="1Char"/>
          <w:rFonts w:ascii="黑体" w:eastAsia="黑体" w:hint="eastAsia"/>
          <w:b w:val="0"/>
        </w:rPr>
        <w:t>词解释</w:t>
      </w:r>
      <w:bookmarkEnd w:id="60"/>
      <w:bookmarkEnd w:id="61"/>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2" w:name="_Toc15377226"/>
      <w:bookmarkStart w:id="63" w:name="_Toc15396614"/>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b/>
          <w:color w:val="000000"/>
          <w:sz w:val="44"/>
          <w:szCs w:val="44"/>
          <w:lang w:val="en-US" w:eastAsia="zh-CN"/>
        </w:rPr>
      </w:pPr>
    </w:p>
    <w:p>
      <w:pPr>
        <w:pStyle w:val="15"/>
      </w:pPr>
    </w:p>
    <w:p/>
    <w:p>
      <w:pPr>
        <w:pStyle w:val="15"/>
      </w:pPr>
    </w:p>
    <w:p/>
    <w:p>
      <w:pPr>
        <w:pStyle w:val="15"/>
      </w:pPr>
    </w:p>
    <w:p>
      <w:pPr>
        <w:spacing w:line="600" w:lineRule="exact"/>
        <w:jc w:val="center"/>
        <w:outlineLvl w:val="0"/>
        <w:rPr>
          <w:rFonts w:ascii="黑体" w:eastAsia="黑体"/>
          <w:b/>
          <w:color w:val="000000"/>
          <w:sz w:val="44"/>
          <w:szCs w:val="44"/>
          <w:lang w:val="en-US" w:eastAsia="zh-CN"/>
        </w:rPr>
      </w:pPr>
    </w:p>
    <w:p>
      <w:pPr>
        <w:pStyle w:val="15"/>
      </w:pPr>
    </w:p>
    <w:p>
      <w:pPr>
        <w:spacing w:line="600" w:lineRule="exact"/>
        <w:jc w:val="center"/>
        <w:outlineLvl w:val="0"/>
        <w:rPr>
          <w:rFonts w:ascii="黑体" w:eastAsia="黑体" w:hint="eastAsia"/>
          <w:b/>
          <w:color w:val="000000"/>
          <w:sz w:val="44"/>
          <w:szCs w:val="44"/>
        </w:rPr>
      </w:pPr>
      <w:r>
        <w:rPr>
          <w:rFonts w:ascii="黑体" w:eastAsia="黑体" w:hint="eastAsia"/>
          <w:b/>
          <w:color w:val="000000"/>
          <w:sz w:val="44"/>
          <w:szCs w:val="44"/>
          <w:lang w:val="en-US" w:eastAsia="zh-CN"/>
        </w:rPr>
        <w:t>第四部分</w:t>
      </w:r>
    </w:p>
    <w:p>
      <w:pPr>
        <w:rPr>
          <w:rFonts w:ascii="宋体" w:eastAsia="宋体" w:cs="宋体" w:hint="eastAsia"/>
          <w:sz w:val="44"/>
          <w:szCs w:val="44"/>
          <w:lang w:val="en-US" w:eastAsia="zh-CN"/>
        </w:rPr>
      </w:pPr>
      <w:r>
        <w:rPr>
          <w:rFonts w:ascii="宋体" w:eastAsia="宋体" w:cs="宋体" w:hint="eastAsia"/>
          <w:sz w:val="44"/>
          <w:szCs w:val="44"/>
          <w:lang w:val="en-US" w:eastAsia="zh-CN"/>
        </w:rPr>
        <w:t>附件</w:t>
      </w:r>
    </w:p>
    <w:p>
      <w:pPr>
        <w:spacing w:line="600" w:lineRule="exact"/>
        <w:jc w:val="both"/>
        <w:outlineLvl w:val="0"/>
        <w:rPr>
          <w:rFonts w:ascii="黑体" w:eastAsia="黑体"/>
          <w:color w:val="000000"/>
          <w:sz w:val="44"/>
          <w:szCs w:val="44"/>
        </w:rPr>
      </w:pPr>
      <w:bookmarkStart w:id="64" w:name="_Toc15396618"/>
      <w:bookmarkStart w:id="65" w:name="_Toc15396619"/>
      <w:bookmarkEnd w:id="62"/>
      <w:bookmarkEnd w:id="63"/>
    </w:p>
    <w:p>
      <w:pPr>
        <w:keepNext w:val="0"/>
        <w:keepLines w:val="0"/>
        <w:pageBreakBefore w:val="0"/>
        <w:widowControl/>
        <w:tabs>
          <w:tab w:val="left" w:pos="1582"/>
          <w:tab w:val="center" w:pos="4212"/>
        </w:tabs>
        <w:bidi w:val="0"/>
        <w:spacing w:line="600" w:lineRule="exact"/>
        <w:contextualSpacing/>
        <w:jc w:val="left"/>
        <w:textAlignment w:val="auto"/>
        <w:rPr>
          <w:rFonts w:ascii="方正小标宋简体" w:eastAsia="方正小标宋简体" w:cs="方正小标宋简体" w:hint="eastAsia"/>
          <w:b/>
          <w:spacing w:val="34"/>
          <w:sz w:val="44"/>
          <w:szCs w:val="44"/>
          <w:shd w:val="clear" w:color="auto" w:fill="FFFFFF"/>
        </w:rPr>
      </w:pPr>
      <w:bookmarkEnd w:id="64"/>
      <w:bookmarkEnd w:id="65"/>
      <w:r>
        <w:rPr>
          <w:rFonts w:ascii="方正小标宋简体" w:eastAsia="方正小标宋简体" w:cs="方正小标宋简体" w:hint="eastAsia"/>
          <w:b/>
          <w:spacing w:val="34"/>
          <w:sz w:val="44"/>
          <w:szCs w:val="44"/>
          <w:shd w:val="clear" w:color="auto" w:fill="FFFFFF"/>
          <w:lang w:eastAsia="zh-CN"/>
        </w:rPr>
        <w:tab/>
        <w:tab/>
      </w:r>
      <w:r>
        <w:rPr>
          <w:rFonts w:ascii="方正小标宋简体" w:eastAsia="方正小标宋简体" w:cs="方正小标宋简体" w:hint="eastAsia"/>
          <w:b/>
          <w:spacing w:val="34"/>
          <w:sz w:val="44"/>
          <w:szCs w:val="44"/>
          <w:shd w:val="clear" w:color="auto" w:fill="FFFFFF"/>
        </w:rPr>
        <w:t>金川县</w:t>
      </w:r>
      <w:r>
        <w:rPr>
          <w:rFonts w:ascii="方正小标宋简体" w:eastAsia="方正小标宋简体" w:cs="方正小标宋简体" w:hint="eastAsia"/>
          <w:b/>
          <w:spacing w:val="34"/>
          <w:sz w:val="44"/>
          <w:szCs w:val="44"/>
          <w:shd w:val="clear" w:color="auto" w:fill="FFFFFF"/>
          <w:lang w:eastAsia="zh-CN"/>
        </w:rPr>
        <w:t>卡撒</w:t>
      </w:r>
      <w:r>
        <w:rPr>
          <w:rFonts w:ascii="方正小标宋简体" w:eastAsia="方正小标宋简体" w:cs="方正小标宋简体" w:hint="eastAsia"/>
          <w:b/>
          <w:spacing w:val="34"/>
          <w:sz w:val="44"/>
          <w:szCs w:val="44"/>
          <w:shd w:val="clear" w:color="auto" w:fill="FFFFFF"/>
        </w:rPr>
        <w:t>乡人民政府</w:t>
      </w:r>
    </w:p>
    <w:p>
      <w:pPr>
        <w:keepNext w:val="0"/>
        <w:keepLines w:val="0"/>
        <w:pageBreakBefore w:val="0"/>
        <w:widowControl/>
        <w:bidi w:val="0"/>
        <w:spacing w:line="600" w:lineRule="exact"/>
        <w:contextualSpacing/>
        <w:jc w:val="center"/>
        <w:textAlignment w:val="auto"/>
        <w:rPr>
          <w:rFonts w:ascii="方正小标宋简体" w:eastAsia="方正小标宋简体" w:cs="方正小标宋简体" w:hint="eastAsia"/>
          <w:b/>
          <w:spacing w:val="34"/>
          <w:sz w:val="44"/>
          <w:szCs w:val="44"/>
          <w:shd w:val="clear" w:color="auto" w:fill="FFFFFF"/>
        </w:rPr>
      </w:pPr>
      <w:r>
        <w:rPr>
          <w:rFonts w:ascii="方正小标宋简体" w:eastAsia="方正小标宋简体" w:cs="方正小标宋简体" w:hint="eastAsia"/>
          <w:b/>
          <w:spacing w:val="34"/>
          <w:sz w:val="44"/>
          <w:szCs w:val="44"/>
          <w:shd w:val="clear" w:color="auto" w:fill="FFFFFF"/>
        </w:rPr>
        <w:t>2022年部门整体支出绩效</w:t>
      </w:r>
    </w:p>
    <w:p>
      <w:pPr>
        <w:keepNext w:val="0"/>
        <w:keepLines w:val="0"/>
        <w:pageBreakBefore w:val="0"/>
        <w:widowControl/>
        <w:bidi w:val="0"/>
        <w:spacing w:line="600" w:lineRule="exact"/>
        <w:contextualSpacing/>
        <w:jc w:val="center"/>
        <w:textAlignment w:val="auto"/>
        <w:rPr>
          <w:rFonts w:hint="eastAsia"/>
          <w:sz w:val="44"/>
          <w:szCs w:val="44"/>
        </w:rPr>
      </w:pPr>
      <w:r>
        <w:rPr>
          <w:rFonts w:ascii="方正小标宋简体" w:eastAsia="方正小标宋简体" w:cs="方正小标宋简体" w:hint="eastAsia"/>
          <w:b/>
          <w:spacing w:val="34"/>
          <w:sz w:val="44"/>
          <w:szCs w:val="44"/>
          <w:shd w:val="clear" w:color="auto" w:fill="FFFFFF"/>
        </w:rPr>
        <w:t>评价报告</w:t>
      </w:r>
    </w:p>
    <w:p>
      <w:pPr>
        <w:keepNext w:val="0"/>
        <w:keepLines w:val="0"/>
        <w:pageBreakBefore w:val="0"/>
        <w:widowControl/>
        <w:kinsoku w:val="0"/>
        <w:overflowPunct w:val="0"/>
        <w:autoSpaceDE w:val="0"/>
        <w:autoSpaceDN w:val="0"/>
        <w:bidi w:val="0"/>
        <w:spacing w:line="600" w:lineRule="exact"/>
        <w:ind w:firstLineChars="200" w:firstLine="640"/>
        <w:jc w:val="left"/>
        <w:textAlignment w:val="auto"/>
        <w:rPr>
          <w:rFonts w:ascii="仿宋" w:eastAsia="仿宋" w:hint="eastAsia"/>
          <w:color w:val="000000"/>
          <w:sz w:val="32"/>
          <w:szCs w:val="32"/>
        </w:rPr>
      </w:pPr>
    </w:p>
    <w:p>
      <w:pPr>
        <w:keepNext w:val="0"/>
        <w:keepLines w:val="0"/>
        <w:pageBreakBefore w:val="0"/>
        <w:widowControl/>
        <w:kinsoku w:val="0"/>
        <w:overflowPunct w:val="0"/>
        <w:autoSpaceDE w:val="0"/>
        <w:autoSpaceDN w:val="0"/>
        <w:bidi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我乡高度重视，庚即成立了绩效评价工作组负责开展2021年财政支出绩效评价。</w:t>
      </w:r>
    </w:p>
    <w:p>
      <w:pPr>
        <w:keepNext w:val="0"/>
        <w:keepLines w:val="0"/>
        <w:pageBreakBefore w:val="0"/>
        <w:widowControl w:val="0"/>
        <w:bidi w:val="0"/>
        <w:spacing w:line="600" w:lineRule="exact"/>
        <w:textAlignment w:val="auto"/>
        <w:rPr>
          <w:rFonts w:hint="eastAsia"/>
          <w:lang w:val="zh-CN"/>
        </w:rPr>
      </w:pPr>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1"/>
        <w:rPr>
          <w:rFonts w:ascii="黑体" w:eastAsia="黑体" w:cs="黑体" w:hint="eastAsia"/>
          <w:b/>
          <w:bCs/>
          <w:color w:val="000000"/>
          <w:spacing w:val="34"/>
          <w:sz w:val="32"/>
          <w:szCs w:val="48"/>
          <w:lang w:val="zh-CN"/>
        </w:rPr>
      </w:pPr>
      <w:bookmarkStart w:id="66" w:name="_Toc20121"/>
      <w:bookmarkStart w:id="67" w:name="_Toc13478"/>
      <w:bookmarkStart w:id="68" w:name="_Toc18089"/>
      <w:r>
        <w:rPr>
          <w:rFonts w:ascii="黑体" w:eastAsia="黑体" w:cs="黑体" w:hint="eastAsia"/>
          <w:b/>
          <w:bCs/>
          <w:color w:val="000000"/>
          <w:spacing w:val="34"/>
          <w:sz w:val="32"/>
          <w:szCs w:val="48"/>
          <w:lang w:val="zh-CN"/>
        </w:rPr>
        <w:t>一、部门（单位）概况</w:t>
      </w:r>
      <w:bookmarkEnd w:id="66"/>
      <w:bookmarkEnd w:id="67"/>
      <w:bookmarkEnd w:id="68"/>
    </w:p>
    <w:p>
      <w:pPr>
        <w:keepNext w:val="0"/>
        <w:keepLines w:val="0"/>
        <w:pageBreakBefore w:val="0"/>
        <w:widowControl w:val="0"/>
        <w:bidi w:val="0"/>
        <w:snapToGrid w:val="0"/>
        <w:spacing w:line="600" w:lineRule="exact"/>
        <w:ind w:firstLineChars="200" w:firstLine="640"/>
        <w:textAlignment w:val="auto"/>
        <w:outlineLvl w:val="1"/>
        <w:rPr>
          <w:rFonts w:ascii="仿宋_GB2312" w:eastAsia="仿宋_GB2312" w:hint="eastAsia"/>
          <w:sz w:val="30"/>
          <w:szCs w:val="30"/>
        </w:rPr>
      </w:pPr>
      <w:bookmarkStart w:id="69" w:name="_Toc1399"/>
      <w:bookmarkStart w:id="70" w:name="_Toc30120"/>
      <w:r>
        <w:rPr>
          <w:rFonts w:ascii="楷体" w:eastAsia="楷体" w:cs="楷体" w:hint="eastAsia"/>
          <w:b/>
          <w:bCs/>
          <w:sz w:val="32"/>
          <w:szCs w:val="32"/>
        </w:rPr>
        <w:t>（一）机构和人员情况</w:t>
      </w:r>
      <w:bookmarkEnd w:id="69"/>
    </w:p>
    <w:p>
      <w:pPr>
        <w:keepNext w:val="0"/>
        <w:keepLines w:val="0"/>
        <w:pageBreakBefore w:val="0"/>
        <w:widowControl w:val="0"/>
        <w:bidi w:val="0"/>
        <w:snapToGrid w:val="0"/>
        <w:spacing w:line="600" w:lineRule="exact"/>
        <w:ind w:firstLineChars="200" w:firstLine="640"/>
        <w:textAlignment w:val="auto"/>
        <w:rPr>
          <w:rFonts w:ascii="仿宋" w:eastAsia="仿宋" w:hint="eastAsia"/>
          <w:color w:val="000000"/>
          <w:sz w:val="32"/>
          <w:szCs w:val="32"/>
        </w:rPr>
      </w:pPr>
      <w:r>
        <w:rPr>
          <w:rFonts w:ascii="仿宋" w:eastAsia="仿宋" w:hint="eastAsia"/>
          <w:color w:val="000000"/>
          <w:sz w:val="32"/>
          <w:szCs w:val="32"/>
        </w:rPr>
        <w:t>1、机构情况：我乡2021年有</w:t>
      </w:r>
      <w:r>
        <w:rPr>
          <w:rFonts w:ascii="仿宋" w:eastAsia="仿宋" w:hint="eastAsia"/>
          <w:color w:val="000000"/>
          <w:sz w:val="32"/>
          <w:szCs w:val="32"/>
          <w:lang w:val="en-US" w:eastAsia="zh-CN"/>
        </w:rPr>
        <w:t>4</w:t>
      </w:r>
      <w:r>
        <w:rPr>
          <w:rFonts w:ascii="仿宋" w:eastAsia="仿宋" w:hint="eastAsia"/>
          <w:color w:val="000000"/>
          <w:sz w:val="32"/>
          <w:szCs w:val="32"/>
        </w:rPr>
        <w:t>个机构，无增减变动。</w:t>
      </w:r>
    </w:p>
    <w:p>
      <w:pPr>
        <w:keepNext w:val="0"/>
        <w:keepLines w:val="0"/>
        <w:pageBreakBefore w:val="0"/>
        <w:widowControl w:val="0"/>
        <w:bidi w:val="0"/>
        <w:snapToGrid w:val="0"/>
        <w:spacing w:line="600" w:lineRule="exact"/>
        <w:textAlignment w:val="auto"/>
        <w:rPr>
          <w:rFonts w:ascii="仿宋" w:eastAsia="仿宋" w:hint="eastAsia"/>
          <w:color w:val="000000"/>
          <w:sz w:val="32"/>
          <w:szCs w:val="32"/>
        </w:rPr>
      </w:pPr>
      <w:r>
        <w:rPr>
          <w:rFonts w:ascii="仿宋" w:eastAsia="仿宋" w:hint="eastAsia"/>
          <w:color w:val="000000"/>
          <w:sz w:val="32"/>
          <w:szCs w:val="32"/>
        </w:rPr>
        <w:t>　　2、人员情况：我乡2021年年末在职</w:t>
      </w:r>
      <w:r>
        <w:rPr>
          <w:rFonts w:ascii="仿宋" w:eastAsia="仿宋" w:hint="eastAsia"/>
          <w:color w:val="000000"/>
          <w:sz w:val="32"/>
          <w:szCs w:val="32"/>
          <w:lang w:val="en-US" w:eastAsia="zh-CN"/>
        </w:rPr>
        <w:t>35</w:t>
      </w:r>
      <w:r>
        <w:rPr>
          <w:rFonts w:ascii="仿宋" w:eastAsia="仿宋" w:hint="eastAsia"/>
          <w:color w:val="000000"/>
          <w:sz w:val="32"/>
          <w:szCs w:val="32"/>
        </w:rPr>
        <w:t>人，退休</w:t>
      </w:r>
      <w:r>
        <w:rPr>
          <w:rFonts w:ascii="仿宋" w:eastAsia="仿宋" w:hint="eastAsia"/>
          <w:color w:val="000000"/>
          <w:sz w:val="32"/>
          <w:szCs w:val="32"/>
          <w:lang w:val="en-US" w:eastAsia="zh-CN"/>
        </w:rPr>
        <w:t>1</w:t>
      </w:r>
      <w:r>
        <w:rPr>
          <w:rFonts w:ascii="仿宋" w:eastAsia="仿宋" w:hint="eastAsia"/>
          <w:color w:val="000000"/>
          <w:sz w:val="32"/>
          <w:szCs w:val="32"/>
        </w:rPr>
        <w:t>人，遗嘱1人。总编制数</w:t>
      </w:r>
      <w:r>
        <w:rPr>
          <w:rFonts w:ascii="仿宋" w:eastAsia="仿宋" w:hint="eastAsia"/>
          <w:color w:val="000000"/>
          <w:sz w:val="32"/>
          <w:szCs w:val="32"/>
          <w:lang w:val="en-US" w:eastAsia="zh-CN"/>
        </w:rPr>
        <w:t>37</w:t>
      </w:r>
      <w:r>
        <w:rPr>
          <w:rFonts w:ascii="仿宋" w:eastAsia="仿宋" w:hint="eastAsia"/>
          <w:color w:val="000000"/>
          <w:sz w:val="32"/>
          <w:szCs w:val="32"/>
        </w:rPr>
        <w:t>人（其中:行政编制</w:t>
      </w:r>
      <w:r>
        <w:rPr>
          <w:rFonts w:ascii="仿宋" w:eastAsia="仿宋" w:hint="eastAsia"/>
          <w:color w:val="000000"/>
          <w:sz w:val="32"/>
          <w:szCs w:val="32"/>
          <w:lang w:val="en-US" w:eastAsia="zh-CN"/>
        </w:rPr>
        <w:t>21</w:t>
      </w:r>
      <w:r>
        <w:rPr>
          <w:rFonts w:ascii="仿宋" w:eastAsia="仿宋" w:hint="eastAsia"/>
          <w:color w:val="000000"/>
          <w:sz w:val="32"/>
          <w:szCs w:val="32"/>
        </w:rPr>
        <w:t>人，</w:t>
      </w:r>
      <w:r>
        <w:rPr>
          <w:rFonts w:ascii="仿宋" w:eastAsia="仿宋" w:hint="eastAsia"/>
          <w:color w:val="000000"/>
          <w:sz w:val="32"/>
          <w:szCs w:val="32"/>
          <w:lang w:val="en-US" w:eastAsia="zh-CN"/>
        </w:rPr>
        <w:t>机关</w:t>
      </w:r>
      <w:r>
        <w:rPr>
          <w:rFonts w:ascii="仿宋" w:eastAsia="仿宋" w:hint="eastAsia"/>
          <w:color w:val="000000"/>
          <w:sz w:val="32"/>
          <w:szCs w:val="32"/>
        </w:rPr>
        <w:t>工勤编制2人、事业编制</w:t>
      </w:r>
      <w:r>
        <w:rPr>
          <w:rFonts w:ascii="仿宋" w:eastAsia="仿宋" w:hint="eastAsia"/>
          <w:color w:val="000000"/>
          <w:sz w:val="32"/>
          <w:szCs w:val="32"/>
          <w:lang w:val="en-US" w:eastAsia="zh-CN"/>
        </w:rPr>
        <w:t>14</w:t>
      </w:r>
      <w:r>
        <w:rPr>
          <w:rFonts w:ascii="仿宋" w:eastAsia="仿宋" w:hint="eastAsia"/>
          <w:color w:val="000000"/>
          <w:sz w:val="32"/>
          <w:szCs w:val="32"/>
        </w:rPr>
        <w:t>人）。</w:t>
      </w:r>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1"/>
        <w:rPr>
          <w:rFonts w:ascii="黑体" w:eastAsia="黑体" w:cs="黑体" w:hint="eastAsia"/>
          <w:b/>
          <w:bCs/>
          <w:color w:val="000000"/>
          <w:spacing w:val="34"/>
          <w:sz w:val="32"/>
          <w:szCs w:val="32"/>
          <w:lang w:val="zh-CN"/>
        </w:rPr>
      </w:pPr>
      <w:bookmarkStart w:id="71" w:name="_Toc13280"/>
      <w:bookmarkStart w:id="72" w:name="_Toc3827"/>
      <w:bookmarkStart w:id="73" w:name="_Toc14408"/>
      <w:bookmarkEnd w:id="70"/>
      <w:r>
        <w:rPr>
          <w:rFonts w:ascii="黑体" w:eastAsia="黑体" w:cs="黑体" w:hint="eastAsia"/>
          <w:b/>
          <w:bCs/>
          <w:color w:val="000000"/>
          <w:spacing w:val="34"/>
          <w:sz w:val="32"/>
          <w:szCs w:val="32"/>
          <w:lang w:val="zh-CN"/>
        </w:rPr>
        <w:t>二、部门财政资金收支情况</w:t>
      </w:r>
      <w:bookmarkEnd w:id="71"/>
      <w:bookmarkEnd w:id="72"/>
      <w:bookmarkEnd w:id="73"/>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2"/>
        <w:rPr>
          <w:rFonts w:ascii="楷体" w:eastAsia="楷体" w:cs="楷体" w:hint="eastAsia"/>
          <w:b/>
          <w:bCs/>
          <w:color w:val="000000"/>
          <w:spacing w:val="34"/>
          <w:sz w:val="32"/>
          <w:szCs w:val="32"/>
          <w:lang w:val="zh-CN"/>
        </w:rPr>
      </w:pPr>
      <w:bookmarkStart w:id="74" w:name="_Toc912"/>
      <w:r>
        <w:rPr>
          <w:rFonts w:ascii="楷体" w:eastAsia="楷体" w:cs="楷体" w:hint="eastAsia"/>
          <w:b/>
          <w:bCs/>
          <w:color w:val="000000"/>
          <w:spacing w:val="34"/>
          <w:sz w:val="32"/>
          <w:szCs w:val="32"/>
          <w:lang w:val="zh-CN"/>
        </w:rPr>
        <w:t>（一）部门财政资金收入情况</w:t>
      </w:r>
      <w:bookmarkEnd w:id="74"/>
    </w:p>
    <w:p>
      <w:pPr>
        <w:keepNext w:val="0"/>
        <w:keepLines w:val="0"/>
        <w:pageBreakBefore w:val="0"/>
        <w:widowControl w:val="0"/>
        <w:bidi w:val="0"/>
        <w:snapToGrid w:val="0"/>
        <w:spacing w:line="600" w:lineRule="exact"/>
        <w:ind w:firstLineChars="200" w:firstLine="640"/>
        <w:textAlignment w:val="auto"/>
        <w:rPr>
          <w:rFonts w:ascii="仿宋" w:eastAsia="仿宋" w:hint="eastAsia"/>
          <w:color w:val="000000"/>
          <w:sz w:val="32"/>
          <w:szCs w:val="32"/>
        </w:rPr>
      </w:pPr>
      <w:r>
        <w:rPr>
          <w:rFonts w:ascii="仿宋" w:eastAsia="仿宋" w:hint="eastAsia"/>
          <w:color w:val="000000"/>
          <w:sz w:val="32"/>
          <w:szCs w:val="32"/>
        </w:rPr>
        <w:t>2021年度财政拨款收入</w:t>
      </w:r>
      <w:r>
        <w:rPr>
          <w:rFonts w:ascii="仿宋" w:eastAsia="仿宋" w:hint="eastAsia"/>
          <w:color w:val="000000"/>
          <w:sz w:val="32"/>
          <w:szCs w:val="32"/>
          <w:lang w:val="en-US" w:eastAsia="zh-CN"/>
        </w:rPr>
        <w:t>1017.53</w:t>
      </w:r>
      <w:r>
        <w:rPr>
          <w:rFonts w:ascii="仿宋" w:eastAsia="仿宋" w:hint="eastAsia"/>
          <w:color w:val="000000"/>
          <w:sz w:val="32"/>
          <w:szCs w:val="32"/>
        </w:rPr>
        <w:t>万元，上年结转</w:t>
      </w:r>
      <w:r>
        <w:rPr>
          <w:rFonts w:ascii="仿宋" w:eastAsia="仿宋" w:hint="eastAsia"/>
          <w:color w:val="000000"/>
          <w:sz w:val="32"/>
          <w:szCs w:val="32"/>
          <w:lang w:val="en-US" w:eastAsia="zh-CN"/>
        </w:rPr>
        <w:t>53.54</w:t>
      </w:r>
      <w:r>
        <w:rPr>
          <w:rFonts w:ascii="仿宋" w:eastAsia="仿宋" w:hint="eastAsia"/>
          <w:color w:val="000000"/>
          <w:sz w:val="32"/>
          <w:szCs w:val="32"/>
        </w:rPr>
        <w:t>万元，其他收入0万元，上年结转收入0万元。相应安排支出预算</w:t>
      </w:r>
      <w:r>
        <w:rPr>
          <w:rFonts w:ascii="仿宋" w:eastAsia="仿宋" w:hint="eastAsia"/>
          <w:color w:val="000000"/>
          <w:sz w:val="32"/>
          <w:szCs w:val="32"/>
          <w:lang w:val="en-US" w:eastAsia="zh-CN"/>
        </w:rPr>
        <w:t>1071.07</w:t>
      </w:r>
      <w:r>
        <w:rPr>
          <w:rFonts w:ascii="仿宋" w:eastAsia="仿宋" w:hint="eastAsia"/>
          <w:color w:val="000000"/>
          <w:sz w:val="32"/>
          <w:szCs w:val="32"/>
        </w:rPr>
        <w:t xml:space="preserve">万元。 </w:t>
      </w:r>
    </w:p>
    <w:p>
      <w:pPr>
        <w:keepNext w:val="0"/>
        <w:keepLines w:val="0"/>
        <w:pageBreakBefore w:val="0"/>
        <w:widowControl w:val="0"/>
        <w:bidi w:val="0"/>
        <w:snapToGrid w:val="0"/>
        <w:spacing w:line="600" w:lineRule="exact"/>
        <w:ind w:firstLineChars="200" w:firstLine="556"/>
        <w:textAlignment w:val="auto"/>
        <w:rPr>
          <w:rFonts w:ascii="仿宋" w:eastAsia="仿宋"/>
          <w:color w:val="000000"/>
          <w:sz w:val="32"/>
          <w:szCs w:val="32"/>
        </w:rPr>
      </w:pPr>
      <w:r>
        <w:rPr>
          <w:rFonts w:ascii="楷体" w:eastAsia="楷体" w:cs="楷体" w:hint="eastAsia"/>
          <w:b/>
          <w:bCs/>
          <w:color w:val="000000"/>
          <w:spacing w:val="34"/>
          <w:szCs w:val="32"/>
          <w:lang w:val="zh-CN"/>
        </w:rPr>
        <w:t>（</w:t>
      </w:r>
      <w:r>
        <w:rPr>
          <w:rFonts w:ascii="楷体" w:eastAsia="楷体" w:cs="楷体" w:hint="eastAsia"/>
          <w:b/>
          <w:bCs/>
          <w:color w:val="000000"/>
          <w:spacing w:val="34"/>
          <w:sz w:val="32"/>
          <w:szCs w:val="32"/>
          <w:lang w:val="zh-CN"/>
        </w:rPr>
        <w:t>二）部门财政资金支出情况</w:t>
      </w:r>
      <w:r>
        <w:rPr>
          <w:rFonts w:ascii="仿宋_GB2312" w:cs="宋体" w:hAnsi="仿宋_GB2312" w:hint="eastAsia"/>
          <w:color w:val="000000"/>
          <w:spacing w:val="34"/>
          <w:sz w:val="32"/>
          <w:szCs w:val="32"/>
          <w:lang w:val="zh-CN"/>
        </w:rPr>
        <w:t>。 </w:t>
      </w:r>
    </w:p>
    <w:p>
      <w:pPr>
        <w:keepNext w:val="0"/>
        <w:keepLines w:val="0"/>
        <w:pageBreakBefore w:val="0"/>
        <w:widowControl w:val="0"/>
        <w:bidi w:val="0"/>
        <w:spacing w:line="600" w:lineRule="exact"/>
        <w:ind w:firstLine="645"/>
        <w:textAlignment w:val="auto"/>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年一般公共预算财政拨款支出</w:t>
      </w:r>
      <w:r>
        <w:rPr>
          <w:rFonts w:ascii="仿宋" w:eastAsia="仿宋" w:hint="eastAsia"/>
          <w:bCs/>
          <w:color w:val="000000"/>
          <w:sz w:val="32"/>
          <w:szCs w:val="32"/>
          <w:lang w:val="en-US" w:eastAsia="zh-CN"/>
        </w:rPr>
        <w:t>1071.07</w:t>
      </w:r>
      <w:r>
        <w:rPr>
          <w:rFonts w:ascii="仿宋" w:eastAsia="仿宋" w:hint="eastAsia"/>
          <w:color w:val="000000"/>
          <w:sz w:val="32"/>
          <w:szCs w:val="32"/>
        </w:rPr>
        <w:t>万元</w:t>
      </w:r>
    </w:p>
    <w:p>
      <w:pPr>
        <w:keepNext w:val="0"/>
        <w:keepLines w:val="0"/>
        <w:pageBreakBefore w:val="0"/>
        <w:widowControl w:val="0"/>
        <w:bidi w:val="0"/>
        <w:snapToGrid w:val="0"/>
        <w:spacing w:line="600" w:lineRule="exact"/>
        <w:ind w:firstLineChars="200" w:firstLine="640"/>
        <w:textAlignment w:val="auto"/>
        <w:rPr>
          <w:rFonts w:ascii="仿宋_GB2312" w:eastAsia="仿宋_GB2312"/>
          <w:color w:val="000000"/>
          <w:sz w:val="32"/>
          <w:szCs w:val="32"/>
        </w:rPr>
      </w:pPr>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625.29</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463.52</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110.67</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167.15</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9.57</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34.38</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43.34</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21.62</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1.29</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47.5</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万元、公务员医疗补助</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万元、生活补助</w:t>
      </w:r>
      <w:r>
        <w:rPr>
          <w:rFonts w:ascii="仿宋_GB2312" w:eastAsia="仿宋_GB2312" w:hint="eastAsia"/>
          <w:color w:val="000000"/>
          <w:sz w:val="32"/>
          <w:szCs w:val="32"/>
          <w:lang w:val="en-US" w:eastAsia="zh-CN"/>
        </w:rPr>
        <w:t>5.63</w:t>
      </w:r>
      <w:r>
        <w:rPr>
          <w:rFonts w:ascii="仿宋_GB2312" w:eastAsia="仿宋_GB2312" w:hint="eastAsia"/>
          <w:color w:val="000000"/>
          <w:sz w:val="32"/>
          <w:szCs w:val="32"/>
        </w:rPr>
        <w:t>万元、奖励金</w:t>
      </w:r>
      <w:r>
        <w:rPr>
          <w:rFonts w:ascii="仿宋_GB2312" w:eastAsia="仿宋_GB2312" w:hint="eastAsia"/>
          <w:color w:val="000000"/>
          <w:sz w:val="32"/>
          <w:szCs w:val="32"/>
          <w:lang w:val="en-US" w:eastAsia="zh-CN"/>
        </w:rPr>
        <w:t>115.6</w:t>
      </w:r>
      <w:r>
        <w:rPr>
          <w:rFonts w:ascii="仿宋_GB2312" w:eastAsia="仿宋_GB2312" w:hint="eastAsia"/>
          <w:color w:val="000000"/>
          <w:sz w:val="32"/>
          <w:szCs w:val="32"/>
        </w:rPr>
        <w:t>万元。</w:t>
      </w:r>
    </w:p>
    <w:p>
      <w:pPr>
        <w:keepNext w:val="0"/>
        <w:keepLines w:val="0"/>
        <w:pageBreakBefore w:val="0"/>
        <w:widowControl w:val="0"/>
        <w:bidi w:val="0"/>
        <w:snapToGrid w:val="0"/>
        <w:spacing w:line="600" w:lineRule="exact"/>
        <w:ind w:firstLineChars="200" w:firstLine="640"/>
        <w:textAlignment w:val="auto"/>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40.42</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5.24</w:t>
      </w:r>
      <w:r>
        <w:rPr>
          <w:rFonts w:ascii="仿宋_GB2312" w:eastAsia="仿宋_GB2312" w:hint="eastAsia"/>
          <w:color w:val="000000"/>
          <w:sz w:val="32"/>
          <w:szCs w:val="32"/>
        </w:rPr>
        <w:t>万元、印刷费3</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手续费0.09万元、</w:t>
      </w:r>
      <w:r>
        <w:rPr>
          <w:rFonts w:ascii="仿宋_GB2312" w:eastAsia="仿宋_GB2312" w:hint="eastAsia"/>
          <w:color w:val="000000"/>
          <w:sz w:val="32"/>
          <w:szCs w:val="32"/>
        </w:rPr>
        <w:t>电费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万元、取暖费2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8.5</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4.5</w:t>
      </w:r>
      <w:r>
        <w:rPr>
          <w:rFonts w:ascii="仿宋_GB2312" w:eastAsia="仿宋_GB2312" w:hint="eastAsia"/>
          <w:color w:val="000000"/>
          <w:sz w:val="32"/>
          <w:szCs w:val="32"/>
        </w:rPr>
        <w:t>万元、其他交通0.</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万元。</w:t>
      </w:r>
    </w:p>
    <w:p>
      <w:pPr>
        <w:keepNext w:val="0"/>
        <w:keepLines w:val="0"/>
        <w:pageBreakBefore w:val="0"/>
        <w:widowControl w:val="0"/>
        <w:bidi w:val="0"/>
        <w:snapToGrid w:val="0"/>
        <w:spacing w:line="600" w:lineRule="exact"/>
        <w:ind w:firstLineChars="200" w:firstLine="640"/>
        <w:textAlignment w:val="auto"/>
        <w:rPr>
          <w:rFonts w:ascii="仿宋_GB2312" w:eastAsia="仿宋_GB2312" w:cs="仿宋_GB2312" w:hint="eastAsia"/>
          <w:spacing w:val="34"/>
          <w:sz w:val="32"/>
          <w:szCs w:val="32"/>
          <w:lang w:val="zh-CN"/>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445.79</w:t>
      </w:r>
      <w:r>
        <w:rPr>
          <w:rFonts w:ascii="仿宋_GB2312" w:eastAsia="仿宋_GB2312" w:hint="eastAsia"/>
          <w:color w:val="000000"/>
          <w:sz w:val="32"/>
          <w:szCs w:val="32"/>
        </w:rPr>
        <w:t>万元，主要包括：人大会议费</w:t>
      </w:r>
      <w:r>
        <w:rPr>
          <w:rFonts w:ascii="仿宋_GB2312" w:eastAsia="仿宋_GB2312" w:hint="eastAsia"/>
          <w:color w:val="000000"/>
          <w:sz w:val="32"/>
          <w:szCs w:val="32"/>
          <w:lang w:val="en-US" w:eastAsia="zh-CN"/>
        </w:rPr>
        <w:t>0.1</w:t>
      </w:r>
      <w:r>
        <w:rPr>
          <w:rFonts w:ascii="仿宋_GB2312" w:eastAsia="仿宋_GB2312" w:hint="eastAsia"/>
          <w:color w:val="000000"/>
          <w:sz w:val="32"/>
          <w:szCs w:val="32"/>
        </w:rPr>
        <w:t>万元，对村干部生活补助支出</w:t>
      </w:r>
      <w:r>
        <w:rPr>
          <w:rFonts w:ascii="仿宋_GB2312" w:eastAsia="仿宋_GB2312" w:hint="eastAsia"/>
          <w:color w:val="000000"/>
          <w:sz w:val="32"/>
          <w:szCs w:val="32"/>
          <w:lang w:val="en-US" w:eastAsia="zh-CN"/>
        </w:rPr>
        <w:t>213.49</w:t>
      </w:r>
      <w:r>
        <w:rPr>
          <w:rFonts w:ascii="仿宋_GB2312" w:eastAsia="仿宋_GB2312" w:hint="eastAsia"/>
          <w:color w:val="000000"/>
          <w:sz w:val="32"/>
          <w:szCs w:val="32"/>
        </w:rPr>
        <w:t>万元，村级维护费办公费77万元</w:t>
      </w:r>
      <w:r>
        <w:rPr>
          <w:rFonts w:ascii="仿宋_GB2312" w:eastAsia="仿宋_GB2312" w:cs="仿宋_GB2312" w:hint="eastAsia"/>
          <w:color w:val="000000"/>
          <w:sz w:val="32"/>
          <w:szCs w:val="32"/>
        </w:rPr>
        <w:t>（其中公共运行维护费49万元、基层党组织活动经费14万元、办公费14万元）</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基层政权和社区治理的维修（护）费1.15万元，脚姆塘村改板厂下方河堤灾后恢复建设项目71.43万元，色尔岭村、猫碉村村道提升、脚姆塘村一社通组桥灾后恢复建设59.26万元，色尔岭村葡萄基地建设、色尔岭村幸福美丽家园桥梁建设、三梗子村村道提升项目33.05万元，地质灾害防治维修（护）费项目8万元，春节慰问金、春节农民工慰问金、三老干部生活补助5.77万元，</w:t>
      </w:r>
      <w:r>
        <w:rPr>
          <w:rFonts w:ascii="仿宋_GB2312" w:eastAsia="仿宋_GB2312" w:cs="仿宋_GB2312" w:hint="eastAsia"/>
          <w:bCs/>
          <w:sz w:val="32"/>
          <w:szCs w:val="32"/>
        </w:rPr>
        <w:t>2020年革命老区项目（巴拉塘村政塘大桥修建项目）</w:t>
      </w:r>
      <w:r>
        <w:rPr>
          <w:rFonts w:ascii="仿宋_GB2312" w:eastAsia="仿宋_GB2312" w:cs="仿宋_GB2312" w:hint="eastAsia"/>
          <w:bCs/>
          <w:sz w:val="32"/>
          <w:szCs w:val="32"/>
          <w:lang w:val="en-US" w:eastAsia="zh-CN"/>
        </w:rPr>
        <w:t>53.54万元。</w:t>
      </w:r>
    </w:p>
    <w:p>
      <w:pPr>
        <w:keepNext w:val="0"/>
        <w:keepLines w:val="0"/>
        <w:pageBreakBefore w:val="0"/>
        <w:widowControl/>
        <w:numPr>
          <w:ilvl w:val="0"/>
          <w:numId w:val="9"/>
        </w:numPr>
        <w:wordWrap w:val="0"/>
        <w:topLinePunct/>
        <w:bidi w:val="0"/>
        <w:adjustRightInd w:val="0"/>
        <w:snapToGrid w:val="0"/>
        <w:spacing w:line="600" w:lineRule="exact"/>
        <w:ind w:left="0" w:firstLineChars="200" w:firstLine="640"/>
        <w:jc w:val="left"/>
        <w:textAlignment w:val="auto"/>
        <w:outlineLvl w:val="1"/>
        <w:rPr>
          <w:rFonts w:ascii="黑体" w:eastAsia="黑体" w:cs="宋体" w:hint="eastAsia"/>
          <w:color w:val="000000"/>
          <w:kern w:val="0"/>
          <w:sz w:val="32"/>
          <w:szCs w:val="32"/>
          <w:shd w:val="clear" w:color="auto" w:fill="FFFFFF"/>
        </w:rPr>
      </w:pPr>
      <w:bookmarkStart w:id="75" w:name="_Toc31292"/>
      <w:bookmarkStart w:id="76" w:name="_Toc9555"/>
      <w:bookmarkStart w:id="77" w:name="_Toc18927"/>
      <w:r>
        <w:rPr>
          <w:rFonts w:ascii="黑体" w:eastAsia="黑体" w:cs="宋体" w:hint="eastAsia"/>
          <w:color w:val="000000"/>
          <w:kern w:val="0"/>
          <w:sz w:val="32"/>
          <w:szCs w:val="32"/>
          <w:shd w:val="clear" w:color="auto" w:fill="FFFFFF"/>
        </w:rPr>
        <w:t>部门整体预算绩效管理情况</w:t>
      </w:r>
      <w:bookmarkEnd w:id="75"/>
      <w:bookmarkEnd w:id="76"/>
      <w:bookmarkEnd w:id="77"/>
    </w:p>
    <w:p>
      <w:pPr>
        <w:keepNext w:val="0"/>
        <w:keepLines w:val="0"/>
        <w:pageBreakBefore w:val="0"/>
        <w:widowControl/>
        <w:bidi w:val="0"/>
        <w:adjustRightInd w:val="0"/>
        <w:snapToGrid w:val="0"/>
        <w:spacing w:line="600" w:lineRule="exact"/>
        <w:ind w:firstLineChars="200" w:firstLine="640"/>
        <w:contextualSpacing/>
        <w:jc w:val="left"/>
        <w:textAlignment w:val="auto"/>
        <w:outlineLvl w:val="2"/>
        <w:rPr>
          <w:rFonts w:ascii="楷体" w:eastAsia="楷体" w:cs="楷体" w:hint="eastAsia"/>
          <w:b/>
          <w:bCs/>
          <w:color w:val="000000"/>
          <w:spacing w:val="34"/>
          <w:sz w:val="32"/>
          <w:szCs w:val="32"/>
          <w:lang w:val="zh-CN"/>
        </w:rPr>
      </w:pPr>
      <w:bookmarkStart w:id="78" w:name="_Toc6429"/>
      <w:r>
        <w:rPr>
          <w:rFonts w:ascii="楷体" w:eastAsia="楷体" w:cs="楷体" w:hint="eastAsia"/>
          <w:b/>
          <w:bCs/>
          <w:color w:val="000000"/>
          <w:kern w:val="0"/>
          <w:sz w:val="32"/>
          <w:szCs w:val="32"/>
          <w:shd w:val="clear" w:color="auto" w:fill="FFFFFF"/>
          <w:lang w:val="zh-CN"/>
        </w:rPr>
        <w:t>（一）部门预算管理</w:t>
      </w:r>
      <w:bookmarkEnd w:id="78"/>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严格按照县级部门预算编制通知和有关要求，按时完成基础库、项目库报送工作，按时完成2021年预算编制工作，并按时提交部门预算草案。预算编制全面、科学。2021年实际支出和部门决算一致，绩效目标填报及年末结余结转都是严格按照县财政局的要求认真完成，不存在违规违纪使用资金的情况并按时完成2022年预算编制工作，及时提交了部门预算草案。</w:t>
      </w:r>
    </w:p>
    <w:p>
      <w:pPr>
        <w:keepNext w:val="0"/>
        <w:keepLines w:val="0"/>
        <w:pageBreakBefore w:val="0"/>
        <w:widowControl/>
        <w:bidi w:val="0"/>
        <w:adjustRightInd w:val="0"/>
        <w:snapToGrid w:val="0"/>
        <w:spacing w:line="600" w:lineRule="exact"/>
        <w:ind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bookmarkStart w:id="79" w:name="_Toc22499"/>
      <w:r>
        <w:rPr>
          <w:rFonts w:ascii="楷体" w:eastAsia="楷体" w:cs="楷体" w:hint="eastAsia"/>
          <w:b/>
          <w:bCs/>
          <w:color w:val="000000"/>
          <w:kern w:val="0"/>
          <w:sz w:val="32"/>
          <w:szCs w:val="32"/>
          <w:shd w:val="clear" w:color="auto" w:fill="FFFFFF"/>
          <w:lang w:val="zh-CN"/>
        </w:rPr>
        <w:t>（二）执行管理情况</w:t>
      </w:r>
      <w:bookmarkEnd w:id="79"/>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三公经费：</w:t>
      </w:r>
      <w:r>
        <w:rPr>
          <w:rFonts w:ascii="仿宋" w:eastAsia="仿宋"/>
          <w:color w:val="000000"/>
          <w:sz w:val="32"/>
          <w:szCs w:val="32"/>
        </w:rPr>
        <w:t>20</w:t>
      </w:r>
      <w:r>
        <w:rPr>
          <w:rFonts w:ascii="仿宋" w:eastAsia="仿宋" w:hint="eastAsia"/>
          <w:color w:val="000000"/>
          <w:sz w:val="32"/>
          <w:szCs w:val="32"/>
        </w:rPr>
        <w:t>21年“三公”经费财政拨款支出决算为</w:t>
      </w:r>
      <w:r>
        <w:rPr>
          <w:rFonts w:ascii="仿宋" w:eastAsia="仿宋" w:hint="eastAsia"/>
          <w:color w:val="000000"/>
          <w:sz w:val="32"/>
          <w:szCs w:val="32"/>
          <w:lang w:val="en-US" w:eastAsia="zh-CN"/>
        </w:rPr>
        <w:t>9</w:t>
      </w:r>
      <w:r>
        <w:rPr>
          <w:rFonts w:ascii="仿宋" w:eastAsia="仿宋" w:hint="eastAsia"/>
          <w:color w:val="000000"/>
          <w:sz w:val="32"/>
          <w:szCs w:val="32"/>
        </w:rPr>
        <w:t>万元（公务用车运行维护费），完成预算100</w:t>
      </w:r>
      <w:r>
        <w:rPr>
          <w:rFonts w:ascii="仿宋" w:eastAsia="仿宋"/>
          <w:color w:val="000000"/>
          <w:sz w:val="32"/>
          <w:szCs w:val="32"/>
        </w:rPr>
        <w:t>%</w:t>
      </w:r>
      <w:r>
        <w:rPr>
          <w:rFonts w:ascii="仿宋" w:eastAsia="仿宋" w:hint="eastAsia"/>
          <w:color w:val="000000"/>
          <w:sz w:val="32"/>
          <w:szCs w:val="32"/>
        </w:rPr>
        <w:t>.</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2021年“三公”经费预算</w:t>
      </w:r>
      <w:r>
        <w:rPr>
          <w:rFonts w:ascii="仿宋" w:eastAsia="仿宋" w:hint="eastAsia"/>
          <w:color w:val="000000"/>
          <w:sz w:val="32"/>
          <w:szCs w:val="32"/>
          <w:lang w:val="en-US" w:eastAsia="zh-CN"/>
        </w:rPr>
        <w:t>9</w:t>
      </w:r>
      <w:r>
        <w:rPr>
          <w:rFonts w:ascii="仿宋" w:eastAsia="仿宋" w:hint="eastAsia"/>
          <w:color w:val="000000"/>
          <w:sz w:val="32"/>
          <w:szCs w:val="32"/>
        </w:rPr>
        <w:t>万元，其中公务接待费0万元，严格执行厉行节约的要求，认真贯彻落实中央八项规定及省委省政府十项规定要求，严格控制接待规模及接待标准。</w:t>
      </w:r>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2"/>
        <w:rPr>
          <w:rFonts w:ascii="楷体" w:eastAsia="楷体" w:cs="楷体" w:hint="eastAsia"/>
          <w:b/>
          <w:bCs/>
          <w:color w:val="000000"/>
          <w:spacing w:val="34"/>
          <w:sz w:val="32"/>
          <w:szCs w:val="48"/>
          <w:lang w:val="zh-CN"/>
        </w:rPr>
      </w:pPr>
      <w:bookmarkStart w:id="80" w:name="_Toc7445"/>
      <w:r>
        <w:rPr>
          <w:rFonts w:ascii="楷体" w:eastAsia="楷体" w:cs="楷体" w:hint="eastAsia"/>
          <w:b/>
          <w:bCs/>
          <w:color w:val="000000"/>
          <w:spacing w:val="34"/>
          <w:sz w:val="32"/>
          <w:szCs w:val="48"/>
          <w:lang w:val="zh-CN"/>
        </w:rPr>
        <w:t>（三）综合管理情况</w:t>
      </w:r>
      <w:bookmarkEnd w:id="80"/>
    </w:p>
    <w:p>
      <w:pPr>
        <w:keepNext w:val="0"/>
        <w:keepLines w:val="0"/>
        <w:pageBreakBefore w:val="0"/>
        <w:widowControl/>
        <w:wordWrap w:val="0"/>
        <w:topLinePunct/>
        <w:bidi w:val="0"/>
        <w:adjustRightInd w:val="0"/>
        <w:snapToGrid w:val="0"/>
        <w:spacing w:line="600" w:lineRule="exact"/>
        <w:ind w:firstLineChars="200" w:firstLine="776"/>
        <w:jc w:val="left"/>
        <w:textAlignment w:val="auto"/>
        <w:rPr>
          <w:rFonts w:ascii="仿宋_GB2312" w:eastAsia="仿宋_GB2312" w:cs="仿宋_GB2312" w:hint="eastAsia"/>
          <w:b/>
          <w:bCs/>
          <w:color w:val="000000"/>
          <w:spacing w:val="34"/>
          <w:sz w:val="32"/>
          <w:szCs w:val="48"/>
          <w:lang w:val="zh-CN"/>
        </w:rPr>
      </w:pPr>
      <w:r>
        <w:rPr>
          <w:rFonts w:ascii="仿宋_GB2312" w:eastAsia="仿宋_GB2312" w:cs="仿宋_GB2312" w:hint="eastAsia"/>
          <w:b/>
          <w:bCs/>
          <w:color w:val="000000"/>
          <w:spacing w:val="34"/>
          <w:sz w:val="32"/>
          <w:szCs w:val="48"/>
          <w:lang w:val="zh-CN"/>
        </w:rPr>
        <w:t>1、基础管理情况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所有国有资产纳入资产管理系统，及时准确上报并做好资产的管理工作。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pPr>
        <w:keepNext w:val="0"/>
        <w:keepLines w:val="0"/>
        <w:pageBreakBefore w:val="0"/>
        <w:widowControl/>
        <w:numPr>
          <w:ilvl w:val="0"/>
          <w:numId w:val="10"/>
        </w:numPr>
        <w:wordWrap w:val="0"/>
        <w:topLinePunct/>
        <w:bidi w:val="0"/>
        <w:adjustRightInd w:val="0"/>
        <w:snapToGrid w:val="0"/>
        <w:spacing w:line="600" w:lineRule="exact"/>
        <w:ind w:left="61" w:firstLine="779"/>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政府债务情况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2021年度我乡债务合计0万元。</w:t>
      </w:r>
    </w:p>
    <w:p>
      <w:pPr>
        <w:keepNext w:val="0"/>
        <w:keepLines w:val="0"/>
        <w:pageBreakBefore w:val="0"/>
        <w:widowControl/>
        <w:numPr>
          <w:ilvl w:val="0"/>
          <w:numId w:val="10"/>
        </w:numPr>
        <w:wordWrap w:val="0"/>
        <w:topLinePunct/>
        <w:bidi w:val="0"/>
        <w:adjustRightInd w:val="0"/>
        <w:snapToGrid w:val="0"/>
        <w:spacing w:line="600" w:lineRule="exact"/>
        <w:ind w:left="61" w:firstLine="779"/>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非税收入执收情况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 xml:space="preserve">2021年度我乡非税收入合计0元，上缴财政0万元。 </w:t>
      </w:r>
    </w:p>
    <w:p>
      <w:pPr>
        <w:keepNext w:val="0"/>
        <w:keepLines w:val="0"/>
        <w:pageBreakBefore w:val="0"/>
        <w:widowControl/>
        <w:numPr>
          <w:ilvl w:val="0"/>
          <w:numId w:val="10"/>
        </w:numPr>
        <w:wordWrap w:val="0"/>
        <w:topLinePunct/>
        <w:bidi w:val="0"/>
        <w:adjustRightInd w:val="0"/>
        <w:snapToGrid w:val="0"/>
        <w:spacing w:line="600" w:lineRule="exact"/>
        <w:ind w:left="61" w:firstLine="779"/>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政府采购实施计划</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我乡2021年未制定年度政府采购计划。</w:t>
      </w:r>
    </w:p>
    <w:p>
      <w:pPr>
        <w:keepNext w:val="0"/>
        <w:keepLines w:val="0"/>
        <w:pageBreakBefore w:val="0"/>
        <w:widowControl/>
        <w:numPr>
          <w:ilvl w:val="0"/>
          <w:numId w:val="10"/>
        </w:numPr>
        <w:wordWrap w:val="0"/>
        <w:topLinePunct/>
        <w:bidi w:val="0"/>
        <w:adjustRightInd w:val="0"/>
        <w:snapToGrid w:val="0"/>
        <w:spacing w:line="600" w:lineRule="exact"/>
        <w:ind w:left="61" w:firstLine="779"/>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资产管理情况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我乡已将国有资产纳入资产信息系统管理，并落实专人负责管理维护系统，资产变动已及时把资产变动情况录入系统</w:t>
      </w:r>
    </w:p>
    <w:p>
      <w:pPr>
        <w:keepNext w:val="0"/>
        <w:keepLines w:val="0"/>
        <w:pageBreakBefore w:val="0"/>
        <w:widowControl/>
        <w:wordWrap w:val="0"/>
        <w:topLinePunct/>
        <w:bidi w:val="0"/>
        <w:adjustRightInd w:val="0"/>
        <w:snapToGrid w:val="0"/>
        <w:spacing w:line="600" w:lineRule="exact"/>
        <w:ind w:left="840"/>
        <w:jc w:val="left"/>
        <w:textAlignment w:val="auto"/>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rPr>
        <w:t>6、</w:t>
      </w:r>
      <w:r>
        <w:rPr>
          <w:rFonts w:ascii="楷体_GB2312" w:eastAsia="楷体_GB2312" w:cs="楷体_GB2312" w:hint="eastAsia"/>
          <w:b/>
          <w:bCs/>
          <w:color w:val="000000"/>
          <w:spacing w:val="34"/>
          <w:sz w:val="32"/>
          <w:szCs w:val="32"/>
          <w:lang w:val="zh-CN"/>
        </w:rPr>
        <w:t>信息公开情况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我乡2021年的预、决算编制说明、“三公”经费预、决算情况；按县财政要求由县财政统一公开，2022年的预算编制说明、“三公”经费预算情况在政府网站上已公开。</w:t>
      </w:r>
    </w:p>
    <w:p>
      <w:pPr>
        <w:keepNext w:val="0"/>
        <w:keepLines w:val="0"/>
        <w:pageBreakBefore w:val="0"/>
        <w:widowControl w:val="0"/>
        <w:numPr>
          <w:ilvl w:val="0"/>
          <w:numId w:val="5"/>
        </w:numPr>
        <w:bidi w:val="0"/>
        <w:spacing w:line="600" w:lineRule="exact"/>
        <w:ind w:left="0" w:firstLine="640"/>
        <w:textAlignment w:val="auto"/>
        <w:outlineLvl w:val="2"/>
        <w:rPr>
          <w:rFonts w:ascii="楷体_GB2312" w:eastAsia="楷体_GB2312" w:cs="楷体_GB2312" w:hint="eastAsia"/>
          <w:b/>
          <w:bCs/>
          <w:color w:val="000000"/>
          <w:spacing w:val="34"/>
          <w:sz w:val="32"/>
          <w:szCs w:val="48"/>
          <w:lang w:val="zh-CN"/>
        </w:rPr>
      </w:pPr>
      <w:bookmarkStart w:id="81" w:name="_Toc30116"/>
      <w:r>
        <w:rPr>
          <w:rFonts w:ascii="楷体_GB2312" w:eastAsia="楷体_GB2312" w:cs="楷体_GB2312" w:hint="eastAsia"/>
          <w:b/>
          <w:bCs/>
          <w:color w:val="000000"/>
          <w:spacing w:val="34"/>
          <w:sz w:val="32"/>
          <w:szCs w:val="48"/>
          <w:lang w:val="zh-CN"/>
        </w:rPr>
        <w:t>整体绩效 </w:t>
      </w:r>
      <w:bookmarkEnd w:id="81"/>
    </w:p>
    <w:p>
      <w:pPr>
        <w:keepNext w:val="0"/>
        <w:keepLines w:val="0"/>
        <w:pageBreakBefore w:val="0"/>
        <w:widowControl w:val="0"/>
        <w:tabs>
          <w:tab w:val="left" w:pos="0"/>
        </w:tabs>
        <w:bidi w:val="0"/>
        <w:spacing w:line="600" w:lineRule="exact"/>
        <w:ind w:firstLineChars="200" w:firstLine="640"/>
        <w:textAlignment w:val="auto"/>
        <w:rPr>
          <w:rFonts w:ascii="仿宋" w:eastAsia="仿宋" w:hint="eastAsia"/>
          <w:color w:val="000000"/>
          <w:sz w:val="32"/>
          <w:szCs w:val="32"/>
        </w:rPr>
      </w:pPr>
      <w:r>
        <w:rPr>
          <w:rFonts w:ascii="仿宋" w:eastAsia="仿宋" w:hint="eastAsia"/>
          <w:color w:val="000000"/>
          <w:sz w:val="32"/>
          <w:szCs w:val="32"/>
        </w:rPr>
        <w:t>我乡对本部门实施了整体支出绩效评价 ，按照要求向金川县财政局按时报送自评报告，财政资金支出主要用于保障本部门机构正常运转、更好完成各项日常工作，社会群众对我乡的工作总体较满意。</w:t>
      </w:r>
    </w:p>
    <w:p>
      <w:pPr>
        <w:keepNext w:val="0"/>
        <w:keepLines w:val="0"/>
        <w:pageBreakBefore w:val="0"/>
        <w:widowControl/>
        <w:wordWrap w:val="0"/>
        <w:topLinePunct/>
        <w:bidi w:val="0"/>
        <w:adjustRightInd w:val="0"/>
        <w:snapToGrid w:val="0"/>
        <w:spacing w:line="600" w:lineRule="exact"/>
        <w:ind w:firstLineChars="200" w:firstLine="776"/>
        <w:jc w:val="left"/>
        <w:textAlignment w:val="auto"/>
        <w:rPr>
          <w:rFonts w:ascii="楷体" w:eastAsia="楷体" w:cs="楷体" w:hint="eastAsia"/>
          <w:b/>
          <w:bCs/>
          <w:color w:val="000000"/>
          <w:spacing w:val="34"/>
          <w:sz w:val="32"/>
          <w:szCs w:val="48"/>
          <w:lang w:val="zh-CN"/>
        </w:rPr>
      </w:pPr>
      <w:r>
        <w:rPr>
          <w:rFonts w:ascii="楷体" w:eastAsia="楷体" w:cs="楷体" w:hint="eastAsia"/>
          <w:b/>
          <w:bCs/>
          <w:color w:val="000000"/>
          <w:spacing w:val="34"/>
          <w:sz w:val="32"/>
          <w:szCs w:val="48"/>
          <w:lang w:val="zh-CN"/>
        </w:rPr>
        <w:t>（二）绩效管理工作开展情况 </w:t>
      </w:r>
    </w:p>
    <w:p>
      <w:pPr>
        <w:keepNext w:val="0"/>
        <w:keepLines w:val="0"/>
        <w:pageBreakBefore w:val="0"/>
        <w:widowControl/>
        <w:wordWrap w:val="0"/>
        <w:topLinePunct/>
        <w:bidi w:val="0"/>
        <w:adjustRightInd w:val="0"/>
        <w:snapToGrid w:val="0"/>
        <w:spacing w:line="600" w:lineRule="exact"/>
        <w:ind w:firstLineChars="200" w:firstLine="556"/>
        <w:jc w:val="left"/>
        <w:textAlignment w:val="auto"/>
        <w:rPr>
          <w:rFonts w:ascii="仿宋_GB2312" w:eastAsia="仿宋_GB2312" w:cs="仿宋_GB2312" w:hint="eastAsia"/>
          <w:spacing w:val="34"/>
          <w:sz w:val="32"/>
          <w:szCs w:val="32"/>
          <w:lang w:val="zh-CN"/>
        </w:rPr>
      </w:pPr>
      <w:r>
        <w:rPr>
          <w:rFonts w:ascii="仿宋_GB2312" w:cs="宋体" w:hAnsi="仿宋_GB2312" w:hint="eastAsia"/>
          <w:color w:val="000000"/>
          <w:spacing w:val="34"/>
          <w:szCs w:val="32"/>
          <w:lang w:val="zh-CN"/>
        </w:rPr>
        <w:t xml:space="preserve">  </w:t>
      </w:r>
      <w:r>
        <w:rPr>
          <w:rFonts w:ascii="仿宋" w:eastAsia="仿宋" w:hint="eastAsia"/>
          <w:color w:val="000000"/>
          <w:sz w:val="32"/>
          <w:szCs w:val="32"/>
        </w:rPr>
        <w:t xml:space="preserve"> 根据金财监绩〔2022〕22号文件要求，我乡对财政资金使用管理情况，按照《关于开展2022年部门整体和项目支出绩效评价工作的通知》认真开展自评工作，撰写部门自评报告。</w:t>
      </w:r>
      <w:r>
        <w:rPr>
          <w:rFonts w:ascii="仿宋_GB2312" w:eastAsia="仿宋_GB2312" w:cs="仿宋_GB2312" w:hint="eastAsia"/>
          <w:spacing w:val="34"/>
          <w:sz w:val="32"/>
          <w:szCs w:val="32"/>
          <w:lang w:val="zh-CN"/>
        </w:rPr>
        <w:t> </w:t>
      </w:r>
    </w:p>
    <w:p>
      <w:pPr>
        <w:keepNext w:val="0"/>
        <w:keepLines w:val="0"/>
        <w:pageBreakBefore w:val="0"/>
        <w:widowControl/>
        <w:wordWrap w:val="0"/>
        <w:topLinePunct/>
        <w:bidi w:val="0"/>
        <w:adjustRightInd w:val="0"/>
        <w:snapToGrid w:val="0"/>
        <w:spacing w:line="600" w:lineRule="exact"/>
        <w:ind w:firstLineChars="200" w:firstLine="776"/>
        <w:jc w:val="left"/>
        <w:textAlignment w:val="auto"/>
        <w:outlineLvl w:val="1"/>
        <w:rPr>
          <w:rFonts w:ascii="仿宋_GB2312" w:cs="宋体" w:hAnsi="仿宋_GB2312" w:hint="eastAsia"/>
          <w:color w:val="000000"/>
          <w:spacing w:val="34"/>
          <w:sz w:val="32"/>
          <w:szCs w:val="48"/>
          <w:lang w:val="zh-CN"/>
        </w:rPr>
      </w:pPr>
      <w:bookmarkStart w:id="82" w:name="_Toc21502"/>
      <w:bookmarkStart w:id="83" w:name="_Toc23708"/>
      <w:bookmarkStart w:id="84" w:name="_Toc11636"/>
      <w:r>
        <w:rPr>
          <w:rFonts w:ascii="黑体" w:eastAsia="黑体" w:cs="黑体" w:hint="eastAsia"/>
          <w:color w:val="000000"/>
          <w:spacing w:val="34"/>
          <w:sz w:val="32"/>
          <w:szCs w:val="48"/>
          <w:lang w:val="zh-CN"/>
        </w:rPr>
        <w:t>四、评价结论及建议</w:t>
      </w:r>
      <w:r>
        <w:rPr>
          <w:rFonts w:ascii="仿宋_GB2312" w:cs="宋体" w:hAnsi="仿宋_GB2312" w:hint="eastAsia"/>
          <w:color w:val="000000"/>
          <w:spacing w:val="34"/>
          <w:sz w:val="32"/>
          <w:szCs w:val="48"/>
          <w:lang w:val="zh-CN"/>
        </w:rPr>
        <w:t> </w:t>
      </w:r>
      <w:bookmarkEnd w:id="82"/>
      <w:bookmarkEnd w:id="83"/>
      <w:bookmarkEnd w:id="84"/>
    </w:p>
    <w:p>
      <w:pPr>
        <w:keepNext w:val="0"/>
        <w:keepLines w:val="0"/>
        <w:pageBreakBefore w:val="0"/>
        <w:widowControl w:val="0"/>
        <w:bidi w:val="0"/>
        <w:snapToGrid w:val="0"/>
        <w:spacing w:line="600"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评价结论。根据部门支出绩效评价指标体系进行单位自评，圆满完成绩效自评工作，圆满完成中央、省、州委和县的重要工作、目标任务。</w:t>
      </w:r>
    </w:p>
    <w:p>
      <w:pPr>
        <w:keepNext w:val="0"/>
        <w:keepLines w:val="0"/>
        <w:pageBreakBefore w:val="0"/>
        <w:widowControl w:val="0"/>
        <w:bidi w:val="0"/>
        <w:spacing w:line="600"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我乡本次自评总分82。</w:t>
      </w:r>
    </w:p>
    <w:p>
      <w:pPr>
        <w:keepNext w:val="0"/>
        <w:keepLines w:val="0"/>
        <w:pageBreakBefore w:val="0"/>
        <w:widowControl w:val="0"/>
        <w:wordWrap w:val="0"/>
        <w:bidi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我乡2021年部门支出与年初预算基本一致，达到预期绩效目标。但预算编制还需进一步细化，针对我会预算存在的问题，提出以下建议：</w:t>
      </w:r>
    </w:p>
    <w:p>
      <w:pPr>
        <w:keepNext w:val="0"/>
        <w:keepLines w:val="0"/>
        <w:pageBreakBefore w:val="0"/>
        <w:widowControl w:val="0"/>
        <w:wordWrap w:val="0"/>
        <w:bidi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keepNext w:val="0"/>
        <w:keepLines w:val="0"/>
        <w:pageBreakBefore w:val="0"/>
        <w:widowControl/>
        <w:wordWrap w:val="0"/>
        <w:bidi w:val="0"/>
        <w:snapToGrid w:val="0"/>
        <w:spacing w:line="600" w:lineRule="exact"/>
        <w:ind w:firstLineChars="100" w:firstLine="320"/>
        <w:jc w:val="left"/>
        <w:textAlignment w:val="auto"/>
        <w:rPr>
          <w:rFonts w:ascii="仿宋" w:eastAsia="仿宋" w:hint="eastAsia"/>
          <w:color w:val="000000"/>
          <w:sz w:val="32"/>
          <w:szCs w:val="32"/>
        </w:rPr>
      </w:pPr>
      <w:r>
        <w:rPr>
          <w:rFonts w:ascii="仿宋" w:eastAsia="仿宋" w:hint="eastAsia"/>
          <w:color w:val="000000"/>
          <w:sz w:val="32"/>
          <w:szCs w:val="32"/>
        </w:rPr>
        <w:t xml:space="preserve"> 2、严格控制“三公”经费。认真贯彻落实中央、省委省政府和县委县政府相关规定，严格“三公”经费支出的审核和审批，合理压缩“三公”经费支出。   </w:t>
      </w:r>
    </w:p>
    <w:p>
      <w:pPr>
        <w:pStyle w:val="15"/>
        <w:keepNext w:val="0"/>
        <w:keepLines w:val="0"/>
        <w:pageBreakBefore w:val="0"/>
        <w:widowControl w:val="0"/>
        <w:bidi w:val="0"/>
        <w:spacing w:line="600" w:lineRule="exact"/>
        <w:ind w:leftChars="47" w:left="298" w:hangingChars="95" w:hanging="199"/>
        <w:jc w:val="right"/>
        <w:textAlignment w:val="auto"/>
        <w:rPr>
          <w:rFonts w:hint="eastAsia"/>
        </w:rPr>
      </w:pPr>
    </w:p>
    <w:p>
      <w:pPr>
        <w:pStyle w:val="15"/>
        <w:keepNext w:val="0"/>
        <w:keepLines w:val="0"/>
        <w:pageBreakBefore w:val="0"/>
        <w:widowControl w:val="0"/>
        <w:bidi w:val="0"/>
        <w:spacing w:line="600" w:lineRule="exact"/>
        <w:ind w:leftChars="47" w:left="298" w:hangingChars="95" w:hanging="199"/>
        <w:jc w:val="right"/>
        <w:textAlignment w:val="auto"/>
        <w:rPr>
          <w:rFonts w:hint="eastAsia"/>
        </w:rPr>
      </w:pPr>
    </w:p>
    <w:p>
      <w:pPr>
        <w:pStyle w:val="15"/>
        <w:keepNext w:val="0"/>
        <w:keepLines w:val="0"/>
        <w:pageBreakBefore w:val="0"/>
        <w:widowControl w:val="0"/>
        <w:bidi w:val="0"/>
        <w:spacing w:line="600" w:lineRule="exact"/>
        <w:ind w:leftChars="47" w:left="298" w:hangingChars="95" w:hanging="199"/>
        <w:jc w:val="right"/>
        <w:textAlignment w:val="auto"/>
        <w:rPr>
          <w:rFonts w:hint="eastAsia"/>
        </w:rPr>
      </w:pPr>
    </w:p>
    <w:p>
      <w:pPr>
        <w:pStyle w:val="15"/>
        <w:keepNext w:val="0"/>
        <w:keepLines w:val="0"/>
        <w:pageBreakBefore w:val="0"/>
        <w:widowControl w:val="0"/>
        <w:bidi w:val="0"/>
        <w:spacing w:line="600" w:lineRule="exact"/>
        <w:ind w:leftChars="47" w:left="298" w:hangingChars="95" w:hanging="199"/>
        <w:jc w:val="right"/>
        <w:textAlignment w:val="auto"/>
        <w:rPr>
          <w:rFonts w:hint="eastAsia"/>
        </w:rPr>
      </w:pPr>
    </w:p>
    <w:p>
      <w:pPr>
        <w:pStyle w:val="15"/>
        <w:keepNext w:val="0"/>
        <w:keepLines w:val="0"/>
        <w:pageBreakBefore w:val="0"/>
        <w:widowControl w:val="0"/>
        <w:bidi w:val="0"/>
        <w:spacing w:line="600" w:lineRule="exact"/>
        <w:ind w:leftChars="47" w:left="403" w:right="640" w:hangingChars="95" w:hanging="304"/>
        <w:jc w:val="right"/>
        <w:textAlignment w:val="auto"/>
        <w:rPr>
          <w:rFonts w:ascii="仿宋" w:eastAsia="仿宋" w:hint="eastAsia"/>
          <w:color w:val="000000"/>
          <w:sz w:val="32"/>
          <w:szCs w:val="32"/>
        </w:rPr>
      </w:pPr>
      <w:r>
        <w:rPr>
          <w:rFonts w:ascii="仿宋" w:eastAsia="仿宋" w:hint="eastAsia"/>
          <w:color w:val="000000"/>
          <w:sz w:val="32"/>
          <w:szCs w:val="32"/>
          <w:lang w:val="en-US" w:eastAsia="zh-CN"/>
        </w:rPr>
        <w:t xml:space="preserve"> </w:t>
      </w:r>
      <w:r>
        <w:rPr>
          <w:rFonts w:ascii="仿宋" w:eastAsia="仿宋" w:hint="eastAsia"/>
          <w:color w:val="000000"/>
          <w:sz w:val="32"/>
          <w:szCs w:val="32"/>
          <w:lang w:eastAsia="zh-CN"/>
        </w:rPr>
        <w:t>卡撒</w:t>
      </w:r>
      <w:r>
        <w:rPr>
          <w:rFonts w:ascii="仿宋" w:eastAsia="仿宋" w:hint="eastAsia"/>
          <w:color w:val="000000"/>
          <w:sz w:val="32"/>
          <w:szCs w:val="32"/>
        </w:rPr>
        <w:t>乡人民政府</w:t>
      </w:r>
    </w:p>
    <w:p>
      <w:pPr>
        <w:pStyle w:val="15"/>
        <w:keepNext w:val="0"/>
        <w:keepLines w:val="0"/>
        <w:pageBreakBefore w:val="0"/>
        <w:widowControl w:val="0"/>
        <w:bidi w:val="0"/>
        <w:spacing w:line="600" w:lineRule="exact"/>
        <w:ind w:leftChars="47" w:left="403" w:right="640" w:hangingChars="95" w:hanging="304"/>
        <w:jc w:val="right"/>
        <w:textAlignment w:val="auto"/>
        <w:rPr>
          <w:rFonts w:ascii="仿宋" w:eastAsia="仿宋" w:hint="eastAsia"/>
          <w:color w:val="000000"/>
          <w:sz w:val="32"/>
          <w:szCs w:val="32"/>
        </w:rPr>
      </w:pPr>
      <w:r>
        <w:rPr>
          <w:rFonts w:ascii="仿宋" w:eastAsia="仿宋" w:hint="eastAsia"/>
          <w:color w:val="000000"/>
          <w:sz w:val="32"/>
          <w:szCs w:val="32"/>
        </w:rPr>
        <w:t>2022年8月25日</w:t>
      </w:r>
    </w:p>
    <w:p>
      <w:pPr>
        <w:pStyle w:val="2"/>
        <w:rPr>
          <w:rFonts w:ascii="仿宋" w:eastAsia="仿宋"/>
          <w:color w:val="000000"/>
        </w:rPr>
      </w:pPr>
    </w:p>
    <w:sectPr>
      <w:footerReference w:type="default" r:id="rId6"/>
      <w:footerReference w:type="first" r:id="rId7"/>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2010601030101010101"/>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_GB2312">
    <w:altName w:val="DejaVu Sans"/>
    <w:panose1 w:val="00000000000000000000"/>
    <w:charset w:val="00"/>
    <w:family w:val="auto"/>
    <w:pitch w:val="variable"/>
    <w:sig w:usb0="00000000" w:usb1="00000000" w:usb2="00000000" w:usb3="00000000" w:csb0="00000001" w:csb1="00000000"/>
  </w:font>
  <w:font w:name="仿宋">
    <w:altName w:val="仿宋_GB2312"/>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1"/>
    <w:family w:val="auto"/>
    <w:pitch w:val="variable"/>
    <w:sig w:usb0="E0002AFF" w:usb1="C0007841" w:usb2="00000009" w:usb3="00000000" w:csb0="400001FF" w:csb1="FFFF0000"/>
  </w:font>
  <w:font w:name="宋体">
    <w:altName w:val="方正书宋_GBK"/>
    <w:panose1 w:val="02010600030101010101"/>
    <w:charset w:val="7A"/>
    <w:family w:val="auto"/>
    <w:pitch w:val="variable"/>
    <w:sig w:usb0="00000003" w:usb1="288F0000" w:usb2="00000006" w:usb3="00000000" w:csb0="00040001" w:csb1="00000000"/>
  </w:font>
  <w:font w:name="Calibri">
    <w:altName w:val="DejaVu Sans"/>
    <w:panose1 w:val="020F0502020204030204"/>
    <w:charset w:val="00"/>
    <w:family w:val="swiss"/>
    <w:pitch w:val="variable"/>
    <w:sig w:usb0="E00002FF" w:usb1="4000ACFF" w:usb2="00000001" w:usb3="00000000" w:csb0="2000019F"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485623751"/>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9"/>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418888372"/>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9"/>
      <w:tabs>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5">
    <w:nsid w:val="747B1FF4"/>
    <w:multiLevelType w:val="singleLevel"/>
    <w:tmpl w:val="747B1FF4"/>
    <w:lvl w:ilvl="0">
      <w:start w:val="2"/>
      <w:numFmt w:val="decimal"/>
      <w:lvlRestart w:val="0"/>
      <w:lvlText w:val="%1."/>
      <w:lvlJc w:val="left"/>
      <w:pPr>
        <w:tabs>
          <w:tab w:val="num" w:pos="0"/>
        </w:tabs>
        <w:ind w:left="0" w:hanging="0"/>
      </w:pPr>
    </w:lvl>
  </w:abstractNum>
  <w:abstractNum w:abstractNumId="6">
    <w:nsid w:val="386D6DF3"/>
    <w:multiLevelType w:val="singleLevel"/>
    <w:tmpl w:val="386D6DF3"/>
    <w:lvl w:ilvl="0">
      <w:start w:val="3"/>
      <w:numFmt w:val="decimal"/>
      <w:lvlRestart w:val="0"/>
      <w:lvlText w:val="%1."/>
      <w:lvlJc w:val="left"/>
      <w:pPr>
        <w:tabs>
          <w:tab w:val="num" w:pos="0"/>
        </w:tabs>
        <w:ind w:left="0" w:hanging="0"/>
      </w:pPr>
    </w:lvl>
  </w:abstractNum>
  <w:abstractNum w:abstractNumId="7">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8">
    <w:nsid w:val="DF753C88"/>
    <w:multiLevelType w:val="singleLevel"/>
    <w:tmpl w:val="DF753C88"/>
    <w:lvl w:ilvl="0">
      <w:start w:val="3"/>
      <w:numFmt w:val="chineseCounting"/>
      <w:lvlRestart w:val="0"/>
      <w:suff w:val="nothing"/>
      <w:lvlText w:val="%1、"/>
      <w:lvlJc w:val="left"/>
      <w:pPr>
        <w:tabs>
          <w:tab w:val="num" w:pos="0"/>
        </w:tabs>
        <w:ind w:left="0" w:hanging="0"/>
      </w:pPr>
      <w:rPr>
        <w:rFonts w:hint="eastAsia"/>
      </w:rPr>
    </w:lvl>
  </w:abstractNum>
  <w:abstractNum w:abstractNumId="9">
    <w:nsid w:val="FD209342"/>
    <w:multiLevelType w:val="singleLevel"/>
    <w:tmpl w:val="FD209342"/>
    <w:lvl w:ilvl="0">
      <w:start w:val="2"/>
      <w:numFmt w:val="decimal"/>
      <w:lvlRestart w:val="0"/>
      <w:suff w:val="nothing"/>
      <w:lvlText w:val="%1、"/>
      <w:lvlJc w:val="left"/>
      <w:pPr>
        <w:tabs>
          <w:tab w:val="num" w:pos="0"/>
        </w:tabs>
        <w:ind w:left="61" w:hanging="61"/>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7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jdiMTc4NjNjM2Q3N2VjNDNkNGQyMGY3MDZhZWMyMG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table of figures"/>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widowControl/>
      <w:spacing w:beforeAutospacing="1" w:afterAutospacing="1"/>
      <w:jc w:val="left"/>
    </w:pPr>
    <w:rPr>
      <w:rFonts w:ascii="宋体"/>
      <w:kern w:val="0"/>
      <w:sz w:val="24"/>
    </w:rPr>
  </w:style>
  <w:style w:type="character" w:styleId="24">
    <w:name w:val="Strong"/>
    <w:basedOn w:val="10"/>
    <w:rPr>
      <w:b/>
    </w:rPr>
  </w:style>
  <w:style w:type="character" w:styleId="25">
    <w:name w:val="Hyperlink"/>
    <w:basedOn w:val="10"/>
    <w:rPr>
      <w:color w:val="0000FF"/>
      <w:u w:val="single"/>
    </w:rPr>
  </w:style>
  <w:style w:type="paragraph" w:customStyle="1" w:styleId="26">
    <w:name w:val="图表目录1"/>
    <w:basedOn w:val="0"/>
    <w:next w:val="0"/>
    <w:pPr>
      <w:spacing w:beforeAutospacing="1" w:afterAutospacing="1"/>
      <w:ind w:leftChars="200" w:left="400" w:hangingChars="200" w:hanging="200"/>
    </w:p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普通(网站) Char"/>
    <w:basedOn w:val="0"/>
    <w:pPr>
      <w:spacing w:before="100" w:beforeAutospacing="1" w:after="100" w:afterAutospacing="1"/>
    </w:pPr>
  </w:style>
  <w:style w:type="character" w:customStyle="1" w:styleId="34">
    <w:name w:val="NormalCharacter"/>
    <w:rPr>
      <w:rFonts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chart" Target="charts/chart1.xml"/><Relationship Id="rId9" Type="http://schemas.openxmlformats.org/officeDocument/2006/relationships/chart" Target="charts/chart2.xml"/><Relationship Id="rId10" Type="http://schemas.openxmlformats.org/officeDocument/2006/relationships/chart" Target="charts/chart3.xml"/><Relationship Id="rId11" Type="http://schemas.openxmlformats.org/officeDocument/2006/relationships/chart" Target="charts/chart4.xml"/><Relationship Id="rId12" Type="http://schemas.openxmlformats.org/officeDocument/2006/relationships/chart" Target="charts/chart5.xml"/><Relationship Id="rId13" Type="http://schemas.openxmlformats.org/officeDocument/2006/relationships/styles" Target="styles.xml"/><Relationship Id="rId14" Type="http://schemas.openxmlformats.org/officeDocument/2006/relationships/numbering" Target="numbering.xml"/><Relationship Id="rId1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'Sheet1'!$A$2:$A$3</c:f>
              <c:strCache>
                <c:ptCount val="2"/>
                <c:pt idx="0">
                  <c:v>2021年 </c:v>
                </c:pt>
                <c:pt idx="1">
                  <c:v>2020年</c:v>
                </c:pt>
              </c:strCache>
            </c:strRef>
          </c:cat>
          <c:val>
            <c:numRef>
              <c:f>'Sheet1'!$B$2:$B$3</c:f>
              <c:numCache>
                <c:formatCode>General</c:formatCode>
                <c:ptCount val="2"/>
                <c:pt idx="0">
                  <c:v>1017.53</c:v>
                </c:pt>
                <c:pt idx="1">
                  <c:v>735.78</c:v>
                </c:pt>
              </c:numCache>
            </c:numRef>
          </c:val>
        </c:ser>
        <c:ser>
          <c:idx val="1"/>
          <c:order val="1"/>
          <c:tx>
            <c:strRef>
              <c:f>'Sheet1'!$C$1</c:f>
              <c:strCache>
                <c:ptCount val="1"/>
                <c:pt idx="0">
                  <c:v>总支出</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'Sheet1'!$A$2:$A$3</c:f>
              <c:strCache>
                <c:ptCount val="2"/>
                <c:pt idx="0">
                  <c:v>2021年 </c:v>
                </c:pt>
                <c:pt idx="1">
                  <c:v>2020年</c:v>
                </c:pt>
              </c:strCache>
            </c:strRef>
          </c:cat>
          <c:val>
            <c:numRef>
              <c:f>'Sheet1'!$C$2:$C$3</c:f>
              <c:numCache>
                <c:formatCode>General</c:formatCode>
                <c:ptCount val="2"/>
                <c:pt idx="0">
                  <c:v>1071.07</c:v>
                </c:pt>
                <c:pt idx="1">
                  <c:v>675.77</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10</a:t>
                    </a:r>
                    <a:r>
                      <a:rPr lang="zh-CN" sz="1000" b="0" i="0" u="none" strike="noStrike" baseline="0">
                        <a:solidFill>
                          <a:srgbClr val="000000"/>
                        </a:solidFill>
                        <a:latin typeface="AR PL UKai CN"/>
                        <a:ea typeface="AR PL UKai CN"/>
                        <a:cs typeface="Lucida Sans"/>
                      </a:rPr>
                      <a:t>0</a:t>
                    </a:r>
                    <a:r>
                      <a:rPr lang="zh-CN" sz="1000" b="0" i="0" u="none" strike="noStrike" baseline="0">
                        <a:solidFill>
                          <a:srgbClr val="000000"/>
                        </a:solidFill>
                        <a:latin typeface="AR PL UKai CN"/>
                        <a:ea typeface="AR PL UKai CN"/>
                        <a:cs typeface="Lucida Sans"/>
                      </a:rPr>
                      <a:t>%</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1017.53</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ln>
              <a:noFill/>
            </a:ln>
          </c:spPr>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15284116"/>
                  <c:y val="-0.03085217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a:t>392.24</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(3)'!$A$2:$A$4</c:f>
              <c:strCache>
                <c:ptCount val="3"/>
                <c:pt idx="0">
                  <c:v>基本支出</c:v>
                </c:pt>
                <c:pt idx="1">
                  <c:v>项目支出</c:v>
                </c:pt>
                <c:pt idx="2">
                  <c:v>项目支出结余和结转</c:v>
                </c:pt>
              </c:strCache>
            </c:strRef>
          </c:cat>
          <c:val>
            <c:numRef>
              <c:f>'Sheet1 (3)'!$B$2:$B$4</c:f>
              <c:numCache>
                <c:formatCode>General</c:formatCode>
                <c:ptCount val="3"/>
                <c:pt idx="0">
                  <c:v>625.29</c:v>
                </c:pt>
                <c:pt idx="1">
                  <c:v>392.24</c:v>
                </c:pt>
                <c:pt idx="2">
                  <c:v>53.54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2021年 </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1017.53</c:v>
                </c:pt>
                <c:pt idx="1">
                  <c:v>1071.07</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735.77</c:v>
                </c:pt>
                <c:pt idx="1">
                  <c:v>675.77</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0"/>
    <c:plotArea>
      <c:layout/>
      <c:pieChart>
        <c:varyColors val="1"/>
        <c:ser>
          <c:idx val="0"/>
          <c:order val="0"/>
          <c:tx>
            <c:strRef>
              <c:f>'Sheet1 (5)'!$B$1</c:f>
              <c:strCache>
                <c:ptCount val="1"/>
                <c:pt idx="0">
                  <c:v>支出结构表</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Pt>
            <c:idx val="7"/>
            <c:bubble3D val="0"/>
            <c:spPr>
              <a:solidFill>
                <a:srgbClr val="772C2A"/>
              </a:solidFill>
              <a:ln w="190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(5)'!$A$2:$A$9</c:f>
              <c:strCache>
                <c:ptCount val="8"/>
                <c:pt idx="0">
                  <c:v>一般公共服务支出</c:v>
                </c:pt>
                <c:pt idx="1">
                  <c:v>社会保障和就业支出</c:v>
                </c:pt>
                <c:pt idx="2">
                  <c:v>卫生健康支出</c:v>
                </c:pt>
                <c:pt idx="3">
                  <c:v>节能环保支出</c:v>
                </c:pt>
                <c:pt idx="4">
                  <c:v>农林水支出</c:v>
                </c:pt>
                <c:pt idx="5">
                  <c:v>灾害防治及应急管理支出</c:v>
                </c:pt>
                <c:pt idx="6">
                  <c:v>住房保障支出</c:v>
                </c:pt>
                <c:pt idx="7">
                  <c:v>其他支出</c:v>
                </c:pt>
              </c:strCache>
            </c:strRef>
          </c:cat>
          <c:val>
            <c:numRef>
              <c:f>'Sheet1 (5)'!$B$2:$B$9</c:f>
              <c:numCache>
                <c:formatCode>General</c:formatCode>
                <c:ptCount val="8"/>
                <c:pt idx="0">
                  <c:v>383.45</c:v>
                </c:pt>
                <c:pt idx="1">
                  <c:v>66.11</c:v>
                </c:pt>
                <c:pt idx="2">
                  <c:v>28.01</c:v>
                </c:pt>
                <c:pt idx="3">
                  <c:v>71.42</c:v>
                </c:pt>
                <c:pt idx="4">
                  <c:v>407.07</c:v>
                </c:pt>
                <c:pt idx="5">
                  <c:v>8.0</c:v>
                </c:pt>
                <c:pt idx="6">
                  <c:v>47.5</c:v>
                </c:pt>
                <c:pt idx="7">
                  <c:v>59.31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9</TotalTime>
  <Application>Yozo_Office27021597764231179</Application>
  <Pages>40</Pages>
  <Words>12237</Words>
  <Characters>13498</Characters>
  <Lines>1307</Lines>
  <Paragraphs>683</Paragraphs>
  <CharactersWithSpaces>13782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cp:revision>
  <cp:lastPrinted>2021-09-18T03:06:00Z</cp:lastPrinted>
  <dcterms:created xsi:type="dcterms:W3CDTF">2021-09-18T03:28:00Z</dcterms:created>
  <dcterms:modified xsi:type="dcterms:W3CDTF">2022-08-29T08:17:44Z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2052-11.1.0.12313</vt:lpwstr>
  </property>
  <property fmtid="{D5CDD505-2E9C-101B-9397-08002B2CF9AE}" pid="3" name="ICV">
    <vt:lpwstr>7446358C982B43FBBF5486ACE152A102</vt:lpwstr>
  </property>
</Properties>
</file>