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78441"/>
      <w:bookmarkStart w:id="4" w:name="_Toc12796"/>
      <w:bookmarkStart w:id="5" w:name="_Toc15396475"/>
      <w:bookmarkStart w:id="6" w:name="_Toc15396597"/>
      <w:r>
        <w:rPr>
          <w:rFonts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6811"/>
      <w:bookmarkStart w:id="8" w:name="_Toc15377194"/>
      <w:bookmarkStart w:id="9" w:name="_Toc15396598"/>
      <w:bookmarkStart w:id="10" w:name="_Toc15396476"/>
      <w:bookmarkStart w:id="11" w:name="_Toc15378442"/>
      <w:bookmarkStart w:id="12" w:name="_Toc15377426"/>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金川县卡撒乡人民政府部门决算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1"/>
        <w:tabs>
          <w:tab w:val="right" w:leader="dot" w:pos="8306"/>
          <w:tab w:val="clear" w:pos="829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tabs>
          <w:tab w:val="right" w:leader="dot" w:pos="8306"/>
          <w:tab w:val="clear" w:pos="8296"/>
        </w:tabs>
      </w:pPr>
      <w:r>
        <w:fldChar w:fldCharType="begin"/>
      </w:r>
      <w:r>
        <w:instrText xml:space="preserve"> HYPERLINK \l "_Toc27352" </w:instrText>
      </w:r>
      <w:r>
        <w:fldChar w:fldCharType="separate"/>
      </w:r>
      <w:r>
        <w:rPr>
          <w:rFonts w:hint="eastAsia" w:ascii="黑体" w:eastAsia="黑体"/>
        </w:rPr>
        <w:t>第一部分 部门概况</w:t>
      </w:r>
      <w:r>
        <w:tab/>
      </w:r>
      <w:r>
        <w:fldChar w:fldCharType="begin"/>
      </w:r>
      <w:r>
        <w:instrText xml:space="preserve"> PAGEREF _Toc27352 \h </w:instrText>
      </w:r>
      <w:r>
        <w:fldChar w:fldCharType="separate"/>
      </w:r>
      <w:r>
        <w:t>3</w:t>
      </w:r>
      <w:r>
        <w:fldChar w:fldCharType="end"/>
      </w:r>
      <w:r>
        <w:fldChar w:fldCharType="end"/>
      </w:r>
    </w:p>
    <w:p>
      <w:pPr>
        <w:pStyle w:val="12"/>
        <w:tabs>
          <w:tab w:val="right" w:leader="dot" w:pos="8306"/>
          <w:tab w:val="clear" w:pos="8296"/>
        </w:tabs>
        <w:ind w:left="420"/>
        <w:rPr>
          <w:sz w:val="28"/>
          <w:szCs w:val="28"/>
        </w:rPr>
      </w:pPr>
      <w:r>
        <w:fldChar w:fldCharType="begin"/>
      </w:r>
      <w:r>
        <w:instrText xml:space="preserve"> HYPERLINK \l "_Toc20678" </w:instrText>
      </w:r>
      <w:r>
        <w:fldChar w:fldCharType="separate"/>
      </w:r>
      <w:r>
        <w:rPr>
          <w:rFonts w:hint="eastAsia" w:ascii="黑体" w:eastAsia="黑体"/>
          <w:sz w:val="28"/>
          <w:szCs w:val="28"/>
        </w:rPr>
        <w:t>一、基本职能及主要工作</w:t>
      </w:r>
      <w:r>
        <w:rPr>
          <w:sz w:val="28"/>
          <w:szCs w:val="28"/>
        </w:rPr>
        <w:tab/>
      </w:r>
      <w:r>
        <w:rPr>
          <w:sz w:val="28"/>
          <w:szCs w:val="28"/>
        </w:rPr>
        <w:fldChar w:fldCharType="begin"/>
      </w:r>
      <w:r>
        <w:rPr>
          <w:sz w:val="28"/>
          <w:szCs w:val="28"/>
        </w:rPr>
        <w:instrText xml:space="preserve"> PAGEREF _Toc20678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"_Toc31800" </w:instrText>
      </w:r>
      <w:r>
        <w:fldChar w:fldCharType="separate"/>
      </w:r>
      <w:r>
        <w:rPr>
          <w:rFonts w:hint="eastAsia" w:ascii="楷体" w:eastAsia="楷体" w:cs="楷体"/>
          <w:sz w:val="28"/>
          <w:szCs w:val="28"/>
        </w:rPr>
        <w:t>（一）主要职能</w:t>
      </w:r>
      <w:r>
        <w:rPr>
          <w:sz w:val="28"/>
          <w:szCs w:val="28"/>
        </w:rPr>
        <w:tab/>
      </w:r>
      <w:r>
        <w:rPr>
          <w:sz w:val="28"/>
          <w:szCs w:val="28"/>
        </w:rPr>
        <w:fldChar w:fldCharType="begin"/>
      </w:r>
      <w:r>
        <w:rPr>
          <w:sz w:val="28"/>
          <w:szCs w:val="28"/>
        </w:rPr>
        <w:instrText xml:space="preserve"> PAGEREF _Toc31800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"_Toc21487" </w:instrText>
      </w:r>
      <w:r>
        <w:fldChar w:fldCharType="separate"/>
      </w:r>
      <w:r>
        <w:rPr>
          <w:rFonts w:hint="eastAsia" w:ascii="楷体" w:eastAsia="楷体" w:cs="楷体"/>
          <w:sz w:val="28"/>
          <w:szCs w:val="28"/>
        </w:rPr>
        <w:t>（二）</w:t>
      </w:r>
      <w:r>
        <w:rPr>
          <w:rFonts w:ascii="楷体" w:eastAsia="楷体" w:cs="楷体"/>
          <w:sz w:val="28"/>
          <w:szCs w:val="28"/>
        </w:rPr>
        <w:t>2020</w:t>
      </w:r>
      <w:r>
        <w:rPr>
          <w:rFonts w:hint="eastAsia" w:ascii="楷体" w:eastAsia="楷体" w:cs="楷体"/>
          <w:sz w:val="28"/>
          <w:szCs w:val="28"/>
        </w:rPr>
        <w:t>年重点工作完成情况</w:t>
      </w:r>
      <w:r>
        <w:rPr>
          <w:sz w:val="28"/>
          <w:szCs w:val="28"/>
        </w:rPr>
        <w:tab/>
      </w:r>
      <w:r>
        <w:rPr>
          <w:sz w:val="28"/>
          <w:szCs w:val="28"/>
        </w:rPr>
        <w:fldChar w:fldCharType="begin"/>
      </w:r>
      <w:r>
        <w:rPr>
          <w:sz w:val="28"/>
          <w:szCs w:val="28"/>
        </w:rPr>
        <w:instrText xml:space="preserve"> PAGEREF _Toc21487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"_Toc15978" </w:instrText>
      </w:r>
      <w:r>
        <w:fldChar w:fldCharType="separate"/>
      </w:r>
      <w:r>
        <w:rPr>
          <w:rFonts w:hint="eastAsia" w:ascii="黑体" w:eastAsia="黑体"/>
          <w:sz w:val="28"/>
          <w:szCs w:val="28"/>
        </w:rPr>
        <w:t>二、机构设置</w:t>
      </w:r>
      <w:r>
        <w:rPr>
          <w:sz w:val="28"/>
          <w:szCs w:val="28"/>
        </w:rPr>
        <w:tab/>
      </w:r>
      <w:r>
        <w:rPr>
          <w:sz w:val="28"/>
          <w:szCs w:val="28"/>
        </w:rPr>
        <w:fldChar w:fldCharType="begin"/>
      </w:r>
      <w:r>
        <w:rPr>
          <w:sz w:val="28"/>
          <w:szCs w:val="28"/>
        </w:rPr>
        <w:instrText xml:space="preserve"> PAGEREF _Toc15978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1"/>
        <w:tabs>
          <w:tab w:val="right" w:leader="dot" w:pos="8306"/>
          <w:tab w:val="clear" w:pos="8296"/>
        </w:tabs>
      </w:pPr>
      <w:r>
        <w:fldChar w:fldCharType="begin"/>
      </w:r>
      <w:r>
        <w:instrText xml:space="preserve"> HYPERLINK \l "_Toc32723" </w:instrText>
      </w:r>
      <w:r>
        <w:fldChar w:fldCharType="separate"/>
      </w:r>
      <w:r>
        <w:rPr>
          <w:rFonts w:hint="eastAsia" w:ascii="黑体" w:eastAsia="黑体"/>
        </w:rPr>
        <w:t xml:space="preserve">第二部分 </w:t>
      </w:r>
      <w:r>
        <w:rPr>
          <w:rFonts w:ascii="黑体" w:eastAsia="黑体"/>
        </w:rPr>
        <w:t>2020</w:t>
      </w:r>
      <w:r>
        <w:rPr>
          <w:rFonts w:hint="eastAsia" w:ascii="黑体" w:eastAsia="黑体"/>
        </w:rPr>
        <w:t>年度部门决算情况说明</w:t>
      </w:r>
      <w:r>
        <w:tab/>
      </w:r>
      <w:r>
        <w:fldChar w:fldCharType="begin"/>
      </w:r>
      <w:r>
        <w:instrText xml:space="preserve"> PAGEREF _Toc32723 \h </w:instrText>
      </w:r>
      <w:r>
        <w:fldChar w:fldCharType="separate"/>
      </w:r>
      <w:r>
        <w:t>5</w:t>
      </w:r>
      <w:r>
        <w:fldChar w:fldCharType="end"/>
      </w:r>
      <w:r>
        <w:fldChar w:fldCharType="end"/>
      </w:r>
    </w:p>
    <w:p>
      <w:pPr>
        <w:pStyle w:val="12"/>
        <w:tabs>
          <w:tab w:val="right" w:leader="dot" w:pos="8306"/>
          <w:tab w:val="clear" w:pos="8296"/>
        </w:tabs>
        <w:ind w:left="420"/>
        <w:rPr>
          <w:sz w:val="28"/>
          <w:szCs w:val="28"/>
        </w:rPr>
      </w:pPr>
      <w:r>
        <w:fldChar w:fldCharType="begin"/>
      </w:r>
      <w:r>
        <w:instrText xml:space="preserve"> HYPERLINK \l "_Toc14461" </w:instrText>
      </w:r>
      <w:r>
        <w:fldChar w:fldCharType="separate"/>
      </w:r>
      <w:r>
        <w:rPr>
          <w:rFonts w:ascii="黑体" w:eastAsia="黑体"/>
          <w:sz w:val="28"/>
          <w:szCs w:val="28"/>
        </w:rPr>
        <w:t xml:space="preserve">一、 </w:t>
      </w:r>
      <w:r>
        <w:rPr>
          <w:rFonts w:hint="eastAsia" w:ascii="黑体" w:eastAsia="黑体"/>
          <w:sz w:val="28"/>
          <w:szCs w:val="28"/>
        </w:rPr>
        <w:t>收入支出决算总体情况说明</w:t>
      </w:r>
      <w:r>
        <w:rPr>
          <w:sz w:val="28"/>
          <w:szCs w:val="28"/>
        </w:rPr>
        <w:tab/>
      </w:r>
      <w:r>
        <w:rPr>
          <w:sz w:val="28"/>
          <w:szCs w:val="28"/>
        </w:rPr>
        <w:fldChar w:fldCharType="begin"/>
      </w:r>
      <w:r>
        <w:rPr>
          <w:sz w:val="28"/>
          <w:szCs w:val="28"/>
        </w:rPr>
        <w:instrText xml:space="preserve"> PAGEREF _Toc14461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"_Toc4194" </w:instrText>
      </w:r>
      <w:r>
        <w:fldChar w:fldCharType="separate"/>
      </w:r>
      <w:r>
        <w:rPr>
          <w:rFonts w:hint="eastAsia" w:ascii="黑体" w:eastAsia="黑体"/>
          <w:sz w:val="28"/>
          <w:szCs w:val="28"/>
        </w:rPr>
        <w:t>三、支出决算情况说明</w:t>
      </w:r>
      <w:r>
        <w:rPr>
          <w:sz w:val="28"/>
          <w:szCs w:val="28"/>
        </w:rPr>
        <w:tab/>
      </w:r>
      <w:r>
        <w:rPr>
          <w:sz w:val="28"/>
          <w:szCs w:val="28"/>
        </w:rPr>
        <w:fldChar w:fldCharType="begin"/>
      </w:r>
      <w:r>
        <w:rPr>
          <w:sz w:val="28"/>
          <w:szCs w:val="28"/>
        </w:rPr>
        <w:instrText xml:space="preserve"> PAGEREF _Toc4194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"_Toc27948" </w:instrText>
      </w:r>
      <w:r>
        <w:fldChar w:fldCharType="separate"/>
      </w:r>
      <w:r>
        <w:rPr>
          <w:rFonts w:hint="eastAsia" w:ascii="黑体" w:eastAsia="黑体"/>
          <w:sz w:val="28"/>
          <w:szCs w:val="28"/>
        </w:rPr>
        <w:t>四、财政拨款收入支出决算总体情况说明</w:t>
      </w:r>
      <w:r>
        <w:rPr>
          <w:sz w:val="28"/>
          <w:szCs w:val="28"/>
        </w:rPr>
        <w:tab/>
      </w:r>
      <w:r>
        <w:rPr>
          <w:sz w:val="28"/>
          <w:szCs w:val="28"/>
        </w:rPr>
        <w:fldChar w:fldCharType="begin"/>
      </w:r>
      <w:r>
        <w:rPr>
          <w:sz w:val="28"/>
          <w:szCs w:val="28"/>
        </w:rPr>
        <w:instrText xml:space="preserve"> PAGEREF _Toc27948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"_Toc9449" </w:instrText>
      </w:r>
      <w:r>
        <w:fldChar w:fldCharType="separate"/>
      </w:r>
      <w:r>
        <w:rPr>
          <w:rFonts w:hint="eastAsia" w:ascii="黑体" w:eastAsia="黑体"/>
          <w:sz w:val="28"/>
          <w:szCs w:val="28"/>
        </w:rPr>
        <w:t>七、“三公”经费财政拨款支出决算情况说明</w:t>
      </w:r>
      <w:r>
        <w:rPr>
          <w:sz w:val="28"/>
          <w:szCs w:val="28"/>
        </w:rPr>
        <w:tab/>
      </w:r>
      <w:r>
        <w:rPr>
          <w:sz w:val="28"/>
          <w:szCs w:val="28"/>
        </w:rPr>
        <w:fldChar w:fldCharType="begin"/>
      </w:r>
      <w:r>
        <w:rPr>
          <w:sz w:val="28"/>
          <w:szCs w:val="28"/>
        </w:rPr>
        <w:instrText xml:space="preserve"> PAGEREF _Toc9449 \h </w:instrText>
      </w:r>
      <w:r>
        <w:rPr>
          <w:sz w:val="28"/>
          <w:szCs w:val="28"/>
        </w:rPr>
        <w:fldChar w:fldCharType="separate"/>
      </w:r>
      <w:r>
        <w:rPr>
          <w:sz w:val="28"/>
          <w:szCs w:val="28"/>
        </w:rPr>
        <w:t>10</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"_Toc23573" </w:instrText>
      </w:r>
      <w:r>
        <w:fldChar w:fldCharType="separate"/>
      </w:r>
      <w:r>
        <w:rPr>
          <w:rFonts w:hint="eastAsia" w:ascii="黑体" w:eastAsia="黑体"/>
          <w:sz w:val="28"/>
          <w:szCs w:val="28"/>
        </w:rPr>
        <w:t>八、政府性基金预算支出决算情况说明</w:t>
      </w:r>
      <w:r>
        <w:rPr>
          <w:sz w:val="28"/>
          <w:szCs w:val="28"/>
        </w:rPr>
        <w:tab/>
      </w:r>
      <w:r>
        <w:rPr>
          <w:sz w:val="28"/>
          <w:szCs w:val="28"/>
        </w:rPr>
        <w:fldChar w:fldCharType="begin"/>
      </w:r>
      <w:r>
        <w:rPr>
          <w:sz w:val="28"/>
          <w:szCs w:val="28"/>
        </w:rPr>
        <w:instrText xml:space="preserve"> PAGEREF _Toc23573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"_Toc351" </w:instrText>
      </w:r>
      <w:r>
        <w:fldChar w:fldCharType="separate"/>
      </w:r>
      <w:r>
        <w:rPr>
          <w:rFonts w:hint="eastAsia" w:ascii="黑体" w:eastAsia="黑体"/>
          <w:sz w:val="28"/>
          <w:szCs w:val="28"/>
        </w:rPr>
        <w:t>九、 国有资本经营预算支出决算情况说明</w:t>
      </w:r>
      <w:r>
        <w:rPr>
          <w:sz w:val="28"/>
          <w:szCs w:val="28"/>
        </w:rPr>
        <w:tab/>
      </w:r>
      <w:r>
        <w:rPr>
          <w:sz w:val="28"/>
          <w:szCs w:val="28"/>
        </w:rPr>
        <w:fldChar w:fldCharType="begin"/>
      </w:r>
      <w:r>
        <w:rPr>
          <w:sz w:val="28"/>
          <w:szCs w:val="28"/>
        </w:rPr>
        <w:instrText xml:space="preserve"> PAGEREF _Toc351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"_Toc16199" </w:instrText>
      </w:r>
      <w:r>
        <w:fldChar w:fldCharType="separate"/>
      </w:r>
      <w:r>
        <w:rPr>
          <w:rFonts w:ascii="黑体" w:eastAsia="黑体"/>
          <w:sz w:val="28"/>
          <w:szCs w:val="28"/>
        </w:rPr>
        <w:t xml:space="preserve">十、 </w:t>
      </w:r>
      <w:r>
        <w:rPr>
          <w:rFonts w:hint="eastAsia" w:ascii="黑体" w:eastAsia="黑体"/>
          <w:sz w:val="28"/>
          <w:szCs w:val="28"/>
        </w:rPr>
        <w:t>预算绩效情况说明</w:t>
      </w:r>
      <w:r>
        <w:rPr>
          <w:sz w:val="28"/>
          <w:szCs w:val="28"/>
        </w:rPr>
        <w:tab/>
      </w:r>
      <w:r>
        <w:rPr>
          <w:sz w:val="28"/>
          <w:szCs w:val="28"/>
        </w:rPr>
        <w:fldChar w:fldCharType="begin"/>
      </w:r>
      <w:r>
        <w:rPr>
          <w:sz w:val="28"/>
          <w:szCs w:val="28"/>
        </w:rPr>
        <w:instrText xml:space="preserve"> PAGEREF _Toc16199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"_Toc4523" </w:instrText>
      </w:r>
      <w:r>
        <w:fldChar w:fldCharType="separate"/>
      </w:r>
      <w:r>
        <w:rPr>
          <w:rFonts w:hint="eastAsia" w:ascii="楷体_GB2312" w:hAnsi="楷体_GB2312" w:eastAsia="楷体_GB2312" w:cs="楷体_GB2312"/>
          <w:bCs/>
          <w:sz w:val="28"/>
          <w:szCs w:val="28"/>
        </w:rPr>
        <w:t xml:space="preserve">（一） </w:t>
      </w:r>
      <w:r>
        <w:rPr>
          <w:rFonts w:hint="eastAsia" w:ascii="黑体" w:eastAsia="黑体"/>
          <w:sz w:val="28"/>
          <w:szCs w:val="28"/>
        </w:rPr>
        <w:t>预算绩效管理工作开展情况。</w:t>
      </w:r>
      <w:r>
        <w:rPr>
          <w:sz w:val="28"/>
          <w:szCs w:val="28"/>
        </w:rPr>
        <w:tab/>
      </w:r>
      <w:r>
        <w:rPr>
          <w:sz w:val="28"/>
          <w:szCs w:val="28"/>
        </w:rPr>
        <w:fldChar w:fldCharType="begin"/>
      </w:r>
      <w:r>
        <w:rPr>
          <w:sz w:val="28"/>
          <w:szCs w:val="28"/>
        </w:rPr>
        <w:instrText xml:space="preserve"> PAGEREF _Toc4523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2"/>
        <w:tabs>
          <w:tab w:val="right" w:leader="dot" w:pos="8306"/>
          <w:tab w:val="clear" w:pos="8296"/>
        </w:tabs>
        <w:ind w:left="420"/>
        <w:rPr>
          <w:sz w:val="28"/>
          <w:szCs w:val="28"/>
        </w:rPr>
      </w:pPr>
      <w:r>
        <w:fldChar w:fldCharType="begin"/>
      </w:r>
      <w:r>
        <w:instrText xml:space="preserve"> HYPERLINK \l "_Toc30171" </w:instrText>
      </w:r>
      <w:r>
        <w:fldChar w:fldCharType="separate"/>
      </w:r>
      <w:r>
        <w:rPr>
          <w:rFonts w:hint="eastAsia" w:ascii="黑体" w:eastAsia="黑体"/>
          <w:sz w:val="28"/>
          <w:szCs w:val="28"/>
        </w:rPr>
        <w:t>十一、其他重要事项的情况说明</w:t>
      </w:r>
      <w:r>
        <w:rPr>
          <w:sz w:val="28"/>
          <w:szCs w:val="28"/>
        </w:rPr>
        <w:tab/>
      </w:r>
      <w:r>
        <w:rPr>
          <w:sz w:val="28"/>
          <w:szCs w:val="28"/>
        </w:rPr>
        <w:fldChar w:fldCharType="begin"/>
      </w:r>
      <w:r>
        <w:rPr>
          <w:sz w:val="28"/>
          <w:szCs w:val="28"/>
        </w:rPr>
        <w:instrText xml:space="preserve"> PAGEREF _Toc30171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11"/>
        <w:tabs>
          <w:tab w:val="right" w:leader="dot" w:pos="8306"/>
          <w:tab w:val="clear" w:pos="8296"/>
        </w:tabs>
      </w:pPr>
      <w:r>
        <w:fldChar w:fldCharType="begin"/>
      </w:r>
      <w:r>
        <w:instrText xml:space="preserve"> HYPERLINK \l "_Toc30760" </w:instrText>
      </w:r>
      <w:r>
        <w:fldChar w:fldCharType="separate"/>
      </w:r>
      <w:r>
        <w:rPr>
          <w:rFonts w:hint="eastAsia" w:ascii="黑体" w:eastAsia="黑体"/>
        </w:rPr>
        <w:t>第三部分 名词解释</w:t>
      </w:r>
      <w:r>
        <w:tab/>
      </w:r>
      <w:r>
        <w:fldChar w:fldCharType="begin"/>
      </w:r>
      <w:r>
        <w:instrText xml:space="preserve"> PAGEREF _Toc30760 \h </w:instrText>
      </w:r>
      <w:r>
        <w:fldChar w:fldCharType="separate"/>
      </w:r>
      <w:r>
        <w:t>17</w:t>
      </w:r>
      <w:r>
        <w:fldChar w:fldCharType="end"/>
      </w:r>
      <w:r>
        <w:fldChar w:fldCharType="end"/>
      </w:r>
    </w:p>
    <w:p>
      <w:pPr>
        <w:pStyle w:val="11"/>
        <w:rPr>
          <w:rFonts w:cs="Arial"/>
        </w:rPr>
      </w:pPr>
      <w:r>
        <w:rPr>
          <w:color w:val="000000"/>
        </w:rPr>
        <w:fldChar w:fldCharType="end"/>
      </w:r>
      <w:bookmarkStart w:id="14" w:name="_Toc15377196"/>
    </w:p>
    <w:p>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pPr>
        <w:pStyle w:val="4"/>
        <w:spacing w:before="0" w:after="0" w:line="240" w:lineRule="auto"/>
        <w:ind w:left="640" w:hanging="640" w:hangingChars="200"/>
        <w:rPr>
          <w:rStyle w:val="20"/>
          <w:rFonts w:ascii="黑体" w:eastAsia="黑体"/>
          <w:b w:val="0"/>
          <w:bCs w:val="0"/>
        </w:rPr>
      </w:pPr>
      <w:bookmarkStart w:id="16" w:name="_Toc15377197"/>
      <w:bookmarkStart w:id="17" w:name="_Toc20678"/>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8445"/>
      <w:bookmarkStart w:id="19" w:name="_Toc15377198"/>
    </w:p>
    <w:p>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7199"/>
      <w:bookmarkStart w:id="22" w:name="_Toc15378446"/>
    </w:p>
    <w:p>
      <w:pPr>
        <w:snapToGrid w:val="0"/>
        <w:spacing w:line="360" w:lineRule="auto"/>
        <w:ind w:firstLine="640" w:firstLineChars="200"/>
        <w:outlineLvl w:val="1"/>
        <w:rPr>
          <w:rFonts w:ascii="仿宋_GB2312" w:hAnsi="仿宋" w:eastAsia="仿宋_GB2312" w:cs="仿宋_GB2312"/>
          <w:sz w:val="32"/>
          <w:szCs w:val="32"/>
        </w:rPr>
      </w:pPr>
      <w:bookmarkStart w:id="23" w:name="_Toc32413"/>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cs="仿宋_GB2312"/>
          <w:sz w:val="32"/>
          <w:szCs w:val="32"/>
          <w:lang w:eastAsia="zh-CN"/>
        </w:rPr>
        <w:t>开辟</w:t>
      </w:r>
      <w:r>
        <w:rPr>
          <w:rFonts w:hint="eastAsia" w:ascii="仿宋_GB2312" w:hAnsi="仿宋" w:eastAsia="仿宋_GB2312" w:cs="仿宋_GB2312"/>
          <w:sz w:val="32"/>
          <w:szCs w:val="32"/>
        </w:rPr>
        <w:t>发展的新空间，努力开创咯尔发展的新局面。</w:t>
      </w:r>
      <w:bookmarkEnd w:id="23"/>
    </w:p>
    <w:p>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ascii="楷体" w:eastAsia="楷体" w:cs="楷体"/>
          <w:color w:val="000000"/>
        </w:rPr>
        <w:t>2020</w:t>
      </w:r>
      <w:r>
        <w:rPr>
          <w:rFonts w:hint="eastAsia" w:ascii="楷体" w:eastAsia="楷体" w:cs="楷体"/>
          <w:color w:val="000000"/>
        </w:rPr>
        <w:t>年重点工作完成情况</w:t>
      </w:r>
      <w:bookmarkEnd w:id="21"/>
      <w:bookmarkEnd w:id="22"/>
      <w:bookmarkEnd w:id="24"/>
    </w:p>
    <w:p>
      <w:pPr>
        <w:pStyle w:val="13"/>
        <w:shd w:val="clear" w:color="auto" w:fill="FFFFFF"/>
        <w:spacing w:line="560" w:lineRule="exact"/>
        <w:ind w:firstLine="720"/>
        <w:rPr>
          <w:rFonts w:hint="default" w:ascii="仿宋_GB2312" w:hAnsi="仿宋" w:eastAsia="仿宋_GB2312" w:cs="仿宋_GB2312"/>
          <w:sz w:val="32"/>
          <w:szCs w:val="32"/>
          <w:shd w:val="clear" w:color="auto" w:fill="FFFFFF"/>
        </w:rPr>
      </w:pPr>
      <w:bookmarkStart w:id="25" w:name="_Toc15377200"/>
      <w:r>
        <w:rPr>
          <w:rFonts w:ascii="仿宋_GB2312" w:hAnsi="仿宋" w:eastAsia="仿宋_GB2312" w:cs="仿宋_GB2312"/>
          <w:sz w:val="32"/>
          <w:szCs w:val="32"/>
          <w:shd w:val="clear" w:color="auto" w:fill="FFFFFF"/>
        </w:rPr>
        <w:t>2020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w:t>
      </w:r>
      <w:r>
        <w:rPr>
          <w:rFonts w:hint="eastAsia" w:ascii="仿宋_GB2312" w:hAnsi="仿宋" w:eastAsia="仿宋_GB2312" w:cs="仿宋_GB2312"/>
          <w:sz w:val="32"/>
          <w:szCs w:val="32"/>
          <w:shd w:val="clear" w:color="auto" w:fill="FFFFFF"/>
          <w:lang w:eastAsia="zh-CN"/>
        </w:rPr>
        <w:t>，</w:t>
      </w:r>
      <w:bookmarkStart w:id="65" w:name="_GoBack"/>
      <w:bookmarkEnd w:id="65"/>
      <w:r>
        <w:rPr>
          <w:rFonts w:ascii="仿宋_GB2312" w:hAnsi="仿宋" w:eastAsia="仿宋_GB2312" w:cs="仿宋_GB2312"/>
          <w:sz w:val="32"/>
          <w:szCs w:val="32"/>
          <w:shd w:val="clear" w:color="auto" w:fill="FFFFFF"/>
        </w:rPr>
        <w:t>以脱贫攻坚、环境整治、文明创建、党的建设、疫情防控、防汛救灾等重点任务为抓手</w:t>
      </w:r>
      <w:r>
        <w:rPr>
          <w:rFonts w:hint="eastAsia" w:ascii="仿宋_GB2312" w:hAnsi="仿宋" w:eastAsia="仿宋_GB2312" w:cs="仿宋_GB2312"/>
          <w:sz w:val="32"/>
          <w:szCs w:val="32"/>
          <w:shd w:val="clear" w:color="auto" w:fill="FFFFFF"/>
          <w:lang w:eastAsia="zh-CN"/>
        </w:rPr>
        <w:t>，</w:t>
      </w:r>
      <w:r>
        <w:rPr>
          <w:rFonts w:ascii="仿宋_GB2312" w:hAnsi="仿宋" w:eastAsia="仿宋_GB2312" w:cs="仿宋_GB2312"/>
          <w:sz w:val="32"/>
          <w:szCs w:val="32"/>
          <w:shd w:val="clear" w:color="auto" w:fill="FFFFFF"/>
        </w:rPr>
        <w:t>重精准、补短板，主动适应社会经济发展新常态</w:t>
      </w:r>
      <w:r>
        <w:rPr>
          <w:rFonts w:hint="eastAsia" w:ascii="仿宋_GB2312" w:hAnsi="仿宋" w:eastAsia="仿宋_GB2312" w:cs="仿宋_GB2312"/>
          <w:sz w:val="32"/>
          <w:szCs w:val="32"/>
          <w:shd w:val="clear" w:color="auto" w:fill="FFFFFF"/>
          <w:lang w:eastAsia="zh-CN"/>
        </w:rPr>
        <w:t>，</w:t>
      </w:r>
      <w:r>
        <w:rPr>
          <w:rFonts w:ascii="仿宋_GB2312" w:hAnsi="仿宋" w:eastAsia="仿宋_GB2312" w:cs="仿宋_GB2312"/>
          <w:sz w:val="32"/>
          <w:szCs w:val="32"/>
          <w:shd w:val="clear" w:color="auto" w:fill="FFFFFF"/>
        </w:rPr>
        <w:t>解决了一个又一个发展难题</w:t>
      </w:r>
      <w:r>
        <w:rPr>
          <w:rFonts w:hint="eastAsia" w:ascii="仿宋_GB2312" w:hAnsi="仿宋" w:eastAsia="仿宋_GB2312" w:cs="仿宋_GB2312"/>
          <w:sz w:val="32"/>
          <w:szCs w:val="32"/>
          <w:shd w:val="clear" w:color="auto" w:fill="FFFFFF"/>
          <w:lang w:eastAsia="zh-CN"/>
        </w:rPr>
        <w:t>，</w:t>
      </w:r>
      <w:r>
        <w:rPr>
          <w:rFonts w:ascii="仿宋_GB2312" w:hAnsi="仿宋" w:eastAsia="仿宋_GB2312" w:cs="仿宋_GB2312"/>
          <w:sz w:val="32"/>
          <w:szCs w:val="32"/>
          <w:shd w:val="clear" w:color="auto" w:fill="FFFFFF"/>
        </w:rPr>
        <w:t>圆满完成了各项年度目标任务，交出了一份上级认可、社会肯定、群众满意的答卷。</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奏好“振兴曲”，农业发展纵深延续。自乡村振兴战略实施以来，全乡始终坚持党管农村工作、农业农村优先发展，坚持农民主体地位、因地制宜的工作原则，全力推进卡撒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640" w:firstLineChars="200"/>
        <w:rPr>
          <w:rStyle w:val="20"/>
          <w:b w:val="0"/>
          <w:bCs w:val="0"/>
        </w:rPr>
      </w:pPr>
      <w:bookmarkStart w:id="26" w:name="_Toc15978"/>
      <w:r>
        <w:rPr>
          <w:rStyle w:val="20"/>
          <w:rFonts w:hint="eastAsia" w:ascii="黑体" w:eastAsia="黑体"/>
          <w:b w:val="0"/>
          <w:bCs w:val="0"/>
        </w:rPr>
        <w:t>二、机构设置</w:t>
      </w:r>
      <w:bookmarkEnd w:id="25"/>
    </w:p>
    <w:bookmarkEnd w:id="26"/>
    <w:p>
      <w:pPr>
        <w:snapToGrid w:val="0"/>
        <w:spacing w:line="560" w:lineRule="exact"/>
        <w:ind w:firstLine="640" w:firstLineChars="200"/>
        <w:rPr>
          <w:rFonts w:ascii="仿宋_GB2312" w:hAnsi="仿宋_GB2312" w:eastAsia="仿宋_GB2312" w:cs="仿宋_GB2312"/>
          <w:bCs/>
          <w:sz w:val="32"/>
        </w:rPr>
      </w:pPr>
      <w:bookmarkStart w:id="27" w:name="_Toc15377204"/>
      <w:r>
        <w:rPr>
          <w:rFonts w:hint="eastAsia" w:ascii="仿宋_GB2312" w:hAnsi="仿宋_GB2312" w:eastAsia="仿宋_GB2312" w:cs="仿宋_GB2312"/>
          <w:bCs/>
          <w:sz w:val="32"/>
        </w:rPr>
        <w:t>我乡20</w:t>
      </w:r>
      <w:r>
        <w:rPr>
          <w:rFonts w:ascii="仿宋_GB2312" w:hAnsi="仿宋_GB2312" w:eastAsia="仿宋_GB2312" w:cs="仿宋_GB2312"/>
          <w:bCs/>
          <w:sz w:val="32"/>
        </w:rPr>
        <w:t>20</w:t>
      </w:r>
      <w:r>
        <w:rPr>
          <w:rFonts w:hint="eastAsia" w:ascii="仿宋_GB2312" w:hAnsi="仿宋_GB2312" w:eastAsia="仿宋_GB2312" w:cs="仿宋_GB2312"/>
          <w:bCs/>
          <w:sz w:val="32"/>
        </w:rPr>
        <w:t>年有1个机构，较上年无变动。我乡本年度年末实有人数为28人，比上年增加1人；年末实有离退休人数为1人，比上年增加1人。（行政人员20，机关工勤1人，事业人员7人）。</w:t>
      </w:r>
    </w:p>
    <w:p>
      <w:pPr>
        <w:snapToGrid w:val="0"/>
        <w:spacing w:line="360" w:lineRule="auto"/>
        <w:ind w:firstLine="640" w:firstLineChars="200"/>
        <w:rPr>
          <w:rFonts w:ascii="仿宋_GB2312" w:hAnsi="仿宋" w:eastAsia="仿宋_GB2312"/>
          <w:sz w:val="32"/>
          <w:szCs w:val="32"/>
        </w:rPr>
      </w:pPr>
    </w:p>
    <w:p>
      <w:pPr>
        <w:pStyle w:val="3"/>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2020</w:t>
      </w:r>
      <w:r>
        <w:rPr>
          <w:rStyle w:val="19"/>
          <w:rFonts w:hint="eastAsia" w:ascii="黑体" w:eastAsia="黑体"/>
          <w:b w:val="0"/>
          <w:bCs w:val="0"/>
        </w:rPr>
        <w:t>年度部门决算情况说明</w:t>
      </w:r>
      <w:bookmarkEnd w:id="27"/>
      <w:bookmarkEnd w:id="28"/>
    </w:p>
    <w:p>
      <w:pPr>
        <w:pStyle w:val="25"/>
        <w:numPr>
          <w:ilvl w:val="0"/>
          <w:numId w:val="1"/>
        </w:numPr>
        <w:ind w:left="0" w:firstLine="0" w:firstLineChars="0"/>
        <w:outlineLvl w:val="1"/>
        <w:rPr>
          <w:rStyle w:val="20"/>
          <w:rFonts w:ascii="黑体" w:eastAsia="黑体"/>
          <w:b w:val="0"/>
        </w:rPr>
      </w:pPr>
      <w:bookmarkStart w:id="29" w:name="_Toc15377205"/>
      <w:bookmarkStart w:id="30" w:name="_Toc14461"/>
      <w:r>
        <w:rPr>
          <w:rFonts w:hint="eastAsia" w:ascii="黑体" w:eastAsia="黑体"/>
          <w:color w:val="000000"/>
          <w:sz w:val="32"/>
          <w:szCs w:val="32"/>
        </w:rPr>
        <w:t>收</w:t>
      </w:r>
      <w:r>
        <w:rPr>
          <w:rStyle w:val="20"/>
          <w:rFonts w:hint="eastAsia" w:ascii="黑体" w:eastAsia="黑体"/>
          <w:b w:val="0"/>
        </w:rPr>
        <w:t>入支出决算总体情况说明</w:t>
      </w:r>
      <w:bookmarkEnd w:id="29"/>
      <w:bookmarkEnd w:id="30"/>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2020</w:t>
      </w:r>
      <w:r>
        <w:rPr>
          <w:rFonts w:hint="eastAsia" w:ascii="仿宋_GB2312" w:eastAsia="仿宋_GB2312"/>
          <w:color w:val="000000"/>
          <w:spacing w:val="-2"/>
          <w:sz w:val="32"/>
          <w:szCs w:val="32"/>
        </w:rPr>
        <w:t>年度总收入</w:t>
      </w:r>
      <w:r>
        <w:rPr>
          <w:rFonts w:ascii="仿宋_GB2312"/>
          <w:color w:val="000000" w:themeColor="text1"/>
          <w:sz w:val="32"/>
          <w:szCs w:val="32"/>
          <w:shd w:val="clear" w:color="auto" w:fill="FFFFFF"/>
        </w:rPr>
        <w:t>735.78</w:t>
      </w:r>
      <w:r>
        <w:rPr>
          <w:rFonts w:hint="eastAsia" w:ascii="仿宋_GB2312" w:eastAsia="仿宋_GB2312"/>
          <w:color w:val="000000"/>
          <w:spacing w:val="-2"/>
          <w:sz w:val="32"/>
          <w:szCs w:val="32"/>
        </w:rPr>
        <w:t>万元，较上年收入增加121.82万元，增加19.84%。增加的主要原因是</w:t>
      </w:r>
      <w:r>
        <w:rPr>
          <w:rFonts w:ascii="仿宋_GB2312" w:eastAsia="仿宋_GB2312"/>
          <w:color w:val="000000"/>
          <w:spacing w:val="-2"/>
          <w:sz w:val="32"/>
          <w:szCs w:val="32"/>
        </w:rPr>
        <w:t>2020</w:t>
      </w:r>
      <w:r>
        <w:rPr>
          <w:rFonts w:hint="eastAsia" w:ascii="仿宋_GB2312" w:eastAsia="仿宋_GB2312"/>
          <w:color w:val="000000"/>
          <w:spacing w:val="-2"/>
          <w:sz w:val="32"/>
          <w:szCs w:val="32"/>
        </w:rPr>
        <w:t>年人员增加，工资变动。</w:t>
      </w:r>
    </w:p>
    <w:p>
      <w:pPr>
        <w:snapToGrid w:val="0"/>
        <w:spacing w:line="520" w:lineRule="exact"/>
        <w:ind w:firstLine="632" w:firstLineChars="200"/>
        <w:rPr>
          <w:rFonts w:ascii="仿宋" w:eastAsia="仿宋"/>
          <w:sz w:val="32"/>
          <w:szCs w:val="32"/>
        </w:rPr>
      </w:pPr>
      <w:r>
        <w:rPr>
          <w:rFonts w:ascii="仿宋_GB2312" w:eastAsia="仿宋_GB2312"/>
          <w:spacing w:val="-2"/>
          <w:sz w:val="32"/>
          <w:szCs w:val="32"/>
        </w:rPr>
        <w:t>2020</w:t>
      </w:r>
      <w:r>
        <w:rPr>
          <w:rFonts w:hint="eastAsia" w:ascii="仿宋_GB2312" w:eastAsia="仿宋_GB2312"/>
          <w:spacing w:val="-2"/>
          <w:sz w:val="32"/>
          <w:szCs w:val="32"/>
        </w:rPr>
        <w:t>年总支出675.77万元，实际支出675.77万元，结转下年60万元。较上年支出减少381.01万元，减少36.05%。主要原因一是当年部门预算安排项目经费较上年有所减少；二是</w:t>
      </w:r>
      <w:r>
        <w:rPr>
          <w:rFonts w:ascii="仿宋_GB2312" w:eastAsia="仿宋_GB2312"/>
          <w:spacing w:val="-2"/>
          <w:sz w:val="32"/>
          <w:szCs w:val="32"/>
        </w:rPr>
        <w:t>2020</w:t>
      </w:r>
      <w:r>
        <w:rPr>
          <w:rFonts w:hint="eastAsia" w:ascii="仿宋_GB2312" w:eastAsia="仿宋_GB2312"/>
          <w:spacing w:val="-2"/>
          <w:sz w:val="32"/>
          <w:szCs w:val="32"/>
        </w:rPr>
        <w:t>年人员增加经费支出减少。</w:t>
      </w:r>
    </w:p>
    <w:p>
      <w:pPr>
        <w:spacing w:line="600" w:lineRule="exact"/>
        <w:ind w:firstLine="640" w:firstLineChars="200"/>
        <w:rPr>
          <w:rStyle w:val="20"/>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8255" b="1651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5377206"/>
      <w:r>
        <w:rPr>
          <w:rFonts w:hint="eastAsia" w:ascii="黑体" w:eastAsia="黑体"/>
          <w:color w:val="000000"/>
          <w:sz w:val="32"/>
          <w:szCs w:val="32"/>
        </w:rPr>
        <w:t>二、收入决</w:t>
      </w:r>
      <w:r>
        <w:rPr>
          <w:rStyle w:val="20"/>
          <w:rFonts w:hint="eastAsia" w:ascii="黑体" w:eastAsia="黑体"/>
          <w:b w:val="0"/>
        </w:rPr>
        <w:t>算情况说明</w:t>
      </w:r>
      <w:bookmarkEnd w:id="31"/>
    </w:p>
    <w:p>
      <w:pPr>
        <w:spacing w:line="600" w:lineRule="exact"/>
        <w:ind w:firstLine="640" w:firstLineChars="200"/>
        <w:outlineLvl w:val="1"/>
        <w:rPr>
          <w:rFonts w:ascii="仿宋" w:eastAsia="仿宋"/>
          <w:color w:val="000000"/>
          <w:sz w:val="32"/>
          <w:szCs w:val="32"/>
        </w:rPr>
      </w:pPr>
      <w:bookmarkStart w:id="32" w:name="_Toc22912"/>
      <w:r>
        <w:rPr>
          <w:rFonts w:ascii="仿宋" w:eastAsia="仿宋"/>
          <w:color w:val="000000"/>
          <w:sz w:val="32"/>
          <w:szCs w:val="32"/>
        </w:rPr>
        <w:t>2020</w:t>
      </w:r>
      <w:r>
        <w:rPr>
          <w:rFonts w:hint="eastAsia" w:ascii="仿宋" w:eastAsia="仿宋"/>
          <w:color w:val="000000"/>
          <w:sz w:val="32"/>
          <w:szCs w:val="32"/>
        </w:rPr>
        <w:t>年总收入</w:t>
      </w:r>
      <w:r>
        <w:rPr>
          <w:rFonts w:ascii="仿宋_GB2312"/>
          <w:color w:val="000000" w:themeColor="text1"/>
          <w:sz w:val="32"/>
          <w:szCs w:val="32"/>
          <w:shd w:val="clear" w:color="auto" w:fill="FFFFFF"/>
        </w:rPr>
        <w:t>735.78</w:t>
      </w:r>
      <w:r>
        <w:rPr>
          <w:rFonts w:hint="eastAsia" w:ascii="仿宋" w:eastAsia="仿宋"/>
          <w:color w:val="000000"/>
          <w:sz w:val="32"/>
          <w:szCs w:val="32"/>
        </w:rPr>
        <w:t>万元，其中：一般公共预算财政拨款收入</w:t>
      </w:r>
      <w:r>
        <w:rPr>
          <w:rFonts w:ascii="仿宋_GB2312"/>
          <w:color w:val="000000" w:themeColor="text1"/>
          <w:sz w:val="32"/>
          <w:szCs w:val="32"/>
          <w:shd w:val="clear" w:color="auto" w:fill="FFFFFF"/>
        </w:rPr>
        <w:t>735.78</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pPr>
        <w:spacing w:line="600" w:lineRule="exact"/>
        <w:ind w:firstLine="640" w:firstLineChars="200"/>
        <w:outlineLvl w:val="1"/>
        <w:rPr>
          <w:rStyle w:val="20"/>
          <w:rFonts w:ascii="黑体" w:eastAsia="黑体"/>
          <w:b w:val="0"/>
        </w:rPr>
      </w:pPr>
      <w:bookmarkStart w:id="33" w:name="_Toc4194"/>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黑体" w:eastAsia="黑体"/>
          <w:color w:val="000000"/>
          <w:sz w:val="32"/>
          <w:szCs w:val="32"/>
        </w:rPr>
        <w:t>三、支出决</w:t>
      </w:r>
      <w:r>
        <w:rPr>
          <w:rStyle w:val="20"/>
          <w:rFonts w:hint="eastAsia" w:ascii="黑体" w:eastAsia="黑体"/>
          <w:b w:val="0"/>
        </w:rPr>
        <w:t>算情况说明</w:t>
      </w:r>
      <w:bookmarkEnd w:id="33"/>
      <w:bookmarkEnd w:id="34"/>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2020年本年总支出675.77万元，其中：基本支出489.25万元，占72.39%；项目支出186.53万元，占27.61%；上缴上级支出0万元，占0%；经营支出0万元，占0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pStyle w:val="27"/>
        <w:widowControl/>
        <w:shd w:val="clear" w:color="auto" w:fill="FFFFFF"/>
        <w:autoSpaceDE w:val="0"/>
        <w:spacing w:line="56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2336" behindDoc="0" locked="0" layoutInCell="1" allowOverlap="1">
            <wp:simplePos x="0" y="0"/>
            <wp:positionH relativeFrom="column">
              <wp:posOffset>-15240</wp:posOffset>
            </wp:positionH>
            <wp:positionV relativeFrom="paragraph">
              <wp:posOffset>371475</wp:posOffset>
            </wp:positionV>
            <wp:extent cx="5061585" cy="1984375"/>
            <wp:effectExtent l="4445" t="4445" r="8890" b="762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0"/>
          <w:rFonts w:ascii="黑体" w:eastAsia="黑体"/>
          <w:b w:val="0"/>
        </w:rPr>
      </w:pPr>
      <w:bookmarkStart w:id="35" w:name="_Toc27948"/>
      <w:bookmarkStart w:id="36"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5"/>
      <w:bookmarkEnd w:id="36"/>
    </w:p>
    <w:p>
      <w:pPr>
        <w:snapToGrid w:val="0"/>
        <w:spacing w:line="520" w:lineRule="exact"/>
        <w:ind w:firstLine="640" w:firstLineChars="200"/>
        <w:rPr>
          <w:rFonts w:ascii="仿宋" w:eastAsia="仿宋"/>
          <w:color w:val="FF0000"/>
          <w:sz w:val="32"/>
          <w:szCs w:val="32"/>
        </w:rPr>
      </w:pPr>
      <w:r>
        <w:rPr>
          <w:rFonts w:ascii="仿宋" w:eastAsia="仿宋"/>
          <w:color w:val="000000"/>
          <w:sz w:val="32"/>
          <w:szCs w:val="32"/>
        </w:rPr>
        <w:t>2020</w:t>
      </w:r>
      <w:r>
        <w:rPr>
          <w:rFonts w:hint="eastAsia" w:ascii="仿宋" w:eastAsia="仿宋"/>
          <w:color w:val="000000"/>
          <w:sz w:val="32"/>
          <w:szCs w:val="32"/>
        </w:rPr>
        <w:t>年财政拨款收入735.78万元。与2019年相比，一般公共预算财政拨款收入较上年增加121.82万元，增加19.8%。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2020</w:t>
      </w:r>
      <w:r>
        <w:rPr>
          <w:rFonts w:hint="eastAsia" w:ascii="仿宋_GB2312" w:eastAsia="仿宋_GB2312"/>
          <w:color w:val="000000"/>
          <w:spacing w:val="-2"/>
          <w:sz w:val="32"/>
          <w:szCs w:val="32"/>
        </w:rPr>
        <w:t>年人员增加，工资变动。</w:t>
      </w:r>
      <w:r>
        <w:rPr>
          <w:rFonts w:ascii="仿宋" w:eastAsia="仿宋"/>
          <w:color w:val="000000"/>
          <w:sz w:val="32"/>
          <w:szCs w:val="32"/>
        </w:rPr>
        <w:t>2020</w:t>
      </w:r>
      <w:r>
        <w:rPr>
          <w:rFonts w:hint="eastAsia" w:ascii="仿宋" w:eastAsia="仿宋"/>
          <w:color w:val="000000"/>
          <w:sz w:val="32"/>
          <w:szCs w:val="32"/>
        </w:rPr>
        <w:t>年财政拨款支出675.77万元，</w:t>
      </w:r>
      <w:r>
        <w:rPr>
          <w:rFonts w:hint="eastAsia" w:ascii="仿宋" w:eastAsia="仿宋"/>
          <w:sz w:val="32"/>
          <w:szCs w:val="32"/>
        </w:rPr>
        <w:t>较上年支出减少381.01万元，减少36.05%</w:t>
      </w:r>
      <w:r>
        <w:rPr>
          <w:rFonts w:hint="eastAsia" w:ascii="仿宋_GB2312" w:eastAsia="仿宋_GB2312"/>
          <w:spacing w:val="-2"/>
          <w:sz w:val="32"/>
          <w:szCs w:val="32"/>
        </w:rPr>
        <w:t>。</w:t>
      </w:r>
    </w:p>
    <w:p>
      <w:pPr>
        <w:spacing w:line="600" w:lineRule="exact"/>
        <w:ind w:firstLine="640" w:firstLineChars="200"/>
        <w:rPr>
          <w:rStyle w:val="20"/>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7"/>
    </w:p>
    <w:p>
      <w:pPr>
        <w:spacing w:line="600" w:lineRule="exact"/>
        <w:ind w:firstLine="643"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一般公共预算财政拨款支出675.77万元，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支出减少了38.01万元，减少36.05%。主要原因一是当年部门预算安排项目经费较上年有所减少；二是</w:t>
      </w:r>
      <w:r>
        <w:rPr>
          <w:rFonts w:ascii="仿宋_GB2312" w:eastAsia="仿宋_GB2312"/>
          <w:spacing w:val="-2"/>
          <w:sz w:val="32"/>
          <w:szCs w:val="32"/>
        </w:rPr>
        <w:t>2020</w:t>
      </w:r>
      <w:r>
        <w:rPr>
          <w:rFonts w:hint="eastAsia" w:ascii="仿宋_GB2312" w:eastAsia="仿宋_GB2312"/>
          <w:spacing w:val="-2"/>
          <w:sz w:val="32"/>
          <w:szCs w:val="32"/>
        </w:rPr>
        <w:t>年人员变动经费支出减少。</w:t>
      </w:r>
    </w:p>
    <w:p>
      <w:pPr>
        <w:numPr>
          <w:ilvl w:val="0"/>
          <w:numId w:val="2"/>
        </w:numPr>
        <w:spacing w:line="600" w:lineRule="exact"/>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2020</w:t>
      </w:r>
      <w:r>
        <w:rPr>
          <w:rFonts w:hint="eastAsia" w:ascii="仿宋" w:eastAsia="仿宋"/>
          <w:bCs/>
          <w:color w:val="000000"/>
          <w:sz w:val="32"/>
          <w:szCs w:val="32"/>
        </w:rPr>
        <w:t>年一般公共预算财政拨款支出为675.77万元。其中：一般公共服务支出为325.49万元，占比48.17%；文化旅游体育与传媒支出为4.39万元，占比0.65%；社会保障和就业支出为58.54万元，占比8.66%；卫生健康支出为29.04万元，占比4.30%；农林水支出为212.82万元，占比31.49%；住房保障支出为39.73万元，占比5.88%；其他支出为5.76万元，占比0.85%。</w:t>
      </w:r>
    </w:p>
    <w:p>
      <w:pPr>
        <w:ind w:firstLine="640" w:firstLineChars="200"/>
        <w:outlineLvl w:val="2"/>
        <w:rPr>
          <w:rFonts w:ascii="仿宋" w:eastAsia="仿宋"/>
          <w:bCs/>
          <w:color w:val="000000"/>
          <w:sz w:val="32"/>
          <w:szCs w:val="32"/>
        </w:rPr>
      </w:pPr>
      <w:r>
        <w:rPr>
          <w:rFonts w:hint="eastAsia" w:ascii="仿宋" w:eastAsia="仿宋"/>
          <w:bCs/>
          <w:color w:val="000000"/>
          <w:sz w:val="32"/>
          <w:szCs w:val="32"/>
        </w:rPr>
        <w:drawing>
          <wp:inline distT="0" distB="0" distL="114300" distR="114300">
            <wp:extent cx="4587875" cy="2758440"/>
            <wp:effectExtent l="0" t="0" r="14605" b="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10" cstate="print"/>
                    <a:stretch>
                      <a:fillRect/>
                    </a:stretch>
                  </pic:blipFill>
                  <pic:spPr>
                    <a:xfrm>
                      <a:off x="0" y="0"/>
                      <a:ext cx="4587875" cy="2758440"/>
                    </a:xfrm>
                    <a:prstGeom prst="rect">
                      <a:avLst/>
                    </a:prstGeom>
                  </pic:spPr>
                </pic:pic>
              </a:graphicData>
            </a:graphic>
          </wp:inline>
        </w:drawing>
      </w:r>
    </w:p>
    <w:p>
      <w:pPr>
        <w:spacing w:line="600" w:lineRule="exact"/>
        <w:ind w:firstLine="8353" w:firstLineChars="2600"/>
        <w:outlineLvl w:val="2"/>
        <w:rPr>
          <w:rFonts w:ascii="仿宋" w:eastAsia="仿宋"/>
          <w:b/>
          <w:color w:val="000000"/>
          <w:sz w:val="32"/>
          <w:szCs w:val="32"/>
        </w:rPr>
      </w:pPr>
      <w:bookmarkStart w:id="40" w:name="_Toc15377213"/>
      <w:bookmarkStart w:id="41" w:name="_Toc15378460"/>
      <w:bookmarkStart w:id="42" w:name="_Toc15377444"/>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3" w:name="_Toc15377212"/>
      <w:r>
        <w:rPr>
          <w:rFonts w:hint="eastAsia" w:ascii="仿宋" w:eastAsia="仿宋"/>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2020</w:t>
      </w:r>
      <w:r>
        <w:rPr>
          <w:rFonts w:hint="eastAsia" w:ascii="仿宋" w:eastAsia="仿宋"/>
          <w:bCs/>
          <w:color w:val="000000"/>
          <w:sz w:val="32"/>
          <w:szCs w:val="32"/>
        </w:rPr>
        <w:t>年一般公共预算数为735.78万元，支出决算数为675.77万元，完</w:t>
      </w:r>
      <w:r>
        <w:rPr>
          <w:rStyle w:val="16"/>
          <w:rFonts w:hint="eastAsia" w:ascii="仿宋" w:eastAsia="仿宋"/>
          <w:b w:val="0"/>
          <w:bCs/>
          <w:color w:val="000000"/>
          <w:sz w:val="32"/>
          <w:szCs w:val="32"/>
        </w:rPr>
        <w:t>成预算91.84</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，结转下年60万元。其中：</w:t>
      </w:r>
      <w:bookmarkEnd w:id="40"/>
      <w:bookmarkEnd w:id="41"/>
      <w:bookmarkEnd w:id="42"/>
    </w:p>
    <w:p>
      <w:pPr>
        <w:spacing w:line="600" w:lineRule="exact"/>
        <w:ind w:firstLine="643" w:firstLineChars="200"/>
        <w:rPr>
          <w:rStyle w:val="16"/>
          <w:rFonts w:ascii="仿宋" w:eastAsia="仿宋"/>
          <w:b w:val="0"/>
          <w:bCs/>
          <w:color w:val="000000"/>
          <w:sz w:val="32"/>
          <w:szCs w:val="32"/>
        </w:rPr>
      </w:pPr>
      <w:bookmarkStart w:id="44" w:name="_Toc15377214"/>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支出决算为325.49万元，完成预算100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一般公共服务（类）政府办公室（室）及相关机构事务（款）一般行政管理事务（项）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支出决算为35.66万元，完成预算100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支出决算为17.88万元，完成预算100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5.卫生健康支出（类）行政事业单位医疗（款）行政单位医疗（项）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支出决算为18.37万元，完成预算100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6.卫生健康支出（类）行政事业单位医疗（款）公务员医疗补助（项）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支出决算为4.65万元，完成预算100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支出决算为38.7万元，完成预算100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ind w:firstLine="640" w:firstLineChars="200"/>
        <w:rPr>
          <w:rStyle w:val="16"/>
          <w:rFonts w:ascii="仿宋" w:eastAsia="仿宋"/>
          <w:b w:val="0"/>
          <w:bCs/>
          <w:color w:val="000000"/>
          <w:sz w:val="32"/>
          <w:szCs w:val="32"/>
        </w:rPr>
      </w:pP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4"/>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hint="eastAsia" w:ascii="仿宋" w:eastAsia="仿宋"/>
          <w:bCs/>
          <w:color w:val="000000"/>
          <w:sz w:val="32"/>
          <w:szCs w:val="32"/>
        </w:rPr>
        <w:t>675.77</w:t>
      </w:r>
      <w:r>
        <w:rPr>
          <w:rFonts w:hint="eastAsia" w:ascii="仿宋" w:eastAsia="仿宋"/>
          <w:color w:val="000000"/>
          <w:sz w:val="32"/>
          <w:szCs w:val="32"/>
        </w:rPr>
        <w:t>万元</w:t>
      </w:r>
    </w:p>
    <w:p>
      <w:pPr>
        <w:snapToGrid w:val="0"/>
        <w:spacing w:line="520" w:lineRule="exact"/>
        <w:ind w:firstLine="640" w:firstLineChars="200"/>
        <w:rPr>
          <w:rFonts w:ascii="仿宋_GB2312" w:eastAsia="仿宋_GB2312"/>
          <w:color w:val="000000" w:themeColor="text1"/>
          <w:sz w:val="32"/>
          <w:szCs w:val="32"/>
        </w:rPr>
      </w:pPr>
      <w:bookmarkStart w:id="45" w:name="_Toc15377215"/>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基本支出489.25万元，基本支出中人员经费支出为459.05万元，</w:t>
      </w:r>
      <w:r>
        <w:rPr>
          <w:rFonts w:hint="eastAsia" w:ascii="仿宋_GB2312" w:eastAsia="仿宋_GB2312"/>
          <w:color w:val="000000" w:themeColor="text1"/>
          <w:sz w:val="32"/>
          <w:szCs w:val="32"/>
        </w:rPr>
        <w:t>主要包括：基本工资94.58万元、津贴补贴149.96万元、奖金8万元、绩效工资17.97万元、机关事业单位基本养老保险缴费35.67万元、职业年金缴费17.89万元、其他社会保障缴费0.93万元、住房公积金38.7万元、职工基本医疗保险缴费18.37万元、公务员医疗补助4.65万元、生活补助0.81万元、奖励金69.51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公用经费支出为32.2万元，主要包括：办公费7.69万元、印刷费3万元、电费2万元、邮电费3万元、取暖费2万元、差旅费6.48万元、劳务费3.8万元、其他交通0.42万元，其他商品和服务住处2万元，公务用车运行维护费3.8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项目支出186.53万元，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0.9万元，人大代表工作经费1.9万元，防疫经费6.02万元，解决卡撒乡老放映员的经济补助4.35万元，村级建制调整改革奖补资金（第一批改革地区）50万元，对村干部生活补助支出85.57万元，村级维护费办公费77万元</w:t>
      </w:r>
      <w:r>
        <w:rPr>
          <w:rFonts w:hint="eastAsia" w:ascii="仿宋_GB2312" w:hAnsi="仿宋_GB2312" w:eastAsia="仿宋_GB2312" w:cs="仿宋_GB2312"/>
          <w:color w:val="000000"/>
          <w:sz w:val="32"/>
          <w:szCs w:val="32"/>
        </w:rPr>
        <w:t>（其中公共运行维护费49万元、基层党组织活动经费14万元、办公费14万元）</w:t>
      </w:r>
      <w:r>
        <w:rPr>
          <w:rFonts w:hint="eastAsia" w:ascii="仿宋_GB2312" w:hAnsi="仿宋" w:eastAsia="仿宋_GB2312"/>
          <w:color w:val="000000"/>
          <w:sz w:val="32"/>
          <w:szCs w:val="32"/>
        </w:rPr>
        <w:t>，三老干部生活补助5.76万元。</w:t>
      </w:r>
    </w:p>
    <w:p>
      <w:pPr>
        <w:snapToGrid w:val="0"/>
        <w:spacing w:line="520" w:lineRule="exact"/>
        <w:ind w:firstLine="640" w:firstLineChars="200"/>
      </w:pPr>
      <w:r>
        <w:rPr>
          <w:rFonts w:hint="eastAsia" w:ascii="仿宋_GB2312" w:hAnsi="仿宋_GB2312" w:eastAsia="仿宋_GB2312" w:cs="仿宋_GB2312"/>
          <w:bCs/>
          <w:sz w:val="32"/>
          <w:szCs w:val="32"/>
        </w:rPr>
        <w:t>年末结转结余60万元，为2020年革命老区项目（巴拉塘村政塘大桥修建项目），2020年未完工验收，资金未支出。</w:t>
      </w:r>
    </w:p>
    <w:p>
      <w:pPr>
        <w:spacing w:line="600" w:lineRule="exact"/>
        <w:ind w:firstLine="640" w:firstLineChars="200"/>
        <w:outlineLvl w:val="1"/>
        <w:rPr>
          <w:rStyle w:val="20"/>
          <w:rFonts w:ascii="黑体" w:eastAsia="黑体"/>
          <w:b w:val="0"/>
        </w:rPr>
      </w:pPr>
      <w:bookmarkStart w:id="46"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年“三公”经费财政拨款支出决算为3.8万元，完成预算100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w:t>
      </w:r>
      <w:r>
        <w:rPr>
          <w:rFonts w:hint="eastAsia" w:ascii="仿宋" w:eastAsia="仿宋"/>
          <w:sz w:val="32"/>
          <w:szCs w:val="32"/>
        </w:rPr>
        <w:t>决算3.8万元</w:t>
      </w:r>
      <w:r>
        <w:rPr>
          <w:rFonts w:hint="eastAsia" w:ascii="仿宋" w:eastAsia="仿宋"/>
          <w:color w:val="000000"/>
          <w:sz w:val="32"/>
          <w:szCs w:val="32"/>
        </w:rPr>
        <w:t>，其中：公务用车购置及运行维护费支出决算3.8万元，占100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rPr>
        <w:t>3.8万元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9年增加0.2万元，</w:t>
      </w:r>
      <w:r>
        <w:rPr>
          <w:rFonts w:hint="eastAsia" w:ascii="仿宋_GB2312" w:eastAsia="仿宋_GB2312"/>
          <w:sz w:val="32"/>
          <w:szCs w:val="32"/>
        </w:rPr>
        <w:t>上升5.56</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公务用车运行维护费支出3.8</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0"/>
        <w:outlineLvl w:val="1"/>
        <w:rPr>
          <w:rStyle w:val="20"/>
          <w:rFonts w:ascii="黑体" w:eastAsia="黑体"/>
        </w:rPr>
      </w:pPr>
      <w:bookmarkStart w:id="49" w:name="_Toc23573"/>
      <w:bookmarkStart w:id="50" w:name="_Toc15377218"/>
      <w:r>
        <w:rPr>
          <w:rFonts w:hint="eastAsia" w:ascii="黑体" w:eastAsia="黑体"/>
          <w:color w:val="000000"/>
          <w:sz w:val="32"/>
          <w:szCs w:val="32"/>
        </w:rPr>
        <w:t>八、</w:t>
      </w:r>
      <w:r>
        <w:rPr>
          <w:rStyle w:val="20"/>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3"/>
        </w:numPr>
        <w:spacing w:line="600" w:lineRule="exact"/>
        <w:ind w:firstLine="640"/>
        <w:outlineLvl w:val="1"/>
        <w:rPr>
          <w:rStyle w:val="20"/>
          <w:rFonts w:ascii="黑体" w:eastAsia="黑体"/>
          <w:b w:val="0"/>
        </w:rPr>
      </w:pPr>
      <w:bookmarkStart w:id="51" w:name="_Toc15377219"/>
      <w:bookmarkStart w:id="52" w:name="_Toc351"/>
      <w:r>
        <w:rPr>
          <w:rStyle w:val="20"/>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pStyle w:val="25"/>
        <w:numPr>
          <w:ilvl w:val="0"/>
          <w:numId w:val="4"/>
        </w:numPr>
        <w:spacing w:line="580" w:lineRule="exact"/>
        <w:ind w:firstLineChars="0"/>
        <w:rPr>
          <w:rStyle w:val="20"/>
          <w:rFonts w:ascii="黑体" w:eastAsia="黑体"/>
          <w:b w:val="0"/>
        </w:rPr>
      </w:pPr>
      <w:bookmarkStart w:id="53" w:name="_Toc16199"/>
      <w:r>
        <w:rPr>
          <w:rStyle w:val="20"/>
          <w:rFonts w:hint="eastAsia" w:ascii="黑体" w:eastAsia="黑体"/>
          <w:b w:val="0"/>
        </w:rPr>
        <w:t>预算绩效情况说明</w:t>
      </w:r>
    </w:p>
    <w:bookmarkEnd w:id="53"/>
    <w:p>
      <w:pPr>
        <w:numPr>
          <w:ilvl w:val="0"/>
          <w:numId w:val="5"/>
        </w:numPr>
        <w:spacing w:line="580" w:lineRule="exact"/>
        <w:ind w:firstLine="640" w:firstLineChars="200"/>
        <w:rPr>
          <w:rStyle w:val="20"/>
          <w:rFonts w:ascii="黑体" w:eastAsia="黑体"/>
          <w:b w:val="0"/>
        </w:rPr>
      </w:pPr>
      <w:bookmarkStart w:id="54" w:name="_Toc4523"/>
      <w:r>
        <w:rPr>
          <w:rStyle w:val="20"/>
          <w:rFonts w:hint="eastAsia" w:ascii="黑体" w:eastAsia="黑体"/>
          <w:b w:val="0"/>
        </w:rPr>
        <w:t>预算绩效管理工作开展情况。</w:t>
      </w:r>
    </w:p>
    <w:bookmarkEnd w:id="54"/>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w:t>
      </w:r>
      <w:r>
        <w:rPr>
          <w:rFonts w:ascii="仿宋_GB2312" w:eastAsia="仿宋_GB2312" w:cs="仿宋_GB2312"/>
          <w:sz w:val="32"/>
          <w:szCs w:val="32"/>
        </w:rPr>
        <w:t>2020</w:t>
      </w:r>
      <w:r>
        <w:rPr>
          <w:rFonts w:hint="eastAsia" w:ascii="仿宋_GB2312" w:eastAsia="仿宋_GB2312" w:cs="仿宋_GB2312"/>
          <w:sz w:val="32"/>
          <w:szCs w:val="32"/>
        </w:rPr>
        <w:t>年度部门决算中反映“金川县卡撒乡巴拉塘村政塘大桥建设项目”“村级建制调整改革补助资金（第一批改革地区）</w:t>
      </w:r>
      <w:r>
        <w:rPr>
          <w:rFonts w:ascii="仿宋_GB2312" w:eastAsia="仿宋_GB2312" w:cs="仿宋_GB2312"/>
          <w:sz w:val="32"/>
          <w:szCs w:val="32"/>
        </w:rPr>
        <w:t>”</w:t>
      </w:r>
      <w:r>
        <w:rPr>
          <w:rFonts w:hint="eastAsia" w:ascii="仿宋_GB2312" w:eastAsia="仿宋_GB2312" w:cs="仿宋_GB2312"/>
          <w:sz w:val="32"/>
          <w:szCs w:val="32"/>
        </w:rPr>
        <w:t>“2020年卡撒乡防汛应急资金”等4个项目绩效目标实际完成情况。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1.“村级建制调整改革补助资金（第一批改革地区）”运转类项目绩效目标完成情况综述。项目全年预算数5万元，执行数为5万元，完成预算的100%。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5"/>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村级建制调整改革补助资金（第一批改革地区）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金川县卡撒乡人民政府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保证卡撒乡顺利完成村级建制调整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宣传栏、办公挂牌制作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宣传栏2个，办公挂牌5个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宣传栏2个，办公挂牌5个</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改革调整过程中资金拨付到位及时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改革调整过程中所需资金占补助资金比例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改革调整村民满意度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numPr>
          <w:ilvl w:val="0"/>
          <w:numId w:val="6"/>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“卡撒乡老放映员的经济补助”项目绩效目标完成情况综述。项目全年预算数4.387万元，执行数为4.387万元，完成预算的100%。通过发放补助解决卡撒乡老放映员历史遗留问题。</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5"/>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卡撒乡老放映员的经济补助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680" w:firstLineChars="700"/>
              <w:textAlignment w:val="center"/>
              <w:rPr>
                <w:rFonts w:ascii="宋体" w:cs="宋体"/>
                <w:color w:val="000000"/>
                <w:sz w:val="24"/>
              </w:rPr>
            </w:pPr>
            <w:r>
              <w:rPr>
                <w:rFonts w:hint="eastAsia" w:ascii="宋体" w:cs="宋体"/>
                <w:color w:val="000000"/>
                <w:sz w:val="24"/>
              </w:rPr>
              <w:t>金川县卡撒乡人民政府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4.387万元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4.387万元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4.387万元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4.387万元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解决卡撒乡老放映员的经济补助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柳国才20年21400元，何光荣7年7490元，余德志14年14980元。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放映年限及补助标准</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柳国才20年，何光荣7年，余德志14年。每年补助1070元</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完成补助发放，柳国才20年21400元，何光荣7年7490元，余德志14年14980元。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根据文件精神统计出老放映员年限及人员</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解决老放映员柳国才、何光荣、余德志的经济补助情况</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“2020年卡撒乡防汛应急资金”项目绩效目标完成情况综述。项目全年预算数30万元，其中部门预算执行数为30万元，完成预算的100%。</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 xml:space="preserve">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2020年卡撒乡防汛应急资金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金川县卡撒乡人民政府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清理我乡4处地质灾害点（刘家沟、宋家坪、马厂沟、蔡家沟）废方，抢修道路河堤。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完成我乡4处地质灾害点（刘家沟、宋家坪、马厂沟、蔡家沟）废方清理和抢修道路河堤。</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cs="宋体"/>
                <w:color w:val="000000"/>
                <w:sz w:val="24"/>
              </w:rPr>
              <w:t xml:space="preserve">              地质灾害点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完成我乡4处地质灾害点（刘家沟、宋家坪、马厂沟、蔡家沟）废方清理和抢修道路河堤。</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清理废方按时完工率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完成率100%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清理废方租赁机械费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30万元</w:t>
            </w:r>
          </w:p>
        </w:tc>
      </w:tr>
      <w:tr>
        <w:tblPrEx>
          <w:tblCellMar>
            <w:top w:w="0" w:type="dxa"/>
            <w:left w:w="0" w:type="dxa"/>
            <w:bottom w:w="0" w:type="dxa"/>
            <w:right w:w="0" w:type="dxa"/>
          </w:tblCellMar>
        </w:tblPrEx>
        <w:trPr>
          <w:trHeight w:val="1050" w:hRule="atLeast"/>
        </w:trPr>
        <w:tc>
          <w:tcPr>
            <w:tcW w:w="390" w:type="dxa"/>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可持续影响指标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改善交通道路环境、防汛减灾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 .“金川县卡撒乡巴拉塘村政塘大桥建设项目”绩效目标完成情况综述。项目全年预算数60万元，执行数为0万元，完成预算的0，项目资金结转至2021年。</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 xml:space="preserve">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金川县卡撒乡巴拉塘村政塘大桥建设项目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金川县卡撒乡人民政府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60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60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60</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新建长12米，宽4.5米通组水泥桥梁一座。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新建长12米，宽4.5米通组水泥桥梁一座。</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水泥桥、桥宽、桥长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rPr>
              <w:t>水泥桥梁一座，桥长12米，桥宽4.5米。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rPr>
              <w:t>水泥桥梁一座，桥长12米，桥宽4.5米。</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《阿坝州人民政府办公室</w:t>
      </w:r>
      <w:r>
        <w:rPr>
          <w:rFonts w:ascii="仿宋_GB2312" w:eastAsia="仿宋_GB2312"/>
          <w:sz w:val="32"/>
          <w:szCs w:val="32"/>
        </w:rPr>
        <w:t>2020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20"/>
          <w:rFonts w:ascii="黑体" w:eastAsia="黑体"/>
        </w:rPr>
      </w:pPr>
      <w:bookmarkStart w:id="55" w:name="_Toc30171"/>
      <w:bookmarkStart w:id="56" w:name="_Toc1537722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5"/>
      <w:bookmarkEnd w:id="56"/>
    </w:p>
    <w:p>
      <w:pPr>
        <w:spacing w:line="600" w:lineRule="exact"/>
        <w:ind w:firstLine="643" w:firstLineChars="200"/>
        <w:outlineLvl w:val="2"/>
        <w:rPr>
          <w:rFonts w:ascii="仿宋" w:eastAsia="仿宋"/>
          <w:color w:val="000000"/>
          <w:sz w:val="32"/>
          <w:szCs w:val="32"/>
        </w:rPr>
      </w:pPr>
      <w:bookmarkStart w:id="57" w:name="_Toc15377222"/>
      <w:r>
        <w:rPr>
          <w:rFonts w:hint="eastAsia" w:ascii="仿宋" w:eastAsia="仿宋"/>
          <w:b/>
          <w:color w:val="000000"/>
          <w:sz w:val="32"/>
          <w:szCs w:val="32"/>
        </w:rPr>
        <w:t>（一）机关运行经费支出情况</w:t>
      </w:r>
      <w:bookmarkEnd w:id="57"/>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年，卡撒乡人民政府运行经费支出0万元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8" w:name="_Toc15377224"/>
      <w:r>
        <w:rPr>
          <w:rFonts w:hint="eastAsia" w:ascii="仿宋" w:eastAsia="仿宋"/>
          <w:b/>
          <w:color w:val="000000"/>
          <w:sz w:val="32"/>
          <w:szCs w:val="32"/>
        </w:rPr>
        <w:t>（二）国有资产占有使用情况</w:t>
      </w:r>
      <w:bookmarkEnd w:id="58"/>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pPr>
        <w:widowControl/>
        <w:numPr>
          <w:ilvl w:val="0"/>
          <w:numId w:val="5"/>
        </w:numPr>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9"/>
          <w:rFonts w:ascii="黑体" w:eastAsia="黑体"/>
          <w:b w:val="0"/>
        </w:rPr>
      </w:pPr>
      <w:bookmarkStart w:id="59" w:name="_Toc15377225"/>
      <w:bookmarkStart w:id="60" w:name="_Toc30760"/>
      <w:r>
        <w:rPr>
          <w:rFonts w:hint="eastAsia" w:ascii="黑体" w:eastAsia="黑体"/>
          <w:b/>
          <w:color w:val="000000"/>
          <w:sz w:val="44"/>
          <w:szCs w:val="44"/>
        </w:rPr>
        <w:t>名</w:t>
      </w:r>
      <w:r>
        <w:rPr>
          <w:rStyle w:val="19"/>
          <w:rFonts w:hint="eastAsia" w:ascii="黑体" w:eastAsia="黑体"/>
          <w:b w:val="0"/>
        </w:rPr>
        <w:t>词解释</w:t>
      </w:r>
      <w:bookmarkEnd w:id="59"/>
      <w:bookmarkEnd w:id="60"/>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1" w:name="_Toc15396614"/>
      <w:bookmarkStart w:id="62" w:name="_Toc15377226"/>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ind w:firstLine="2650" w:firstLineChars="600"/>
        <w:jc w:val="both"/>
        <w:outlineLvl w:val="0"/>
        <w:rPr>
          <w:rFonts w:hint="eastAsia" w:ascii="黑体" w:eastAsia="黑体"/>
          <w:color w:val="000000"/>
          <w:sz w:val="44"/>
          <w:szCs w:val="44"/>
          <w:lang w:eastAsia="zh-CN"/>
        </w:rPr>
      </w:pPr>
      <w:r>
        <w:rPr>
          <w:rFonts w:hint="eastAsia" w:ascii="黑体" w:eastAsia="黑体"/>
          <w:b/>
          <w:color w:val="000000"/>
          <w:sz w:val="44"/>
          <w:szCs w:val="44"/>
          <w:lang w:val="en-US" w:eastAsia="zh-CN"/>
        </w:rPr>
        <w:t>第四部分  附件</w:t>
      </w:r>
    </w:p>
    <w:p>
      <w:pPr>
        <w:widowControl/>
        <w:spacing w:line="560" w:lineRule="atLeast"/>
        <w:jc w:val="center"/>
        <w:rPr>
          <w:rFonts w:hint="eastAsia" w:ascii="宋体" w:hAnsi="宋体" w:cs="宋体"/>
          <w:b/>
          <w:sz w:val="44"/>
          <w:szCs w:val="44"/>
        </w:rPr>
      </w:pPr>
    </w:p>
    <w:p>
      <w:pPr>
        <w:widowControl/>
        <w:spacing w:line="560" w:lineRule="atLeast"/>
        <w:jc w:val="center"/>
        <w:rPr>
          <w:rFonts w:hint="eastAsia" w:ascii="宋体" w:hAnsi="宋体" w:cs="宋体"/>
          <w:b/>
          <w:sz w:val="44"/>
          <w:szCs w:val="44"/>
        </w:rPr>
      </w:pPr>
    </w:p>
    <w:p>
      <w:pPr>
        <w:widowControl/>
        <w:spacing w:line="560" w:lineRule="atLeast"/>
        <w:jc w:val="center"/>
        <w:rPr>
          <w:rFonts w:hint="eastAsia" w:ascii="宋体" w:hAnsi="宋体" w:cs="宋体"/>
          <w:b/>
          <w:sz w:val="44"/>
          <w:szCs w:val="44"/>
        </w:rPr>
      </w:pPr>
      <w:r>
        <w:rPr>
          <w:rFonts w:hint="eastAsia" w:ascii="宋体" w:hAnsi="宋体" w:cs="宋体"/>
          <w:b/>
          <w:sz w:val="44"/>
          <w:szCs w:val="44"/>
        </w:rPr>
        <w:t>金川县</w:t>
      </w:r>
      <w:r>
        <w:rPr>
          <w:rFonts w:hint="eastAsia" w:ascii="宋体" w:hAnsi="宋体" w:cs="宋体"/>
          <w:b/>
          <w:sz w:val="44"/>
          <w:szCs w:val="44"/>
          <w:lang w:eastAsia="zh-CN"/>
        </w:rPr>
        <w:t>卡撒乡</w:t>
      </w:r>
      <w:r>
        <w:rPr>
          <w:rFonts w:hint="eastAsia" w:ascii="宋体" w:hAnsi="宋体" w:cs="宋体"/>
          <w:b/>
          <w:sz w:val="44"/>
          <w:szCs w:val="44"/>
        </w:rPr>
        <w:t>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lang w:val="en-US" w:eastAsia="zh-CN"/>
        </w:rPr>
        <w:t>2020年及</w:t>
      </w:r>
      <w:r>
        <w:rPr>
          <w:rFonts w:hint="eastAsia" w:ascii="宋体" w:hAnsi="宋体" w:cs="宋体"/>
          <w:b/>
          <w:sz w:val="44"/>
          <w:szCs w:val="44"/>
        </w:rPr>
        <w:t>20</w:t>
      </w:r>
      <w:r>
        <w:rPr>
          <w:rFonts w:hint="eastAsia" w:ascii="宋体" w:hAnsi="宋体" w:cs="宋体"/>
          <w:b/>
          <w:sz w:val="44"/>
          <w:szCs w:val="44"/>
          <w:lang w:val="en-US" w:eastAsia="zh-CN"/>
        </w:rPr>
        <w:t>21</w:t>
      </w:r>
      <w:r>
        <w:rPr>
          <w:rFonts w:hint="eastAsia" w:ascii="宋体" w:hAnsi="宋体" w:cs="宋体"/>
          <w:b/>
          <w:sz w:val="44"/>
          <w:szCs w:val="44"/>
        </w:rPr>
        <w:t>年</w:t>
      </w:r>
      <w:r>
        <w:rPr>
          <w:rFonts w:hint="eastAsia" w:ascii="宋体" w:hAnsi="宋体" w:cs="宋体"/>
          <w:b/>
          <w:sz w:val="44"/>
          <w:szCs w:val="44"/>
          <w:lang w:val="en-US" w:eastAsia="zh-CN"/>
        </w:rPr>
        <w:t>1-6月</w:t>
      </w:r>
      <w:r>
        <w:rPr>
          <w:rFonts w:hint="eastAsia" w:ascii="宋体" w:hAnsi="宋体" w:cs="宋体"/>
          <w:b/>
          <w:sz w:val="44"/>
          <w:szCs w:val="44"/>
        </w:rPr>
        <w:t>部门整体支出绩效评价报告</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（一）卡撒乡人民政府下设“一办四中心一所”：具体组成为：党政综合办公室、</w:t>
      </w:r>
      <w:r>
        <w:rPr>
          <w:rFonts w:hint="eastAsia" w:ascii="仿宋_GB2312" w:hAnsi="仿宋_GB2312" w:eastAsia="仿宋_GB2312" w:cs="仿宋_GB2312"/>
          <w:color w:val="000000"/>
          <w:sz w:val="32"/>
          <w:szCs w:val="32"/>
          <w:lang w:val="en-US" w:eastAsia="zh-CN"/>
        </w:rPr>
        <w:t>农村农业中心</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便民服务中心、</w:t>
      </w:r>
      <w:r>
        <w:rPr>
          <w:rFonts w:hint="eastAsia" w:ascii="仿宋_GB2312" w:hAnsi="仿宋_GB2312" w:eastAsia="仿宋_GB2312" w:cs="仿宋_GB2312"/>
          <w:color w:val="000000"/>
          <w:sz w:val="32"/>
          <w:szCs w:val="32"/>
          <w:lang w:val="zh-CN"/>
        </w:rPr>
        <w:t>社会</w:t>
      </w:r>
      <w:r>
        <w:rPr>
          <w:rFonts w:hint="eastAsia" w:ascii="仿宋_GB2312" w:hAnsi="仿宋_GB2312" w:eastAsia="仿宋_GB2312" w:cs="仿宋_GB2312"/>
          <w:color w:val="000000"/>
          <w:sz w:val="32"/>
          <w:szCs w:val="32"/>
          <w:lang w:val="en-US" w:eastAsia="zh-CN"/>
        </w:rPr>
        <w:t>事业</w:t>
      </w:r>
      <w:r>
        <w:rPr>
          <w:rFonts w:hint="eastAsia" w:ascii="仿宋_GB2312" w:hAnsi="仿宋_GB2312" w:eastAsia="仿宋_GB2312" w:cs="仿宋_GB2312"/>
          <w:color w:val="000000"/>
          <w:sz w:val="32"/>
          <w:szCs w:val="32"/>
          <w:lang w:val="zh-CN"/>
        </w:rPr>
        <w:t>服务中心、经济发展</w:t>
      </w:r>
      <w:r>
        <w:rPr>
          <w:rFonts w:hint="eastAsia" w:ascii="仿宋_GB2312" w:hAnsi="仿宋_GB2312" w:eastAsia="仿宋_GB2312" w:cs="仿宋_GB2312"/>
          <w:color w:val="000000"/>
          <w:sz w:val="32"/>
          <w:szCs w:val="32"/>
          <w:lang w:val="en-US" w:eastAsia="zh-CN"/>
        </w:rPr>
        <w:t>服务</w:t>
      </w:r>
      <w:r>
        <w:rPr>
          <w:rFonts w:hint="eastAsia" w:ascii="仿宋_GB2312" w:hAnsi="仿宋_GB2312" w:eastAsia="仿宋_GB2312" w:cs="仿宋_GB2312"/>
          <w:color w:val="000000"/>
          <w:sz w:val="32"/>
          <w:szCs w:val="32"/>
          <w:lang w:val="zh-CN"/>
        </w:rPr>
        <w:t>中心、卡撒乡财政所。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ind w:firstLine="640" w:firstLineChars="200"/>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lang w:eastAsia="zh-CN"/>
        </w:rPr>
        <w:t>卡撒乡</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年年初在职</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人，事业人员5人；20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年年末在职2</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年1-6月独立编制单位机构数为1个，财政供养人员编制为</w:t>
      </w:r>
      <w:r>
        <w:rPr>
          <w:rFonts w:hint="eastAsia" w:ascii="仿宋_GB2312" w:hAnsi="仿宋_GB2312" w:eastAsia="仿宋_GB2312" w:cs="仿宋_GB2312"/>
          <w:color w:val="000000"/>
          <w:sz w:val="32"/>
          <w:szCs w:val="32"/>
          <w:lang w:val="en-US" w:eastAsia="zh-CN"/>
        </w:rPr>
        <w:t>37</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名（其中参照公务员法管理人员编制0人）；20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年1-6月实际财政供养人员</w:t>
      </w:r>
      <w:r>
        <w:rPr>
          <w:rFonts w:hint="eastAsia" w:ascii="仿宋_GB2312" w:hAnsi="仿宋_GB2312" w:eastAsia="仿宋_GB2312" w:cs="仿宋_GB2312"/>
          <w:color w:val="000000"/>
          <w:sz w:val="32"/>
          <w:szCs w:val="32"/>
          <w:lang w:val="en-US" w:eastAsia="zh-CN"/>
        </w:rPr>
        <w:t>32</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人，事业</w:t>
      </w:r>
      <w:r>
        <w:rPr>
          <w:rFonts w:hint="eastAsia" w:ascii="仿宋_GB2312" w:hAnsi="仿宋_GB2312" w:eastAsia="仿宋_GB2312" w:cs="仿宋_GB2312"/>
          <w:b w:val="0"/>
          <w:bCs w:val="0"/>
          <w:color w:val="000000"/>
          <w:sz w:val="32"/>
          <w:szCs w:val="32"/>
          <w:lang w:val="en-US" w:eastAsia="zh-CN"/>
        </w:rPr>
        <w:t>11</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增加4</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主要原因是机构改革，人员增加，三站人员编制下划给乡镇</w:t>
      </w:r>
      <w:r>
        <w:rPr>
          <w:rFonts w:hint="eastAsia" w:ascii="仿宋_GB2312" w:hAnsi="仿宋"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卡撒乡</w:t>
      </w:r>
      <w:r>
        <w:rPr>
          <w:rFonts w:hint="eastAsia" w:ascii="仿宋_GB2312" w:hAnsi="仿宋_GB2312" w:eastAsia="仿宋_GB2312" w:cs="仿宋_GB2312"/>
          <w:bCs/>
          <w:sz w:val="32"/>
          <w:szCs w:val="32"/>
        </w:rPr>
        <w:t>本年收入合计</w:t>
      </w:r>
      <w:r>
        <w:rPr>
          <w:rFonts w:ascii="仿宋_GB2312"/>
          <w:color w:val="000000" w:themeColor="text1"/>
          <w:sz w:val="32"/>
          <w:szCs w:val="32"/>
          <w:shd w:val="clear" w:color="auto" w:fill="FFFFFF"/>
        </w:rPr>
        <w:t>735.78</w:t>
      </w:r>
      <w:r>
        <w:rPr>
          <w:rFonts w:hint="eastAsia" w:ascii="仿宋_GB2312" w:hAnsi="仿宋_GB2312" w:eastAsia="仿宋_GB2312" w:cs="仿宋_GB2312"/>
          <w:bCs/>
          <w:sz w:val="32"/>
          <w:szCs w:val="32"/>
        </w:rPr>
        <w:t>万元，其中：一般公共预算财政拨款收入</w:t>
      </w:r>
      <w:r>
        <w:rPr>
          <w:rFonts w:ascii="仿宋_GB2312"/>
          <w:color w:val="000000" w:themeColor="text1"/>
          <w:sz w:val="32"/>
          <w:szCs w:val="32"/>
          <w:shd w:val="clear" w:color="auto" w:fill="FFFFFF"/>
        </w:rPr>
        <w:t>735.78</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bCs/>
          <w:color w:val="auto"/>
          <w:sz w:val="32"/>
          <w:szCs w:val="32"/>
          <w:lang w:val="en-US" w:eastAsia="zh-CN"/>
        </w:rPr>
        <w:t>332.72</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332.72</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财政拨款收入为735.78万元，占比100.00%；本年度总支出为675.78万元。其中：一般公共服务支出为325.49万元，占比48.17%；文化旅游体育与传媒支出为4.39万元，占比0.65%；社会保障和就业支出为58.54万元，占比8.66%；卫生健康支出为29.04万元，占比4.30%；农林水支出为212.82万元，占比31.49%；住房保障支出为39.73万元，占比5.88%；其他支出为5.76万元，占比0.85%。</w:t>
      </w:r>
    </w:p>
    <w:p>
      <w:pPr>
        <w:snapToGrid w:val="0"/>
        <w:spacing w:line="520" w:lineRule="exact"/>
        <w:ind w:firstLine="640" w:firstLineChars="200"/>
        <w:rPr>
          <w:rFonts w:hint="eastAsia" w:ascii="仿宋_GB2312" w:eastAsia="仿宋_GB2312"/>
          <w:color w:val="000000" w:themeColor="text1"/>
          <w:sz w:val="32"/>
          <w:szCs w:val="32"/>
        </w:rPr>
      </w:pPr>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基本支出中人员经费支出为</w:t>
      </w:r>
      <w:r>
        <w:rPr>
          <w:rFonts w:hint="eastAsia" w:ascii="仿宋_GB2312" w:eastAsia="仿宋_GB2312"/>
          <w:color w:val="000000"/>
          <w:sz w:val="32"/>
          <w:szCs w:val="32"/>
          <w:lang w:val="en-US" w:eastAsia="zh-CN"/>
        </w:rPr>
        <w:t>459.05</w:t>
      </w:r>
      <w:r>
        <w:rPr>
          <w:rFonts w:hint="eastAsia" w:ascii="仿宋_GB2312" w:eastAsia="仿宋_GB2312"/>
          <w:color w:val="000000"/>
          <w:sz w:val="32"/>
          <w:szCs w:val="32"/>
        </w:rPr>
        <w:t>万元，</w:t>
      </w:r>
      <w:r>
        <w:rPr>
          <w:rFonts w:hint="eastAsia" w:ascii="仿宋_GB2312" w:eastAsia="仿宋_GB2312"/>
          <w:color w:val="000000" w:themeColor="text1"/>
          <w:sz w:val="32"/>
          <w:szCs w:val="32"/>
        </w:rPr>
        <w:t>主要包括：基本工资</w:t>
      </w:r>
      <w:r>
        <w:rPr>
          <w:rFonts w:hint="eastAsia" w:ascii="仿宋_GB2312" w:eastAsia="仿宋_GB2312"/>
          <w:color w:val="000000" w:themeColor="text1"/>
          <w:sz w:val="32"/>
          <w:szCs w:val="32"/>
          <w:lang w:val="en-US" w:eastAsia="zh-CN"/>
        </w:rPr>
        <w:t>94.58</w:t>
      </w:r>
      <w:r>
        <w:rPr>
          <w:rFonts w:hint="eastAsia" w:ascii="仿宋_GB2312" w:eastAsia="仿宋_GB2312"/>
          <w:color w:val="000000" w:themeColor="text1"/>
          <w:sz w:val="32"/>
          <w:szCs w:val="32"/>
        </w:rPr>
        <w:t>万元、津贴补贴</w:t>
      </w:r>
      <w:r>
        <w:rPr>
          <w:rFonts w:hint="eastAsia" w:ascii="仿宋_GB2312" w:eastAsia="仿宋_GB2312"/>
          <w:color w:val="000000" w:themeColor="text1"/>
          <w:sz w:val="32"/>
          <w:szCs w:val="32"/>
          <w:lang w:val="en-US" w:eastAsia="zh-CN"/>
        </w:rPr>
        <w:t>149.96</w:t>
      </w:r>
      <w:r>
        <w:rPr>
          <w:rFonts w:hint="eastAsia" w:ascii="仿宋_GB2312" w:eastAsia="仿宋_GB2312"/>
          <w:color w:val="000000" w:themeColor="text1"/>
          <w:sz w:val="32"/>
          <w:szCs w:val="32"/>
        </w:rPr>
        <w:t>万元、奖金</w:t>
      </w:r>
      <w:r>
        <w:rPr>
          <w:rFonts w:hint="eastAsia" w:ascii="仿宋_GB2312" w:eastAsia="仿宋_GB2312"/>
          <w:color w:val="000000" w:themeColor="text1"/>
          <w:sz w:val="32"/>
          <w:szCs w:val="32"/>
          <w:lang w:val="en-US" w:eastAsia="zh-CN"/>
        </w:rPr>
        <w:t>8</w:t>
      </w:r>
      <w:r>
        <w:rPr>
          <w:rFonts w:hint="eastAsia" w:ascii="仿宋_GB2312" w:eastAsia="仿宋_GB2312"/>
          <w:color w:val="000000" w:themeColor="text1"/>
          <w:sz w:val="32"/>
          <w:szCs w:val="32"/>
        </w:rPr>
        <w:t>万元、绩效工资</w:t>
      </w:r>
      <w:r>
        <w:rPr>
          <w:rFonts w:hint="eastAsia" w:ascii="仿宋_GB2312" w:eastAsia="仿宋_GB2312"/>
          <w:color w:val="000000" w:themeColor="text1"/>
          <w:sz w:val="32"/>
          <w:szCs w:val="32"/>
          <w:lang w:val="en-US" w:eastAsia="zh-CN"/>
        </w:rPr>
        <w:t>17.97</w:t>
      </w:r>
      <w:r>
        <w:rPr>
          <w:rFonts w:hint="eastAsia" w:ascii="仿宋_GB2312" w:eastAsia="仿宋_GB2312"/>
          <w:color w:val="000000" w:themeColor="text1"/>
          <w:sz w:val="32"/>
          <w:szCs w:val="32"/>
        </w:rPr>
        <w:t>万元、机关事业单位基本养老保险缴费</w:t>
      </w:r>
      <w:r>
        <w:rPr>
          <w:rFonts w:hint="eastAsia" w:ascii="仿宋_GB2312" w:eastAsia="仿宋_GB2312"/>
          <w:color w:val="000000" w:themeColor="text1"/>
          <w:sz w:val="32"/>
          <w:szCs w:val="32"/>
          <w:lang w:val="en-US" w:eastAsia="zh-CN"/>
        </w:rPr>
        <w:t>35.67</w:t>
      </w:r>
      <w:r>
        <w:rPr>
          <w:rFonts w:hint="eastAsia" w:ascii="仿宋_GB2312" w:eastAsia="仿宋_GB2312"/>
          <w:color w:val="000000" w:themeColor="text1"/>
          <w:sz w:val="32"/>
          <w:szCs w:val="32"/>
        </w:rPr>
        <w:t>万元、职业年金缴费</w:t>
      </w:r>
      <w:r>
        <w:rPr>
          <w:rFonts w:hint="eastAsia" w:ascii="仿宋_GB2312" w:eastAsia="仿宋_GB2312"/>
          <w:color w:val="000000" w:themeColor="text1"/>
          <w:sz w:val="32"/>
          <w:szCs w:val="32"/>
          <w:lang w:val="en-US" w:eastAsia="zh-CN"/>
        </w:rPr>
        <w:t>17.89</w:t>
      </w:r>
      <w:r>
        <w:rPr>
          <w:rFonts w:hint="eastAsia" w:ascii="仿宋_GB2312" w:eastAsia="仿宋_GB2312"/>
          <w:color w:val="000000" w:themeColor="text1"/>
          <w:sz w:val="32"/>
          <w:szCs w:val="32"/>
        </w:rPr>
        <w:t>万元、其他社会保障缴费</w:t>
      </w:r>
      <w:r>
        <w:rPr>
          <w:rFonts w:hint="eastAsia" w:ascii="仿宋_GB2312" w:eastAsia="仿宋_GB2312"/>
          <w:color w:val="000000" w:themeColor="text1"/>
          <w:sz w:val="32"/>
          <w:szCs w:val="32"/>
          <w:lang w:val="en-US" w:eastAsia="zh-CN"/>
        </w:rPr>
        <w:t>0.93</w:t>
      </w:r>
      <w:r>
        <w:rPr>
          <w:rFonts w:hint="eastAsia" w:ascii="仿宋_GB2312" w:eastAsia="仿宋_GB2312"/>
          <w:color w:val="000000" w:themeColor="text1"/>
          <w:sz w:val="32"/>
          <w:szCs w:val="32"/>
        </w:rPr>
        <w:t>万元、住房公积金</w:t>
      </w:r>
      <w:r>
        <w:rPr>
          <w:rFonts w:hint="eastAsia" w:ascii="仿宋_GB2312" w:eastAsia="仿宋_GB2312"/>
          <w:color w:val="000000" w:themeColor="text1"/>
          <w:sz w:val="32"/>
          <w:szCs w:val="32"/>
          <w:lang w:val="en-US" w:eastAsia="zh-CN"/>
        </w:rPr>
        <w:t>38.7</w:t>
      </w:r>
      <w:r>
        <w:rPr>
          <w:rFonts w:hint="eastAsia" w:ascii="仿宋_GB2312" w:eastAsia="仿宋_GB2312"/>
          <w:color w:val="000000" w:themeColor="text1"/>
          <w:sz w:val="32"/>
          <w:szCs w:val="32"/>
        </w:rPr>
        <w:t>万元、职工基本医疗保险缴费</w:t>
      </w:r>
      <w:r>
        <w:rPr>
          <w:rFonts w:hint="eastAsia" w:ascii="仿宋_GB2312" w:eastAsia="仿宋_GB2312"/>
          <w:color w:val="000000" w:themeColor="text1"/>
          <w:sz w:val="32"/>
          <w:szCs w:val="32"/>
          <w:lang w:val="en-US" w:eastAsia="zh-CN"/>
        </w:rPr>
        <w:t>18.37万元</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lang w:val="en-US" w:eastAsia="zh-CN"/>
        </w:rPr>
        <w:t>公务员医疗补助4.65万元、</w:t>
      </w:r>
      <w:r>
        <w:rPr>
          <w:rFonts w:hint="eastAsia" w:ascii="仿宋_GB2312" w:eastAsia="仿宋_GB2312"/>
          <w:color w:val="000000" w:themeColor="text1"/>
          <w:sz w:val="32"/>
          <w:szCs w:val="32"/>
        </w:rPr>
        <w:t>生活补助</w:t>
      </w:r>
      <w:r>
        <w:rPr>
          <w:rFonts w:hint="eastAsia" w:ascii="仿宋_GB2312" w:eastAsia="仿宋_GB2312"/>
          <w:color w:val="000000" w:themeColor="text1"/>
          <w:sz w:val="32"/>
          <w:szCs w:val="32"/>
          <w:lang w:val="en-US" w:eastAsia="zh-CN"/>
        </w:rPr>
        <w:t>0.81</w:t>
      </w:r>
      <w:r>
        <w:rPr>
          <w:rFonts w:hint="eastAsia" w:ascii="仿宋_GB2312" w:eastAsia="仿宋_GB2312"/>
          <w:color w:val="000000" w:themeColor="text1"/>
          <w:sz w:val="32"/>
          <w:szCs w:val="32"/>
        </w:rPr>
        <w:t>万元、奖励金</w:t>
      </w:r>
      <w:r>
        <w:rPr>
          <w:rFonts w:hint="eastAsia" w:ascii="仿宋_GB2312" w:eastAsia="仿宋_GB2312"/>
          <w:color w:val="000000" w:themeColor="text1"/>
          <w:sz w:val="32"/>
          <w:szCs w:val="32"/>
          <w:lang w:val="en-US" w:eastAsia="zh-CN"/>
        </w:rPr>
        <w:t>69.51</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公用经费支出为32.2万元，主要包括：办公费7.69万元、印刷费3万元、电费2万元、邮电费3万元、取暖费2万元、差旅费6.48万元、劳务费3.8万元、其他交通0.42万元，其他商品和服务住处2万元，公务用车运行维护费3.8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项目支出186.53万元，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lang w:val="en-US" w:eastAsia="zh-CN"/>
        </w:rPr>
        <w:t>人大会议费0.9万元，人大代表工作经费1.9万元，防疫经费6.02万元，解决卡撒乡老放映员的经济补助4.35万元，村级建制调整改革奖补资金（第一批改革地区）50万元，对村干部生活补助支出85.57万元，村级维护费办公费77万元</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sz w:val="32"/>
          <w:szCs w:val="32"/>
          <w:lang w:eastAsia="zh-CN"/>
        </w:rPr>
        <w:t>公共</w:t>
      </w:r>
      <w:r>
        <w:rPr>
          <w:rFonts w:hint="eastAsia" w:ascii="仿宋_GB2312" w:hAnsi="仿宋_GB2312" w:eastAsia="仿宋_GB2312" w:cs="仿宋_GB2312"/>
          <w:color w:val="000000"/>
          <w:sz w:val="32"/>
          <w:szCs w:val="32"/>
        </w:rPr>
        <w:t>运行维护费</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，三老干部生活补助5.76万元。</w:t>
      </w:r>
    </w:p>
    <w:p>
      <w:pPr>
        <w:snapToGrid w:val="0"/>
        <w:spacing w:line="520" w:lineRule="exact"/>
        <w:ind w:firstLine="640" w:firstLineChars="200"/>
        <w:rPr>
          <w:rFonts w:hint="eastAsia"/>
          <w:lang w:val="en-US" w:eastAsia="zh-CN"/>
        </w:rPr>
      </w:pPr>
      <w:r>
        <w:rPr>
          <w:rFonts w:hint="eastAsia" w:ascii="仿宋_GB2312" w:hAnsi="仿宋_GB2312" w:eastAsia="仿宋_GB2312" w:cs="仿宋_GB2312"/>
          <w:bCs/>
          <w:sz w:val="32"/>
          <w:szCs w:val="32"/>
        </w:rPr>
        <w:t>年末结转结余60万元，为2020年革命老区项目（巴拉塘村政塘大桥修建项目），2020年未完工验收，资金未支出。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466.33</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316.5</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54.15</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81.76</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11.7</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21.3</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10.65</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10.82</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2.95</w:t>
      </w:r>
      <w:r>
        <w:rPr>
          <w:rFonts w:hint="eastAsia" w:ascii="仿宋_GB2312" w:hAnsi="仿宋_GB2312" w:eastAsia="仿宋_GB2312" w:cs="仿宋_GB2312"/>
          <w:color w:val="auto"/>
          <w:sz w:val="32"/>
          <w:szCs w:val="32"/>
        </w:rPr>
        <w:t>万元、其他社会保障缴费0.</w:t>
      </w:r>
      <w:r>
        <w:rPr>
          <w:rFonts w:hint="eastAsia" w:ascii="仿宋_GB2312" w:hAnsi="仿宋_GB2312" w:eastAsia="仿宋_GB2312" w:cs="仿宋_GB2312"/>
          <w:color w:val="auto"/>
          <w:sz w:val="32"/>
          <w:szCs w:val="32"/>
          <w:lang w:val="en-US" w:eastAsia="zh-CN"/>
        </w:rPr>
        <w:t>63</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22.07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、奖励金100.47万元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29.44</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印刷费</w:t>
      </w:r>
      <w:r>
        <w:rPr>
          <w:rFonts w:hint="eastAsia" w:ascii="仿宋_GB2312" w:hAnsi="仿宋_GB2312" w:eastAsia="仿宋_GB2312" w:cs="仿宋_GB2312"/>
          <w:color w:val="auto"/>
          <w:sz w:val="32"/>
          <w:szCs w:val="32"/>
          <w:lang w:val="en-US" w:eastAsia="zh-CN"/>
        </w:rPr>
        <w:t>3.5万元、</w:t>
      </w:r>
      <w:r>
        <w:rPr>
          <w:rFonts w:hint="eastAsia" w:ascii="仿宋_GB2312" w:hAnsi="仿宋_GB2312" w:eastAsia="仿宋_GB2312" w:cs="仿宋_GB2312"/>
          <w:color w:val="auto"/>
          <w:sz w:val="32"/>
          <w:szCs w:val="32"/>
        </w:rPr>
        <w:t>电费</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0.17</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，委托业务费</w:t>
      </w:r>
      <w:r>
        <w:rPr>
          <w:rFonts w:hint="eastAsia" w:ascii="仿宋_GB2312" w:hAnsi="仿宋_GB2312" w:eastAsia="仿宋_GB2312" w:cs="仿宋_GB2312"/>
          <w:color w:val="auto"/>
          <w:sz w:val="32"/>
          <w:szCs w:val="32"/>
          <w:lang w:val="en-US" w:eastAsia="zh-CN"/>
        </w:rPr>
        <w:t>8.57万元</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eastAsia="仿宋_GB2312"/>
          <w:color w:val="auto"/>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120.39</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：金川县卡撒乡巴拉塘村政塘大桥建设项目</w:t>
      </w:r>
      <w:r>
        <w:rPr>
          <w:rFonts w:hint="eastAsia" w:ascii="仿宋_GB2312" w:hAnsi="仿宋_GB2312" w:eastAsia="仿宋_GB2312" w:cs="仿宋_GB2312"/>
          <w:color w:val="auto"/>
          <w:sz w:val="32"/>
          <w:szCs w:val="32"/>
          <w:lang w:val="en-US" w:eastAsia="zh-CN"/>
        </w:rPr>
        <w:t>50.39万元，卡撒乡色马通村路灾后恢复项目40万元（浙江援建项目），千企帮千村对口扶贫款30万元。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widowControl/>
        <w:spacing w:line="480" w:lineRule="atLeast"/>
        <w:ind w:firstLine="726" w:firstLineChars="227"/>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宋体" w:hAnsi="宋体" w:eastAsia="仿宋_GB2312" w:cs="宋体"/>
          <w:color w:val="auto"/>
          <w:spacing w:val="-14"/>
          <w:kern w:val="0"/>
          <w:sz w:val="32"/>
          <w:szCs w:val="32"/>
        </w:rPr>
        <w:t>一般公共预算拨款收入</w:t>
      </w:r>
      <w:r>
        <w:rPr>
          <w:rFonts w:hint="eastAsia" w:ascii="宋体" w:hAnsi="宋体" w:eastAsia="仿宋_GB2312" w:cs="宋体"/>
          <w:color w:val="auto"/>
          <w:spacing w:val="-14"/>
          <w:kern w:val="0"/>
          <w:sz w:val="32"/>
          <w:szCs w:val="32"/>
          <w:lang w:val="en-US" w:eastAsia="zh-CN"/>
        </w:rPr>
        <w:t>599.32</w:t>
      </w:r>
      <w:r>
        <w:rPr>
          <w:rFonts w:hint="eastAsia" w:ascii="宋体" w:hAnsi="宋体" w:eastAsia="仿宋_GB2312" w:cs="宋体"/>
          <w:color w:val="auto"/>
          <w:spacing w:val="-14"/>
          <w:kern w:val="0"/>
          <w:sz w:val="32"/>
          <w:szCs w:val="32"/>
        </w:rPr>
        <w:t>万元，支出包括：一般公共服务支出</w:t>
      </w:r>
      <w:r>
        <w:rPr>
          <w:rFonts w:hint="eastAsia" w:ascii="宋体" w:hAnsi="宋体" w:eastAsia="仿宋_GB2312" w:cs="宋体"/>
          <w:color w:val="auto"/>
          <w:spacing w:val="-14"/>
          <w:kern w:val="0"/>
          <w:sz w:val="32"/>
          <w:szCs w:val="32"/>
          <w:lang w:val="en-US" w:eastAsia="zh-CN"/>
        </w:rPr>
        <w:t>262.46</w:t>
      </w:r>
      <w:r>
        <w:rPr>
          <w:rFonts w:hint="eastAsia" w:ascii="宋体" w:hAnsi="宋体" w:eastAsia="仿宋_GB2312" w:cs="宋体"/>
          <w:color w:val="auto"/>
          <w:spacing w:val="-14"/>
          <w:kern w:val="0"/>
          <w:sz w:val="32"/>
          <w:szCs w:val="32"/>
        </w:rPr>
        <w:t>万元、社会保障和就业支出</w:t>
      </w:r>
      <w:r>
        <w:rPr>
          <w:rFonts w:hint="eastAsia" w:ascii="宋体" w:hAnsi="宋体" w:eastAsia="仿宋_GB2312" w:cs="宋体"/>
          <w:color w:val="auto"/>
          <w:spacing w:val="-14"/>
          <w:kern w:val="0"/>
          <w:sz w:val="32"/>
          <w:szCs w:val="32"/>
          <w:lang w:val="en-US" w:eastAsia="zh-CN"/>
        </w:rPr>
        <w:t>64.82</w:t>
      </w:r>
      <w:r>
        <w:rPr>
          <w:rFonts w:hint="eastAsia" w:ascii="宋体" w:hAnsi="宋体" w:eastAsia="仿宋_GB2312" w:cs="宋体"/>
          <w:color w:val="auto"/>
          <w:spacing w:val="-14"/>
          <w:kern w:val="0"/>
          <w:sz w:val="32"/>
          <w:szCs w:val="32"/>
        </w:rPr>
        <w:t>万元、卫生健康支出2</w:t>
      </w:r>
      <w:r>
        <w:rPr>
          <w:rFonts w:hint="eastAsia" w:ascii="宋体" w:hAnsi="宋体" w:eastAsia="仿宋_GB2312" w:cs="宋体"/>
          <w:color w:val="auto"/>
          <w:spacing w:val="-14"/>
          <w:kern w:val="0"/>
          <w:sz w:val="32"/>
          <w:szCs w:val="32"/>
          <w:lang w:val="en-US" w:eastAsia="zh-CN"/>
        </w:rPr>
        <w:t>3.69</w:t>
      </w:r>
      <w:r>
        <w:rPr>
          <w:rFonts w:hint="eastAsia" w:ascii="宋体" w:hAnsi="宋体" w:eastAsia="仿宋_GB2312" w:cs="宋体"/>
          <w:color w:val="auto"/>
          <w:spacing w:val="-14"/>
          <w:kern w:val="0"/>
          <w:sz w:val="32"/>
          <w:szCs w:val="32"/>
        </w:rPr>
        <w:t>万元，农林水支出2</w:t>
      </w:r>
      <w:r>
        <w:rPr>
          <w:rFonts w:hint="eastAsia" w:ascii="宋体" w:hAnsi="宋体" w:eastAsia="仿宋_GB2312" w:cs="宋体"/>
          <w:color w:val="auto"/>
          <w:spacing w:val="-14"/>
          <w:kern w:val="0"/>
          <w:sz w:val="32"/>
          <w:szCs w:val="32"/>
          <w:lang w:val="en-US" w:eastAsia="zh-CN"/>
        </w:rPr>
        <w:t>10.18</w:t>
      </w:r>
      <w:r>
        <w:rPr>
          <w:rFonts w:hint="eastAsia" w:ascii="宋体" w:hAnsi="宋体" w:eastAsia="仿宋_GB2312" w:cs="宋体"/>
          <w:color w:val="auto"/>
          <w:spacing w:val="-14"/>
          <w:kern w:val="0"/>
          <w:sz w:val="32"/>
          <w:szCs w:val="32"/>
        </w:rPr>
        <w:t>万元，住房保障支出</w:t>
      </w:r>
      <w:r>
        <w:rPr>
          <w:rFonts w:hint="eastAsia" w:ascii="宋体" w:hAnsi="宋体" w:eastAsia="仿宋_GB2312" w:cs="宋体"/>
          <w:color w:val="auto"/>
          <w:spacing w:val="-14"/>
          <w:kern w:val="0"/>
          <w:sz w:val="32"/>
          <w:szCs w:val="32"/>
          <w:lang w:val="en-US" w:eastAsia="zh-CN"/>
        </w:rPr>
        <w:t>32.41</w:t>
      </w:r>
      <w:r>
        <w:rPr>
          <w:rFonts w:hint="eastAsia" w:ascii="宋体" w:hAnsi="宋体" w:eastAsia="仿宋_GB2312" w:cs="宋体"/>
          <w:color w:val="auto"/>
          <w:spacing w:val="-14"/>
          <w:kern w:val="0"/>
          <w:sz w:val="32"/>
          <w:szCs w:val="32"/>
        </w:rPr>
        <w:t>万元，其他支出5.76万元。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年部门收入财政拨款收支总预算665.43万元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比2020年收支预算总数增加66.11万元其中：当年财政拨款收入</w:t>
      </w:r>
      <w:r>
        <w:rPr>
          <w:rFonts w:hint="eastAsia" w:ascii="仿宋_GB2312" w:hAnsi="仿宋_GB2312" w:eastAsia="仿宋_GB2312" w:cs="仿宋_GB2312"/>
          <w:color w:val="auto"/>
          <w:sz w:val="32"/>
          <w:szCs w:val="32"/>
          <w:lang w:val="en-US" w:eastAsia="zh-CN"/>
        </w:rPr>
        <w:t>665.43</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665.43</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665.43</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万元，其中公务接待费0万元，公务用车运行维护费</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万元，实际支出</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万元，公务接待费0万元，公务用车运行维护费</w:t>
      </w:r>
      <w:r>
        <w:rPr>
          <w:rFonts w:hint="eastAsia" w:ascii="仿宋_GB2312" w:hAnsi="仿宋_GB2312" w:eastAsia="仿宋_GB2312" w:cs="仿宋_GB2312"/>
          <w:color w:val="000000"/>
          <w:sz w:val="32"/>
          <w:szCs w:val="32"/>
          <w:lang w:val="en-US" w:eastAsia="zh-CN"/>
        </w:rPr>
        <w:t>3.8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61"/>
    <w:bookmarkEnd w:id="62"/>
    <w:p>
      <w:pPr>
        <w:spacing w:line="600" w:lineRule="exact"/>
        <w:jc w:val="center"/>
        <w:outlineLvl w:val="0"/>
        <w:rPr>
          <w:rFonts w:ascii="黑体" w:eastAsia="黑体"/>
          <w:color w:val="000000"/>
          <w:sz w:val="44"/>
          <w:szCs w:val="44"/>
        </w:rPr>
      </w:pPr>
      <w:bookmarkStart w:id="63" w:name="_Toc15396618"/>
      <w:bookmarkStart w:id="64" w:name="_Toc15396619"/>
    </w:p>
    <w:bookmarkEnd w:id="63"/>
    <w:bookmarkEnd w:id="64"/>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rPr>
        <w:rFonts w:hint="eastAsia"/>
      </w:rPr>
    </w:lvl>
  </w:abstractNum>
  <w:abstractNum w:abstractNumId="6">
    <w:nsid w:val="386D6DF3"/>
    <w:multiLevelType w:val="singleLevel"/>
    <w:tmpl w:val="386D6DF3"/>
    <w:lvl w:ilvl="0" w:tentative="0">
      <w:start w:val="3"/>
      <w:numFmt w:val="decimal"/>
      <w:lvlText w:val="%1."/>
      <w:lvlJc w:val="left"/>
      <w:pPr>
        <w:tabs>
          <w:tab w:val="left" w:pos="0"/>
        </w:tabs>
        <w:ind w:left="0" w:firstLine="0"/>
      </w:pPr>
    </w:lvl>
  </w:abstractNum>
  <w:abstractNum w:abstractNumId="7">
    <w:nsid w:val="747B1FF4"/>
    <w:multiLevelType w:val="singleLevel"/>
    <w:tmpl w:val="747B1FF4"/>
    <w:lvl w:ilvl="0" w:tentative="0">
      <w:start w:val="2"/>
      <w:numFmt w:val="decimal"/>
      <w:lvlText w:val="%1."/>
      <w:lvlJc w:val="left"/>
      <w:pPr>
        <w:tabs>
          <w:tab w:val="left" w:pos="312"/>
        </w:tabs>
      </w:pPr>
    </w:lvl>
  </w:abstractNum>
  <w:num w:numId="1">
    <w:abstractNumId w:val="3"/>
  </w:num>
  <w:num w:numId="2">
    <w:abstractNumId w:val="5"/>
  </w:num>
  <w:num w:numId="3">
    <w:abstractNumId w:val="0"/>
  </w:num>
  <w:num w:numId="4">
    <w:abstractNumId w:val="4"/>
  </w:num>
  <w:num w:numId="5">
    <w:abstractNumId w:val="2"/>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D070F"/>
    <w:rsid w:val="00053BC6"/>
    <w:rsid w:val="00053BE6"/>
    <w:rsid w:val="001C47CE"/>
    <w:rsid w:val="0073645F"/>
    <w:rsid w:val="007C6F30"/>
    <w:rsid w:val="00AD070F"/>
    <w:rsid w:val="00B54E05"/>
    <w:rsid w:val="00CE10F9"/>
    <w:rsid w:val="00E140A6"/>
    <w:rsid w:val="00E21554"/>
    <w:rsid w:val="00EC5E85"/>
    <w:rsid w:val="08ED5FF8"/>
    <w:rsid w:val="09A4666F"/>
    <w:rsid w:val="09EF680A"/>
    <w:rsid w:val="172F070E"/>
    <w:rsid w:val="1B231F30"/>
    <w:rsid w:val="20921734"/>
    <w:rsid w:val="278339D7"/>
    <w:rsid w:val="2EDA0F99"/>
    <w:rsid w:val="33511423"/>
    <w:rsid w:val="351020BC"/>
    <w:rsid w:val="3C6F667D"/>
    <w:rsid w:val="42F74B59"/>
    <w:rsid w:val="483C50CD"/>
    <w:rsid w:val="487359F9"/>
    <w:rsid w:val="4A996501"/>
    <w:rsid w:val="4B150568"/>
    <w:rsid w:val="594679AA"/>
    <w:rsid w:val="5ADF0F4B"/>
    <w:rsid w:val="5F73204F"/>
    <w:rsid w:val="6333425A"/>
    <w:rsid w:val="66C27EFA"/>
    <w:rsid w:val="698E0536"/>
    <w:rsid w:val="6E4324C5"/>
    <w:rsid w:val="75AD5850"/>
    <w:rsid w:val="77AC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图表目录1"/>
    <w:basedOn w:val="1"/>
    <w:next w:val="1"/>
    <w:qFormat/>
    <w:uiPriority w:val="0"/>
    <w:pPr>
      <w:spacing w:beforeAutospacing="1" w:afterAutospacing="1"/>
      <w:ind w:left="200" w:leftChars="200" w:hanging="200" w:hangingChars="200"/>
    </w:pPr>
  </w:style>
  <w:style w:type="character" w:customStyle="1" w:styleId="19">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普通(网站) Char"/>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Sheet1!$B$2:$B$3</c:f>
              <c:numCache>
                <c:formatCode>General</c:formatCode>
                <c:ptCount val="2"/>
                <c:pt idx="0">
                  <c:v>613.96</c:v>
                </c:pt>
                <c:pt idx="1">
                  <c:v>735.78</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Sheet1!$C$2:$C$3</c:f>
              <c:numCache>
                <c:formatCode>General</c:formatCode>
                <c:ptCount val="2"/>
                <c:pt idx="0">
                  <c:v>1056.78</c:v>
                </c:pt>
                <c:pt idx="1">
                  <c:v>675.77</c:v>
                </c:pt>
              </c:numCache>
            </c:numRef>
          </c:val>
        </c:ser>
        <c:dLbls>
          <c:showLegendKey val="0"/>
          <c:showVal val="1"/>
          <c:showCatName val="0"/>
          <c:showSerName val="0"/>
          <c:showPercent val="0"/>
          <c:showBubbleSize val="0"/>
        </c:dLbls>
        <c:gapWidth val="65"/>
        <c:axId val="122587392"/>
        <c:axId val="122605568"/>
      </c:barChart>
      <c:catAx>
        <c:axId val="122587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22605568"/>
        <c:crosses val="autoZero"/>
        <c:auto val="1"/>
        <c:lblAlgn val="ctr"/>
        <c:lblOffset val="100"/>
        <c:noMultiLvlLbl val="0"/>
      </c:catAx>
      <c:valAx>
        <c:axId val="122605568"/>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22587392"/>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735.78</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manualLayout>
          <c:xMode val="edge"/>
          <c:yMode val="edge"/>
          <c:x val="0.264646844812445"/>
          <c:y val="0.0288"/>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489.23</c:v>
                </c:pt>
                <c:pt idx="1">
                  <c:v>186.54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613.96</c:v>
                </c:pt>
                <c:pt idx="1">
                  <c:v>1056.78</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735.78</c:v>
                </c:pt>
                <c:pt idx="1">
                  <c:v>675.77</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1371</Words>
  <Characters>7817</Characters>
  <Lines>65</Lines>
  <Paragraphs>18</Paragraphs>
  <TotalTime>1</TotalTime>
  <ScaleCrop>false</ScaleCrop>
  <LinksUpToDate>false</LinksUpToDate>
  <CharactersWithSpaces>9170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2021-09-18T03:28:00Z</dcterms:created>
  <dc:creator>张彬茜</dc:creator>
  <cp:lastModifiedBy>不改</cp:lastModifiedBy>
  <cp:lastPrinted>2021-09-18T03:06:00Z</cp:lastPrinted>
  <dcterms:modified xsi:type="dcterms:W3CDTF">2021-09-27T03:13:15Z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